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5AA56" w14:textId="73A63B9C" w:rsidR="00067856" w:rsidRPr="00D618B7" w:rsidRDefault="00067856" w:rsidP="00067856">
      <w:pPr>
        <w:jc w:val="center"/>
        <w:rPr>
          <w:b/>
          <w:lang w:val="en-CA"/>
        </w:rPr>
      </w:pPr>
      <w:r w:rsidRPr="00D618B7">
        <w:rPr>
          <w:b/>
          <w:lang w:val="en-CA"/>
        </w:rPr>
        <w:t xml:space="preserve">From non-reaching to reaching: A </w:t>
      </w:r>
      <w:r w:rsidR="00163B07">
        <w:rPr>
          <w:b/>
          <w:lang w:val="en-CA"/>
        </w:rPr>
        <w:t>micro-analysis</w:t>
      </w:r>
      <w:r>
        <w:rPr>
          <w:b/>
          <w:lang w:val="en-CA"/>
        </w:rPr>
        <w:t xml:space="preserve"> of </w:t>
      </w:r>
      <w:r w:rsidR="00163B07">
        <w:rPr>
          <w:b/>
          <w:lang w:val="en-CA"/>
        </w:rPr>
        <w:t>group</w:t>
      </w:r>
      <w:r>
        <w:rPr>
          <w:b/>
          <w:lang w:val="en-CA"/>
        </w:rPr>
        <w:t xml:space="preserve"> differences in movement behavior around reach onset.</w:t>
      </w:r>
    </w:p>
    <w:p w14:paraId="6A3C7EEF" w14:textId="77777777" w:rsidR="00236E6D" w:rsidRPr="00D618B7" w:rsidRDefault="00236E6D">
      <w:pPr>
        <w:jc w:val="center"/>
      </w:pPr>
    </w:p>
    <w:p w14:paraId="2DDE942E" w14:textId="77777777" w:rsidR="00236E6D" w:rsidRPr="00D618B7" w:rsidRDefault="00236E6D">
      <w:pPr>
        <w:jc w:val="center"/>
      </w:pPr>
    </w:p>
    <w:p w14:paraId="4EE77E21" w14:textId="77777777" w:rsidR="00236E6D" w:rsidRPr="00D618B7" w:rsidRDefault="00236E6D">
      <w:pPr>
        <w:jc w:val="center"/>
      </w:pPr>
    </w:p>
    <w:p w14:paraId="21DE9487" w14:textId="77777777" w:rsidR="00236E6D" w:rsidRPr="00D618B7" w:rsidRDefault="00236E6D">
      <w:pPr>
        <w:jc w:val="center"/>
      </w:pPr>
    </w:p>
    <w:p w14:paraId="72F4BF07" w14:textId="77777777" w:rsidR="00236E6D" w:rsidRPr="00D618B7" w:rsidRDefault="00236E6D">
      <w:pPr>
        <w:jc w:val="center"/>
      </w:pPr>
    </w:p>
    <w:p w14:paraId="32517464" w14:textId="77777777" w:rsidR="00236E6D" w:rsidRPr="00D618B7" w:rsidRDefault="00236E6D">
      <w:pPr>
        <w:jc w:val="center"/>
      </w:pPr>
    </w:p>
    <w:p w14:paraId="79EAFC1D" w14:textId="77777777" w:rsidR="00236E6D" w:rsidRPr="00D618B7" w:rsidRDefault="00236E6D">
      <w:pPr>
        <w:jc w:val="center"/>
      </w:pPr>
    </w:p>
    <w:p w14:paraId="46D6D1EE" w14:textId="77777777" w:rsidR="009D2AA9" w:rsidRPr="00D618B7" w:rsidRDefault="009D2AA9">
      <w:pPr>
        <w:jc w:val="center"/>
      </w:pPr>
    </w:p>
    <w:p w14:paraId="3A4078CB" w14:textId="77777777" w:rsidR="009D2AA9" w:rsidRPr="00D618B7" w:rsidRDefault="009D2AA9">
      <w:pPr>
        <w:jc w:val="center"/>
      </w:pPr>
    </w:p>
    <w:p w14:paraId="5666DBB6" w14:textId="77777777" w:rsidR="009D2AA9" w:rsidRPr="00D618B7" w:rsidRDefault="009D2AA9">
      <w:pPr>
        <w:jc w:val="center"/>
      </w:pPr>
    </w:p>
    <w:p w14:paraId="4307B866" w14:textId="77777777" w:rsidR="00236E6D" w:rsidRPr="00D618B7" w:rsidRDefault="00236E6D">
      <w:pPr>
        <w:jc w:val="center"/>
      </w:pPr>
    </w:p>
    <w:p w14:paraId="1A39EE62" w14:textId="77777777" w:rsidR="00236E6D" w:rsidRPr="00D618B7" w:rsidRDefault="00236E6D">
      <w:pPr>
        <w:jc w:val="center"/>
      </w:pPr>
    </w:p>
    <w:p w14:paraId="3B7AEA76" w14:textId="00747BCD" w:rsidR="00236E6D" w:rsidRPr="00D618B7" w:rsidRDefault="009C755C">
      <w:pPr>
        <w:jc w:val="center"/>
      </w:pPr>
      <w:r w:rsidRPr="00D618B7">
        <w:t xml:space="preserve">A </w:t>
      </w:r>
      <w:r w:rsidR="00DB349E" w:rsidRPr="00D618B7">
        <w:t>Dissertation</w:t>
      </w:r>
      <w:r w:rsidRPr="00D618B7">
        <w:t xml:space="preserve"> Presented for</w:t>
      </w:r>
      <w:r w:rsidR="008865B6" w:rsidRPr="00D618B7">
        <w:t xml:space="preserve"> the</w:t>
      </w:r>
    </w:p>
    <w:p w14:paraId="758187EE" w14:textId="3EFD1A8D" w:rsidR="009C755C" w:rsidRPr="00D618B7" w:rsidRDefault="00DB349E">
      <w:pPr>
        <w:jc w:val="center"/>
      </w:pPr>
      <w:r w:rsidRPr="00D618B7">
        <w:t>Doctor</w:t>
      </w:r>
      <w:r w:rsidR="00B461A6" w:rsidRPr="00D618B7">
        <w:t xml:space="preserve"> of</w:t>
      </w:r>
      <w:r w:rsidRPr="00D618B7">
        <w:t xml:space="preserve"> Philosophy</w:t>
      </w:r>
    </w:p>
    <w:p w14:paraId="0548B837" w14:textId="6CCC00EF" w:rsidR="009C755C" w:rsidRPr="00D618B7" w:rsidRDefault="00DB349E" w:rsidP="00DB349E">
      <w:pPr>
        <w:tabs>
          <w:tab w:val="left" w:pos="3705"/>
          <w:tab w:val="center" w:pos="4320"/>
        </w:tabs>
      </w:pPr>
      <w:r w:rsidRPr="00D618B7">
        <w:tab/>
      </w:r>
      <w:r w:rsidRPr="00D618B7">
        <w:tab/>
      </w:r>
      <w:r w:rsidR="009C755C" w:rsidRPr="00D618B7">
        <w:t>Degree</w:t>
      </w:r>
    </w:p>
    <w:p w14:paraId="51CFC81B" w14:textId="77777777" w:rsidR="009C755C" w:rsidRPr="00D618B7" w:rsidRDefault="009C755C">
      <w:pPr>
        <w:jc w:val="center"/>
      </w:pPr>
      <w:r w:rsidRPr="00D618B7">
        <w:t>The University of Tennessee, Knoxville</w:t>
      </w:r>
    </w:p>
    <w:p w14:paraId="2B3CA181" w14:textId="77777777" w:rsidR="00236E6D" w:rsidRPr="00D618B7" w:rsidRDefault="00236E6D">
      <w:pPr>
        <w:jc w:val="center"/>
      </w:pPr>
    </w:p>
    <w:p w14:paraId="500CA8B4" w14:textId="77777777" w:rsidR="00236E6D" w:rsidRPr="00D618B7" w:rsidRDefault="00236E6D">
      <w:pPr>
        <w:jc w:val="center"/>
      </w:pPr>
    </w:p>
    <w:p w14:paraId="10B0EF3D" w14:textId="77777777" w:rsidR="00236E6D" w:rsidRPr="00D618B7" w:rsidRDefault="00236E6D">
      <w:pPr>
        <w:jc w:val="center"/>
      </w:pPr>
    </w:p>
    <w:p w14:paraId="6ED6B593" w14:textId="77777777" w:rsidR="00236E6D" w:rsidRPr="00D618B7" w:rsidRDefault="00236E6D">
      <w:pPr>
        <w:jc w:val="center"/>
      </w:pPr>
    </w:p>
    <w:p w14:paraId="3E00AE01" w14:textId="77777777" w:rsidR="00236E6D" w:rsidRPr="00D618B7" w:rsidRDefault="00236E6D">
      <w:pPr>
        <w:jc w:val="center"/>
      </w:pPr>
    </w:p>
    <w:p w14:paraId="3B2041E4" w14:textId="77777777" w:rsidR="00236E6D" w:rsidRPr="00D618B7" w:rsidRDefault="00236E6D">
      <w:pPr>
        <w:jc w:val="center"/>
      </w:pPr>
    </w:p>
    <w:p w14:paraId="5F8CA663" w14:textId="77777777" w:rsidR="00236E6D" w:rsidRPr="00D618B7" w:rsidRDefault="00236E6D">
      <w:pPr>
        <w:jc w:val="center"/>
      </w:pPr>
    </w:p>
    <w:p w14:paraId="31D806A6" w14:textId="77777777" w:rsidR="00236E6D" w:rsidRPr="00D618B7" w:rsidRDefault="00236E6D">
      <w:pPr>
        <w:jc w:val="center"/>
      </w:pPr>
    </w:p>
    <w:p w14:paraId="4783CA3F" w14:textId="77777777" w:rsidR="00236E6D" w:rsidRPr="00D618B7" w:rsidRDefault="00236E6D">
      <w:pPr>
        <w:jc w:val="center"/>
      </w:pPr>
    </w:p>
    <w:p w14:paraId="25F2B8B7" w14:textId="77777777" w:rsidR="009D2AA9" w:rsidRPr="00D618B7" w:rsidRDefault="009D2AA9">
      <w:pPr>
        <w:jc w:val="center"/>
      </w:pPr>
    </w:p>
    <w:p w14:paraId="6BA5188C" w14:textId="77777777" w:rsidR="009D2AA9" w:rsidRPr="00D618B7" w:rsidRDefault="009D2AA9">
      <w:pPr>
        <w:jc w:val="center"/>
      </w:pPr>
    </w:p>
    <w:p w14:paraId="37ABAB6B" w14:textId="77777777" w:rsidR="009D2AA9" w:rsidRPr="00D618B7" w:rsidRDefault="009D2AA9">
      <w:pPr>
        <w:jc w:val="center"/>
      </w:pPr>
    </w:p>
    <w:p w14:paraId="4FDC0BC0" w14:textId="77777777" w:rsidR="009D2AA9" w:rsidRPr="00D618B7" w:rsidRDefault="009D2AA9">
      <w:pPr>
        <w:jc w:val="center"/>
      </w:pPr>
    </w:p>
    <w:p w14:paraId="47BBA376" w14:textId="77777777" w:rsidR="009D2AA9" w:rsidRPr="00D618B7" w:rsidRDefault="009D2AA9">
      <w:pPr>
        <w:jc w:val="center"/>
      </w:pPr>
    </w:p>
    <w:p w14:paraId="047AB020" w14:textId="77777777" w:rsidR="009D2AA9" w:rsidRPr="00D618B7" w:rsidRDefault="009D2AA9">
      <w:pPr>
        <w:jc w:val="center"/>
      </w:pPr>
    </w:p>
    <w:p w14:paraId="71C36F53" w14:textId="77777777" w:rsidR="009D2AA9" w:rsidRPr="00D618B7" w:rsidRDefault="009D2AA9">
      <w:pPr>
        <w:jc w:val="center"/>
      </w:pPr>
    </w:p>
    <w:p w14:paraId="7192A9BA" w14:textId="77777777" w:rsidR="009D2AA9" w:rsidRPr="00D618B7" w:rsidRDefault="009D2AA9">
      <w:pPr>
        <w:jc w:val="center"/>
      </w:pPr>
    </w:p>
    <w:p w14:paraId="22863809" w14:textId="77777777" w:rsidR="009D2AA9" w:rsidRPr="00D618B7" w:rsidRDefault="009D2AA9">
      <w:pPr>
        <w:jc w:val="center"/>
      </w:pPr>
    </w:p>
    <w:p w14:paraId="122087AA" w14:textId="77777777" w:rsidR="009D2AA9" w:rsidRPr="00D618B7" w:rsidRDefault="009D2AA9">
      <w:pPr>
        <w:jc w:val="center"/>
      </w:pPr>
    </w:p>
    <w:p w14:paraId="050148CC" w14:textId="77777777" w:rsidR="009D2AA9" w:rsidRPr="00D618B7" w:rsidRDefault="009D2AA9">
      <w:pPr>
        <w:jc w:val="center"/>
      </w:pPr>
    </w:p>
    <w:p w14:paraId="469118BC" w14:textId="77777777" w:rsidR="00DF403B" w:rsidRPr="00D618B7" w:rsidRDefault="00DF403B">
      <w:pPr>
        <w:jc w:val="center"/>
      </w:pPr>
    </w:p>
    <w:p w14:paraId="003EA258" w14:textId="77777777" w:rsidR="00DF403B" w:rsidRPr="00D618B7" w:rsidRDefault="00DF403B">
      <w:pPr>
        <w:jc w:val="center"/>
      </w:pPr>
    </w:p>
    <w:p w14:paraId="19EFD9B7" w14:textId="77777777" w:rsidR="00DF403B" w:rsidRPr="00D618B7" w:rsidRDefault="00DF403B">
      <w:pPr>
        <w:jc w:val="center"/>
      </w:pPr>
    </w:p>
    <w:p w14:paraId="7E38BD7D" w14:textId="77777777" w:rsidR="00DF403B" w:rsidRPr="00D618B7" w:rsidRDefault="00DF403B">
      <w:pPr>
        <w:jc w:val="center"/>
      </w:pPr>
    </w:p>
    <w:p w14:paraId="7DDB69D1" w14:textId="77777777" w:rsidR="00236E6D" w:rsidRPr="00D618B7" w:rsidRDefault="00236E6D" w:rsidP="000C1A25"/>
    <w:p w14:paraId="324D484E" w14:textId="5629AD32" w:rsidR="00236E6D" w:rsidRPr="00D618B7" w:rsidRDefault="00DB349E">
      <w:pPr>
        <w:jc w:val="center"/>
      </w:pPr>
      <w:r w:rsidRPr="00D618B7">
        <w:t>John P. Connell</w:t>
      </w:r>
    </w:p>
    <w:p w14:paraId="736990C3" w14:textId="190D13E7" w:rsidR="000C1A25" w:rsidRPr="00D618B7" w:rsidRDefault="000C1A25" w:rsidP="0037187E">
      <w:pPr>
        <w:jc w:val="center"/>
      </w:pPr>
      <w:r w:rsidRPr="00D618B7">
        <w:t>August</w:t>
      </w:r>
      <w:r w:rsidR="00DB349E" w:rsidRPr="00D618B7">
        <w:t xml:space="preserve"> 2024</w:t>
      </w:r>
    </w:p>
    <w:p w14:paraId="7AF0FAD8" w14:textId="00FC8AE8" w:rsidR="00236E6D" w:rsidRPr="00D618B7" w:rsidRDefault="003D07F7" w:rsidP="00D91C27">
      <w:pPr>
        <w:jc w:val="center"/>
      </w:pPr>
      <w:r w:rsidRPr="00D618B7">
        <w:lastRenderedPageBreak/>
        <w:t>Copyright © 20</w:t>
      </w:r>
      <w:r w:rsidR="00206090" w:rsidRPr="00D618B7">
        <w:t>2</w:t>
      </w:r>
      <w:r w:rsidR="00DB349E" w:rsidRPr="00D618B7">
        <w:t>4</w:t>
      </w:r>
      <w:r w:rsidR="00236E6D" w:rsidRPr="00D618B7">
        <w:t xml:space="preserve"> by </w:t>
      </w:r>
      <w:r w:rsidR="00DB349E" w:rsidRPr="00D618B7">
        <w:t>John P. Connell</w:t>
      </w:r>
    </w:p>
    <w:p w14:paraId="09D431F3" w14:textId="77777777" w:rsidR="00236E6D" w:rsidRPr="00D618B7" w:rsidRDefault="00236E6D">
      <w:pPr>
        <w:jc w:val="center"/>
      </w:pPr>
      <w:r w:rsidRPr="00D618B7">
        <w:t>All rights reserved.</w:t>
      </w:r>
    </w:p>
    <w:p w14:paraId="2C8CE5F6" w14:textId="77777777" w:rsidR="00236E6D" w:rsidRPr="00D618B7" w:rsidRDefault="00236E6D">
      <w:pPr>
        <w:jc w:val="center"/>
      </w:pPr>
    </w:p>
    <w:p w14:paraId="345EC810" w14:textId="77777777" w:rsidR="00236E6D" w:rsidRPr="00D618B7" w:rsidRDefault="00236E6D">
      <w:pPr>
        <w:jc w:val="center"/>
      </w:pPr>
    </w:p>
    <w:p w14:paraId="332DE268" w14:textId="77777777" w:rsidR="00236E6D" w:rsidRPr="00D618B7" w:rsidRDefault="00236E6D">
      <w:pPr>
        <w:jc w:val="center"/>
      </w:pPr>
    </w:p>
    <w:p w14:paraId="02538C66" w14:textId="77777777" w:rsidR="00236E6D" w:rsidRPr="00D618B7" w:rsidRDefault="00236E6D">
      <w:pPr>
        <w:jc w:val="center"/>
      </w:pPr>
    </w:p>
    <w:p w14:paraId="5A3DC5A6" w14:textId="77777777" w:rsidR="00236E6D" w:rsidRPr="00D618B7" w:rsidRDefault="00236E6D">
      <w:pPr>
        <w:jc w:val="center"/>
      </w:pPr>
    </w:p>
    <w:p w14:paraId="0ED44BAD" w14:textId="77777777" w:rsidR="00236E6D" w:rsidRPr="00D618B7" w:rsidRDefault="00236E6D">
      <w:pPr>
        <w:jc w:val="center"/>
      </w:pPr>
    </w:p>
    <w:p w14:paraId="0167D237" w14:textId="77777777" w:rsidR="00236E6D" w:rsidRPr="00D618B7" w:rsidRDefault="00236E6D">
      <w:pPr>
        <w:jc w:val="center"/>
      </w:pPr>
    </w:p>
    <w:p w14:paraId="06F83B76" w14:textId="77777777" w:rsidR="00236E6D" w:rsidRPr="00D618B7" w:rsidRDefault="00236E6D">
      <w:pPr>
        <w:jc w:val="center"/>
      </w:pPr>
    </w:p>
    <w:p w14:paraId="7C0DC92C" w14:textId="77777777" w:rsidR="00236E6D" w:rsidRPr="00D618B7" w:rsidRDefault="00236E6D">
      <w:pPr>
        <w:jc w:val="center"/>
      </w:pPr>
    </w:p>
    <w:p w14:paraId="37EBA83D" w14:textId="77777777" w:rsidR="00236E6D" w:rsidRPr="00D618B7" w:rsidRDefault="00236E6D">
      <w:pPr>
        <w:jc w:val="center"/>
      </w:pPr>
    </w:p>
    <w:p w14:paraId="66A20925" w14:textId="77777777" w:rsidR="00236E6D" w:rsidRPr="00D618B7" w:rsidRDefault="00236E6D">
      <w:pPr>
        <w:jc w:val="center"/>
      </w:pPr>
    </w:p>
    <w:p w14:paraId="7145BA3D" w14:textId="77777777" w:rsidR="00236E6D" w:rsidRPr="00D618B7" w:rsidRDefault="00236E6D">
      <w:pPr>
        <w:jc w:val="center"/>
      </w:pPr>
    </w:p>
    <w:p w14:paraId="1B06A249" w14:textId="77777777" w:rsidR="00236E6D" w:rsidRPr="00D618B7" w:rsidRDefault="00236E6D">
      <w:pPr>
        <w:jc w:val="center"/>
      </w:pPr>
    </w:p>
    <w:p w14:paraId="688C8230" w14:textId="77777777" w:rsidR="00236E6D" w:rsidRPr="00D618B7" w:rsidRDefault="00236E6D">
      <w:pPr>
        <w:jc w:val="center"/>
      </w:pPr>
    </w:p>
    <w:p w14:paraId="716B6A10" w14:textId="77777777" w:rsidR="009D2AA9" w:rsidRPr="00D618B7" w:rsidRDefault="009D2AA9" w:rsidP="009D2AA9"/>
    <w:p w14:paraId="40D0E6F7" w14:textId="77777777" w:rsidR="009D2AA9" w:rsidRPr="00D618B7" w:rsidRDefault="009D2AA9" w:rsidP="009D2AA9"/>
    <w:p w14:paraId="29397503" w14:textId="77777777" w:rsidR="009D2AA9" w:rsidRPr="00D618B7" w:rsidRDefault="009D2AA9" w:rsidP="009D2AA9"/>
    <w:p w14:paraId="1C4AC16B" w14:textId="77777777" w:rsidR="009D2AA9" w:rsidRPr="00D618B7" w:rsidRDefault="009D2AA9" w:rsidP="009D2AA9"/>
    <w:p w14:paraId="7AEAEABA" w14:textId="77777777" w:rsidR="009D2AA9" w:rsidRPr="00D618B7" w:rsidRDefault="009D2AA9" w:rsidP="009D2AA9"/>
    <w:p w14:paraId="213BDF01" w14:textId="77777777" w:rsidR="009D2AA9" w:rsidRPr="00D618B7" w:rsidRDefault="009D2AA9" w:rsidP="009D2AA9"/>
    <w:p w14:paraId="10E6DF8A" w14:textId="77777777" w:rsidR="009D2AA9" w:rsidRPr="00D618B7" w:rsidRDefault="009D2AA9" w:rsidP="009D2AA9"/>
    <w:p w14:paraId="041A7120" w14:textId="77777777" w:rsidR="009D2AA9" w:rsidRPr="00D618B7" w:rsidRDefault="009D2AA9" w:rsidP="009D2AA9"/>
    <w:p w14:paraId="057290C0" w14:textId="77777777" w:rsidR="009D2AA9" w:rsidRPr="00D618B7" w:rsidRDefault="009D2AA9" w:rsidP="009D2AA9"/>
    <w:p w14:paraId="1727CB1A" w14:textId="77777777" w:rsidR="009D2AA9" w:rsidRPr="00D618B7" w:rsidRDefault="009D2AA9" w:rsidP="009D2AA9"/>
    <w:p w14:paraId="6CA76482" w14:textId="77777777" w:rsidR="009D2AA9" w:rsidRPr="00D618B7" w:rsidRDefault="009D2AA9" w:rsidP="009D2AA9"/>
    <w:p w14:paraId="6CC7B4AD" w14:textId="77777777" w:rsidR="009D2AA9" w:rsidRPr="00D618B7" w:rsidRDefault="009D2AA9" w:rsidP="009D2AA9"/>
    <w:p w14:paraId="446B4EF4" w14:textId="77777777" w:rsidR="009D2AA9" w:rsidRPr="00D618B7" w:rsidRDefault="009D2AA9" w:rsidP="009D2AA9"/>
    <w:p w14:paraId="63C0B517" w14:textId="77777777" w:rsidR="009D2AA9" w:rsidRPr="00D618B7" w:rsidRDefault="009D2AA9" w:rsidP="009D2AA9"/>
    <w:p w14:paraId="72F01403" w14:textId="77777777" w:rsidR="009D2AA9" w:rsidRPr="00D618B7" w:rsidRDefault="009D2AA9" w:rsidP="009D2AA9"/>
    <w:p w14:paraId="7F3C9D10" w14:textId="77777777" w:rsidR="009D2AA9" w:rsidRPr="00D618B7" w:rsidRDefault="009D2AA9" w:rsidP="009D2AA9"/>
    <w:p w14:paraId="53627742" w14:textId="77777777" w:rsidR="009D2AA9" w:rsidRPr="00D618B7" w:rsidRDefault="009D2AA9" w:rsidP="009D2AA9"/>
    <w:p w14:paraId="0385EFFA" w14:textId="77777777" w:rsidR="009D2AA9" w:rsidRPr="00D618B7" w:rsidRDefault="009D2AA9" w:rsidP="009D2AA9"/>
    <w:p w14:paraId="44540ADC" w14:textId="77777777" w:rsidR="009D2AA9" w:rsidRPr="00D618B7" w:rsidRDefault="009D2AA9" w:rsidP="009D2AA9"/>
    <w:p w14:paraId="673166DF" w14:textId="77777777" w:rsidR="009D2AA9" w:rsidRPr="00D618B7" w:rsidRDefault="009D2AA9" w:rsidP="009D2AA9"/>
    <w:p w14:paraId="6D4467C1" w14:textId="77777777" w:rsidR="009D2AA9" w:rsidRPr="00D618B7" w:rsidRDefault="009D2AA9" w:rsidP="009D2AA9"/>
    <w:p w14:paraId="744D42C8" w14:textId="77777777" w:rsidR="009D2AA9" w:rsidRPr="00D618B7" w:rsidRDefault="009D2AA9" w:rsidP="009D2AA9"/>
    <w:p w14:paraId="5307F39B" w14:textId="77777777" w:rsidR="009D2AA9" w:rsidRPr="00D618B7" w:rsidRDefault="009D2AA9" w:rsidP="009D2AA9"/>
    <w:p w14:paraId="7319725F" w14:textId="77777777" w:rsidR="009D2AA9" w:rsidRPr="00D618B7" w:rsidRDefault="009D2AA9" w:rsidP="009D2AA9"/>
    <w:p w14:paraId="600BF111" w14:textId="77777777" w:rsidR="00DB349E" w:rsidRDefault="00DB349E" w:rsidP="009D2AA9"/>
    <w:p w14:paraId="038E6A7C" w14:textId="77777777" w:rsidR="0037187E" w:rsidRPr="00D618B7" w:rsidRDefault="0037187E" w:rsidP="009D2AA9"/>
    <w:p w14:paraId="3245AA63" w14:textId="77777777" w:rsidR="009D2AA9" w:rsidRPr="00D618B7" w:rsidRDefault="009D2AA9" w:rsidP="009D2AA9"/>
    <w:p w14:paraId="35A665D1" w14:textId="77777777" w:rsidR="009D2AA9" w:rsidRPr="00D618B7" w:rsidRDefault="009D2AA9" w:rsidP="009D2AA9"/>
    <w:p w14:paraId="64314BCC" w14:textId="77777777" w:rsidR="00C82918" w:rsidRPr="00D618B7" w:rsidRDefault="00C82918" w:rsidP="00C82918">
      <w:pPr>
        <w:jc w:val="center"/>
        <w:rPr>
          <w:b/>
        </w:rPr>
      </w:pPr>
      <w:r w:rsidRPr="00D618B7">
        <w:rPr>
          <w:b/>
        </w:rPr>
        <w:lastRenderedPageBreak/>
        <w:t>ACKNOWLEDGEMENTS</w:t>
      </w:r>
    </w:p>
    <w:p w14:paraId="5235C3D3" w14:textId="77777777" w:rsidR="00C82918" w:rsidRPr="00D618B7" w:rsidRDefault="00C82918" w:rsidP="00C82918">
      <w:pPr>
        <w:jc w:val="center"/>
      </w:pPr>
    </w:p>
    <w:p w14:paraId="73A65303" w14:textId="77777777" w:rsidR="00C82918" w:rsidRDefault="00C82918" w:rsidP="00C82918">
      <w:r>
        <w:t>I want to express my most sincere and heartfelt gratitude to everyone who helped me reach this point. I want to thank my advisor, Daniela Corbetta, for her invaluable guidance and expertise throughout this dissertation and my graduate career. Daniela's unwavering support with my graduate work and life over the last eight years has been instrumental. Without her, I would not have been here, as she introduced me to the joy of experimental psychology and child development. I am additionally grateful to my committee members, Aaron Buss, Caglar Tas, and Jared Porter, for their insightful comments, suggestions, and patience while working on this dissertation. I want to thank my lab mates, Sabrina Thurman, Rebecca Wiener, Abby DiMercurio, Asante Knowles, Duangporn Pattanakul, and Olivia Kate Fleenor, for their support and for being someone off whom I can bounce ideas and problem-solve. They also provided moral support throughout my graduate career. Their friendship has made these last few years enjoyable and meaningful.</w:t>
      </w:r>
    </w:p>
    <w:p w14:paraId="4ECB805E" w14:textId="77777777" w:rsidR="00C82918" w:rsidRDefault="00C82918" w:rsidP="00C82918"/>
    <w:p w14:paraId="70086DBD" w14:textId="5359016C" w:rsidR="00C82918" w:rsidRPr="00D618B7" w:rsidRDefault="00C82918" w:rsidP="00C82918">
      <w:r>
        <w:t>I especially want to express my gratitude to Avery Peffer, Ally Tenorio, and Anna Lynn, my undergraduate research assistants. Their reliable coding of my data and assistance with developing the coding scheme has been instrumental in the success of this research. On a personal note, I also want to thank my friends from the department. I need to mention my partner, Amanda Kemmler, and my children, Jordan, Natalie, Millie, and Liam, who have been my pillars of strength, inspiring me to keep moving forward when things were tough and the stress was overwhelming. You have all been a wealth of support, and I could not have gotten this far without you.</w:t>
      </w:r>
      <w:r w:rsidRPr="00D618B7">
        <w:br w:type="page"/>
      </w:r>
    </w:p>
    <w:p w14:paraId="19A4DACD" w14:textId="48F0CAC1" w:rsidR="00C82918" w:rsidRPr="00CC578B" w:rsidRDefault="00C82918" w:rsidP="00CC578B">
      <w:pPr>
        <w:jc w:val="center"/>
        <w:rPr>
          <w:sz w:val="28"/>
          <w:szCs w:val="28"/>
        </w:rPr>
      </w:pPr>
      <w:r w:rsidRPr="00D618B7">
        <w:rPr>
          <w:b/>
          <w:bCs/>
        </w:rPr>
        <w:lastRenderedPageBreak/>
        <w:t>ABSTRACT</w:t>
      </w:r>
    </w:p>
    <w:p w14:paraId="646AAD75" w14:textId="609DD0B0" w:rsidR="00C82918" w:rsidRDefault="00C82918" w:rsidP="00FB6B7F">
      <w:pPr>
        <w:pStyle w:val="NormalWeb"/>
        <w:ind w:firstLine="720"/>
      </w:pPr>
      <w:r>
        <w:t xml:space="preserve">The onset of reaching during infancy, a critical milestone influenced by developmental experiences, is the focal point of this research study. The individual differences in these experiences may significantly impact when infants achieve this milestone. Traditionally, the study of reaching onset has focused on the interplay between the visual and motor systems, with </w:t>
      </w:r>
      <w:r w:rsidR="00FB2FB7">
        <w:t>researcher</w:t>
      </w:r>
      <w:r w:rsidR="004D287D">
        <w:t xml:space="preserve">s often overlooking the </w:t>
      </w:r>
      <w:r>
        <w:t>motor system. However</w:t>
      </w:r>
      <w:r w:rsidR="004D287D">
        <w:t>, a detailed analysis of motor behaviors is warranted</w:t>
      </w:r>
      <w:r w:rsidR="00B425F9">
        <w:t>,</w:t>
      </w:r>
      <w:r w:rsidR="004D287D">
        <w:t xml:space="preserve"> given the extensive research on the visual-motor system</w:t>
      </w:r>
      <w:r>
        <w:t xml:space="preserve">. This study, therefore, not only fills a gap in the existing research but also makes a significant contribution to the </w:t>
      </w:r>
      <w:r w:rsidR="00D72ACA">
        <w:t>developmental psychology field</w:t>
      </w:r>
      <w:r>
        <w:t xml:space="preserve"> and child development by shedding new light on the </w:t>
      </w:r>
      <w:r w:rsidR="00045237">
        <w:t>motor system's role</w:t>
      </w:r>
      <w:r>
        <w:t xml:space="preserve"> in reaching onset.</w:t>
      </w:r>
    </w:p>
    <w:p w14:paraId="6B8D4A2D" w14:textId="7273FD07" w:rsidR="00C82918" w:rsidRDefault="00C82918" w:rsidP="00C82918">
      <w:pPr>
        <w:pStyle w:val="NormalWeb"/>
        <w:ind w:firstLine="720"/>
      </w:pPr>
      <w:r>
        <w:t>The current study analyzes six infants' behavioral and kinematic changes around the onset of reaching. Further, the infants were categorized into two groups based on age at reach</w:t>
      </w:r>
      <w:r w:rsidR="00B425F9">
        <w:t>-</w:t>
      </w:r>
      <w:r>
        <w:t xml:space="preserve">onset: early and late reachers. Using observational data and based on </w:t>
      </w:r>
      <w:r w:rsidR="0021647B">
        <w:t xml:space="preserve">a </w:t>
      </w:r>
      <w:r>
        <w:t>literature review, movement activities, such as mouth and face contacts</w:t>
      </w:r>
      <w:r w:rsidR="0021647B">
        <w:t xml:space="preserve"> and midline hand clasping,</w:t>
      </w:r>
      <w:r>
        <w:t xml:space="preserve"> were identified. Frequency, duration, and kinematics were analyzed to determine </w:t>
      </w:r>
      <w:r w:rsidR="0021647B">
        <w:t>infants' developmental changes</w:t>
      </w:r>
      <w:r>
        <w:t xml:space="preserve"> around the week of reach onset. </w:t>
      </w:r>
    </w:p>
    <w:p w14:paraId="26639709" w14:textId="1FEA2C4C" w:rsidR="00C82918" w:rsidRPr="00D618B7" w:rsidRDefault="00C82918" w:rsidP="00C82918">
      <w:pPr>
        <w:ind w:firstLine="720"/>
      </w:pPr>
      <w:r>
        <w:t xml:space="preserve">Results show that differences between early and late reachers in attaining this milestone are linked to overall activity and transitions from non-reaching to reaching behaviors. Early reachers displayed increasing movement </w:t>
      </w:r>
      <w:r w:rsidR="007406C5">
        <w:t>events</w:t>
      </w:r>
      <w:r>
        <w:t xml:space="preserve"> as they approached the time of reach onset</w:t>
      </w:r>
      <w:r w:rsidR="00AA21E8">
        <w:t>, and these events decreased</w:t>
      </w:r>
      <w:r>
        <w:t xml:space="preserve"> following when they reached. </w:t>
      </w:r>
      <w:r w:rsidR="005B0D9C">
        <w:t xml:space="preserve">On the contrary, late reachers </w:t>
      </w:r>
      <w:r>
        <w:t xml:space="preserve">displayed minimal movement events until the onset of reaching, at which time they increased </w:t>
      </w:r>
      <w:r w:rsidR="00521E92">
        <w:t>their events</w:t>
      </w:r>
      <w:r>
        <w:t xml:space="preserve"> significantly until the last week of observation. These findings indicate that early reachers are more active and must dampen down their activity to reach successfully. Alternatively, late reachers require a ramping up in their activity levels once they have developed reaching.</w:t>
      </w:r>
    </w:p>
    <w:p w14:paraId="55A60351" w14:textId="77777777" w:rsidR="00C82918" w:rsidRDefault="00C82918" w:rsidP="00C82918">
      <w:pPr>
        <w:rPr>
          <w:b/>
          <w:bCs/>
        </w:rPr>
      </w:pPr>
    </w:p>
    <w:p w14:paraId="4AA3CD80" w14:textId="77777777" w:rsidR="00C82918" w:rsidRDefault="00C82918">
      <w:r>
        <w:rPr>
          <w:b/>
          <w:caps/>
        </w:rPr>
        <w:br w:type="page"/>
      </w:r>
    </w:p>
    <w:sdt>
      <w:sdtPr>
        <w:rPr>
          <w:b w:val="0"/>
          <w:caps w:val="0"/>
        </w:rPr>
        <w:id w:val="607165129"/>
        <w:docPartObj>
          <w:docPartGallery w:val="Table of Contents"/>
          <w:docPartUnique/>
        </w:docPartObj>
      </w:sdtPr>
      <w:sdtEndPr>
        <w:rPr>
          <w:bCs/>
          <w:noProof/>
        </w:rPr>
      </w:sdtEndPr>
      <w:sdtContent>
        <w:p w14:paraId="22838D51" w14:textId="620DE8AB" w:rsidR="00E91931" w:rsidRPr="00D618B7" w:rsidRDefault="00E91931" w:rsidP="00CC578B">
          <w:pPr>
            <w:pStyle w:val="TOCHeading"/>
          </w:pPr>
          <w:r w:rsidRPr="00D618B7">
            <w:t>Table of Contents</w:t>
          </w:r>
        </w:p>
        <w:p w14:paraId="2BD118BF" w14:textId="77777777" w:rsidR="00D83B30" w:rsidRPr="0069439A" w:rsidRDefault="00D83B30" w:rsidP="00E2527A"/>
        <w:p w14:paraId="327FADA1" w14:textId="1B0F4FC3" w:rsidR="00E14CDC" w:rsidRPr="00E14CDC" w:rsidRDefault="00E91931">
          <w:pPr>
            <w:pStyle w:val="TOC1"/>
            <w:rPr>
              <w:rFonts w:eastAsiaTheme="minorEastAsia"/>
              <w:caps w:val="0"/>
              <w:kern w:val="2"/>
              <w14:ligatures w14:val="standardContextual"/>
            </w:rPr>
          </w:pPr>
          <w:r w:rsidRPr="00CC578B">
            <w:rPr>
              <w:noProof w:val="0"/>
            </w:rPr>
            <w:fldChar w:fldCharType="begin"/>
          </w:r>
          <w:r w:rsidRPr="00CC578B">
            <w:instrText xml:space="preserve"> TOC \o "1-3" \h \z \u </w:instrText>
          </w:r>
          <w:r w:rsidRPr="00CC578B">
            <w:rPr>
              <w:noProof w:val="0"/>
            </w:rPr>
            <w:fldChar w:fldCharType="separate"/>
          </w:r>
          <w:hyperlink w:anchor="_Toc173185039" w:history="1">
            <w:r w:rsidR="00E14CDC" w:rsidRPr="00E14CDC">
              <w:rPr>
                <w:rStyle w:val="Hyperlink"/>
                <w:rFonts w:ascii="Times New Roman" w:hAnsi="Times New Roman"/>
              </w:rPr>
              <w:t>Chapter One INTRODUCTION AND GENERAL INFORMATION</w:t>
            </w:r>
            <w:r w:rsidR="00E14CDC" w:rsidRPr="00E14CDC">
              <w:rPr>
                <w:webHidden/>
              </w:rPr>
              <w:tab/>
            </w:r>
            <w:r w:rsidR="00E14CDC" w:rsidRPr="00E14CDC">
              <w:rPr>
                <w:webHidden/>
              </w:rPr>
              <w:fldChar w:fldCharType="begin"/>
            </w:r>
            <w:r w:rsidR="00E14CDC" w:rsidRPr="00E14CDC">
              <w:rPr>
                <w:webHidden/>
              </w:rPr>
              <w:instrText xml:space="preserve"> PAGEREF _Toc173185039 \h </w:instrText>
            </w:r>
            <w:r w:rsidR="00E14CDC" w:rsidRPr="00E14CDC">
              <w:rPr>
                <w:webHidden/>
              </w:rPr>
            </w:r>
            <w:r w:rsidR="00E14CDC" w:rsidRPr="00E14CDC">
              <w:rPr>
                <w:webHidden/>
              </w:rPr>
              <w:fldChar w:fldCharType="separate"/>
            </w:r>
            <w:r w:rsidR="00E14CDC" w:rsidRPr="00E14CDC">
              <w:rPr>
                <w:webHidden/>
              </w:rPr>
              <w:t>1</w:t>
            </w:r>
            <w:r w:rsidR="00E14CDC" w:rsidRPr="00E14CDC">
              <w:rPr>
                <w:webHidden/>
              </w:rPr>
              <w:fldChar w:fldCharType="end"/>
            </w:r>
          </w:hyperlink>
        </w:p>
        <w:p w14:paraId="6734B85A" w14:textId="4D8CF63E" w:rsidR="00E14CDC" w:rsidRPr="00E14CDC" w:rsidRDefault="00E14CDC">
          <w:pPr>
            <w:pStyle w:val="TOC1"/>
            <w:rPr>
              <w:rFonts w:eastAsiaTheme="minorEastAsia"/>
              <w:caps w:val="0"/>
              <w:kern w:val="2"/>
              <w14:ligatures w14:val="standardContextual"/>
            </w:rPr>
          </w:pPr>
          <w:hyperlink w:anchor="_Toc173185040" w:history="1">
            <w:r w:rsidRPr="00E14CDC">
              <w:rPr>
                <w:rStyle w:val="Hyperlink"/>
                <w:rFonts w:ascii="Times New Roman" w:hAnsi="Times New Roman"/>
              </w:rPr>
              <w:t>Chapter Two LITERATURE REVIEW</w:t>
            </w:r>
            <w:r w:rsidRPr="00E14CDC">
              <w:rPr>
                <w:webHidden/>
              </w:rPr>
              <w:tab/>
            </w:r>
            <w:r w:rsidRPr="00E14CDC">
              <w:rPr>
                <w:webHidden/>
              </w:rPr>
              <w:fldChar w:fldCharType="begin"/>
            </w:r>
            <w:r w:rsidRPr="00E14CDC">
              <w:rPr>
                <w:webHidden/>
              </w:rPr>
              <w:instrText xml:space="preserve"> PAGEREF _Toc173185040 \h </w:instrText>
            </w:r>
            <w:r w:rsidRPr="00E14CDC">
              <w:rPr>
                <w:webHidden/>
              </w:rPr>
            </w:r>
            <w:r w:rsidRPr="00E14CDC">
              <w:rPr>
                <w:webHidden/>
              </w:rPr>
              <w:fldChar w:fldCharType="separate"/>
            </w:r>
            <w:r w:rsidRPr="00E14CDC">
              <w:rPr>
                <w:webHidden/>
              </w:rPr>
              <w:t>7</w:t>
            </w:r>
            <w:r w:rsidRPr="00E14CDC">
              <w:rPr>
                <w:webHidden/>
              </w:rPr>
              <w:fldChar w:fldCharType="end"/>
            </w:r>
          </w:hyperlink>
        </w:p>
        <w:p w14:paraId="6C913DBE" w14:textId="6E5A48AF"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41" w:history="1">
            <w:r w:rsidRPr="00E14CDC">
              <w:rPr>
                <w:rStyle w:val="Hyperlink"/>
                <w:rFonts w:ascii="Times New Roman" w:hAnsi="Times New Roman" w:cs="Times New Roman"/>
                <w:noProof/>
              </w:rPr>
              <w:t>Motor Experiences: Pre-reaching Movements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_Toc173185041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w:t>
            </w:r>
            <w:r w:rsidRPr="00E14CDC">
              <w:rPr>
                <w:rFonts w:ascii="Times New Roman" w:hAnsi="Times New Roman" w:cs="Times New Roman"/>
                <w:noProof/>
                <w:webHidden/>
              </w:rPr>
              <w:fldChar w:fldCharType="end"/>
            </w:r>
          </w:hyperlink>
        </w:p>
        <w:p w14:paraId="1AFA9531" w14:textId="677F1EB4"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42" w:history="1">
            <w:r w:rsidRPr="00E14CDC">
              <w:rPr>
                <w:rStyle w:val="Hyperlink"/>
                <w:rFonts w:ascii="Times New Roman" w:hAnsi="Times New Roman" w:cs="Times New Roman"/>
                <w:noProof/>
              </w:rPr>
              <w:t>Newborn to One Month Old</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_Toc173185042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w:t>
            </w:r>
            <w:r w:rsidRPr="00E14CDC">
              <w:rPr>
                <w:rFonts w:ascii="Times New Roman" w:hAnsi="Times New Roman" w:cs="Times New Roman"/>
                <w:noProof/>
                <w:webHidden/>
              </w:rPr>
              <w:fldChar w:fldCharType="end"/>
            </w:r>
          </w:hyperlink>
        </w:p>
        <w:p w14:paraId="1A3A3353" w14:textId="49C07F7D"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43" w:history="1">
            <w:r w:rsidRPr="00E14CDC">
              <w:rPr>
                <w:rStyle w:val="Hyperlink"/>
                <w:rFonts w:ascii="Times New Roman" w:hAnsi="Times New Roman" w:cs="Times New Roman"/>
                <w:noProof/>
              </w:rPr>
              <w:t>Two to Three Months Old</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_Toc173185043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8</w:t>
            </w:r>
            <w:r w:rsidRPr="00E14CDC">
              <w:rPr>
                <w:rFonts w:ascii="Times New Roman" w:hAnsi="Times New Roman" w:cs="Times New Roman"/>
                <w:noProof/>
                <w:webHidden/>
              </w:rPr>
              <w:fldChar w:fldCharType="end"/>
            </w:r>
          </w:hyperlink>
        </w:p>
        <w:p w14:paraId="45CFA54F" w14:textId="4B158F91"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44" w:history="1">
            <w:r w:rsidRPr="00E14CDC">
              <w:rPr>
                <w:rStyle w:val="Hyperlink"/>
                <w:rFonts w:ascii="Times New Roman" w:hAnsi="Times New Roman" w:cs="Times New Roman"/>
                <w:noProof/>
              </w:rPr>
              <w:t>Four Months Old</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_Toc173185044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9</w:t>
            </w:r>
            <w:r w:rsidRPr="00E14CDC">
              <w:rPr>
                <w:rFonts w:ascii="Times New Roman" w:hAnsi="Times New Roman" w:cs="Times New Roman"/>
                <w:noProof/>
                <w:webHidden/>
              </w:rPr>
              <w:fldChar w:fldCharType="end"/>
            </w:r>
          </w:hyperlink>
        </w:p>
        <w:p w14:paraId="4A059D58" w14:textId="088415FF"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45" w:history="1">
            <w:r w:rsidRPr="00E14CDC">
              <w:rPr>
                <w:rStyle w:val="Hyperlink"/>
                <w:rFonts w:ascii="Times New Roman" w:hAnsi="Times New Roman" w:cs="Times New Roman"/>
                <w:noProof/>
              </w:rPr>
              <w:t>Motor Experiences: Post-reaching Movements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_Toc173185045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11</w:t>
            </w:r>
            <w:r w:rsidRPr="00E14CDC">
              <w:rPr>
                <w:rFonts w:ascii="Times New Roman" w:hAnsi="Times New Roman" w:cs="Times New Roman"/>
                <w:noProof/>
                <w:webHidden/>
              </w:rPr>
              <w:fldChar w:fldCharType="end"/>
            </w:r>
          </w:hyperlink>
        </w:p>
        <w:p w14:paraId="5472040C" w14:textId="574DEAF2"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46" w:history="1">
            <w:r w:rsidRPr="00E14CDC">
              <w:rPr>
                <w:rStyle w:val="Hyperlink"/>
                <w:rFonts w:ascii="Times New Roman" w:hAnsi="Times New Roman" w:cs="Times New Roman"/>
                <w:noProof/>
              </w:rPr>
              <w:t>Five to Six Months Old</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_Toc173185046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11</w:t>
            </w:r>
            <w:r w:rsidRPr="00E14CDC">
              <w:rPr>
                <w:rFonts w:ascii="Times New Roman" w:hAnsi="Times New Roman" w:cs="Times New Roman"/>
                <w:noProof/>
                <w:webHidden/>
              </w:rPr>
              <w:fldChar w:fldCharType="end"/>
            </w:r>
          </w:hyperlink>
        </w:p>
        <w:p w14:paraId="35121A59" w14:textId="5766BBDA"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47" w:history="1">
            <w:r w:rsidRPr="00E14CDC">
              <w:rPr>
                <w:rStyle w:val="Hyperlink"/>
                <w:rFonts w:ascii="Times New Roman" w:hAnsi="Times New Roman" w:cs="Times New Roman"/>
                <w:noProof/>
              </w:rPr>
              <w:t>Seven+ Months Old</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_Toc173185047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13</w:t>
            </w:r>
            <w:r w:rsidRPr="00E14CDC">
              <w:rPr>
                <w:rFonts w:ascii="Times New Roman" w:hAnsi="Times New Roman" w:cs="Times New Roman"/>
                <w:noProof/>
                <w:webHidden/>
              </w:rPr>
              <w:fldChar w:fldCharType="end"/>
            </w:r>
          </w:hyperlink>
        </w:p>
        <w:p w14:paraId="1289A7F2" w14:textId="55F7A2FB"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48" w:history="1">
            <w:r w:rsidRPr="00E14CDC">
              <w:rPr>
                <w:rStyle w:val="Hyperlink"/>
                <w:rFonts w:ascii="Times New Roman" w:hAnsi="Times New Roman" w:cs="Times New Roman"/>
                <w:noProof/>
              </w:rPr>
              <w:t>History of Reaching Studies: Visually Guided</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_Toc173185048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16</w:t>
            </w:r>
            <w:r w:rsidRPr="00E14CDC">
              <w:rPr>
                <w:rFonts w:ascii="Times New Roman" w:hAnsi="Times New Roman" w:cs="Times New Roman"/>
                <w:noProof/>
                <w:webHidden/>
              </w:rPr>
              <w:fldChar w:fldCharType="end"/>
            </w:r>
          </w:hyperlink>
        </w:p>
        <w:p w14:paraId="45FC99B3" w14:textId="4EBC99B3"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49" w:history="1">
            <w:r w:rsidRPr="00E14CDC">
              <w:rPr>
                <w:rStyle w:val="Hyperlink"/>
                <w:rFonts w:ascii="Times New Roman" w:hAnsi="Times New Roman" w:cs="Times New Roman"/>
                <w:noProof/>
              </w:rPr>
              <w:t>Motor Experiences: On individual differences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_Toc173185049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21</w:t>
            </w:r>
            <w:r w:rsidRPr="00E14CDC">
              <w:rPr>
                <w:rFonts w:ascii="Times New Roman" w:hAnsi="Times New Roman" w:cs="Times New Roman"/>
                <w:noProof/>
                <w:webHidden/>
              </w:rPr>
              <w:fldChar w:fldCharType="end"/>
            </w:r>
          </w:hyperlink>
        </w:p>
        <w:p w14:paraId="06A13701" w14:textId="4DAB4AB0"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50" w:history="1">
            <w:r w:rsidRPr="00E14CDC">
              <w:rPr>
                <w:rStyle w:val="Hyperlink"/>
                <w:rFonts w:ascii="Times New Roman" w:hAnsi="Times New Roman" w:cs="Times New Roman"/>
                <w:noProof/>
              </w:rPr>
              <w:t>Gaps in the Literature, Novelty, and Hypotheses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_Toc173185050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24</w:t>
            </w:r>
            <w:r w:rsidRPr="00E14CDC">
              <w:rPr>
                <w:rFonts w:ascii="Times New Roman" w:hAnsi="Times New Roman" w:cs="Times New Roman"/>
                <w:noProof/>
                <w:webHidden/>
              </w:rPr>
              <w:fldChar w:fldCharType="end"/>
            </w:r>
          </w:hyperlink>
        </w:p>
        <w:p w14:paraId="71C7E612" w14:textId="5DB43C95" w:rsidR="00E14CDC" w:rsidRPr="00E14CDC" w:rsidRDefault="00E14CDC">
          <w:pPr>
            <w:pStyle w:val="TOC1"/>
            <w:rPr>
              <w:rFonts w:eastAsiaTheme="minorEastAsia"/>
              <w:caps w:val="0"/>
              <w:kern w:val="2"/>
              <w14:ligatures w14:val="standardContextual"/>
            </w:rPr>
          </w:pPr>
          <w:hyperlink w:anchor="_Toc173185051" w:history="1">
            <w:r w:rsidRPr="00E14CDC">
              <w:rPr>
                <w:rStyle w:val="Hyperlink"/>
                <w:rFonts w:ascii="Times New Roman" w:hAnsi="Times New Roman"/>
              </w:rPr>
              <w:t>Chapter Three MATERIALS AND METHODS</w:t>
            </w:r>
            <w:r w:rsidRPr="00E14CDC">
              <w:rPr>
                <w:webHidden/>
              </w:rPr>
              <w:tab/>
            </w:r>
            <w:r w:rsidRPr="00E14CDC">
              <w:rPr>
                <w:webHidden/>
              </w:rPr>
              <w:fldChar w:fldCharType="begin"/>
            </w:r>
            <w:r w:rsidRPr="00E14CDC">
              <w:rPr>
                <w:webHidden/>
              </w:rPr>
              <w:instrText xml:space="preserve"> PAGEREF _Toc173185051 \h </w:instrText>
            </w:r>
            <w:r w:rsidRPr="00E14CDC">
              <w:rPr>
                <w:webHidden/>
              </w:rPr>
            </w:r>
            <w:r w:rsidRPr="00E14CDC">
              <w:rPr>
                <w:webHidden/>
              </w:rPr>
              <w:fldChar w:fldCharType="separate"/>
            </w:r>
            <w:r w:rsidRPr="00E14CDC">
              <w:rPr>
                <w:webHidden/>
              </w:rPr>
              <w:t>27</w:t>
            </w:r>
            <w:r w:rsidRPr="00E14CDC">
              <w:rPr>
                <w:webHidden/>
              </w:rPr>
              <w:fldChar w:fldCharType="end"/>
            </w:r>
          </w:hyperlink>
        </w:p>
        <w:p w14:paraId="1CD23009" w14:textId="7C05DA98" w:rsidR="00E14CDC" w:rsidRPr="00E14CDC" w:rsidRDefault="00E14CDC">
          <w:pPr>
            <w:pStyle w:val="TOC2"/>
            <w:tabs>
              <w:tab w:val="right" w:leader="dot" w:pos="8630"/>
            </w:tabs>
            <w:rPr>
              <w:rFonts w:ascii="Times New Roman" w:eastAsiaTheme="minorEastAsia" w:hAnsi="Times New Roman" w:cs="Times New Roman"/>
              <w:noProof/>
              <w:kern w:val="2"/>
              <w14:ligatures w14:val="standardContextual"/>
            </w:rPr>
          </w:pPr>
          <w:hyperlink w:anchor="_Toc173185052" w:history="1">
            <w:r w:rsidRPr="00E14CDC">
              <w:rPr>
                <w:rStyle w:val="Hyperlink"/>
                <w:rFonts w:ascii="Times New Roman" w:hAnsi="Times New Roman" w:cs="Times New Roman"/>
                <w:noProof/>
              </w:rPr>
              <w:t>Participants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_Toc173185052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27</w:t>
            </w:r>
            <w:r w:rsidRPr="00E14CDC">
              <w:rPr>
                <w:rFonts w:ascii="Times New Roman" w:hAnsi="Times New Roman" w:cs="Times New Roman"/>
                <w:noProof/>
                <w:webHidden/>
              </w:rPr>
              <w:fldChar w:fldCharType="end"/>
            </w:r>
          </w:hyperlink>
        </w:p>
        <w:p w14:paraId="46898789" w14:textId="7FBAF39F" w:rsidR="00E14CDC" w:rsidRPr="00E14CDC" w:rsidRDefault="00E14CDC">
          <w:pPr>
            <w:pStyle w:val="TOC2"/>
            <w:tabs>
              <w:tab w:val="right" w:leader="dot" w:pos="8630"/>
            </w:tabs>
            <w:rPr>
              <w:rFonts w:ascii="Times New Roman" w:eastAsiaTheme="minorEastAsia" w:hAnsi="Times New Roman" w:cs="Times New Roman"/>
              <w:noProof/>
              <w:kern w:val="2"/>
              <w14:ligatures w14:val="standardContextual"/>
            </w:rPr>
          </w:pPr>
          <w:hyperlink w:anchor="_Toc173185053" w:history="1">
            <w:r w:rsidRPr="00E14CDC">
              <w:rPr>
                <w:rStyle w:val="Hyperlink"/>
                <w:rFonts w:ascii="Times New Roman" w:hAnsi="Times New Roman" w:cs="Times New Roman"/>
                <w:iCs/>
                <w:noProof/>
              </w:rPr>
              <w:t>Apparatus and Stimuli</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_Toc173185053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28</w:t>
            </w:r>
            <w:r w:rsidRPr="00E14CDC">
              <w:rPr>
                <w:rFonts w:ascii="Times New Roman" w:hAnsi="Times New Roman" w:cs="Times New Roman"/>
                <w:noProof/>
                <w:webHidden/>
              </w:rPr>
              <w:fldChar w:fldCharType="end"/>
            </w:r>
          </w:hyperlink>
        </w:p>
        <w:p w14:paraId="25216A70" w14:textId="3842FF63"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54" w:history="1">
            <w:r w:rsidRPr="00E14CDC">
              <w:rPr>
                <w:rStyle w:val="Hyperlink"/>
                <w:rFonts w:ascii="Times New Roman" w:hAnsi="Times New Roman" w:cs="Times New Roman"/>
                <w:i/>
                <w:noProof/>
              </w:rPr>
              <w:t>Apparatus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_Toc173185054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28</w:t>
            </w:r>
            <w:r w:rsidRPr="00E14CDC">
              <w:rPr>
                <w:rFonts w:ascii="Times New Roman" w:hAnsi="Times New Roman" w:cs="Times New Roman"/>
                <w:noProof/>
                <w:webHidden/>
              </w:rPr>
              <w:fldChar w:fldCharType="end"/>
            </w:r>
          </w:hyperlink>
        </w:p>
        <w:p w14:paraId="0DFD1219" w14:textId="737A5C52"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55" w:history="1">
            <w:r w:rsidRPr="00E14CDC">
              <w:rPr>
                <w:rStyle w:val="Hyperlink"/>
                <w:rFonts w:ascii="Times New Roman" w:hAnsi="Times New Roman" w:cs="Times New Roman"/>
                <w:i/>
                <w:noProof/>
              </w:rPr>
              <w:t>Stimuli</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_Toc173185055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30</w:t>
            </w:r>
            <w:r w:rsidRPr="00E14CDC">
              <w:rPr>
                <w:rFonts w:ascii="Times New Roman" w:hAnsi="Times New Roman" w:cs="Times New Roman"/>
                <w:noProof/>
                <w:webHidden/>
              </w:rPr>
              <w:fldChar w:fldCharType="end"/>
            </w:r>
          </w:hyperlink>
        </w:p>
        <w:p w14:paraId="40AC0087" w14:textId="6331677B" w:rsidR="00E14CDC" w:rsidRPr="00E14CDC" w:rsidRDefault="00E14CDC">
          <w:pPr>
            <w:pStyle w:val="TOC2"/>
            <w:tabs>
              <w:tab w:val="right" w:leader="dot" w:pos="8630"/>
            </w:tabs>
            <w:rPr>
              <w:rFonts w:ascii="Times New Roman" w:eastAsiaTheme="minorEastAsia" w:hAnsi="Times New Roman" w:cs="Times New Roman"/>
              <w:noProof/>
              <w:kern w:val="2"/>
              <w14:ligatures w14:val="standardContextual"/>
            </w:rPr>
          </w:pPr>
          <w:hyperlink w:anchor="_Toc173185056" w:history="1">
            <w:r w:rsidRPr="00E14CDC">
              <w:rPr>
                <w:rStyle w:val="Hyperlink"/>
                <w:rFonts w:ascii="Times New Roman" w:hAnsi="Times New Roman" w:cs="Times New Roman"/>
                <w:iCs/>
                <w:noProof/>
              </w:rPr>
              <w:t>Procedure</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_Toc173185056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30</w:t>
            </w:r>
            <w:r w:rsidRPr="00E14CDC">
              <w:rPr>
                <w:rFonts w:ascii="Times New Roman" w:hAnsi="Times New Roman" w:cs="Times New Roman"/>
                <w:noProof/>
                <w:webHidden/>
              </w:rPr>
              <w:fldChar w:fldCharType="end"/>
            </w:r>
          </w:hyperlink>
        </w:p>
        <w:p w14:paraId="219D24C5" w14:textId="54B7F3A2" w:rsidR="00E14CDC" w:rsidRPr="00E14CDC" w:rsidRDefault="00E14CDC">
          <w:pPr>
            <w:pStyle w:val="TOC2"/>
            <w:tabs>
              <w:tab w:val="right" w:leader="dot" w:pos="8630"/>
            </w:tabs>
            <w:rPr>
              <w:rFonts w:ascii="Times New Roman" w:eastAsiaTheme="minorEastAsia" w:hAnsi="Times New Roman" w:cs="Times New Roman"/>
              <w:noProof/>
              <w:kern w:val="2"/>
              <w14:ligatures w14:val="standardContextual"/>
            </w:rPr>
          </w:pPr>
          <w:hyperlink w:anchor="_Toc173185057" w:history="1">
            <w:r w:rsidRPr="00E14CDC">
              <w:rPr>
                <w:rStyle w:val="Hyperlink"/>
                <w:rFonts w:ascii="Times New Roman" w:hAnsi="Times New Roman" w:cs="Times New Roman"/>
                <w:iCs/>
                <w:noProof/>
              </w:rPr>
              <w:t>Coding and Analyses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_Toc173185057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32</w:t>
            </w:r>
            <w:r w:rsidRPr="00E14CDC">
              <w:rPr>
                <w:rFonts w:ascii="Times New Roman" w:hAnsi="Times New Roman" w:cs="Times New Roman"/>
                <w:noProof/>
                <w:webHidden/>
              </w:rPr>
              <w:fldChar w:fldCharType="end"/>
            </w:r>
          </w:hyperlink>
        </w:p>
        <w:p w14:paraId="2498585C" w14:textId="5788FD74"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58" w:history="1">
            <w:r w:rsidRPr="00E14CDC">
              <w:rPr>
                <w:rStyle w:val="Hyperlink"/>
                <w:rFonts w:ascii="Times New Roman" w:hAnsi="Times New Roman" w:cs="Times New Roman"/>
                <w:i/>
                <w:noProof/>
              </w:rPr>
              <w:t>Behavioral coding</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_Toc173185058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32</w:t>
            </w:r>
            <w:r w:rsidRPr="00E14CDC">
              <w:rPr>
                <w:rFonts w:ascii="Times New Roman" w:hAnsi="Times New Roman" w:cs="Times New Roman"/>
                <w:noProof/>
                <w:webHidden/>
              </w:rPr>
              <w:fldChar w:fldCharType="end"/>
            </w:r>
          </w:hyperlink>
        </w:p>
        <w:p w14:paraId="03827D25" w14:textId="11434FF5"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59" w:history="1">
            <w:r w:rsidRPr="00E14CDC">
              <w:rPr>
                <w:rStyle w:val="Hyperlink"/>
                <w:rFonts w:ascii="Times New Roman" w:hAnsi="Times New Roman" w:cs="Times New Roman"/>
                <w:i/>
                <w:noProof/>
              </w:rPr>
              <w:t>Kinematic coding</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_Toc173185059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34</w:t>
            </w:r>
            <w:r w:rsidRPr="00E14CDC">
              <w:rPr>
                <w:rFonts w:ascii="Times New Roman" w:hAnsi="Times New Roman" w:cs="Times New Roman"/>
                <w:noProof/>
                <w:webHidden/>
              </w:rPr>
              <w:fldChar w:fldCharType="end"/>
            </w:r>
          </w:hyperlink>
        </w:p>
        <w:p w14:paraId="40079F00" w14:textId="43A2B36A" w:rsidR="00E14CDC" w:rsidRPr="00E14CDC" w:rsidRDefault="00E14CDC">
          <w:pPr>
            <w:pStyle w:val="TOC1"/>
            <w:rPr>
              <w:rFonts w:eastAsiaTheme="minorEastAsia"/>
              <w:caps w:val="0"/>
              <w:kern w:val="2"/>
              <w14:ligatures w14:val="standardContextual"/>
            </w:rPr>
          </w:pPr>
          <w:hyperlink w:anchor="_Toc173185060" w:history="1">
            <w:r w:rsidRPr="00E14CDC">
              <w:rPr>
                <w:rStyle w:val="Hyperlink"/>
                <w:rFonts w:ascii="Times New Roman" w:hAnsi="Times New Roman"/>
              </w:rPr>
              <w:t>Chapter Four Results and Discussion</w:t>
            </w:r>
            <w:r w:rsidRPr="00E14CDC">
              <w:rPr>
                <w:webHidden/>
              </w:rPr>
              <w:tab/>
            </w:r>
            <w:r w:rsidRPr="00E14CDC">
              <w:rPr>
                <w:webHidden/>
              </w:rPr>
              <w:fldChar w:fldCharType="begin"/>
            </w:r>
            <w:r w:rsidRPr="00E14CDC">
              <w:rPr>
                <w:webHidden/>
              </w:rPr>
              <w:instrText xml:space="preserve"> PAGEREF _Toc173185060 \h </w:instrText>
            </w:r>
            <w:r w:rsidRPr="00E14CDC">
              <w:rPr>
                <w:webHidden/>
              </w:rPr>
            </w:r>
            <w:r w:rsidRPr="00E14CDC">
              <w:rPr>
                <w:webHidden/>
              </w:rPr>
              <w:fldChar w:fldCharType="separate"/>
            </w:r>
            <w:r w:rsidRPr="00E14CDC">
              <w:rPr>
                <w:webHidden/>
              </w:rPr>
              <w:t>36</w:t>
            </w:r>
            <w:r w:rsidRPr="00E14CDC">
              <w:rPr>
                <w:webHidden/>
              </w:rPr>
              <w:fldChar w:fldCharType="end"/>
            </w:r>
          </w:hyperlink>
        </w:p>
        <w:p w14:paraId="7F6BA36E" w14:textId="36B52777" w:rsidR="00E14CDC" w:rsidRPr="00E14CDC" w:rsidRDefault="00E14CDC">
          <w:pPr>
            <w:pStyle w:val="TOC2"/>
            <w:tabs>
              <w:tab w:val="right" w:leader="dot" w:pos="8630"/>
            </w:tabs>
            <w:rPr>
              <w:rFonts w:ascii="Times New Roman" w:eastAsiaTheme="minorEastAsia" w:hAnsi="Times New Roman" w:cs="Times New Roman"/>
              <w:noProof/>
              <w:kern w:val="2"/>
              <w14:ligatures w14:val="standardContextual"/>
            </w:rPr>
          </w:pPr>
          <w:hyperlink w:anchor="_Toc173185061" w:history="1">
            <w:r w:rsidRPr="00E14CDC">
              <w:rPr>
                <w:rStyle w:val="Hyperlink"/>
                <w:rFonts w:ascii="Times New Roman" w:hAnsi="Times New Roman" w:cs="Times New Roman"/>
                <w:iCs/>
                <w:noProof/>
              </w:rPr>
              <w:t>Movement events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_Toc173185061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37</w:t>
            </w:r>
            <w:r w:rsidRPr="00E14CDC">
              <w:rPr>
                <w:rFonts w:ascii="Times New Roman" w:hAnsi="Times New Roman" w:cs="Times New Roman"/>
                <w:noProof/>
                <w:webHidden/>
              </w:rPr>
              <w:fldChar w:fldCharType="end"/>
            </w:r>
          </w:hyperlink>
        </w:p>
        <w:p w14:paraId="5F69AA65" w14:textId="7E18836E"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62" w:history="1">
            <w:r w:rsidRPr="00E14CDC">
              <w:rPr>
                <w:rStyle w:val="Hyperlink"/>
                <w:rFonts w:ascii="Times New Roman" w:hAnsi="Times New Roman" w:cs="Times New Roman"/>
                <w:i/>
                <w:noProof/>
              </w:rPr>
              <w:t>Frequency</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_Toc173185062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37</w:t>
            </w:r>
            <w:r w:rsidRPr="00E14CDC">
              <w:rPr>
                <w:rFonts w:ascii="Times New Roman" w:hAnsi="Times New Roman" w:cs="Times New Roman"/>
                <w:noProof/>
                <w:webHidden/>
              </w:rPr>
              <w:fldChar w:fldCharType="end"/>
            </w:r>
          </w:hyperlink>
        </w:p>
        <w:p w14:paraId="73BAD335" w14:textId="54161BFE"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63" w:history="1">
            <w:r w:rsidRPr="00E14CDC">
              <w:rPr>
                <w:rStyle w:val="Hyperlink"/>
                <w:rFonts w:ascii="Times New Roman" w:hAnsi="Times New Roman" w:cs="Times New Roman"/>
                <w:i/>
                <w:noProof/>
              </w:rPr>
              <w:t>Rate</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_Toc173185063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40</w:t>
            </w:r>
            <w:r w:rsidRPr="00E14CDC">
              <w:rPr>
                <w:rFonts w:ascii="Times New Roman" w:hAnsi="Times New Roman" w:cs="Times New Roman"/>
                <w:noProof/>
                <w:webHidden/>
              </w:rPr>
              <w:fldChar w:fldCharType="end"/>
            </w:r>
          </w:hyperlink>
        </w:p>
        <w:p w14:paraId="61459562" w14:textId="5F92B64F"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64" w:history="1">
            <w:r w:rsidRPr="00E14CDC">
              <w:rPr>
                <w:rStyle w:val="Hyperlink"/>
                <w:rFonts w:ascii="Times New Roman" w:hAnsi="Times New Roman" w:cs="Times New Roman"/>
                <w:i/>
                <w:noProof/>
              </w:rPr>
              <w:t>Summed Duration</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_Toc173185064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43</w:t>
            </w:r>
            <w:r w:rsidRPr="00E14CDC">
              <w:rPr>
                <w:rFonts w:ascii="Times New Roman" w:hAnsi="Times New Roman" w:cs="Times New Roman"/>
                <w:noProof/>
                <w:webHidden/>
              </w:rPr>
              <w:fldChar w:fldCharType="end"/>
            </w:r>
          </w:hyperlink>
        </w:p>
        <w:p w14:paraId="4580B7A1" w14:textId="5317F776"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65" w:history="1">
            <w:r w:rsidRPr="00E14CDC">
              <w:rPr>
                <w:rStyle w:val="Hyperlink"/>
                <w:rFonts w:ascii="Times New Roman" w:hAnsi="Times New Roman" w:cs="Times New Roman"/>
                <w:i/>
                <w:noProof/>
              </w:rPr>
              <w:t>Average Duration</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_Toc173185065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46</w:t>
            </w:r>
            <w:r w:rsidRPr="00E14CDC">
              <w:rPr>
                <w:rFonts w:ascii="Times New Roman" w:hAnsi="Times New Roman" w:cs="Times New Roman"/>
                <w:noProof/>
                <w:webHidden/>
              </w:rPr>
              <w:fldChar w:fldCharType="end"/>
            </w:r>
          </w:hyperlink>
        </w:p>
        <w:p w14:paraId="76116BF5" w14:textId="4839111F"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66" w:history="1">
            <w:r w:rsidRPr="00E14CDC">
              <w:rPr>
                <w:rStyle w:val="Hyperlink"/>
                <w:rFonts w:ascii="Times New Roman" w:hAnsi="Times New Roman" w:cs="Times New Roman"/>
                <w:i/>
                <w:noProof/>
              </w:rPr>
              <w:t>Reaching Proportions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_Toc173185066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49</w:t>
            </w:r>
            <w:r w:rsidRPr="00E14CDC">
              <w:rPr>
                <w:rFonts w:ascii="Times New Roman" w:hAnsi="Times New Roman" w:cs="Times New Roman"/>
                <w:noProof/>
                <w:webHidden/>
              </w:rPr>
              <w:fldChar w:fldCharType="end"/>
            </w:r>
          </w:hyperlink>
        </w:p>
        <w:p w14:paraId="1567995B" w14:textId="3DF6D4DC"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67" w:history="1">
            <w:r w:rsidRPr="00E14CDC">
              <w:rPr>
                <w:rStyle w:val="Hyperlink"/>
                <w:rFonts w:ascii="Times New Roman" w:hAnsi="Times New Roman" w:cs="Times New Roman"/>
                <w:i/>
                <w:noProof/>
              </w:rPr>
              <w:t>Latency to Reach</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_Toc173185067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50</w:t>
            </w:r>
            <w:r w:rsidRPr="00E14CDC">
              <w:rPr>
                <w:rFonts w:ascii="Times New Roman" w:hAnsi="Times New Roman" w:cs="Times New Roman"/>
                <w:noProof/>
                <w:webHidden/>
              </w:rPr>
              <w:fldChar w:fldCharType="end"/>
            </w:r>
          </w:hyperlink>
        </w:p>
        <w:p w14:paraId="4272FB92" w14:textId="647398D2" w:rsidR="00E14CDC" w:rsidRPr="00E14CDC" w:rsidRDefault="00E14CDC">
          <w:pPr>
            <w:pStyle w:val="TOC2"/>
            <w:tabs>
              <w:tab w:val="right" w:leader="dot" w:pos="8630"/>
            </w:tabs>
            <w:rPr>
              <w:rFonts w:ascii="Times New Roman" w:eastAsiaTheme="minorEastAsia" w:hAnsi="Times New Roman" w:cs="Times New Roman"/>
              <w:noProof/>
              <w:kern w:val="2"/>
              <w14:ligatures w14:val="standardContextual"/>
            </w:rPr>
          </w:pPr>
          <w:hyperlink w:anchor="_Toc173185068" w:history="1">
            <w:r w:rsidRPr="00E14CDC">
              <w:rPr>
                <w:rStyle w:val="Hyperlink"/>
                <w:rFonts w:ascii="Times New Roman" w:hAnsi="Times New Roman" w:cs="Times New Roman"/>
                <w:iCs/>
                <w:noProof/>
              </w:rPr>
              <w:t>Kinematics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_Toc173185068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50</w:t>
            </w:r>
            <w:r w:rsidRPr="00E14CDC">
              <w:rPr>
                <w:rFonts w:ascii="Times New Roman" w:hAnsi="Times New Roman" w:cs="Times New Roman"/>
                <w:noProof/>
                <w:webHidden/>
              </w:rPr>
              <w:fldChar w:fldCharType="end"/>
            </w:r>
          </w:hyperlink>
        </w:p>
        <w:p w14:paraId="5029DCC4" w14:textId="255442F7"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69" w:history="1">
            <w:r w:rsidRPr="00E14CDC">
              <w:rPr>
                <w:rStyle w:val="Hyperlink"/>
                <w:rFonts w:ascii="Times New Roman" w:hAnsi="Times New Roman" w:cs="Times New Roman"/>
                <w:i/>
                <w:noProof/>
              </w:rPr>
              <w:t>Mean Movement Velocity</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_Toc173185069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50</w:t>
            </w:r>
            <w:r w:rsidRPr="00E14CDC">
              <w:rPr>
                <w:rFonts w:ascii="Times New Roman" w:hAnsi="Times New Roman" w:cs="Times New Roman"/>
                <w:noProof/>
                <w:webHidden/>
              </w:rPr>
              <w:fldChar w:fldCharType="end"/>
            </w:r>
          </w:hyperlink>
        </w:p>
        <w:p w14:paraId="7107250A" w14:textId="2A996552"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70" w:history="1">
            <w:r w:rsidRPr="00E14CDC">
              <w:rPr>
                <w:rStyle w:val="Hyperlink"/>
                <w:rFonts w:ascii="Times New Roman" w:hAnsi="Times New Roman" w:cs="Times New Roman"/>
                <w:i/>
                <w:noProof/>
              </w:rPr>
              <w:t>Movement Units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_Toc173185070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51</w:t>
            </w:r>
            <w:r w:rsidRPr="00E14CDC">
              <w:rPr>
                <w:rFonts w:ascii="Times New Roman" w:hAnsi="Times New Roman" w:cs="Times New Roman"/>
                <w:noProof/>
                <w:webHidden/>
              </w:rPr>
              <w:fldChar w:fldCharType="end"/>
            </w:r>
          </w:hyperlink>
        </w:p>
        <w:p w14:paraId="3A24E8AB" w14:textId="47C03F49" w:rsidR="00E14CDC" w:rsidRPr="00E14CDC" w:rsidRDefault="00E14CDC">
          <w:pPr>
            <w:pStyle w:val="TOC2"/>
            <w:tabs>
              <w:tab w:val="right" w:leader="dot" w:pos="8630"/>
            </w:tabs>
            <w:rPr>
              <w:rFonts w:ascii="Times New Roman" w:eastAsiaTheme="minorEastAsia" w:hAnsi="Times New Roman" w:cs="Times New Roman"/>
              <w:noProof/>
              <w:kern w:val="2"/>
              <w14:ligatures w14:val="standardContextual"/>
            </w:rPr>
          </w:pPr>
          <w:hyperlink w:anchor="_Toc173185071" w:history="1">
            <w:r w:rsidRPr="00E14CDC">
              <w:rPr>
                <w:rStyle w:val="Hyperlink"/>
                <w:rFonts w:ascii="Times New Roman" w:hAnsi="Times New Roman" w:cs="Times New Roman"/>
                <w:iCs/>
                <w:noProof/>
              </w:rPr>
              <w:t>Discussion</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_Toc173185071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52</w:t>
            </w:r>
            <w:r w:rsidRPr="00E14CDC">
              <w:rPr>
                <w:rFonts w:ascii="Times New Roman" w:hAnsi="Times New Roman" w:cs="Times New Roman"/>
                <w:noProof/>
                <w:webHidden/>
              </w:rPr>
              <w:fldChar w:fldCharType="end"/>
            </w:r>
          </w:hyperlink>
        </w:p>
        <w:p w14:paraId="34FEC1A9" w14:textId="38790824" w:rsidR="00E14CDC" w:rsidRPr="00E14CDC" w:rsidRDefault="00E14CDC">
          <w:pPr>
            <w:pStyle w:val="TOC1"/>
            <w:rPr>
              <w:rFonts w:eastAsiaTheme="minorEastAsia"/>
              <w:caps w:val="0"/>
              <w:kern w:val="2"/>
              <w14:ligatures w14:val="standardContextual"/>
            </w:rPr>
          </w:pPr>
          <w:hyperlink w:anchor="_Toc173185072" w:history="1">
            <w:r w:rsidRPr="00E14CDC">
              <w:rPr>
                <w:rStyle w:val="Hyperlink"/>
                <w:rFonts w:ascii="Times New Roman" w:hAnsi="Times New Roman"/>
              </w:rPr>
              <w:t>Chapter Five Results and Discussion: REACHing GROUPs</w:t>
            </w:r>
            <w:r w:rsidRPr="00E14CDC">
              <w:rPr>
                <w:webHidden/>
              </w:rPr>
              <w:tab/>
            </w:r>
            <w:r w:rsidRPr="00E14CDC">
              <w:rPr>
                <w:webHidden/>
              </w:rPr>
              <w:fldChar w:fldCharType="begin"/>
            </w:r>
            <w:r w:rsidRPr="00E14CDC">
              <w:rPr>
                <w:webHidden/>
              </w:rPr>
              <w:instrText xml:space="preserve"> PAGEREF _Toc173185072 \h </w:instrText>
            </w:r>
            <w:r w:rsidRPr="00E14CDC">
              <w:rPr>
                <w:webHidden/>
              </w:rPr>
            </w:r>
            <w:r w:rsidRPr="00E14CDC">
              <w:rPr>
                <w:webHidden/>
              </w:rPr>
              <w:fldChar w:fldCharType="separate"/>
            </w:r>
            <w:r w:rsidRPr="00E14CDC">
              <w:rPr>
                <w:webHidden/>
              </w:rPr>
              <w:t>56</w:t>
            </w:r>
            <w:r w:rsidRPr="00E14CDC">
              <w:rPr>
                <w:webHidden/>
              </w:rPr>
              <w:fldChar w:fldCharType="end"/>
            </w:r>
          </w:hyperlink>
        </w:p>
        <w:p w14:paraId="2C584C8F" w14:textId="58ACB77E" w:rsidR="00E14CDC" w:rsidRPr="00E14CDC" w:rsidRDefault="00E14CDC">
          <w:pPr>
            <w:pStyle w:val="TOC2"/>
            <w:tabs>
              <w:tab w:val="right" w:leader="dot" w:pos="8630"/>
            </w:tabs>
            <w:rPr>
              <w:rFonts w:ascii="Times New Roman" w:eastAsiaTheme="minorEastAsia" w:hAnsi="Times New Roman" w:cs="Times New Roman"/>
              <w:noProof/>
              <w:kern w:val="2"/>
              <w14:ligatures w14:val="standardContextual"/>
            </w:rPr>
          </w:pPr>
          <w:hyperlink w:anchor="_Toc173185073" w:history="1">
            <w:r w:rsidRPr="00E14CDC">
              <w:rPr>
                <w:rStyle w:val="Hyperlink"/>
                <w:rFonts w:ascii="Times New Roman" w:hAnsi="Times New Roman" w:cs="Times New Roman"/>
                <w:iCs/>
                <w:noProof/>
              </w:rPr>
              <w:t>Movement events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_Toc173185073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56</w:t>
            </w:r>
            <w:r w:rsidRPr="00E14CDC">
              <w:rPr>
                <w:rFonts w:ascii="Times New Roman" w:hAnsi="Times New Roman" w:cs="Times New Roman"/>
                <w:noProof/>
                <w:webHidden/>
              </w:rPr>
              <w:fldChar w:fldCharType="end"/>
            </w:r>
          </w:hyperlink>
        </w:p>
        <w:p w14:paraId="527DCD75" w14:textId="628993CB"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74" w:history="1">
            <w:r w:rsidRPr="00E14CDC">
              <w:rPr>
                <w:rStyle w:val="Hyperlink"/>
                <w:rFonts w:ascii="Times New Roman" w:hAnsi="Times New Roman" w:cs="Times New Roman"/>
                <w:i/>
                <w:noProof/>
              </w:rPr>
              <w:t>Frequency</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_Toc173185074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57</w:t>
            </w:r>
            <w:r w:rsidRPr="00E14CDC">
              <w:rPr>
                <w:rFonts w:ascii="Times New Roman" w:hAnsi="Times New Roman" w:cs="Times New Roman"/>
                <w:noProof/>
                <w:webHidden/>
              </w:rPr>
              <w:fldChar w:fldCharType="end"/>
            </w:r>
          </w:hyperlink>
        </w:p>
        <w:p w14:paraId="3F3FF498" w14:textId="4D28CDC3"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75" w:history="1">
            <w:r w:rsidRPr="00E14CDC">
              <w:rPr>
                <w:rStyle w:val="Hyperlink"/>
                <w:rFonts w:ascii="Times New Roman" w:hAnsi="Times New Roman" w:cs="Times New Roman"/>
                <w:i/>
                <w:noProof/>
              </w:rPr>
              <w:t>Rate</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_Toc173185075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61</w:t>
            </w:r>
            <w:r w:rsidRPr="00E14CDC">
              <w:rPr>
                <w:rFonts w:ascii="Times New Roman" w:hAnsi="Times New Roman" w:cs="Times New Roman"/>
                <w:noProof/>
                <w:webHidden/>
              </w:rPr>
              <w:fldChar w:fldCharType="end"/>
            </w:r>
          </w:hyperlink>
        </w:p>
        <w:p w14:paraId="13974510" w14:textId="77A4CF00"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76" w:history="1">
            <w:r w:rsidRPr="00E14CDC">
              <w:rPr>
                <w:rStyle w:val="Hyperlink"/>
                <w:rFonts w:ascii="Times New Roman" w:hAnsi="Times New Roman" w:cs="Times New Roman"/>
                <w:i/>
                <w:noProof/>
              </w:rPr>
              <w:t>Summed Duration</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_Toc173185076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65</w:t>
            </w:r>
            <w:r w:rsidRPr="00E14CDC">
              <w:rPr>
                <w:rFonts w:ascii="Times New Roman" w:hAnsi="Times New Roman" w:cs="Times New Roman"/>
                <w:noProof/>
                <w:webHidden/>
              </w:rPr>
              <w:fldChar w:fldCharType="end"/>
            </w:r>
          </w:hyperlink>
        </w:p>
        <w:p w14:paraId="2D41221F" w14:textId="6CE25225"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77" w:history="1">
            <w:r w:rsidRPr="00E14CDC">
              <w:rPr>
                <w:rStyle w:val="Hyperlink"/>
                <w:rFonts w:ascii="Times New Roman" w:hAnsi="Times New Roman" w:cs="Times New Roman"/>
                <w:i/>
                <w:noProof/>
              </w:rPr>
              <w:t>Average Duration</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_Toc173185077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69</w:t>
            </w:r>
            <w:r w:rsidRPr="00E14CDC">
              <w:rPr>
                <w:rFonts w:ascii="Times New Roman" w:hAnsi="Times New Roman" w:cs="Times New Roman"/>
                <w:noProof/>
                <w:webHidden/>
              </w:rPr>
              <w:fldChar w:fldCharType="end"/>
            </w:r>
          </w:hyperlink>
        </w:p>
        <w:p w14:paraId="36C6D8A7" w14:textId="71EAD27F"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78" w:history="1">
            <w:r w:rsidRPr="00E14CDC">
              <w:rPr>
                <w:rStyle w:val="Hyperlink"/>
                <w:rFonts w:ascii="Times New Roman" w:hAnsi="Times New Roman" w:cs="Times New Roman"/>
                <w:i/>
                <w:noProof/>
              </w:rPr>
              <w:t>Reaching Proportions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_Toc173185078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73</w:t>
            </w:r>
            <w:r w:rsidRPr="00E14CDC">
              <w:rPr>
                <w:rFonts w:ascii="Times New Roman" w:hAnsi="Times New Roman" w:cs="Times New Roman"/>
                <w:noProof/>
                <w:webHidden/>
              </w:rPr>
              <w:fldChar w:fldCharType="end"/>
            </w:r>
          </w:hyperlink>
        </w:p>
        <w:p w14:paraId="05724CE6" w14:textId="5667401C"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79" w:history="1">
            <w:r w:rsidRPr="00E14CDC">
              <w:rPr>
                <w:rStyle w:val="Hyperlink"/>
                <w:rFonts w:ascii="Times New Roman" w:hAnsi="Times New Roman" w:cs="Times New Roman"/>
                <w:i/>
                <w:noProof/>
              </w:rPr>
              <w:t>Latency to Reach</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_Toc173185079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74</w:t>
            </w:r>
            <w:r w:rsidRPr="00E14CDC">
              <w:rPr>
                <w:rFonts w:ascii="Times New Roman" w:hAnsi="Times New Roman" w:cs="Times New Roman"/>
                <w:noProof/>
                <w:webHidden/>
              </w:rPr>
              <w:fldChar w:fldCharType="end"/>
            </w:r>
          </w:hyperlink>
        </w:p>
        <w:p w14:paraId="0CFCB8F3" w14:textId="48B4DF86" w:rsidR="00E14CDC" w:rsidRPr="00E14CDC" w:rsidRDefault="00E14CDC">
          <w:pPr>
            <w:pStyle w:val="TOC2"/>
            <w:tabs>
              <w:tab w:val="right" w:leader="dot" w:pos="8630"/>
            </w:tabs>
            <w:rPr>
              <w:rFonts w:ascii="Times New Roman" w:eastAsiaTheme="minorEastAsia" w:hAnsi="Times New Roman" w:cs="Times New Roman"/>
              <w:noProof/>
              <w:kern w:val="2"/>
              <w14:ligatures w14:val="standardContextual"/>
            </w:rPr>
          </w:pPr>
          <w:hyperlink w:anchor="_Toc173185080" w:history="1">
            <w:r w:rsidRPr="00E14CDC">
              <w:rPr>
                <w:rStyle w:val="Hyperlink"/>
                <w:rFonts w:ascii="Times New Roman" w:hAnsi="Times New Roman" w:cs="Times New Roman"/>
                <w:iCs/>
                <w:noProof/>
              </w:rPr>
              <w:t>Kinematics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_Toc173185080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74</w:t>
            </w:r>
            <w:r w:rsidRPr="00E14CDC">
              <w:rPr>
                <w:rFonts w:ascii="Times New Roman" w:hAnsi="Times New Roman" w:cs="Times New Roman"/>
                <w:noProof/>
                <w:webHidden/>
              </w:rPr>
              <w:fldChar w:fldCharType="end"/>
            </w:r>
          </w:hyperlink>
        </w:p>
        <w:p w14:paraId="564FE7E4" w14:textId="0F7E0CAA"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81" w:history="1">
            <w:r w:rsidRPr="00E14CDC">
              <w:rPr>
                <w:rStyle w:val="Hyperlink"/>
                <w:rFonts w:ascii="Times New Roman" w:hAnsi="Times New Roman" w:cs="Times New Roman"/>
                <w:i/>
                <w:noProof/>
              </w:rPr>
              <w:t>Mean Movement Velocity</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_Toc173185081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74</w:t>
            </w:r>
            <w:r w:rsidRPr="00E14CDC">
              <w:rPr>
                <w:rFonts w:ascii="Times New Roman" w:hAnsi="Times New Roman" w:cs="Times New Roman"/>
                <w:noProof/>
                <w:webHidden/>
              </w:rPr>
              <w:fldChar w:fldCharType="end"/>
            </w:r>
          </w:hyperlink>
        </w:p>
        <w:p w14:paraId="527FF6B6" w14:textId="4ED0DEE4"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82" w:history="1">
            <w:r w:rsidRPr="00E14CDC">
              <w:rPr>
                <w:rStyle w:val="Hyperlink"/>
                <w:rFonts w:ascii="Times New Roman" w:hAnsi="Times New Roman" w:cs="Times New Roman"/>
                <w:i/>
                <w:noProof/>
              </w:rPr>
              <w:t>Group by Week</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_Toc173185082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75</w:t>
            </w:r>
            <w:r w:rsidRPr="00E14CDC">
              <w:rPr>
                <w:rFonts w:ascii="Times New Roman" w:hAnsi="Times New Roman" w:cs="Times New Roman"/>
                <w:noProof/>
                <w:webHidden/>
              </w:rPr>
              <w:fldChar w:fldCharType="end"/>
            </w:r>
          </w:hyperlink>
        </w:p>
        <w:p w14:paraId="122878A4" w14:textId="133A6B82"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83" w:history="1">
            <w:r w:rsidRPr="00E14CDC">
              <w:rPr>
                <w:rStyle w:val="Hyperlink"/>
                <w:rFonts w:ascii="Times New Roman" w:hAnsi="Times New Roman" w:cs="Times New Roman"/>
                <w:i/>
                <w:noProof/>
              </w:rPr>
              <w:t>Group by Proximity</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_Toc173185083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75</w:t>
            </w:r>
            <w:r w:rsidRPr="00E14CDC">
              <w:rPr>
                <w:rFonts w:ascii="Times New Roman" w:hAnsi="Times New Roman" w:cs="Times New Roman"/>
                <w:noProof/>
                <w:webHidden/>
              </w:rPr>
              <w:fldChar w:fldCharType="end"/>
            </w:r>
          </w:hyperlink>
        </w:p>
        <w:p w14:paraId="35A8DADC" w14:textId="6E00A2F2"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84" w:history="1">
            <w:r w:rsidRPr="00E14CDC">
              <w:rPr>
                <w:rStyle w:val="Hyperlink"/>
                <w:rFonts w:ascii="Times New Roman" w:hAnsi="Times New Roman" w:cs="Times New Roman"/>
                <w:i/>
                <w:noProof/>
              </w:rPr>
              <w:t>Group by Week and Proximity</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_Toc173185084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76</w:t>
            </w:r>
            <w:r w:rsidRPr="00E14CDC">
              <w:rPr>
                <w:rFonts w:ascii="Times New Roman" w:hAnsi="Times New Roman" w:cs="Times New Roman"/>
                <w:noProof/>
                <w:webHidden/>
              </w:rPr>
              <w:fldChar w:fldCharType="end"/>
            </w:r>
          </w:hyperlink>
        </w:p>
        <w:p w14:paraId="29E0F500" w14:textId="43EA321E"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85" w:history="1">
            <w:r w:rsidRPr="00E14CDC">
              <w:rPr>
                <w:rStyle w:val="Hyperlink"/>
                <w:rFonts w:ascii="Times New Roman" w:hAnsi="Times New Roman" w:cs="Times New Roman"/>
                <w:i/>
                <w:noProof/>
              </w:rPr>
              <w:t>Movement Units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_Toc173185085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76</w:t>
            </w:r>
            <w:r w:rsidRPr="00E14CDC">
              <w:rPr>
                <w:rFonts w:ascii="Times New Roman" w:hAnsi="Times New Roman" w:cs="Times New Roman"/>
                <w:noProof/>
                <w:webHidden/>
              </w:rPr>
              <w:fldChar w:fldCharType="end"/>
            </w:r>
          </w:hyperlink>
        </w:p>
        <w:p w14:paraId="3623DAFD" w14:textId="419DD386"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86" w:history="1">
            <w:r w:rsidRPr="00E14CDC">
              <w:rPr>
                <w:rStyle w:val="Hyperlink"/>
                <w:rFonts w:ascii="Times New Roman" w:hAnsi="Times New Roman" w:cs="Times New Roman"/>
                <w:i/>
                <w:noProof/>
              </w:rPr>
              <w:t>Group by Week</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_Toc173185086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77</w:t>
            </w:r>
            <w:r w:rsidRPr="00E14CDC">
              <w:rPr>
                <w:rFonts w:ascii="Times New Roman" w:hAnsi="Times New Roman" w:cs="Times New Roman"/>
                <w:noProof/>
                <w:webHidden/>
              </w:rPr>
              <w:fldChar w:fldCharType="end"/>
            </w:r>
          </w:hyperlink>
        </w:p>
        <w:p w14:paraId="1894FB85" w14:textId="7B7FB27D"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87" w:history="1">
            <w:r w:rsidRPr="00E14CDC">
              <w:rPr>
                <w:rStyle w:val="Hyperlink"/>
                <w:rFonts w:ascii="Times New Roman" w:hAnsi="Times New Roman" w:cs="Times New Roman"/>
                <w:i/>
                <w:noProof/>
              </w:rPr>
              <w:t>Group by Proximity</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_Toc173185087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77</w:t>
            </w:r>
            <w:r w:rsidRPr="00E14CDC">
              <w:rPr>
                <w:rFonts w:ascii="Times New Roman" w:hAnsi="Times New Roman" w:cs="Times New Roman"/>
                <w:noProof/>
                <w:webHidden/>
              </w:rPr>
              <w:fldChar w:fldCharType="end"/>
            </w:r>
          </w:hyperlink>
        </w:p>
        <w:p w14:paraId="2681EE77" w14:textId="4D9D250F"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88" w:history="1">
            <w:r w:rsidRPr="00E14CDC">
              <w:rPr>
                <w:rStyle w:val="Hyperlink"/>
                <w:rFonts w:ascii="Times New Roman" w:hAnsi="Times New Roman" w:cs="Times New Roman"/>
                <w:i/>
                <w:noProof/>
              </w:rPr>
              <w:t>Group by Week and Proximity</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_Toc173185088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77</w:t>
            </w:r>
            <w:r w:rsidRPr="00E14CDC">
              <w:rPr>
                <w:rFonts w:ascii="Times New Roman" w:hAnsi="Times New Roman" w:cs="Times New Roman"/>
                <w:noProof/>
                <w:webHidden/>
              </w:rPr>
              <w:fldChar w:fldCharType="end"/>
            </w:r>
          </w:hyperlink>
        </w:p>
        <w:p w14:paraId="61A61A34" w14:textId="7F9F809E" w:rsidR="00E14CDC" w:rsidRPr="00E14CDC" w:rsidRDefault="00E14CDC">
          <w:pPr>
            <w:pStyle w:val="TOC2"/>
            <w:tabs>
              <w:tab w:val="right" w:leader="dot" w:pos="8630"/>
            </w:tabs>
            <w:rPr>
              <w:rFonts w:ascii="Times New Roman" w:eastAsiaTheme="minorEastAsia" w:hAnsi="Times New Roman" w:cs="Times New Roman"/>
              <w:noProof/>
              <w:kern w:val="2"/>
              <w14:ligatures w14:val="standardContextual"/>
            </w:rPr>
          </w:pPr>
          <w:hyperlink w:anchor="_Toc173185089" w:history="1">
            <w:r w:rsidRPr="00E14CDC">
              <w:rPr>
                <w:rStyle w:val="Hyperlink"/>
                <w:rFonts w:ascii="Times New Roman" w:hAnsi="Times New Roman" w:cs="Times New Roman"/>
                <w:iCs/>
                <w:noProof/>
              </w:rPr>
              <w:t>Discussion</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_Toc173185089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78</w:t>
            </w:r>
            <w:r w:rsidRPr="00E14CDC">
              <w:rPr>
                <w:rFonts w:ascii="Times New Roman" w:hAnsi="Times New Roman" w:cs="Times New Roman"/>
                <w:noProof/>
                <w:webHidden/>
              </w:rPr>
              <w:fldChar w:fldCharType="end"/>
            </w:r>
          </w:hyperlink>
        </w:p>
        <w:p w14:paraId="3C4827F7" w14:textId="6BC3BBCF"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90" w:history="1">
            <w:r w:rsidRPr="00E14CDC">
              <w:rPr>
                <w:rStyle w:val="Hyperlink"/>
                <w:rFonts w:ascii="Times New Roman" w:hAnsi="Times New Roman" w:cs="Times New Roman"/>
                <w:i/>
                <w:noProof/>
              </w:rPr>
              <w:t>Early reachers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_Toc173185090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79</w:t>
            </w:r>
            <w:r w:rsidRPr="00E14CDC">
              <w:rPr>
                <w:rFonts w:ascii="Times New Roman" w:hAnsi="Times New Roman" w:cs="Times New Roman"/>
                <w:noProof/>
                <w:webHidden/>
              </w:rPr>
              <w:fldChar w:fldCharType="end"/>
            </w:r>
          </w:hyperlink>
        </w:p>
        <w:p w14:paraId="3731F7DD" w14:textId="42F2535C" w:rsidR="00E14CDC" w:rsidRPr="00E14CDC" w:rsidRDefault="00E14CDC">
          <w:pPr>
            <w:pStyle w:val="TOC3"/>
            <w:tabs>
              <w:tab w:val="right" w:leader="dot" w:pos="8630"/>
            </w:tabs>
            <w:rPr>
              <w:rFonts w:ascii="Times New Roman" w:eastAsiaTheme="minorEastAsia" w:hAnsi="Times New Roman" w:cs="Times New Roman"/>
              <w:noProof/>
              <w:kern w:val="2"/>
              <w14:ligatures w14:val="standardContextual"/>
            </w:rPr>
          </w:pPr>
          <w:hyperlink w:anchor="_Toc173185091" w:history="1">
            <w:r w:rsidRPr="00E14CDC">
              <w:rPr>
                <w:rStyle w:val="Hyperlink"/>
                <w:rFonts w:ascii="Times New Roman" w:hAnsi="Times New Roman" w:cs="Times New Roman"/>
                <w:i/>
                <w:noProof/>
              </w:rPr>
              <w:t>Late reachers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_Toc173185091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80</w:t>
            </w:r>
            <w:r w:rsidRPr="00E14CDC">
              <w:rPr>
                <w:rFonts w:ascii="Times New Roman" w:hAnsi="Times New Roman" w:cs="Times New Roman"/>
                <w:noProof/>
                <w:webHidden/>
              </w:rPr>
              <w:fldChar w:fldCharType="end"/>
            </w:r>
          </w:hyperlink>
        </w:p>
        <w:p w14:paraId="12FE978E" w14:textId="14AE5731" w:rsidR="00E14CDC" w:rsidRPr="00E14CDC" w:rsidRDefault="00E14CDC">
          <w:pPr>
            <w:pStyle w:val="TOC1"/>
            <w:rPr>
              <w:rFonts w:eastAsiaTheme="minorEastAsia"/>
              <w:caps w:val="0"/>
              <w:kern w:val="2"/>
              <w14:ligatures w14:val="standardContextual"/>
            </w:rPr>
          </w:pPr>
          <w:hyperlink w:anchor="_Toc173185092" w:history="1">
            <w:r w:rsidRPr="00E14CDC">
              <w:rPr>
                <w:rStyle w:val="Hyperlink"/>
                <w:rFonts w:ascii="Times New Roman" w:hAnsi="Times New Roman"/>
              </w:rPr>
              <w:t>Chapter Six Conclusions, LIMITATIONS AND Future DIRECTIONS</w:t>
            </w:r>
            <w:r w:rsidRPr="00E14CDC">
              <w:rPr>
                <w:webHidden/>
              </w:rPr>
              <w:tab/>
            </w:r>
            <w:r w:rsidRPr="00E14CDC">
              <w:rPr>
                <w:webHidden/>
              </w:rPr>
              <w:fldChar w:fldCharType="begin"/>
            </w:r>
            <w:r w:rsidRPr="00E14CDC">
              <w:rPr>
                <w:webHidden/>
              </w:rPr>
              <w:instrText xml:space="preserve"> PAGEREF _Toc173185092 \h </w:instrText>
            </w:r>
            <w:r w:rsidRPr="00E14CDC">
              <w:rPr>
                <w:webHidden/>
              </w:rPr>
            </w:r>
            <w:r w:rsidRPr="00E14CDC">
              <w:rPr>
                <w:webHidden/>
              </w:rPr>
              <w:fldChar w:fldCharType="separate"/>
            </w:r>
            <w:r w:rsidRPr="00E14CDC">
              <w:rPr>
                <w:webHidden/>
              </w:rPr>
              <w:t>84</w:t>
            </w:r>
            <w:r w:rsidRPr="00E14CDC">
              <w:rPr>
                <w:webHidden/>
              </w:rPr>
              <w:fldChar w:fldCharType="end"/>
            </w:r>
          </w:hyperlink>
        </w:p>
        <w:p w14:paraId="4C08D3E3" w14:textId="21475841" w:rsidR="00E14CDC" w:rsidRPr="00E14CDC" w:rsidRDefault="00E14CDC">
          <w:pPr>
            <w:pStyle w:val="TOC2"/>
            <w:tabs>
              <w:tab w:val="right" w:leader="dot" w:pos="8630"/>
            </w:tabs>
            <w:rPr>
              <w:rFonts w:ascii="Times New Roman" w:eastAsiaTheme="minorEastAsia" w:hAnsi="Times New Roman" w:cs="Times New Roman"/>
              <w:noProof/>
              <w:kern w:val="2"/>
              <w14:ligatures w14:val="standardContextual"/>
            </w:rPr>
          </w:pPr>
          <w:hyperlink w:anchor="_Toc173185093" w:history="1">
            <w:r w:rsidRPr="00E14CDC">
              <w:rPr>
                <w:rStyle w:val="Hyperlink"/>
                <w:rFonts w:ascii="Times New Roman" w:hAnsi="Times New Roman" w:cs="Times New Roman"/>
                <w:iCs/>
                <w:noProof/>
              </w:rPr>
              <w:t>Limitations and Future Directions</w:t>
            </w:r>
            <w:r w:rsidRPr="00E14CDC">
              <w:rPr>
                <w:rFonts w:ascii="Times New Roman" w:hAnsi="Times New Roman" w:cs="Times New Roman"/>
                <w:noProof/>
                <w:webHidden/>
              </w:rPr>
              <w:tab/>
            </w:r>
            <w:r w:rsidRPr="00E14CDC">
              <w:rPr>
                <w:rFonts w:ascii="Times New Roman" w:hAnsi="Times New Roman" w:cs="Times New Roman"/>
                <w:noProof/>
                <w:webHidden/>
              </w:rPr>
              <w:fldChar w:fldCharType="begin"/>
            </w:r>
            <w:r w:rsidRPr="00E14CDC">
              <w:rPr>
                <w:rFonts w:ascii="Times New Roman" w:hAnsi="Times New Roman" w:cs="Times New Roman"/>
                <w:noProof/>
                <w:webHidden/>
              </w:rPr>
              <w:instrText xml:space="preserve"> PAGEREF _Toc173185093 \h </w:instrText>
            </w:r>
            <w:r w:rsidRPr="00E14CDC">
              <w:rPr>
                <w:rFonts w:ascii="Times New Roman" w:hAnsi="Times New Roman" w:cs="Times New Roman"/>
                <w:noProof/>
                <w:webHidden/>
              </w:rPr>
            </w:r>
            <w:r w:rsidRPr="00E14CDC">
              <w:rPr>
                <w:rFonts w:ascii="Times New Roman" w:hAnsi="Times New Roman" w:cs="Times New Roman"/>
                <w:noProof/>
                <w:webHidden/>
              </w:rPr>
              <w:fldChar w:fldCharType="separate"/>
            </w:r>
            <w:r w:rsidRPr="00E14CDC">
              <w:rPr>
                <w:rFonts w:ascii="Times New Roman" w:hAnsi="Times New Roman" w:cs="Times New Roman"/>
                <w:noProof/>
                <w:webHidden/>
              </w:rPr>
              <w:t>86</w:t>
            </w:r>
            <w:r w:rsidRPr="00E14CDC">
              <w:rPr>
                <w:rFonts w:ascii="Times New Roman" w:hAnsi="Times New Roman" w:cs="Times New Roman"/>
                <w:noProof/>
                <w:webHidden/>
              </w:rPr>
              <w:fldChar w:fldCharType="end"/>
            </w:r>
          </w:hyperlink>
        </w:p>
        <w:p w14:paraId="09B5993D" w14:textId="36BAF275" w:rsidR="00E14CDC" w:rsidRPr="00E14CDC" w:rsidRDefault="00E14CDC">
          <w:pPr>
            <w:pStyle w:val="TOC1"/>
            <w:rPr>
              <w:rFonts w:eastAsiaTheme="minorEastAsia"/>
              <w:caps w:val="0"/>
              <w:kern w:val="2"/>
              <w14:ligatures w14:val="standardContextual"/>
            </w:rPr>
          </w:pPr>
          <w:hyperlink w:anchor="_Toc173185094" w:history="1">
            <w:r w:rsidRPr="00E14CDC">
              <w:rPr>
                <w:rStyle w:val="Hyperlink"/>
                <w:rFonts w:ascii="Times New Roman" w:hAnsi="Times New Roman"/>
              </w:rPr>
              <w:t>References</w:t>
            </w:r>
            <w:r w:rsidRPr="00E14CDC">
              <w:rPr>
                <w:webHidden/>
              </w:rPr>
              <w:tab/>
            </w:r>
            <w:r w:rsidRPr="00E14CDC">
              <w:rPr>
                <w:webHidden/>
              </w:rPr>
              <w:fldChar w:fldCharType="begin"/>
            </w:r>
            <w:r w:rsidRPr="00E14CDC">
              <w:rPr>
                <w:webHidden/>
              </w:rPr>
              <w:instrText xml:space="preserve"> PAGEREF _Toc173185094 \h </w:instrText>
            </w:r>
            <w:r w:rsidRPr="00E14CDC">
              <w:rPr>
                <w:webHidden/>
              </w:rPr>
            </w:r>
            <w:r w:rsidRPr="00E14CDC">
              <w:rPr>
                <w:webHidden/>
              </w:rPr>
              <w:fldChar w:fldCharType="separate"/>
            </w:r>
            <w:r w:rsidRPr="00E14CDC">
              <w:rPr>
                <w:webHidden/>
              </w:rPr>
              <w:t>89</w:t>
            </w:r>
            <w:r w:rsidRPr="00E14CDC">
              <w:rPr>
                <w:webHidden/>
              </w:rPr>
              <w:fldChar w:fldCharType="end"/>
            </w:r>
          </w:hyperlink>
        </w:p>
        <w:p w14:paraId="16C4709C" w14:textId="5BCB4E7C" w:rsidR="00E14CDC" w:rsidRPr="00E14CDC" w:rsidRDefault="00E14CDC">
          <w:pPr>
            <w:pStyle w:val="TOC1"/>
            <w:rPr>
              <w:rFonts w:eastAsiaTheme="minorEastAsia"/>
              <w:caps w:val="0"/>
              <w:kern w:val="2"/>
              <w14:ligatures w14:val="standardContextual"/>
            </w:rPr>
          </w:pPr>
          <w:hyperlink w:anchor="_Toc173185095" w:history="1">
            <w:r w:rsidRPr="00E14CDC">
              <w:rPr>
                <w:rStyle w:val="Hyperlink"/>
                <w:rFonts w:ascii="Times New Roman" w:hAnsi="Times New Roman"/>
              </w:rPr>
              <w:t>Appendices</w:t>
            </w:r>
            <w:r w:rsidRPr="00E14CDC">
              <w:rPr>
                <w:webHidden/>
              </w:rPr>
              <w:tab/>
            </w:r>
            <w:r w:rsidRPr="00E14CDC">
              <w:rPr>
                <w:webHidden/>
              </w:rPr>
              <w:fldChar w:fldCharType="begin"/>
            </w:r>
            <w:r w:rsidRPr="00E14CDC">
              <w:rPr>
                <w:webHidden/>
              </w:rPr>
              <w:instrText xml:space="preserve"> PAGEREF _Toc173185095 \h </w:instrText>
            </w:r>
            <w:r w:rsidRPr="00E14CDC">
              <w:rPr>
                <w:webHidden/>
              </w:rPr>
            </w:r>
            <w:r w:rsidRPr="00E14CDC">
              <w:rPr>
                <w:webHidden/>
              </w:rPr>
              <w:fldChar w:fldCharType="separate"/>
            </w:r>
            <w:r w:rsidRPr="00E14CDC">
              <w:rPr>
                <w:webHidden/>
              </w:rPr>
              <w:t>96</w:t>
            </w:r>
            <w:r w:rsidRPr="00E14CDC">
              <w:rPr>
                <w:webHidden/>
              </w:rPr>
              <w:fldChar w:fldCharType="end"/>
            </w:r>
          </w:hyperlink>
        </w:p>
        <w:p w14:paraId="0920D409" w14:textId="6842619C" w:rsidR="00E14CDC" w:rsidRPr="00E14CDC" w:rsidRDefault="00E14CDC">
          <w:pPr>
            <w:pStyle w:val="TOC1"/>
            <w:rPr>
              <w:rFonts w:eastAsiaTheme="minorEastAsia"/>
              <w:caps w:val="0"/>
              <w:kern w:val="2"/>
              <w14:ligatures w14:val="standardContextual"/>
            </w:rPr>
          </w:pPr>
          <w:hyperlink w:anchor="_Toc173185096" w:history="1">
            <w:r w:rsidRPr="00E14CDC">
              <w:rPr>
                <w:rStyle w:val="Hyperlink"/>
                <w:rFonts w:ascii="Times New Roman" w:hAnsi="Times New Roman"/>
              </w:rPr>
              <w:t>Vita</w:t>
            </w:r>
            <w:r w:rsidRPr="00E14CDC">
              <w:rPr>
                <w:webHidden/>
              </w:rPr>
              <w:tab/>
            </w:r>
            <w:r w:rsidRPr="00E14CDC">
              <w:rPr>
                <w:webHidden/>
              </w:rPr>
              <w:fldChar w:fldCharType="begin"/>
            </w:r>
            <w:r w:rsidRPr="00E14CDC">
              <w:rPr>
                <w:webHidden/>
              </w:rPr>
              <w:instrText xml:space="preserve"> PAGEREF _Toc173185096 \h </w:instrText>
            </w:r>
            <w:r w:rsidRPr="00E14CDC">
              <w:rPr>
                <w:webHidden/>
              </w:rPr>
            </w:r>
            <w:r w:rsidRPr="00E14CDC">
              <w:rPr>
                <w:webHidden/>
              </w:rPr>
              <w:fldChar w:fldCharType="separate"/>
            </w:r>
            <w:r w:rsidRPr="00E14CDC">
              <w:rPr>
                <w:webHidden/>
              </w:rPr>
              <w:t>185</w:t>
            </w:r>
            <w:r w:rsidRPr="00E14CDC">
              <w:rPr>
                <w:webHidden/>
              </w:rPr>
              <w:fldChar w:fldCharType="end"/>
            </w:r>
          </w:hyperlink>
        </w:p>
        <w:p w14:paraId="101B80CA" w14:textId="4B731C0F" w:rsidR="00E91931" w:rsidRPr="00CC578B" w:rsidRDefault="00E91931" w:rsidP="00E2527A">
          <w:r w:rsidRPr="00CC578B">
            <w:rPr>
              <w:noProof/>
            </w:rPr>
            <w:fldChar w:fldCharType="end"/>
          </w:r>
        </w:p>
      </w:sdtContent>
    </w:sdt>
    <w:p w14:paraId="0A287005" w14:textId="77777777" w:rsidR="003F7FED" w:rsidRPr="00CC578B" w:rsidRDefault="003F7FED" w:rsidP="00E2527A"/>
    <w:p w14:paraId="4C5E30DB" w14:textId="77777777" w:rsidR="00236E6D" w:rsidRPr="00D618B7" w:rsidRDefault="003F7FED" w:rsidP="00E2527A">
      <w:pPr>
        <w:jc w:val="center"/>
        <w:rPr>
          <w:b/>
          <w:bCs/>
        </w:rPr>
      </w:pPr>
      <w:r w:rsidRPr="00D618B7">
        <w:rPr>
          <w:b/>
          <w:bCs/>
        </w:rPr>
        <w:br w:type="page"/>
      </w:r>
      <w:r w:rsidR="00236E6D" w:rsidRPr="00D618B7">
        <w:rPr>
          <w:b/>
          <w:bCs/>
        </w:rPr>
        <w:lastRenderedPageBreak/>
        <w:t>LIST OF TABLES</w:t>
      </w:r>
    </w:p>
    <w:p w14:paraId="0F8A7FF9" w14:textId="77777777" w:rsidR="00236E6D" w:rsidRPr="00D618B7" w:rsidRDefault="00236E6D" w:rsidP="00CC578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0ED982A8" w14:textId="3B70F3E5" w:rsidR="00483A43" w:rsidRPr="00CC578B" w:rsidRDefault="004B7288">
      <w:pPr>
        <w:pStyle w:val="TableofFigures"/>
        <w:tabs>
          <w:tab w:val="right" w:leader="dot" w:pos="8630"/>
        </w:tabs>
        <w:rPr>
          <w:rFonts w:eastAsiaTheme="minorEastAsia" w:cs="Times New Roman"/>
          <w:noProof/>
          <w:kern w:val="2"/>
          <w14:ligatures w14:val="standardContextual"/>
        </w:rPr>
      </w:pPr>
      <w:r w:rsidRPr="00CC578B">
        <w:rPr>
          <w:rFonts w:cs="Times New Roman"/>
        </w:rPr>
        <w:fldChar w:fldCharType="begin"/>
      </w:r>
      <w:r w:rsidRPr="00CC578B">
        <w:rPr>
          <w:rFonts w:cs="Times New Roman"/>
        </w:rPr>
        <w:instrText xml:space="preserve"> TOC \h \z \c "Table" </w:instrText>
      </w:r>
      <w:r w:rsidRPr="00CC578B">
        <w:rPr>
          <w:rFonts w:cs="Times New Roman"/>
        </w:rPr>
        <w:fldChar w:fldCharType="separate"/>
      </w:r>
      <w:hyperlink w:anchor="_Toc172716829" w:history="1">
        <w:r w:rsidR="00483A43" w:rsidRPr="00CC578B">
          <w:rPr>
            <w:rStyle w:val="Hyperlink"/>
            <w:rFonts w:ascii="Times New Roman" w:hAnsi="Times New Roman" w:cs="Times New Roman"/>
            <w:noProof/>
          </w:rPr>
          <w:t>Table 1: Age by Reach-onset.</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_Toc172716829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96</w:t>
        </w:r>
        <w:r w:rsidR="00483A43" w:rsidRPr="00CC578B">
          <w:rPr>
            <w:rFonts w:cs="Times New Roman"/>
            <w:noProof/>
            <w:webHidden/>
          </w:rPr>
          <w:fldChar w:fldCharType="end"/>
        </w:r>
      </w:hyperlink>
    </w:p>
    <w:p w14:paraId="49763149" w14:textId="78280EDC"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30" w:history="1">
        <w:r w:rsidR="00483A43" w:rsidRPr="00CC578B">
          <w:rPr>
            <w:rStyle w:val="Hyperlink"/>
            <w:rFonts w:ascii="Times New Roman" w:hAnsi="Times New Roman" w:cs="Times New Roman"/>
            <w:noProof/>
          </w:rPr>
          <w:t>Table 2: Number of trials completed per visit by infant.</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_Toc172716830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96</w:t>
        </w:r>
        <w:r w:rsidR="00483A43" w:rsidRPr="00CC578B">
          <w:rPr>
            <w:rFonts w:cs="Times New Roman"/>
            <w:noProof/>
            <w:webHidden/>
          </w:rPr>
          <w:fldChar w:fldCharType="end"/>
        </w:r>
      </w:hyperlink>
    </w:p>
    <w:p w14:paraId="564D9795" w14:textId="0F587292"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31" w:history="1">
        <w:r w:rsidR="00483A43" w:rsidRPr="00CC578B">
          <w:rPr>
            <w:rStyle w:val="Hyperlink"/>
            <w:rFonts w:ascii="Times New Roman" w:hAnsi="Times New Roman" w:cs="Times New Roman"/>
            <w:noProof/>
          </w:rPr>
          <w:t>Table 3: Proximity duration</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_Toc172716831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100</w:t>
        </w:r>
        <w:r w:rsidR="00483A43" w:rsidRPr="00CC578B">
          <w:rPr>
            <w:rFonts w:cs="Times New Roman"/>
            <w:noProof/>
            <w:webHidden/>
          </w:rPr>
          <w:fldChar w:fldCharType="end"/>
        </w:r>
      </w:hyperlink>
    </w:p>
    <w:p w14:paraId="79BD15B4" w14:textId="38A5D9E0"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32" w:history="1">
        <w:r w:rsidR="00483A43" w:rsidRPr="00CC578B">
          <w:rPr>
            <w:rStyle w:val="Hyperlink"/>
            <w:rFonts w:ascii="Times New Roman" w:hAnsi="Times New Roman" w:cs="Times New Roman"/>
            <w:noProof/>
          </w:rPr>
          <w:t>Table 4: Event d</w:t>
        </w:r>
        <w:r w:rsidR="00483A43" w:rsidRPr="00CC578B">
          <w:rPr>
            <w:rStyle w:val="Hyperlink"/>
            <w:rFonts w:ascii="Times New Roman" w:eastAsia="Aptos" w:hAnsi="Times New Roman" w:cs="Times New Roman"/>
            <w:noProof/>
          </w:rPr>
          <w:t>uration by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_Toc172716832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100</w:t>
        </w:r>
        <w:r w:rsidR="00483A43" w:rsidRPr="00CC578B">
          <w:rPr>
            <w:rFonts w:cs="Times New Roman"/>
            <w:noProof/>
            <w:webHidden/>
          </w:rPr>
          <w:fldChar w:fldCharType="end"/>
        </w:r>
      </w:hyperlink>
    </w:p>
    <w:p w14:paraId="65F68DC7" w14:textId="20EC60A5"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33" w:history="1">
        <w:r w:rsidR="00483A43" w:rsidRPr="00CC578B">
          <w:rPr>
            <w:rStyle w:val="Hyperlink"/>
            <w:rFonts w:ascii="Times New Roman" w:hAnsi="Times New Roman" w:cs="Times New Roman"/>
            <w:noProof/>
          </w:rPr>
          <w:t>Table 5:</w:t>
        </w:r>
        <w:r w:rsidR="00483A43" w:rsidRPr="00CC578B">
          <w:rPr>
            <w:rStyle w:val="Hyperlink"/>
            <w:rFonts w:ascii="Times New Roman" w:eastAsia="Aptos" w:hAnsi="Times New Roman" w:cs="Times New Roman"/>
            <w:noProof/>
          </w:rPr>
          <w:t xml:space="preserve"> Event duration by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_Toc172716833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102</w:t>
        </w:r>
        <w:r w:rsidR="00483A43" w:rsidRPr="00CC578B">
          <w:rPr>
            <w:rFonts w:cs="Times New Roman"/>
            <w:noProof/>
            <w:webHidden/>
          </w:rPr>
          <w:fldChar w:fldCharType="end"/>
        </w:r>
      </w:hyperlink>
    </w:p>
    <w:p w14:paraId="3EAA0101" w14:textId="475805BB"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34" w:history="1">
        <w:r w:rsidR="00483A43" w:rsidRPr="00CC578B">
          <w:rPr>
            <w:rStyle w:val="Hyperlink"/>
            <w:rFonts w:ascii="Times New Roman" w:hAnsi="Times New Roman" w:cs="Times New Roman"/>
            <w:noProof/>
          </w:rPr>
          <w:t>Table 6:</w:t>
        </w:r>
        <w:r w:rsidR="00483A43" w:rsidRPr="00CC578B">
          <w:rPr>
            <w:rStyle w:val="Hyperlink"/>
            <w:rFonts w:ascii="Times New Roman" w:eastAsia="Aptos" w:hAnsi="Times New Roman" w:cs="Times New Roman"/>
            <w:noProof/>
          </w:rPr>
          <w:t xml:space="preserve"> Event frequency by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_Toc172716834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104</w:t>
        </w:r>
        <w:r w:rsidR="00483A43" w:rsidRPr="00CC578B">
          <w:rPr>
            <w:rFonts w:cs="Times New Roman"/>
            <w:noProof/>
            <w:webHidden/>
          </w:rPr>
          <w:fldChar w:fldCharType="end"/>
        </w:r>
      </w:hyperlink>
    </w:p>
    <w:p w14:paraId="1AF56AEB" w14:textId="05234259"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35" w:history="1">
        <w:r w:rsidR="00483A43" w:rsidRPr="00CC578B">
          <w:rPr>
            <w:rStyle w:val="Hyperlink"/>
            <w:rFonts w:ascii="Times New Roman" w:hAnsi="Times New Roman" w:cs="Times New Roman"/>
            <w:noProof/>
          </w:rPr>
          <w:t>Table 7:</w:t>
        </w:r>
        <w:r w:rsidR="00483A43" w:rsidRPr="00CC578B">
          <w:rPr>
            <w:rStyle w:val="Hyperlink"/>
            <w:rFonts w:ascii="Times New Roman" w:eastAsia="Aptos" w:hAnsi="Times New Roman" w:cs="Times New Roman"/>
            <w:noProof/>
          </w:rPr>
          <w:t xml:space="preserve"> Event frequency by type</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_Toc172716835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104</w:t>
        </w:r>
        <w:r w:rsidR="00483A43" w:rsidRPr="00CC578B">
          <w:rPr>
            <w:rFonts w:cs="Times New Roman"/>
            <w:noProof/>
            <w:webHidden/>
          </w:rPr>
          <w:fldChar w:fldCharType="end"/>
        </w:r>
      </w:hyperlink>
    </w:p>
    <w:p w14:paraId="54136DE5" w14:textId="1873F66D"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36" w:history="1">
        <w:r w:rsidR="00483A43" w:rsidRPr="00CC578B">
          <w:rPr>
            <w:rStyle w:val="Hyperlink"/>
            <w:rFonts w:ascii="Times New Roman" w:hAnsi="Times New Roman" w:cs="Times New Roman"/>
            <w:noProof/>
          </w:rPr>
          <w:t>Table 8:</w:t>
        </w:r>
        <w:r w:rsidR="00483A43" w:rsidRPr="00CC578B">
          <w:rPr>
            <w:rStyle w:val="Hyperlink"/>
            <w:rFonts w:ascii="Times New Roman" w:eastAsia="Aptos" w:hAnsi="Times New Roman" w:cs="Times New Roman"/>
            <w:noProof/>
          </w:rPr>
          <w:t xml:space="preserve"> Event frequency by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_Toc172716836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105</w:t>
        </w:r>
        <w:r w:rsidR="00483A43" w:rsidRPr="00CC578B">
          <w:rPr>
            <w:rFonts w:cs="Times New Roman"/>
            <w:noProof/>
            <w:webHidden/>
          </w:rPr>
          <w:fldChar w:fldCharType="end"/>
        </w:r>
      </w:hyperlink>
    </w:p>
    <w:p w14:paraId="086BD0B2" w14:textId="2290548A"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37" w:history="1">
        <w:r w:rsidR="00483A43" w:rsidRPr="00CC578B">
          <w:rPr>
            <w:rStyle w:val="Hyperlink"/>
            <w:rFonts w:ascii="Times New Roman" w:hAnsi="Times New Roman" w:cs="Times New Roman"/>
            <w:noProof/>
          </w:rPr>
          <w:t xml:space="preserve">Table 9: </w:t>
        </w:r>
        <w:r w:rsidR="00483A43" w:rsidRPr="00CC578B">
          <w:rPr>
            <w:rStyle w:val="Hyperlink"/>
            <w:rFonts w:ascii="Times New Roman" w:eastAsia="Aptos" w:hAnsi="Times New Roman" w:cs="Times New Roman"/>
            <w:noProof/>
          </w:rPr>
          <w:t>Event frequency by type</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_Toc172716837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106</w:t>
        </w:r>
        <w:r w:rsidR="00483A43" w:rsidRPr="00CC578B">
          <w:rPr>
            <w:rFonts w:cs="Times New Roman"/>
            <w:noProof/>
            <w:webHidden/>
          </w:rPr>
          <w:fldChar w:fldCharType="end"/>
        </w:r>
      </w:hyperlink>
    </w:p>
    <w:p w14:paraId="2B3202B9" w14:textId="576063E3"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38" w:history="1">
        <w:r w:rsidR="00483A43" w:rsidRPr="00CC578B">
          <w:rPr>
            <w:rStyle w:val="Hyperlink"/>
            <w:rFonts w:ascii="Times New Roman" w:hAnsi="Times New Roman" w:cs="Times New Roman"/>
            <w:noProof/>
          </w:rPr>
          <w:t>Table 10:</w:t>
        </w:r>
        <w:r w:rsidR="00483A43" w:rsidRPr="00CC578B">
          <w:rPr>
            <w:rStyle w:val="Hyperlink"/>
            <w:rFonts w:ascii="Times New Roman" w:eastAsia="Aptos" w:hAnsi="Times New Roman" w:cs="Times New Roman"/>
            <w:noProof/>
          </w:rPr>
          <w:t xml:space="preserve"> Event frequency by week and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_Toc172716838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106</w:t>
        </w:r>
        <w:r w:rsidR="00483A43" w:rsidRPr="00CC578B">
          <w:rPr>
            <w:rFonts w:cs="Times New Roman"/>
            <w:noProof/>
            <w:webHidden/>
          </w:rPr>
          <w:fldChar w:fldCharType="end"/>
        </w:r>
      </w:hyperlink>
    </w:p>
    <w:p w14:paraId="389F46AE" w14:textId="2177224B"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39" w:history="1">
        <w:r w:rsidR="00483A43" w:rsidRPr="00CC578B">
          <w:rPr>
            <w:rStyle w:val="Hyperlink"/>
            <w:rFonts w:ascii="Times New Roman" w:hAnsi="Times New Roman" w:cs="Times New Roman"/>
            <w:noProof/>
          </w:rPr>
          <w:t xml:space="preserve">Table 11: </w:t>
        </w:r>
        <w:r w:rsidR="00483A43" w:rsidRPr="00CC578B">
          <w:rPr>
            <w:rStyle w:val="Hyperlink"/>
            <w:rFonts w:ascii="Times New Roman" w:eastAsia="Aptos" w:hAnsi="Times New Roman" w:cs="Times New Roman"/>
            <w:noProof/>
          </w:rPr>
          <w:t>Event frequency by type and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_Toc172716839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107</w:t>
        </w:r>
        <w:r w:rsidR="00483A43" w:rsidRPr="00CC578B">
          <w:rPr>
            <w:rFonts w:cs="Times New Roman"/>
            <w:noProof/>
            <w:webHidden/>
          </w:rPr>
          <w:fldChar w:fldCharType="end"/>
        </w:r>
      </w:hyperlink>
    </w:p>
    <w:p w14:paraId="51674206" w14:textId="7A3B05EE"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40" w:history="1">
        <w:r w:rsidR="00483A43" w:rsidRPr="00CC578B">
          <w:rPr>
            <w:rStyle w:val="Hyperlink"/>
            <w:rFonts w:ascii="Times New Roman" w:hAnsi="Times New Roman" w:cs="Times New Roman"/>
            <w:noProof/>
          </w:rPr>
          <w:t xml:space="preserve">Table 12: </w:t>
        </w:r>
        <w:r w:rsidR="00483A43" w:rsidRPr="00CC578B">
          <w:rPr>
            <w:rStyle w:val="Hyperlink"/>
            <w:rFonts w:ascii="Times New Roman" w:eastAsia="Aptos" w:hAnsi="Times New Roman" w:cs="Times New Roman"/>
            <w:noProof/>
          </w:rPr>
          <w:t>Event frequency by type, proximity, and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_Toc172716840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109</w:t>
        </w:r>
        <w:r w:rsidR="00483A43" w:rsidRPr="00CC578B">
          <w:rPr>
            <w:rFonts w:cs="Times New Roman"/>
            <w:noProof/>
            <w:webHidden/>
          </w:rPr>
          <w:fldChar w:fldCharType="end"/>
        </w:r>
      </w:hyperlink>
    </w:p>
    <w:p w14:paraId="015CBE98" w14:textId="194A905E"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41" w:history="1">
        <w:r w:rsidR="00483A43" w:rsidRPr="00CC578B">
          <w:rPr>
            <w:rStyle w:val="Hyperlink"/>
            <w:rFonts w:ascii="Times New Roman" w:hAnsi="Times New Roman" w:cs="Times New Roman"/>
            <w:noProof/>
          </w:rPr>
          <w:t>Table 13:</w:t>
        </w:r>
        <w:r w:rsidR="00483A43" w:rsidRPr="00CC578B">
          <w:rPr>
            <w:rStyle w:val="Hyperlink"/>
            <w:rFonts w:ascii="Times New Roman" w:eastAsia="Aptos" w:hAnsi="Times New Roman" w:cs="Times New Roman"/>
            <w:noProof/>
          </w:rPr>
          <w:t xml:space="preserve"> Event rates by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_Toc172716841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110</w:t>
        </w:r>
        <w:r w:rsidR="00483A43" w:rsidRPr="00CC578B">
          <w:rPr>
            <w:rFonts w:cs="Times New Roman"/>
            <w:noProof/>
            <w:webHidden/>
          </w:rPr>
          <w:fldChar w:fldCharType="end"/>
        </w:r>
      </w:hyperlink>
    </w:p>
    <w:p w14:paraId="5E087B99" w14:textId="6FAF787F"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42" w:history="1">
        <w:r w:rsidR="00483A43" w:rsidRPr="00CC578B">
          <w:rPr>
            <w:rStyle w:val="Hyperlink"/>
            <w:rFonts w:ascii="Times New Roman" w:hAnsi="Times New Roman" w:cs="Times New Roman"/>
            <w:noProof/>
          </w:rPr>
          <w:t xml:space="preserve">Table 14: </w:t>
        </w:r>
        <w:r w:rsidR="00483A43" w:rsidRPr="00CC578B">
          <w:rPr>
            <w:rStyle w:val="Hyperlink"/>
            <w:rFonts w:ascii="Times New Roman" w:eastAsia="Aptos" w:hAnsi="Times New Roman" w:cs="Times New Roman"/>
            <w:noProof/>
          </w:rPr>
          <w:t>Event rates by type</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_Toc172716842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110</w:t>
        </w:r>
        <w:r w:rsidR="00483A43" w:rsidRPr="00CC578B">
          <w:rPr>
            <w:rFonts w:cs="Times New Roman"/>
            <w:noProof/>
            <w:webHidden/>
          </w:rPr>
          <w:fldChar w:fldCharType="end"/>
        </w:r>
      </w:hyperlink>
    </w:p>
    <w:p w14:paraId="067A8723" w14:textId="7E28099D"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43" w:history="1">
        <w:r w:rsidR="00483A43" w:rsidRPr="00CC578B">
          <w:rPr>
            <w:rStyle w:val="Hyperlink"/>
            <w:rFonts w:ascii="Times New Roman" w:hAnsi="Times New Roman" w:cs="Times New Roman"/>
            <w:noProof/>
          </w:rPr>
          <w:t>Table 15:</w:t>
        </w:r>
        <w:r w:rsidR="00483A43" w:rsidRPr="00CC578B">
          <w:rPr>
            <w:rStyle w:val="Hyperlink"/>
            <w:rFonts w:ascii="Times New Roman" w:eastAsia="Aptos" w:hAnsi="Times New Roman" w:cs="Times New Roman"/>
            <w:noProof/>
          </w:rPr>
          <w:t xml:space="preserve"> Event rates by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_Toc172716843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110</w:t>
        </w:r>
        <w:r w:rsidR="00483A43" w:rsidRPr="00CC578B">
          <w:rPr>
            <w:rFonts w:cs="Times New Roman"/>
            <w:noProof/>
            <w:webHidden/>
          </w:rPr>
          <w:fldChar w:fldCharType="end"/>
        </w:r>
      </w:hyperlink>
    </w:p>
    <w:p w14:paraId="259EED88" w14:textId="5F7F2D4A"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44" w:history="1">
        <w:r w:rsidR="00483A43" w:rsidRPr="00CC578B">
          <w:rPr>
            <w:rStyle w:val="Hyperlink"/>
            <w:rFonts w:ascii="Times New Roman" w:hAnsi="Times New Roman" w:cs="Times New Roman"/>
            <w:noProof/>
          </w:rPr>
          <w:t xml:space="preserve">Table 16: </w:t>
        </w:r>
        <w:r w:rsidR="00483A43" w:rsidRPr="00CC578B">
          <w:rPr>
            <w:rStyle w:val="Hyperlink"/>
            <w:rFonts w:ascii="Times New Roman" w:eastAsia="Aptos" w:hAnsi="Times New Roman" w:cs="Times New Roman"/>
            <w:noProof/>
          </w:rPr>
          <w:t>Event rates by type, proximity, and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_Toc172716844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113</w:t>
        </w:r>
        <w:r w:rsidR="00483A43" w:rsidRPr="00CC578B">
          <w:rPr>
            <w:rFonts w:cs="Times New Roman"/>
            <w:noProof/>
            <w:webHidden/>
          </w:rPr>
          <w:fldChar w:fldCharType="end"/>
        </w:r>
      </w:hyperlink>
    </w:p>
    <w:p w14:paraId="5D0B4D80" w14:textId="0EBC4D91"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45" w:history="1">
        <w:r w:rsidR="00483A43" w:rsidRPr="00CC578B">
          <w:rPr>
            <w:rStyle w:val="Hyperlink"/>
            <w:rFonts w:ascii="Times New Roman" w:hAnsi="Times New Roman" w:cs="Times New Roman"/>
            <w:noProof/>
          </w:rPr>
          <w:t xml:space="preserve">Table 17: </w:t>
        </w:r>
        <w:r w:rsidR="00483A43" w:rsidRPr="00CC578B">
          <w:rPr>
            <w:rStyle w:val="Hyperlink"/>
            <w:rFonts w:ascii="Times New Roman" w:eastAsia="Aptos" w:hAnsi="Times New Roman" w:cs="Times New Roman"/>
            <w:noProof/>
          </w:rPr>
          <w:t>Event rates by proximity and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_Toc172716845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114</w:t>
        </w:r>
        <w:r w:rsidR="00483A43" w:rsidRPr="00CC578B">
          <w:rPr>
            <w:rFonts w:cs="Times New Roman"/>
            <w:noProof/>
            <w:webHidden/>
          </w:rPr>
          <w:fldChar w:fldCharType="end"/>
        </w:r>
      </w:hyperlink>
    </w:p>
    <w:p w14:paraId="15A91233" w14:textId="5BFFD88F"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46" w:history="1">
        <w:r w:rsidR="00483A43" w:rsidRPr="00CC578B">
          <w:rPr>
            <w:rStyle w:val="Hyperlink"/>
            <w:rFonts w:ascii="Times New Roman" w:hAnsi="Times New Roman" w:cs="Times New Roman"/>
            <w:noProof/>
          </w:rPr>
          <w:t xml:space="preserve">Table 18: </w:t>
        </w:r>
        <w:r w:rsidR="00483A43" w:rsidRPr="00CC578B">
          <w:rPr>
            <w:rStyle w:val="Hyperlink"/>
            <w:rFonts w:ascii="Times New Roman" w:eastAsia="Aptos" w:hAnsi="Times New Roman" w:cs="Times New Roman"/>
            <w:noProof/>
          </w:rPr>
          <w:t>Event rates by type and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_Toc172716846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114</w:t>
        </w:r>
        <w:r w:rsidR="00483A43" w:rsidRPr="00CC578B">
          <w:rPr>
            <w:rFonts w:cs="Times New Roman"/>
            <w:noProof/>
            <w:webHidden/>
          </w:rPr>
          <w:fldChar w:fldCharType="end"/>
        </w:r>
      </w:hyperlink>
    </w:p>
    <w:p w14:paraId="122BFB2F" w14:textId="0C79B8E4"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47" w:history="1">
        <w:r w:rsidR="00483A43" w:rsidRPr="00CC578B">
          <w:rPr>
            <w:rStyle w:val="Hyperlink"/>
            <w:rFonts w:ascii="Times New Roman" w:hAnsi="Times New Roman" w:cs="Times New Roman"/>
            <w:noProof/>
          </w:rPr>
          <w:t xml:space="preserve">Table 19: </w:t>
        </w:r>
        <w:r w:rsidR="00483A43" w:rsidRPr="00CC578B">
          <w:rPr>
            <w:rStyle w:val="Hyperlink"/>
            <w:rFonts w:ascii="Times New Roman" w:eastAsia="Aptos" w:hAnsi="Times New Roman" w:cs="Times New Roman"/>
            <w:noProof/>
          </w:rPr>
          <w:t>Event rates by type, proximity, and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_Toc172716847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115</w:t>
        </w:r>
        <w:r w:rsidR="00483A43" w:rsidRPr="00CC578B">
          <w:rPr>
            <w:rFonts w:cs="Times New Roman"/>
            <w:noProof/>
            <w:webHidden/>
          </w:rPr>
          <w:fldChar w:fldCharType="end"/>
        </w:r>
      </w:hyperlink>
    </w:p>
    <w:p w14:paraId="3C4FE695" w14:textId="1DB72535"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48" w:history="1">
        <w:r w:rsidR="00483A43" w:rsidRPr="00CC578B">
          <w:rPr>
            <w:rStyle w:val="Hyperlink"/>
            <w:rFonts w:ascii="Times New Roman" w:hAnsi="Times New Roman" w:cs="Times New Roman"/>
            <w:noProof/>
          </w:rPr>
          <w:t xml:space="preserve">Table 20: </w:t>
        </w:r>
        <w:r w:rsidR="00483A43" w:rsidRPr="00CC578B">
          <w:rPr>
            <w:rStyle w:val="Hyperlink"/>
            <w:rFonts w:ascii="Times New Roman" w:eastAsia="Aptos" w:hAnsi="Times New Roman" w:cs="Times New Roman"/>
            <w:noProof/>
          </w:rPr>
          <w:t>Event summed duration by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_Toc172716848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116</w:t>
        </w:r>
        <w:r w:rsidR="00483A43" w:rsidRPr="00CC578B">
          <w:rPr>
            <w:rFonts w:cs="Times New Roman"/>
            <w:noProof/>
            <w:webHidden/>
          </w:rPr>
          <w:fldChar w:fldCharType="end"/>
        </w:r>
      </w:hyperlink>
    </w:p>
    <w:p w14:paraId="604DB7EC" w14:textId="5FBBE32F"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49" w:history="1">
        <w:r w:rsidR="00483A43" w:rsidRPr="00CC578B">
          <w:rPr>
            <w:rStyle w:val="Hyperlink"/>
            <w:rFonts w:ascii="Times New Roman" w:hAnsi="Times New Roman" w:cs="Times New Roman"/>
            <w:noProof/>
          </w:rPr>
          <w:t xml:space="preserve">Table 21: </w:t>
        </w:r>
        <w:r w:rsidR="00483A43" w:rsidRPr="00CC578B">
          <w:rPr>
            <w:rStyle w:val="Hyperlink"/>
            <w:rFonts w:ascii="Times New Roman" w:eastAsia="Aptos" w:hAnsi="Times New Roman" w:cs="Times New Roman"/>
            <w:noProof/>
          </w:rPr>
          <w:t>Event summed duration by type</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_Toc172716849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116</w:t>
        </w:r>
        <w:r w:rsidR="00483A43" w:rsidRPr="00CC578B">
          <w:rPr>
            <w:rFonts w:cs="Times New Roman"/>
            <w:noProof/>
            <w:webHidden/>
          </w:rPr>
          <w:fldChar w:fldCharType="end"/>
        </w:r>
      </w:hyperlink>
    </w:p>
    <w:p w14:paraId="2095B1C0" w14:textId="4268F04C"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50" w:history="1">
        <w:r w:rsidR="00483A43" w:rsidRPr="00CC578B">
          <w:rPr>
            <w:rStyle w:val="Hyperlink"/>
            <w:rFonts w:ascii="Times New Roman" w:hAnsi="Times New Roman" w:cs="Times New Roman"/>
            <w:noProof/>
          </w:rPr>
          <w:t>Table 22:</w:t>
        </w:r>
        <w:r w:rsidR="00483A43" w:rsidRPr="00CC578B">
          <w:rPr>
            <w:rStyle w:val="Hyperlink"/>
            <w:rFonts w:ascii="Times New Roman" w:eastAsia="Aptos" w:hAnsi="Times New Roman" w:cs="Times New Roman"/>
            <w:noProof/>
          </w:rPr>
          <w:t xml:space="preserve"> Event summed duration by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_Toc172716850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117</w:t>
        </w:r>
        <w:r w:rsidR="00483A43" w:rsidRPr="00CC578B">
          <w:rPr>
            <w:rFonts w:cs="Times New Roman"/>
            <w:noProof/>
            <w:webHidden/>
          </w:rPr>
          <w:fldChar w:fldCharType="end"/>
        </w:r>
      </w:hyperlink>
    </w:p>
    <w:p w14:paraId="29D0E480" w14:textId="7EA95323"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51" w:history="1">
        <w:r w:rsidR="00483A43" w:rsidRPr="00CC578B">
          <w:rPr>
            <w:rStyle w:val="Hyperlink"/>
            <w:rFonts w:ascii="Times New Roman" w:hAnsi="Times New Roman" w:cs="Times New Roman"/>
            <w:noProof/>
          </w:rPr>
          <w:t xml:space="preserve">Table 23: </w:t>
        </w:r>
        <w:r w:rsidR="00483A43" w:rsidRPr="00CC578B">
          <w:rPr>
            <w:rStyle w:val="Hyperlink"/>
            <w:rFonts w:ascii="Times New Roman" w:eastAsia="Aptos" w:hAnsi="Times New Roman" w:cs="Times New Roman"/>
            <w:noProof/>
          </w:rPr>
          <w:t>Event summed duration by type and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_Toc172716851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120</w:t>
        </w:r>
        <w:r w:rsidR="00483A43" w:rsidRPr="00CC578B">
          <w:rPr>
            <w:rFonts w:cs="Times New Roman"/>
            <w:noProof/>
            <w:webHidden/>
          </w:rPr>
          <w:fldChar w:fldCharType="end"/>
        </w:r>
      </w:hyperlink>
    </w:p>
    <w:p w14:paraId="4DDABC7E" w14:textId="2C456573"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52" w:history="1">
        <w:r w:rsidR="00483A43" w:rsidRPr="00CC578B">
          <w:rPr>
            <w:rStyle w:val="Hyperlink"/>
            <w:rFonts w:ascii="Times New Roman" w:hAnsi="Times New Roman" w:cs="Times New Roman"/>
            <w:noProof/>
          </w:rPr>
          <w:t xml:space="preserve">Table 24: </w:t>
        </w:r>
        <w:r w:rsidR="00483A43" w:rsidRPr="00CC578B">
          <w:rPr>
            <w:rStyle w:val="Hyperlink"/>
            <w:rFonts w:ascii="Times New Roman" w:eastAsia="Aptos" w:hAnsi="Times New Roman" w:cs="Times New Roman"/>
            <w:noProof/>
          </w:rPr>
          <w:t>Event summed duration by type and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_Toc172716852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120</w:t>
        </w:r>
        <w:r w:rsidR="00483A43" w:rsidRPr="00CC578B">
          <w:rPr>
            <w:rFonts w:cs="Times New Roman"/>
            <w:noProof/>
            <w:webHidden/>
          </w:rPr>
          <w:fldChar w:fldCharType="end"/>
        </w:r>
      </w:hyperlink>
    </w:p>
    <w:p w14:paraId="5B7E1E3D" w14:textId="562B1DF0"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53" w:history="1">
        <w:r w:rsidR="00483A43" w:rsidRPr="00CC578B">
          <w:rPr>
            <w:rStyle w:val="Hyperlink"/>
            <w:rFonts w:ascii="Times New Roman" w:hAnsi="Times New Roman" w:cs="Times New Roman"/>
            <w:noProof/>
          </w:rPr>
          <w:t xml:space="preserve">Table 25: </w:t>
        </w:r>
        <w:r w:rsidR="00483A43" w:rsidRPr="00CC578B">
          <w:rPr>
            <w:rStyle w:val="Hyperlink"/>
            <w:rFonts w:ascii="Times New Roman" w:eastAsia="Aptos" w:hAnsi="Times New Roman" w:cs="Times New Roman"/>
            <w:noProof/>
          </w:rPr>
          <w:t>Event summed duration by proximity and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_Toc172716853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121</w:t>
        </w:r>
        <w:r w:rsidR="00483A43" w:rsidRPr="00CC578B">
          <w:rPr>
            <w:rFonts w:cs="Times New Roman"/>
            <w:noProof/>
            <w:webHidden/>
          </w:rPr>
          <w:fldChar w:fldCharType="end"/>
        </w:r>
      </w:hyperlink>
    </w:p>
    <w:p w14:paraId="105AFCA7" w14:textId="7D177DE2"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54" w:history="1">
        <w:r w:rsidR="00483A43" w:rsidRPr="00CC578B">
          <w:rPr>
            <w:rStyle w:val="Hyperlink"/>
            <w:rFonts w:ascii="Times New Roman" w:hAnsi="Times New Roman" w:cs="Times New Roman"/>
            <w:noProof/>
          </w:rPr>
          <w:t xml:space="preserve">Table 26: </w:t>
        </w:r>
        <w:r w:rsidR="00483A43" w:rsidRPr="00CC578B">
          <w:rPr>
            <w:rStyle w:val="Hyperlink"/>
            <w:rFonts w:ascii="Times New Roman" w:eastAsia="Aptos" w:hAnsi="Times New Roman" w:cs="Times New Roman"/>
            <w:noProof/>
          </w:rPr>
          <w:t>Event summed duration by type, proximity, and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_Toc172716854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122</w:t>
        </w:r>
        <w:r w:rsidR="00483A43" w:rsidRPr="00CC578B">
          <w:rPr>
            <w:rFonts w:cs="Times New Roman"/>
            <w:noProof/>
            <w:webHidden/>
          </w:rPr>
          <w:fldChar w:fldCharType="end"/>
        </w:r>
      </w:hyperlink>
    </w:p>
    <w:p w14:paraId="0D9B5B21" w14:textId="6AEDE1A5"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55" w:history="1">
        <w:r w:rsidR="00483A43" w:rsidRPr="00CC578B">
          <w:rPr>
            <w:rStyle w:val="Hyperlink"/>
            <w:rFonts w:ascii="Times New Roman" w:hAnsi="Times New Roman" w:cs="Times New Roman"/>
            <w:noProof/>
          </w:rPr>
          <w:t>Table 27: Event average duration by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_Toc172716855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123</w:t>
        </w:r>
        <w:r w:rsidR="00483A43" w:rsidRPr="00CC578B">
          <w:rPr>
            <w:rFonts w:cs="Times New Roman"/>
            <w:noProof/>
            <w:webHidden/>
          </w:rPr>
          <w:fldChar w:fldCharType="end"/>
        </w:r>
      </w:hyperlink>
    </w:p>
    <w:p w14:paraId="1C03A6E8" w14:textId="773BE444"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56" w:history="1">
        <w:r w:rsidR="00483A43" w:rsidRPr="00CC578B">
          <w:rPr>
            <w:rStyle w:val="Hyperlink"/>
            <w:rFonts w:ascii="Times New Roman" w:hAnsi="Times New Roman" w:cs="Times New Roman"/>
            <w:noProof/>
          </w:rPr>
          <w:t>Table 28: Event average duration by type</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_Toc172716856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123</w:t>
        </w:r>
        <w:r w:rsidR="00483A43" w:rsidRPr="00CC578B">
          <w:rPr>
            <w:rFonts w:cs="Times New Roman"/>
            <w:noProof/>
            <w:webHidden/>
          </w:rPr>
          <w:fldChar w:fldCharType="end"/>
        </w:r>
      </w:hyperlink>
    </w:p>
    <w:p w14:paraId="5326C24F" w14:textId="7D1F9941"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57" w:history="1">
        <w:r w:rsidR="00483A43" w:rsidRPr="00CC578B">
          <w:rPr>
            <w:rStyle w:val="Hyperlink"/>
            <w:rFonts w:ascii="Times New Roman" w:hAnsi="Times New Roman" w:cs="Times New Roman"/>
            <w:noProof/>
          </w:rPr>
          <w:t>Table 29: Event average duration by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_Toc172716857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123</w:t>
        </w:r>
        <w:r w:rsidR="00483A43" w:rsidRPr="00CC578B">
          <w:rPr>
            <w:rFonts w:cs="Times New Roman"/>
            <w:noProof/>
            <w:webHidden/>
          </w:rPr>
          <w:fldChar w:fldCharType="end"/>
        </w:r>
      </w:hyperlink>
    </w:p>
    <w:p w14:paraId="10F93B1A" w14:textId="7C36F381"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58" w:history="1">
        <w:r w:rsidR="00483A43" w:rsidRPr="00CC578B">
          <w:rPr>
            <w:rStyle w:val="Hyperlink"/>
            <w:rFonts w:ascii="Times New Roman" w:hAnsi="Times New Roman" w:cs="Times New Roman"/>
            <w:noProof/>
          </w:rPr>
          <w:t>Table 30: Event average duration by week and type</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_Toc172716858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124</w:t>
        </w:r>
        <w:r w:rsidR="00483A43" w:rsidRPr="00CC578B">
          <w:rPr>
            <w:rFonts w:cs="Times New Roman"/>
            <w:noProof/>
            <w:webHidden/>
          </w:rPr>
          <w:fldChar w:fldCharType="end"/>
        </w:r>
      </w:hyperlink>
    </w:p>
    <w:p w14:paraId="445D0539" w14:textId="27658BDC"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59" w:history="1">
        <w:r w:rsidR="00483A43" w:rsidRPr="00CC578B">
          <w:rPr>
            <w:rStyle w:val="Hyperlink"/>
            <w:rFonts w:ascii="Times New Roman" w:hAnsi="Times New Roman" w:cs="Times New Roman"/>
            <w:noProof/>
          </w:rPr>
          <w:t>Table 31: Event average duration by type and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_Toc172716859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124</w:t>
        </w:r>
        <w:r w:rsidR="00483A43" w:rsidRPr="00CC578B">
          <w:rPr>
            <w:rFonts w:cs="Times New Roman"/>
            <w:noProof/>
            <w:webHidden/>
          </w:rPr>
          <w:fldChar w:fldCharType="end"/>
        </w:r>
      </w:hyperlink>
    </w:p>
    <w:p w14:paraId="3F9E3F10" w14:textId="3EE13A49"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60" w:history="1">
        <w:r w:rsidR="00483A43" w:rsidRPr="00CC578B">
          <w:rPr>
            <w:rStyle w:val="Hyperlink"/>
            <w:rFonts w:ascii="Times New Roman" w:hAnsi="Times New Roman" w:cs="Times New Roman"/>
            <w:noProof/>
          </w:rPr>
          <w:t>Table 32: Event average duration by week and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_Toc172716860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125</w:t>
        </w:r>
        <w:r w:rsidR="00483A43" w:rsidRPr="00CC578B">
          <w:rPr>
            <w:rFonts w:cs="Times New Roman"/>
            <w:noProof/>
            <w:webHidden/>
          </w:rPr>
          <w:fldChar w:fldCharType="end"/>
        </w:r>
      </w:hyperlink>
    </w:p>
    <w:p w14:paraId="34E61D1C" w14:textId="76B6A54D"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61" w:history="1">
        <w:r w:rsidR="00483A43" w:rsidRPr="00CC578B">
          <w:rPr>
            <w:rStyle w:val="Hyperlink"/>
            <w:rFonts w:ascii="Times New Roman" w:hAnsi="Times New Roman" w:cs="Times New Roman"/>
            <w:noProof/>
          </w:rPr>
          <w:t>Table 33: Event average duration by week, type, and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_Toc172716861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126</w:t>
        </w:r>
        <w:r w:rsidR="00483A43" w:rsidRPr="00CC578B">
          <w:rPr>
            <w:rFonts w:cs="Times New Roman"/>
            <w:noProof/>
            <w:webHidden/>
          </w:rPr>
          <w:fldChar w:fldCharType="end"/>
        </w:r>
      </w:hyperlink>
    </w:p>
    <w:p w14:paraId="7AF77BE8" w14:textId="504BD288"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62" w:history="1">
        <w:r w:rsidR="00483A43" w:rsidRPr="00CC578B">
          <w:rPr>
            <w:rStyle w:val="Hyperlink"/>
            <w:rFonts w:ascii="Times New Roman" w:hAnsi="Times New Roman" w:cs="Times New Roman"/>
            <w:noProof/>
          </w:rPr>
          <w:t>Table 34: Reach proportion</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_Toc172716862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130</w:t>
        </w:r>
        <w:r w:rsidR="00483A43" w:rsidRPr="00CC578B">
          <w:rPr>
            <w:rFonts w:cs="Times New Roman"/>
            <w:noProof/>
            <w:webHidden/>
          </w:rPr>
          <w:fldChar w:fldCharType="end"/>
        </w:r>
      </w:hyperlink>
    </w:p>
    <w:p w14:paraId="03597117" w14:textId="72667653"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63" w:history="1">
        <w:r w:rsidR="00483A43" w:rsidRPr="00CC578B">
          <w:rPr>
            <w:rStyle w:val="Hyperlink"/>
            <w:rFonts w:ascii="Times New Roman" w:hAnsi="Times New Roman" w:cs="Times New Roman"/>
            <w:noProof/>
          </w:rPr>
          <w:t>Table 35: Reach latency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_Toc172716863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130</w:t>
        </w:r>
        <w:r w:rsidR="00483A43" w:rsidRPr="00CC578B">
          <w:rPr>
            <w:rFonts w:cs="Times New Roman"/>
            <w:noProof/>
            <w:webHidden/>
          </w:rPr>
          <w:fldChar w:fldCharType="end"/>
        </w:r>
      </w:hyperlink>
    </w:p>
    <w:p w14:paraId="195431EF" w14:textId="099A6234"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64" w:history="1">
        <w:r w:rsidR="00483A43" w:rsidRPr="00CC578B">
          <w:rPr>
            <w:rStyle w:val="Hyperlink"/>
            <w:rFonts w:ascii="Times New Roman" w:hAnsi="Times New Roman" w:cs="Times New Roman"/>
            <w:noProof/>
          </w:rPr>
          <w:t>Table 36: Average velocity by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_Toc172716864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131</w:t>
        </w:r>
        <w:r w:rsidR="00483A43" w:rsidRPr="00CC578B">
          <w:rPr>
            <w:rFonts w:cs="Times New Roman"/>
            <w:noProof/>
            <w:webHidden/>
          </w:rPr>
          <w:fldChar w:fldCharType="end"/>
        </w:r>
      </w:hyperlink>
    </w:p>
    <w:p w14:paraId="4E0C689A" w14:textId="7893B93B"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65" w:history="1">
        <w:r w:rsidR="00483A43" w:rsidRPr="00CC578B">
          <w:rPr>
            <w:rStyle w:val="Hyperlink"/>
            <w:rFonts w:ascii="Times New Roman" w:hAnsi="Times New Roman" w:cs="Times New Roman"/>
            <w:noProof/>
          </w:rPr>
          <w:t>Table 37: Average velocity by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_Toc172716865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132</w:t>
        </w:r>
        <w:r w:rsidR="00483A43" w:rsidRPr="00CC578B">
          <w:rPr>
            <w:rFonts w:cs="Times New Roman"/>
            <w:noProof/>
            <w:webHidden/>
          </w:rPr>
          <w:fldChar w:fldCharType="end"/>
        </w:r>
      </w:hyperlink>
    </w:p>
    <w:p w14:paraId="4D15C06C" w14:textId="16F960A2"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66" w:history="1">
        <w:r w:rsidR="00483A43" w:rsidRPr="00CC578B">
          <w:rPr>
            <w:rStyle w:val="Hyperlink"/>
            <w:rFonts w:ascii="Times New Roman" w:hAnsi="Times New Roman" w:cs="Times New Roman"/>
            <w:noProof/>
          </w:rPr>
          <w:t>Table 38: Average velocity by proximity and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_Toc172716866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132</w:t>
        </w:r>
        <w:r w:rsidR="00483A43" w:rsidRPr="00CC578B">
          <w:rPr>
            <w:rFonts w:cs="Times New Roman"/>
            <w:noProof/>
            <w:webHidden/>
          </w:rPr>
          <w:fldChar w:fldCharType="end"/>
        </w:r>
      </w:hyperlink>
    </w:p>
    <w:p w14:paraId="5683DF53" w14:textId="33043088"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67" w:history="1">
        <w:r w:rsidR="00483A43" w:rsidRPr="00CC578B">
          <w:rPr>
            <w:rStyle w:val="Hyperlink"/>
            <w:rFonts w:ascii="Times New Roman" w:hAnsi="Times New Roman" w:cs="Times New Roman"/>
            <w:noProof/>
          </w:rPr>
          <w:t>Table 39: Movement units by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_Toc172716867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134</w:t>
        </w:r>
        <w:r w:rsidR="00483A43" w:rsidRPr="00CC578B">
          <w:rPr>
            <w:rFonts w:cs="Times New Roman"/>
            <w:noProof/>
            <w:webHidden/>
          </w:rPr>
          <w:fldChar w:fldCharType="end"/>
        </w:r>
      </w:hyperlink>
    </w:p>
    <w:p w14:paraId="1C1B692B" w14:textId="2CE1FFAB"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68" w:history="1">
        <w:r w:rsidR="00483A43" w:rsidRPr="00CC578B">
          <w:rPr>
            <w:rStyle w:val="Hyperlink"/>
            <w:rFonts w:ascii="Times New Roman" w:hAnsi="Times New Roman" w:cs="Times New Roman"/>
            <w:noProof/>
          </w:rPr>
          <w:t>Table 40: Movement units by proximity</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_Toc172716868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135</w:t>
        </w:r>
        <w:r w:rsidR="00483A43" w:rsidRPr="00CC578B">
          <w:rPr>
            <w:rFonts w:cs="Times New Roman"/>
            <w:noProof/>
            <w:webHidden/>
          </w:rPr>
          <w:fldChar w:fldCharType="end"/>
        </w:r>
      </w:hyperlink>
    </w:p>
    <w:p w14:paraId="629E4D51" w14:textId="41EDE2EE"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69" w:history="1">
        <w:r w:rsidR="00483A43" w:rsidRPr="00CC578B">
          <w:rPr>
            <w:rStyle w:val="Hyperlink"/>
            <w:rFonts w:ascii="Times New Roman" w:hAnsi="Times New Roman" w:cs="Times New Roman"/>
            <w:noProof/>
          </w:rPr>
          <w:t>Table 41: Movement units by proximity and week</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_Toc172716869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135</w:t>
        </w:r>
        <w:r w:rsidR="00483A43" w:rsidRPr="00CC578B">
          <w:rPr>
            <w:rFonts w:cs="Times New Roman"/>
            <w:noProof/>
            <w:webHidden/>
          </w:rPr>
          <w:fldChar w:fldCharType="end"/>
        </w:r>
      </w:hyperlink>
    </w:p>
    <w:p w14:paraId="6E090D31" w14:textId="6EC80675"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70" w:history="1">
        <w:r w:rsidR="00483A43" w:rsidRPr="00CC578B">
          <w:rPr>
            <w:rStyle w:val="Hyperlink"/>
            <w:rFonts w:ascii="Times New Roman" w:hAnsi="Times New Roman" w:cs="Times New Roman"/>
            <w:noProof/>
          </w:rPr>
          <w:t>Table 42: Proximity duration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_Toc172716870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137</w:t>
        </w:r>
        <w:r w:rsidR="00483A43" w:rsidRPr="00CC578B">
          <w:rPr>
            <w:rFonts w:cs="Times New Roman"/>
            <w:noProof/>
            <w:webHidden/>
          </w:rPr>
          <w:fldChar w:fldCharType="end"/>
        </w:r>
      </w:hyperlink>
    </w:p>
    <w:p w14:paraId="6C4BF8CD" w14:textId="223E2A4F"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71" w:history="1">
        <w:r w:rsidR="00483A43" w:rsidRPr="00CC578B">
          <w:rPr>
            <w:rStyle w:val="Hyperlink"/>
            <w:rFonts w:ascii="Times New Roman" w:hAnsi="Times New Roman" w:cs="Times New Roman"/>
            <w:noProof/>
          </w:rPr>
          <w:t>Table 43: Event frequency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_Toc172716871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139</w:t>
        </w:r>
        <w:r w:rsidR="00483A43" w:rsidRPr="00CC578B">
          <w:rPr>
            <w:rFonts w:cs="Times New Roman"/>
            <w:noProof/>
            <w:webHidden/>
          </w:rPr>
          <w:fldChar w:fldCharType="end"/>
        </w:r>
      </w:hyperlink>
    </w:p>
    <w:p w14:paraId="3994AECF" w14:textId="1D262567"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72" w:history="1">
        <w:r w:rsidR="00483A43" w:rsidRPr="00CC578B">
          <w:rPr>
            <w:rStyle w:val="Hyperlink"/>
            <w:rFonts w:ascii="Times New Roman" w:hAnsi="Times New Roman" w:cs="Times New Roman"/>
            <w:noProof/>
          </w:rPr>
          <w:t>Table 44: Event frequency by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_Toc172716872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139</w:t>
        </w:r>
        <w:r w:rsidR="00483A43" w:rsidRPr="00CC578B">
          <w:rPr>
            <w:rFonts w:cs="Times New Roman"/>
            <w:noProof/>
            <w:webHidden/>
          </w:rPr>
          <w:fldChar w:fldCharType="end"/>
        </w:r>
      </w:hyperlink>
    </w:p>
    <w:p w14:paraId="1803090D" w14:textId="11E76D3C"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73" w:history="1">
        <w:r w:rsidR="00483A43" w:rsidRPr="00CC578B">
          <w:rPr>
            <w:rStyle w:val="Hyperlink"/>
            <w:rFonts w:ascii="Times New Roman" w:hAnsi="Times New Roman" w:cs="Times New Roman"/>
            <w:noProof/>
          </w:rPr>
          <w:t>Table 45: Event frequency by type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_Toc172716873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140</w:t>
        </w:r>
        <w:r w:rsidR="00483A43" w:rsidRPr="00CC578B">
          <w:rPr>
            <w:rFonts w:cs="Times New Roman"/>
            <w:noProof/>
            <w:webHidden/>
          </w:rPr>
          <w:fldChar w:fldCharType="end"/>
        </w:r>
      </w:hyperlink>
    </w:p>
    <w:p w14:paraId="477F06FF" w14:textId="35E8B196"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74" w:history="1">
        <w:r w:rsidR="00483A43" w:rsidRPr="00CC578B">
          <w:rPr>
            <w:rStyle w:val="Hyperlink"/>
            <w:rFonts w:ascii="Times New Roman" w:hAnsi="Times New Roman" w:cs="Times New Roman"/>
            <w:noProof/>
          </w:rPr>
          <w:t>Table 46: Event frequency by proximity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_Toc172716874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140</w:t>
        </w:r>
        <w:r w:rsidR="00483A43" w:rsidRPr="00CC578B">
          <w:rPr>
            <w:rFonts w:cs="Times New Roman"/>
            <w:noProof/>
            <w:webHidden/>
          </w:rPr>
          <w:fldChar w:fldCharType="end"/>
        </w:r>
      </w:hyperlink>
    </w:p>
    <w:p w14:paraId="6F3C4537" w14:textId="2EE54A39"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75" w:history="1">
        <w:r w:rsidR="00483A43" w:rsidRPr="00CC578B">
          <w:rPr>
            <w:rStyle w:val="Hyperlink"/>
            <w:rFonts w:ascii="Times New Roman" w:hAnsi="Times New Roman" w:cs="Times New Roman"/>
            <w:noProof/>
          </w:rPr>
          <w:t>Table 47: Event frequency by type and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_Toc172716875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142</w:t>
        </w:r>
        <w:r w:rsidR="00483A43" w:rsidRPr="00CC578B">
          <w:rPr>
            <w:rFonts w:cs="Times New Roman"/>
            <w:noProof/>
            <w:webHidden/>
          </w:rPr>
          <w:fldChar w:fldCharType="end"/>
        </w:r>
      </w:hyperlink>
    </w:p>
    <w:p w14:paraId="7638545A" w14:textId="3AF78B02"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76" w:history="1">
        <w:r w:rsidR="00483A43" w:rsidRPr="00CC578B">
          <w:rPr>
            <w:rStyle w:val="Hyperlink"/>
            <w:rFonts w:ascii="Times New Roman" w:hAnsi="Times New Roman" w:cs="Times New Roman"/>
            <w:noProof/>
          </w:rPr>
          <w:t>Table 48: Event frequency by proximity and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_Toc172716876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143</w:t>
        </w:r>
        <w:r w:rsidR="00483A43" w:rsidRPr="00CC578B">
          <w:rPr>
            <w:rFonts w:cs="Times New Roman"/>
            <w:noProof/>
            <w:webHidden/>
          </w:rPr>
          <w:fldChar w:fldCharType="end"/>
        </w:r>
      </w:hyperlink>
    </w:p>
    <w:p w14:paraId="6A08E6D2" w14:textId="3065A4B9"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77" w:history="1">
        <w:r w:rsidR="00483A43" w:rsidRPr="00CC578B">
          <w:rPr>
            <w:rStyle w:val="Hyperlink"/>
            <w:rFonts w:ascii="Times New Roman" w:hAnsi="Times New Roman" w:cs="Times New Roman"/>
            <w:noProof/>
          </w:rPr>
          <w:t>Table 49: Event frequency by proximity and type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_Toc172716877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144</w:t>
        </w:r>
        <w:r w:rsidR="00483A43" w:rsidRPr="00CC578B">
          <w:rPr>
            <w:rFonts w:cs="Times New Roman"/>
            <w:noProof/>
            <w:webHidden/>
          </w:rPr>
          <w:fldChar w:fldCharType="end"/>
        </w:r>
      </w:hyperlink>
    </w:p>
    <w:p w14:paraId="728BF64E" w14:textId="31CF6E3A"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78" w:history="1">
        <w:r w:rsidR="00483A43" w:rsidRPr="00CC578B">
          <w:rPr>
            <w:rStyle w:val="Hyperlink"/>
            <w:rFonts w:ascii="Times New Roman" w:hAnsi="Times New Roman" w:cs="Times New Roman"/>
            <w:noProof/>
          </w:rPr>
          <w:t>Table 50: Event frequency by proximity, type, and week for early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_Toc172716878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145</w:t>
        </w:r>
        <w:r w:rsidR="00483A43" w:rsidRPr="00CC578B">
          <w:rPr>
            <w:rFonts w:cs="Times New Roman"/>
            <w:noProof/>
            <w:webHidden/>
          </w:rPr>
          <w:fldChar w:fldCharType="end"/>
        </w:r>
      </w:hyperlink>
    </w:p>
    <w:p w14:paraId="7E74FD60" w14:textId="60C4EE91"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79" w:history="1">
        <w:r w:rsidR="00483A43" w:rsidRPr="00CC578B">
          <w:rPr>
            <w:rStyle w:val="Hyperlink"/>
            <w:rFonts w:ascii="Times New Roman" w:hAnsi="Times New Roman" w:cs="Times New Roman"/>
            <w:noProof/>
          </w:rPr>
          <w:t>Table 51: Event frequency by proximity, type, and week for late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_Toc172716879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146</w:t>
        </w:r>
        <w:r w:rsidR="00483A43" w:rsidRPr="00CC578B">
          <w:rPr>
            <w:rFonts w:cs="Times New Roman"/>
            <w:noProof/>
            <w:webHidden/>
          </w:rPr>
          <w:fldChar w:fldCharType="end"/>
        </w:r>
      </w:hyperlink>
    </w:p>
    <w:p w14:paraId="69295391" w14:textId="1B7FE248"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80" w:history="1">
        <w:r w:rsidR="00483A43" w:rsidRPr="00CC578B">
          <w:rPr>
            <w:rStyle w:val="Hyperlink"/>
            <w:rFonts w:ascii="Times New Roman" w:hAnsi="Times New Roman" w:cs="Times New Roman"/>
            <w:noProof/>
          </w:rPr>
          <w:t>Table 52: Event rate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_Toc172716880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148</w:t>
        </w:r>
        <w:r w:rsidR="00483A43" w:rsidRPr="00CC578B">
          <w:rPr>
            <w:rFonts w:cs="Times New Roman"/>
            <w:noProof/>
            <w:webHidden/>
          </w:rPr>
          <w:fldChar w:fldCharType="end"/>
        </w:r>
      </w:hyperlink>
    </w:p>
    <w:p w14:paraId="7177E014" w14:textId="6A57774B"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81" w:history="1">
        <w:r w:rsidR="00483A43" w:rsidRPr="00CC578B">
          <w:rPr>
            <w:rStyle w:val="Hyperlink"/>
            <w:rFonts w:ascii="Times New Roman" w:hAnsi="Times New Roman" w:cs="Times New Roman"/>
            <w:noProof/>
          </w:rPr>
          <w:t>Table 53: Event rate by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_Toc172716881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148</w:t>
        </w:r>
        <w:r w:rsidR="00483A43" w:rsidRPr="00CC578B">
          <w:rPr>
            <w:rFonts w:cs="Times New Roman"/>
            <w:noProof/>
            <w:webHidden/>
          </w:rPr>
          <w:fldChar w:fldCharType="end"/>
        </w:r>
      </w:hyperlink>
    </w:p>
    <w:p w14:paraId="1EDC4984" w14:textId="41E9EF65"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82" w:history="1">
        <w:r w:rsidR="00483A43" w:rsidRPr="00CC578B">
          <w:rPr>
            <w:rStyle w:val="Hyperlink"/>
            <w:rFonts w:ascii="Times New Roman" w:hAnsi="Times New Roman" w:cs="Times New Roman"/>
            <w:noProof/>
          </w:rPr>
          <w:t>Table 54: Event rate by type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_Toc172716882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149</w:t>
        </w:r>
        <w:r w:rsidR="00483A43" w:rsidRPr="00CC578B">
          <w:rPr>
            <w:rFonts w:cs="Times New Roman"/>
            <w:noProof/>
            <w:webHidden/>
          </w:rPr>
          <w:fldChar w:fldCharType="end"/>
        </w:r>
      </w:hyperlink>
    </w:p>
    <w:p w14:paraId="03FD1650" w14:textId="6FF17F85"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83" w:history="1">
        <w:r w:rsidR="00483A43" w:rsidRPr="00CC578B">
          <w:rPr>
            <w:rStyle w:val="Hyperlink"/>
            <w:rFonts w:ascii="Times New Roman" w:hAnsi="Times New Roman" w:cs="Times New Roman"/>
            <w:noProof/>
          </w:rPr>
          <w:t>Table 55: Event rate by proximity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_Toc172716883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149</w:t>
        </w:r>
        <w:r w:rsidR="00483A43" w:rsidRPr="00CC578B">
          <w:rPr>
            <w:rFonts w:cs="Times New Roman"/>
            <w:noProof/>
            <w:webHidden/>
          </w:rPr>
          <w:fldChar w:fldCharType="end"/>
        </w:r>
      </w:hyperlink>
    </w:p>
    <w:p w14:paraId="1F4DA7DF" w14:textId="0A472926"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84" w:history="1">
        <w:r w:rsidR="00483A43" w:rsidRPr="00CC578B">
          <w:rPr>
            <w:rStyle w:val="Hyperlink"/>
            <w:rFonts w:ascii="Times New Roman" w:hAnsi="Times New Roman" w:cs="Times New Roman"/>
            <w:noProof/>
          </w:rPr>
          <w:t>Table 56: Event rate by type and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_Toc172716884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151</w:t>
        </w:r>
        <w:r w:rsidR="00483A43" w:rsidRPr="00CC578B">
          <w:rPr>
            <w:rFonts w:cs="Times New Roman"/>
            <w:noProof/>
            <w:webHidden/>
          </w:rPr>
          <w:fldChar w:fldCharType="end"/>
        </w:r>
      </w:hyperlink>
    </w:p>
    <w:p w14:paraId="012DE152" w14:textId="7615EAEE"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85" w:history="1">
        <w:r w:rsidR="00483A43" w:rsidRPr="00CC578B">
          <w:rPr>
            <w:rStyle w:val="Hyperlink"/>
            <w:rFonts w:ascii="Times New Roman" w:hAnsi="Times New Roman" w:cs="Times New Roman"/>
            <w:noProof/>
          </w:rPr>
          <w:t>Table 57: Event rate by proximity and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_Toc172716885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152</w:t>
        </w:r>
        <w:r w:rsidR="00483A43" w:rsidRPr="00CC578B">
          <w:rPr>
            <w:rFonts w:cs="Times New Roman"/>
            <w:noProof/>
            <w:webHidden/>
          </w:rPr>
          <w:fldChar w:fldCharType="end"/>
        </w:r>
      </w:hyperlink>
    </w:p>
    <w:p w14:paraId="5829A8F5" w14:textId="26FC9DED"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86" w:history="1">
        <w:r w:rsidR="00483A43" w:rsidRPr="00CC578B">
          <w:rPr>
            <w:rStyle w:val="Hyperlink"/>
            <w:rFonts w:ascii="Times New Roman" w:hAnsi="Times New Roman" w:cs="Times New Roman"/>
            <w:noProof/>
          </w:rPr>
          <w:t>Table 58: Event rate by proximity and type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_Toc172716886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153</w:t>
        </w:r>
        <w:r w:rsidR="00483A43" w:rsidRPr="00CC578B">
          <w:rPr>
            <w:rFonts w:cs="Times New Roman"/>
            <w:noProof/>
            <w:webHidden/>
          </w:rPr>
          <w:fldChar w:fldCharType="end"/>
        </w:r>
      </w:hyperlink>
    </w:p>
    <w:p w14:paraId="51439240" w14:textId="595B858D"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87" w:history="1">
        <w:r w:rsidR="00483A43" w:rsidRPr="00CC578B">
          <w:rPr>
            <w:rStyle w:val="Hyperlink"/>
            <w:rFonts w:ascii="Times New Roman" w:hAnsi="Times New Roman" w:cs="Times New Roman"/>
            <w:noProof/>
          </w:rPr>
          <w:t>Table 59: Event rate by type, proximity, and week for early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_Toc172716887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154</w:t>
        </w:r>
        <w:r w:rsidR="00483A43" w:rsidRPr="00CC578B">
          <w:rPr>
            <w:rFonts w:cs="Times New Roman"/>
            <w:noProof/>
            <w:webHidden/>
          </w:rPr>
          <w:fldChar w:fldCharType="end"/>
        </w:r>
      </w:hyperlink>
    </w:p>
    <w:p w14:paraId="284E7EFD" w14:textId="62C3468C"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88" w:history="1">
        <w:r w:rsidR="00483A43" w:rsidRPr="00CC578B">
          <w:rPr>
            <w:rStyle w:val="Hyperlink"/>
            <w:rFonts w:ascii="Times New Roman" w:hAnsi="Times New Roman" w:cs="Times New Roman"/>
            <w:noProof/>
          </w:rPr>
          <w:t>Table 60: Event rate by type, proximity, and week for late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_Toc172716888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155</w:t>
        </w:r>
        <w:r w:rsidR="00483A43" w:rsidRPr="00CC578B">
          <w:rPr>
            <w:rFonts w:cs="Times New Roman"/>
            <w:noProof/>
            <w:webHidden/>
          </w:rPr>
          <w:fldChar w:fldCharType="end"/>
        </w:r>
      </w:hyperlink>
    </w:p>
    <w:p w14:paraId="666A6C4D" w14:textId="1F59FAA6"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89" w:history="1">
        <w:r w:rsidR="00483A43" w:rsidRPr="00CC578B">
          <w:rPr>
            <w:rStyle w:val="Hyperlink"/>
            <w:rFonts w:ascii="Times New Roman" w:hAnsi="Times New Roman" w:cs="Times New Roman"/>
            <w:noProof/>
          </w:rPr>
          <w:t>Table 61: Event summed duration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_Toc172716889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157</w:t>
        </w:r>
        <w:r w:rsidR="00483A43" w:rsidRPr="00CC578B">
          <w:rPr>
            <w:rFonts w:cs="Times New Roman"/>
            <w:noProof/>
            <w:webHidden/>
          </w:rPr>
          <w:fldChar w:fldCharType="end"/>
        </w:r>
      </w:hyperlink>
    </w:p>
    <w:p w14:paraId="1BC9AF40" w14:textId="7CFA3073"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90" w:history="1">
        <w:r w:rsidR="00483A43" w:rsidRPr="00CC578B">
          <w:rPr>
            <w:rStyle w:val="Hyperlink"/>
            <w:rFonts w:ascii="Times New Roman" w:hAnsi="Times New Roman" w:cs="Times New Roman"/>
            <w:noProof/>
          </w:rPr>
          <w:t>Table 62: Event summed duration by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_Toc172716890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157</w:t>
        </w:r>
        <w:r w:rsidR="00483A43" w:rsidRPr="00CC578B">
          <w:rPr>
            <w:rFonts w:cs="Times New Roman"/>
            <w:noProof/>
            <w:webHidden/>
          </w:rPr>
          <w:fldChar w:fldCharType="end"/>
        </w:r>
      </w:hyperlink>
    </w:p>
    <w:p w14:paraId="2354E598" w14:textId="683650A9"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91" w:history="1">
        <w:r w:rsidR="00483A43" w:rsidRPr="00CC578B">
          <w:rPr>
            <w:rStyle w:val="Hyperlink"/>
            <w:rFonts w:ascii="Times New Roman" w:hAnsi="Times New Roman" w:cs="Times New Roman"/>
            <w:noProof/>
          </w:rPr>
          <w:t>Table 63: Event summed duration by type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_Toc172716891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158</w:t>
        </w:r>
        <w:r w:rsidR="00483A43" w:rsidRPr="00CC578B">
          <w:rPr>
            <w:rFonts w:cs="Times New Roman"/>
            <w:noProof/>
            <w:webHidden/>
          </w:rPr>
          <w:fldChar w:fldCharType="end"/>
        </w:r>
      </w:hyperlink>
    </w:p>
    <w:p w14:paraId="0AF8CCAB" w14:textId="3F20B4C2"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92" w:history="1">
        <w:r w:rsidR="00483A43" w:rsidRPr="00CC578B">
          <w:rPr>
            <w:rStyle w:val="Hyperlink"/>
            <w:rFonts w:ascii="Times New Roman" w:hAnsi="Times New Roman" w:cs="Times New Roman"/>
            <w:noProof/>
          </w:rPr>
          <w:t>Table 64: Event summed duration by proximity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_Toc172716892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158</w:t>
        </w:r>
        <w:r w:rsidR="00483A43" w:rsidRPr="00CC578B">
          <w:rPr>
            <w:rFonts w:cs="Times New Roman"/>
            <w:noProof/>
            <w:webHidden/>
          </w:rPr>
          <w:fldChar w:fldCharType="end"/>
        </w:r>
      </w:hyperlink>
    </w:p>
    <w:p w14:paraId="05D06470" w14:textId="1040CF8C"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93" w:history="1">
        <w:r w:rsidR="00483A43" w:rsidRPr="00CC578B">
          <w:rPr>
            <w:rStyle w:val="Hyperlink"/>
            <w:rFonts w:ascii="Times New Roman" w:hAnsi="Times New Roman" w:cs="Times New Roman"/>
            <w:noProof/>
          </w:rPr>
          <w:t>Table 65: Event summed duration by type and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_Toc172716893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159</w:t>
        </w:r>
        <w:r w:rsidR="00483A43" w:rsidRPr="00CC578B">
          <w:rPr>
            <w:rFonts w:cs="Times New Roman"/>
            <w:noProof/>
            <w:webHidden/>
          </w:rPr>
          <w:fldChar w:fldCharType="end"/>
        </w:r>
      </w:hyperlink>
    </w:p>
    <w:p w14:paraId="26A9C586" w14:textId="2334930F"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94" w:history="1">
        <w:r w:rsidR="00483A43" w:rsidRPr="00CC578B">
          <w:rPr>
            <w:rStyle w:val="Hyperlink"/>
            <w:rFonts w:ascii="Times New Roman" w:hAnsi="Times New Roman" w:cs="Times New Roman"/>
            <w:noProof/>
          </w:rPr>
          <w:t>Table 66: Event summed duration by proximity and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_Toc172716894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160</w:t>
        </w:r>
        <w:r w:rsidR="00483A43" w:rsidRPr="00CC578B">
          <w:rPr>
            <w:rFonts w:cs="Times New Roman"/>
            <w:noProof/>
            <w:webHidden/>
          </w:rPr>
          <w:fldChar w:fldCharType="end"/>
        </w:r>
      </w:hyperlink>
    </w:p>
    <w:p w14:paraId="5A0B7F4B" w14:textId="1C646C88"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95" w:history="1">
        <w:r w:rsidR="00483A43" w:rsidRPr="00CC578B">
          <w:rPr>
            <w:rStyle w:val="Hyperlink"/>
            <w:rFonts w:ascii="Times New Roman" w:hAnsi="Times New Roman" w:cs="Times New Roman"/>
            <w:noProof/>
          </w:rPr>
          <w:t>Table 67: Event summed duration by proximity and type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_Toc172716895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161</w:t>
        </w:r>
        <w:r w:rsidR="00483A43" w:rsidRPr="00CC578B">
          <w:rPr>
            <w:rFonts w:cs="Times New Roman"/>
            <w:noProof/>
            <w:webHidden/>
          </w:rPr>
          <w:fldChar w:fldCharType="end"/>
        </w:r>
      </w:hyperlink>
    </w:p>
    <w:p w14:paraId="061F4361" w14:textId="43EE0214"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96" w:history="1">
        <w:r w:rsidR="00483A43" w:rsidRPr="00CC578B">
          <w:rPr>
            <w:rStyle w:val="Hyperlink"/>
            <w:rFonts w:ascii="Times New Roman" w:hAnsi="Times New Roman" w:cs="Times New Roman"/>
            <w:noProof/>
          </w:rPr>
          <w:t>Table 68: Event summed duration by type, proximity, and week for early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_Toc172716896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163</w:t>
        </w:r>
        <w:r w:rsidR="00483A43" w:rsidRPr="00CC578B">
          <w:rPr>
            <w:rFonts w:cs="Times New Roman"/>
            <w:noProof/>
            <w:webHidden/>
          </w:rPr>
          <w:fldChar w:fldCharType="end"/>
        </w:r>
      </w:hyperlink>
    </w:p>
    <w:p w14:paraId="78689FA0" w14:textId="50AA0907"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97" w:history="1">
        <w:r w:rsidR="00483A43" w:rsidRPr="00CC578B">
          <w:rPr>
            <w:rStyle w:val="Hyperlink"/>
            <w:rFonts w:ascii="Times New Roman" w:hAnsi="Times New Roman" w:cs="Times New Roman"/>
            <w:noProof/>
          </w:rPr>
          <w:t>Table 69: Event summed duration by type, proximity, and week for late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_Toc172716897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164</w:t>
        </w:r>
        <w:r w:rsidR="00483A43" w:rsidRPr="00CC578B">
          <w:rPr>
            <w:rFonts w:cs="Times New Roman"/>
            <w:noProof/>
            <w:webHidden/>
          </w:rPr>
          <w:fldChar w:fldCharType="end"/>
        </w:r>
      </w:hyperlink>
    </w:p>
    <w:p w14:paraId="60C0B096" w14:textId="3DB88751"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98" w:history="1">
        <w:r w:rsidR="00483A43" w:rsidRPr="00CC578B">
          <w:rPr>
            <w:rStyle w:val="Hyperlink"/>
            <w:rFonts w:ascii="Times New Roman" w:hAnsi="Times New Roman" w:cs="Times New Roman"/>
            <w:noProof/>
          </w:rPr>
          <w:t>Table 70: Event average duration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_Toc172716898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166</w:t>
        </w:r>
        <w:r w:rsidR="00483A43" w:rsidRPr="00CC578B">
          <w:rPr>
            <w:rFonts w:cs="Times New Roman"/>
            <w:noProof/>
            <w:webHidden/>
          </w:rPr>
          <w:fldChar w:fldCharType="end"/>
        </w:r>
      </w:hyperlink>
    </w:p>
    <w:p w14:paraId="5B43673F" w14:textId="59E87542"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899" w:history="1">
        <w:r w:rsidR="00483A43" w:rsidRPr="00CC578B">
          <w:rPr>
            <w:rStyle w:val="Hyperlink"/>
            <w:rFonts w:ascii="Times New Roman" w:hAnsi="Times New Roman" w:cs="Times New Roman"/>
            <w:noProof/>
          </w:rPr>
          <w:t>Table 71: Event average duration per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_Toc172716899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166</w:t>
        </w:r>
        <w:r w:rsidR="00483A43" w:rsidRPr="00CC578B">
          <w:rPr>
            <w:rFonts w:cs="Times New Roman"/>
            <w:noProof/>
            <w:webHidden/>
          </w:rPr>
          <w:fldChar w:fldCharType="end"/>
        </w:r>
      </w:hyperlink>
    </w:p>
    <w:p w14:paraId="43DCC649" w14:textId="093F06A5"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00" w:history="1">
        <w:r w:rsidR="00483A43" w:rsidRPr="00CC578B">
          <w:rPr>
            <w:rStyle w:val="Hyperlink"/>
            <w:rFonts w:ascii="Times New Roman" w:hAnsi="Times New Roman" w:cs="Times New Roman"/>
            <w:noProof/>
          </w:rPr>
          <w:t>Table 72: Event average duration by type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_Toc172716900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167</w:t>
        </w:r>
        <w:r w:rsidR="00483A43" w:rsidRPr="00CC578B">
          <w:rPr>
            <w:rFonts w:cs="Times New Roman"/>
            <w:noProof/>
            <w:webHidden/>
          </w:rPr>
          <w:fldChar w:fldCharType="end"/>
        </w:r>
      </w:hyperlink>
    </w:p>
    <w:p w14:paraId="07AFB5AA" w14:textId="0E294605"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01" w:history="1">
        <w:r w:rsidR="00483A43" w:rsidRPr="00CC578B">
          <w:rPr>
            <w:rStyle w:val="Hyperlink"/>
            <w:rFonts w:ascii="Times New Roman" w:hAnsi="Times New Roman" w:cs="Times New Roman"/>
            <w:noProof/>
          </w:rPr>
          <w:t>Table 73: Event average duration by proximity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_Toc172716901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167</w:t>
        </w:r>
        <w:r w:rsidR="00483A43" w:rsidRPr="00CC578B">
          <w:rPr>
            <w:rFonts w:cs="Times New Roman"/>
            <w:noProof/>
            <w:webHidden/>
          </w:rPr>
          <w:fldChar w:fldCharType="end"/>
        </w:r>
      </w:hyperlink>
    </w:p>
    <w:p w14:paraId="7AD8F7BF" w14:textId="09CA04A6"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02" w:history="1">
        <w:r w:rsidR="00483A43" w:rsidRPr="00CC578B">
          <w:rPr>
            <w:rStyle w:val="Hyperlink"/>
            <w:rFonts w:ascii="Times New Roman" w:hAnsi="Times New Roman" w:cs="Times New Roman"/>
            <w:noProof/>
          </w:rPr>
          <w:t>Table 74: Event average duration by type and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_Toc172716902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168</w:t>
        </w:r>
        <w:r w:rsidR="00483A43" w:rsidRPr="00CC578B">
          <w:rPr>
            <w:rFonts w:cs="Times New Roman"/>
            <w:noProof/>
            <w:webHidden/>
          </w:rPr>
          <w:fldChar w:fldCharType="end"/>
        </w:r>
      </w:hyperlink>
    </w:p>
    <w:p w14:paraId="70A5550B" w14:textId="04FFA76A"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03" w:history="1">
        <w:r w:rsidR="00483A43" w:rsidRPr="00CC578B">
          <w:rPr>
            <w:rStyle w:val="Hyperlink"/>
            <w:rFonts w:ascii="Times New Roman" w:hAnsi="Times New Roman" w:cs="Times New Roman"/>
            <w:noProof/>
          </w:rPr>
          <w:t>Table 75: Event average duration by proximity and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_Toc172716903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169</w:t>
        </w:r>
        <w:r w:rsidR="00483A43" w:rsidRPr="00CC578B">
          <w:rPr>
            <w:rFonts w:cs="Times New Roman"/>
            <w:noProof/>
            <w:webHidden/>
          </w:rPr>
          <w:fldChar w:fldCharType="end"/>
        </w:r>
      </w:hyperlink>
    </w:p>
    <w:p w14:paraId="11BC6E2D" w14:textId="753178E4"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04" w:history="1">
        <w:r w:rsidR="00483A43" w:rsidRPr="00CC578B">
          <w:rPr>
            <w:rStyle w:val="Hyperlink"/>
            <w:rFonts w:ascii="Times New Roman" w:hAnsi="Times New Roman" w:cs="Times New Roman"/>
            <w:noProof/>
          </w:rPr>
          <w:t>Table 76: Event average duration by type, proximity, and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_Toc172716904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170</w:t>
        </w:r>
        <w:r w:rsidR="00483A43" w:rsidRPr="00CC578B">
          <w:rPr>
            <w:rFonts w:cs="Times New Roman"/>
            <w:noProof/>
            <w:webHidden/>
          </w:rPr>
          <w:fldChar w:fldCharType="end"/>
        </w:r>
      </w:hyperlink>
    </w:p>
    <w:p w14:paraId="04DB6C79" w14:textId="671B4626"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05" w:history="1">
        <w:r w:rsidR="00483A43" w:rsidRPr="00CC578B">
          <w:rPr>
            <w:rStyle w:val="Hyperlink"/>
            <w:rFonts w:ascii="Times New Roman" w:hAnsi="Times New Roman" w:cs="Times New Roman"/>
            <w:noProof/>
          </w:rPr>
          <w:t>Table 77: Event average duration by type, proximity, and week for early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_Toc172716905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172</w:t>
        </w:r>
        <w:r w:rsidR="00483A43" w:rsidRPr="00CC578B">
          <w:rPr>
            <w:rFonts w:cs="Times New Roman"/>
            <w:noProof/>
            <w:webHidden/>
          </w:rPr>
          <w:fldChar w:fldCharType="end"/>
        </w:r>
      </w:hyperlink>
    </w:p>
    <w:p w14:paraId="70DD134E" w14:textId="61BFFFD2"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06" w:history="1">
        <w:r w:rsidR="00483A43" w:rsidRPr="00CC578B">
          <w:rPr>
            <w:rStyle w:val="Hyperlink"/>
            <w:rFonts w:ascii="Times New Roman" w:hAnsi="Times New Roman" w:cs="Times New Roman"/>
            <w:noProof/>
          </w:rPr>
          <w:t>Table 78: Event average duration by type, proximity, and week for late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_Toc172716906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173</w:t>
        </w:r>
        <w:r w:rsidR="00483A43" w:rsidRPr="00CC578B">
          <w:rPr>
            <w:rFonts w:cs="Times New Roman"/>
            <w:noProof/>
            <w:webHidden/>
          </w:rPr>
          <w:fldChar w:fldCharType="end"/>
        </w:r>
      </w:hyperlink>
    </w:p>
    <w:p w14:paraId="6C3A7DC3" w14:textId="5C8E2741"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07" w:history="1">
        <w:r w:rsidR="00483A43" w:rsidRPr="00CC578B">
          <w:rPr>
            <w:rStyle w:val="Hyperlink"/>
            <w:rFonts w:ascii="Times New Roman" w:hAnsi="Times New Roman" w:cs="Times New Roman"/>
            <w:noProof/>
          </w:rPr>
          <w:t>Table 79: Latency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_Toc172716907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174</w:t>
        </w:r>
        <w:r w:rsidR="00483A43" w:rsidRPr="00CC578B">
          <w:rPr>
            <w:rFonts w:cs="Times New Roman"/>
            <w:noProof/>
            <w:webHidden/>
          </w:rPr>
          <w:fldChar w:fldCharType="end"/>
        </w:r>
      </w:hyperlink>
    </w:p>
    <w:p w14:paraId="1AF7875F" w14:textId="40AC050C"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08" w:history="1">
        <w:r w:rsidR="00483A43" w:rsidRPr="00CC578B">
          <w:rPr>
            <w:rStyle w:val="Hyperlink"/>
            <w:rFonts w:ascii="Times New Roman" w:hAnsi="Times New Roman" w:cs="Times New Roman"/>
            <w:noProof/>
          </w:rPr>
          <w:t>Table 80: Latency by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_Toc172716908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175</w:t>
        </w:r>
        <w:r w:rsidR="00483A43" w:rsidRPr="00CC578B">
          <w:rPr>
            <w:rFonts w:cs="Times New Roman"/>
            <w:noProof/>
            <w:webHidden/>
          </w:rPr>
          <w:fldChar w:fldCharType="end"/>
        </w:r>
      </w:hyperlink>
    </w:p>
    <w:p w14:paraId="2510FFC9" w14:textId="1DD0D4ED"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09" w:history="1">
        <w:r w:rsidR="00483A43" w:rsidRPr="00CC578B">
          <w:rPr>
            <w:rStyle w:val="Hyperlink"/>
            <w:rFonts w:ascii="Times New Roman" w:hAnsi="Times New Roman" w:cs="Times New Roman"/>
            <w:noProof/>
          </w:rPr>
          <w:t>Table 81: Reach proportion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_Toc172716909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175</w:t>
        </w:r>
        <w:r w:rsidR="00483A43" w:rsidRPr="00CC578B">
          <w:rPr>
            <w:rFonts w:cs="Times New Roman"/>
            <w:noProof/>
            <w:webHidden/>
          </w:rPr>
          <w:fldChar w:fldCharType="end"/>
        </w:r>
      </w:hyperlink>
    </w:p>
    <w:p w14:paraId="1831854F" w14:textId="6518FDC2"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10" w:history="1">
        <w:r w:rsidR="00483A43" w:rsidRPr="00CC578B">
          <w:rPr>
            <w:rStyle w:val="Hyperlink"/>
            <w:rFonts w:ascii="Times New Roman" w:hAnsi="Times New Roman" w:cs="Times New Roman"/>
            <w:noProof/>
          </w:rPr>
          <w:t>Table 82: Reach proportion by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_Toc172716910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176</w:t>
        </w:r>
        <w:r w:rsidR="00483A43" w:rsidRPr="00CC578B">
          <w:rPr>
            <w:rFonts w:cs="Times New Roman"/>
            <w:noProof/>
            <w:webHidden/>
          </w:rPr>
          <w:fldChar w:fldCharType="end"/>
        </w:r>
      </w:hyperlink>
    </w:p>
    <w:p w14:paraId="3ED3DF85" w14:textId="38A4318A"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11" w:history="1">
        <w:r w:rsidR="00483A43" w:rsidRPr="00CC578B">
          <w:rPr>
            <w:rStyle w:val="Hyperlink"/>
            <w:rFonts w:ascii="Times New Roman" w:hAnsi="Times New Roman" w:cs="Times New Roman"/>
            <w:noProof/>
          </w:rPr>
          <w:t>Table 83: Velocity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_Toc172716911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177</w:t>
        </w:r>
        <w:r w:rsidR="00483A43" w:rsidRPr="00CC578B">
          <w:rPr>
            <w:rFonts w:cs="Times New Roman"/>
            <w:noProof/>
            <w:webHidden/>
          </w:rPr>
          <w:fldChar w:fldCharType="end"/>
        </w:r>
      </w:hyperlink>
    </w:p>
    <w:p w14:paraId="6132D784" w14:textId="70FDA85E"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12" w:history="1">
        <w:r w:rsidR="00483A43" w:rsidRPr="00CC578B">
          <w:rPr>
            <w:rStyle w:val="Hyperlink"/>
            <w:rFonts w:ascii="Times New Roman" w:hAnsi="Times New Roman" w:cs="Times New Roman"/>
            <w:noProof/>
          </w:rPr>
          <w:t>Table 84: Velocity by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_Toc172716912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178</w:t>
        </w:r>
        <w:r w:rsidR="00483A43" w:rsidRPr="00CC578B">
          <w:rPr>
            <w:rFonts w:cs="Times New Roman"/>
            <w:noProof/>
            <w:webHidden/>
          </w:rPr>
          <w:fldChar w:fldCharType="end"/>
        </w:r>
      </w:hyperlink>
    </w:p>
    <w:p w14:paraId="7682D9DC" w14:textId="39212A69"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13" w:history="1">
        <w:r w:rsidR="00483A43" w:rsidRPr="00CC578B">
          <w:rPr>
            <w:rStyle w:val="Hyperlink"/>
            <w:rFonts w:ascii="Times New Roman" w:hAnsi="Times New Roman" w:cs="Times New Roman"/>
            <w:noProof/>
          </w:rPr>
          <w:t>Table 85: Velocity by proximity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_Toc172716913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178</w:t>
        </w:r>
        <w:r w:rsidR="00483A43" w:rsidRPr="00CC578B">
          <w:rPr>
            <w:rFonts w:cs="Times New Roman"/>
            <w:noProof/>
            <w:webHidden/>
          </w:rPr>
          <w:fldChar w:fldCharType="end"/>
        </w:r>
      </w:hyperlink>
    </w:p>
    <w:p w14:paraId="14ECD73E" w14:textId="638EBC05"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14" w:history="1">
        <w:r w:rsidR="00483A43" w:rsidRPr="00CC578B">
          <w:rPr>
            <w:rStyle w:val="Hyperlink"/>
            <w:rFonts w:ascii="Times New Roman" w:hAnsi="Times New Roman" w:cs="Times New Roman"/>
            <w:noProof/>
          </w:rPr>
          <w:t>Table 86: Movement units by week and proximity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_Toc172716914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180</w:t>
        </w:r>
        <w:r w:rsidR="00483A43" w:rsidRPr="00CC578B">
          <w:rPr>
            <w:rFonts w:cs="Times New Roman"/>
            <w:noProof/>
            <w:webHidden/>
          </w:rPr>
          <w:fldChar w:fldCharType="end"/>
        </w:r>
      </w:hyperlink>
    </w:p>
    <w:p w14:paraId="5D0A24FC" w14:textId="699B8ACB"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15" w:history="1">
        <w:r w:rsidR="00483A43" w:rsidRPr="00CC578B">
          <w:rPr>
            <w:rStyle w:val="Hyperlink"/>
            <w:rFonts w:ascii="Times New Roman" w:hAnsi="Times New Roman" w:cs="Times New Roman"/>
            <w:noProof/>
          </w:rPr>
          <w:t>Table 87: Movement units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_Toc172716915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181</w:t>
        </w:r>
        <w:r w:rsidR="00483A43" w:rsidRPr="00CC578B">
          <w:rPr>
            <w:rFonts w:cs="Times New Roman"/>
            <w:noProof/>
            <w:webHidden/>
          </w:rPr>
          <w:fldChar w:fldCharType="end"/>
        </w:r>
      </w:hyperlink>
    </w:p>
    <w:p w14:paraId="6939D1FA" w14:textId="162E40F1"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16" w:history="1">
        <w:r w:rsidR="00483A43" w:rsidRPr="00CC578B">
          <w:rPr>
            <w:rStyle w:val="Hyperlink"/>
            <w:rFonts w:ascii="Times New Roman" w:hAnsi="Times New Roman" w:cs="Times New Roman"/>
            <w:noProof/>
          </w:rPr>
          <w:t>Table 88: Movement units per week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_Toc172716916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182</w:t>
        </w:r>
        <w:r w:rsidR="00483A43" w:rsidRPr="00CC578B">
          <w:rPr>
            <w:rFonts w:cs="Times New Roman"/>
            <w:noProof/>
            <w:webHidden/>
          </w:rPr>
          <w:fldChar w:fldCharType="end"/>
        </w:r>
      </w:hyperlink>
    </w:p>
    <w:p w14:paraId="6A395C61" w14:textId="29DF4CDE"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17" w:history="1">
        <w:r w:rsidR="00483A43" w:rsidRPr="00CC578B">
          <w:rPr>
            <w:rStyle w:val="Hyperlink"/>
            <w:rFonts w:ascii="Times New Roman" w:hAnsi="Times New Roman" w:cs="Times New Roman"/>
            <w:noProof/>
          </w:rPr>
          <w:t>Table 89: Movement units per proximity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_Toc172716917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182</w:t>
        </w:r>
        <w:r w:rsidR="00483A43" w:rsidRPr="00CC578B">
          <w:rPr>
            <w:rFonts w:cs="Times New Roman"/>
            <w:noProof/>
            <w:webHidden/>
          </w:rPr>
          <w:fldChar w:fldCharType="end"/>
        </w:r>
      </w:hyperlink>
    </w:p>
    <w:p w14:paraId="3599D90B" w14:textId="05A171E3" w:rsidR="00483A43" w:rsidRPr="00CC578B" w:rsidRDefault="00000000">
      <w:pPr>
        <w:pStyle w:val="TableofFigures"/>
        <w:tabs>
          <w:tab w:val="right" w:leader="dot" w:pos="8630"/>
        </w:tabs>
        <w:rPr>
          <w:rFonts w:eastAsiaTheme="minorEastAsia" w:cs="Times New Roman"/>
          <w:noProof/>
          <w:kern w:val="2"/>
          <w14:ligatures w14:val="standardContextual"/>
        </w:rPr>
      </w:pPr>
      <w:hyperlink w:anchor="_Toc172716918" w:history="1">
        <w:r w:rsidR="00483A43" w:rsidRPr="00CC578B">
          <w:rPr>
            <w:rStyle w:val="Hyperlink"/>
            <w:rFonts w:ascii="Times New Roman" w:hAnsi="Times New Roman" w:cs="Times New Roman"/>
            <w:noProof/>
          </w:rPr>
          <w:t>Table 90: Movement units by week and proximity by group</w:t>
        </w:r>
        <w:r w:rsidR="00483A43" w:rsidRPr="00CC578B">
          <w:rPr>
            <w:rFonts w:cs="Times New Roman"/>
            <w:noProof/>
            <w:webHidden/>
          </w:rPr>
          <w:tab/>
        </w:r>
        <w:r w:rsidR="00483A43" w:rsidRPr="00CC578B">
          <w:rPr>
            <w:rFonts w:cs="Times New Roman"/>
            <w:noProof/>
            <w:webHidden/>
          </w:rPr>
          <w:fldChar w:fldCharType="begin"/>
        </w:r>
        <w:r w:rsidR="00483A43" w:rsidRPr="00CC578B">
          <w:rPr>
            <w:rFonts w:cs="Times New Roman"/>
            <w:noProof/>
            <w:webHidden/>
          </w:rPr>
          <w:instrText xml:space="preserve"> PAGEREF _Toc172716918 \h </w:instrText>
        </w:r>
        <w:r w:rsidR="00483A43" w:rsidRPr="00CC578B">
          <w:rPr>
            <w:rFonts w:cs="Times New Roman"/>
            <w:noProof/>
            <w:webHidden/>
          </w:rPr>
        </w:r>
        <w:r w:rsidR="00483A43" w:rsidRPr="00CC578B">
          <w:rPr>
            <w:rFonts w:cs="Times New Roman"/>
            <w:noProof/>
            <w:webHidden/>
          </w:rPr>
          <w:fldChar w:fldCharType="separate"/>
        </w:r>
        <w:r w:rsidR="00E14CDC">
          <w:rPr>
            <w:rFonts w:cs="Times New Roman"/>
            <w:noProof/>
            <w:webHidden/>
          </w:rPr>
          <w:t>183</w:t>
        </w:r>
        <w:r w:rsidR="00483A43" w:rsidRPr="00CC578B">
          <w:rPr>
            <w:rFonts w:cs="Times New Roman"/>
            <w:noProof/>
            <w:webHidden/>
          </w:rPr>
          <w:fldChar w:fldCharType="end"/>
        </w:r>
      </w:hyperlink>
    </w:p>
    <w:p w14:paraId="76C7B7FF" w14:textId="6A2852BC" w:rsidR="00236E6D" w:rsidRPr="00CC578B" w:rsidRDefault="004B7288" w:rsidP="003F135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CC578B">
        <w:fldChar w:fldCharType="end"/>
      </w:r>
    </w:p>
    <w:p w14:paraId="6E0A08A1" w14:textId="77777777" w:rsidR="00F71930" w:rsidRPr="00D618B7" w:rsidRDefault="00F71930">
      <w:pPr>
        <w:rPr>
          <w:b/>
        </w:rPr>
      </w:pPr>
      <w:r w:rsidRPr="00D618B7">
        <w:rPr>
          <w:b/>
        </w:rPr>
        <w:br w:type="page"/>
      </w:r>
    </w:p>
    <w:p w14:paraId="5395E3C9" w14:textId="11408A19" w:rsidR="00236E6D" w:rsidRPr="00CC578B" w:rsidRDefault="00236E6D" w:rsidP="00CC578B">
      <w:pPr>
        <w:jc w:val="center"/>
        <w:rPr>
          <w:b/>
        </w:rPr>
      </w:pPr>
      <w:r w:rsidRPr="00D618B7">
        <w:rPr>
          <w:b/>
        </w:rPr>
        <w:lastRenderedPageBreak/>
        <w:t>LIST OF FIGURES</w:t>
      </w:r>
    </w:p>
    <w:p w14:paraId="38506C7D" w14:textId="77777777" w:rsidR="00236E6D" w:rsidRPr="00D618B7" w:rsidRDefault="00236E6D" w:rsidP="00E2527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7C375F05" w14:textId="1C07F9BC" w:rsidR="00646F1C" w:rsidRPr="00CC578B" w:rsidRDefault="00754EF7">
      <w:pPr>
        <w:pStyle w:val="TableofFigures"/>
        <w:tabs>
          <w:tab w:val="right" w:leader="dot" w:pos="8630"/>
        </w:tabs>
        <w:rPr>
          <w:rFonts w:eastAsiaTheme="minorEastAsia" w:cs="Times New Roman"/>
          <w:noProof/>
          <w:kern w:val="2"/>
          <w14:ligatures w14:val="standardContextual"/>
        </w:rPr>
      </w:pPr>
      <w:r w:rsidRPr="00CC578B">
        <w:rPr>
          <w:rFonts w:cs="Times New Roman"/>
        </w:rPr>
        <w:fldChar w:fldCharType="begin"/>
      </w:r>
      <w:r w:rsidRPr="00CC578B">
        <w:rPr>
          <w:rFonts w:cs="Times New Roman"/>
        </w:rPr>
        <w:instrText xml:space="preserve"> TOC \f F \h \z \c "Figure" </w:instrText>
      </w:r>
      <w:r w:rsidRPr="00CC578B">
        <w:rPr>
          <w:rFonts w:cs="Times New Roman"/>
        </w:rPr>
        <w:fldChar w:fldCharType="separate"/>
      </w:r>
      <w:hyperlink w:anchor="_Toc172716941" w:history="1">
        <w:r w:rsidR="00646F1C" w:rsidRPr="00CC578B">
          <w:rPr>
            <w:rStyle w:val="Hyperlink"/>
            <w:rFonts w:ascii="Times New Roman" w:hAnsi="Times New Roman" w:cs="Times New Roman"/>
            <w:noProof/>
          </w:rPr>
          <w:t>Figure 1: Experimental setup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_Toc172716941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97</w:t>
        </w:r>
        <w:r w:rsidR="00646F1C" w:rsidRPr="00CC578B">
          <w:rPr>
            <w:rFonts w:cs="Times New Roman"/>
            <w:noProof/>
            <w:webHidden/>
          </w:rPr>
          <w:fldChar w:fldCharType="end"/>
        </w:r>
      </w:hyperlink>
    </w:p>
    <w:p w14:paraId="73454111" w14:textId="0B39C04D"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42" w:history="1">
        <w:r w:rsidR="00646F1C" w:rsidRPr="00CC578B">
          <w:rPr>
            <w:rStyle w:val="Hyperlink"/>
            <w:rFonts w:ascii="Times New Roman" w:hAnsi="Times New Roman" w:cs="Times New Roman"/>
            <w:noProof/>
          </w:rPr>
          <w:t>Figure 2: Stimuli diagram</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_Toc172716942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97</w:t>
        </w:r>
        <w:r w:rsidR="00646F1C" w:rsidRPr="00CC578B">
          <w:rPr>
            <w:rFonts w:cs="Times New Roman"/>
            <w:noProof/>
            <w:webHidden/>
          </w:rPr>
          <w:fldChar w:fldCharType="end"/>
        </w:r>
      </w:hyperlink>
    </w:p>
    <w:p w14:paraId="42DE2BED" w14:textId="18EF5CB6"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43" w:history="1">
        <w:r w:rsidR="00646F1C" w:rsidRPr="00CC578B">
          <w:rPr>
            <w:rStyle w:val="Hyperlink"/>
            <w:rFonts w:ascii="Times New Roman" w:hAnsi="Times New Roman" w:cs="Times New Roman"/>
            <w:noProof/>
          </w:rPr>
          <w:t>Figure 3: Exemplar graph of movement units</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_Toc172716943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98</w:t>
        </w:r>
        <w:r w:rsidR="00646F1C" w:rsidRPr="00CC578B">
          <w:rPr>
            <w:rFonts w:cs="Times New Roman"/>
            <w:noProof/>
            <w:webHidden/>
          </w:rPr>
          <w:fldChar w:fldCharType="end"/>
        </w:r>
      </w:hyperlink>
    </w:p>
    <w:p w14:paraId="6047FB96" w14:textId="12A5AEB0"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44" w:history="1">
        <w:r w:rsidR="00646F1C" w:rsidRPr="00CC578B">
          <w:rPr>
            <w:rStyle w:val="Hyperlink"/>
            <w:rFonts w:ascii="Times New Roman" w:hAnsi="Times New Roman" w:cs="Times New Roman"/>
            <w:noProof/>
          </w:rPr>
          <w:t>Figure 4: Velocity of movement example.</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_Toc172716944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98</w:t>
        </w:r>
        <w:r w:rsidR="00646F1C" w:rsidRPr="00CC578B">
          <w:rPr>
            <w:rFonts w:cs="Times New Roman"/>
            <w:noProof/>
            <w:webHidden/>
          </w:rPr>
          <w:fldChar w:fldCharType="end"/>
        </w:r>
      </w:hyperlink>
    </w:p>
    <w:p w14:paraId="448B9730" w14:textId="1B616C1C"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45" w:history="1">
        <w:r w:rsidR="00646F1C" w:rsidRPr="00CC578B">
          <w:rPr>
            <w:rStyle w:val="Hyperlink"/>
            <w:rFonts w:ascii="Times New Roman" w:hAnsi="Times New Roman" w:cs="Times New Roman"/>
            <w:noProof/>
          </w:rPr>
          <w:t>Figure 5: Average duration of proximity zones.</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_Toc172716945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99</w:t>
        </w:r>
        <w:r w:rsidR="00646F1C" w:rsidRPr="00CC578B">
          <w:rPr>
            <w:rFonts w:cs="Times New Roman"/>
            <w:noProof/>
            <w:webHidden/>
          </w:rPr>
          <w:fldChar w:fldCharType="end"/>
        </w:r>
      </w:hyperlink>
    </w:p>
    <w:p w14:paraId="3A33E348" w14:textId="0C690091"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46" w:history="1">
        <w:r w:rsidR="00646F1C" w:rsidRPr="00CC578B">
          <w:rPr>
            <w:rStyle w:val="Hyperlink"/>
            <w:rFonts w:ascii="Times New Roman" w:hAnsi="Times New Roman" w:cs="Times New Roman"/>
            <w:noProof/>
          </w:rPr>
          <w:t>Figure 6:</w:t>
        </w:r>
        <w:r w:rsidR="00646F1C" w:rsidRPr="00CC578B">
          <w:rPr>
            <w:rStyle w:val="Hyperlink"/>
            <w:rFonts w:ascii="Times New Roman" w:eastAsia="Aptos" w:hAnsi="Times New Roman" w:cs="Times New Roman"/>
            <w:noProof/>
          </w:rPr>
          <w:t xml:space="preserve"> Event duration by event toy, week, and proximity</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_Toc172716946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101</w:t>
        </w:r>
        <w:r w:rsidR="00646F1C" w:rsidRPr="00CC578B">
          <w:rPr>
            <w:rFonts w:cs="Times New Roman"/>
            <w:noProof/>
            <w:webHidden/>
          </w:rPr>
          <w:fldChar w:fldCharType="end"/>
        </w:r>
      </w:hyperlink>
    </w:p>
    <w:p w14:paraId="73A308A3" w14:textId="055C5654"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47" w:history="1">
        <w:r w:rsidR="00646F1C" w:rsidRPr="00CC578B">
          <w:rPr>
            <w:rStyle w:val="Hyperlink"/>
            <w:rFonts w:ascii="Times New Roman" w:hAnsi="Times New Roman" w:cs="Times New Roman"/>
            <w:noProof/>
          </w:rPr>
          <w:t>Figure 7:</w:t>
        </w:r>
        <w:r w:rsidR="00646F1C" w:rsidRPr="00CC578B">
          <w:rPr>
            <w:rStyle w:val="Hyperlink"/>
            <w:rFonts w:ascii="Times New Roman" w:eastAsia="Aptos" w:hAnsi="Times New Roman" w:cs="Times New Roman"/>
            <w:noProof/>
          </w:rPr>
          <w:t xml:space="preserve"> Event frequency by type</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_Toc172716947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103</w:t>
        </w:r>
        <w:r w:rsidR="00646F1C" w:rsidRPr="00CC578B">
          <w:rPr>
            <w:rFonts w:cs="Times New Roman"/>
            <w:noProof/>
            <w:webHidden/>
          </w:rPr>
          <w:fldChar w:fldCharType="end"/>
        </w:r>
      </w:hyperlink>
    </w:p>
    <w:p w14:paraId="508F39FE" w14:textId="38E71A12"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48" w:history="1">
        <w:r w:rsidR="00646F1C" w:rsidRPr="00CC578B">
          <w:rPr>
            <w:rStyle w:val="Hyperlink"/>
            <w:rFonts w:ascii="Times New Roman" w:hAnsi="Times New Roman" w:cs="Times New Roman"/>
            <w:noProof/>
          </w:rPr>
          <w:t xml:space="preserve">Figure 8: </w:t>
        </w:r>
        <w:r w:rsidR="00646F1C" w:rsidRPr="00CC578B">
          <w:rPr>
            <w:rStyle w:val="Hyperlink"/>
            <w:rFonts w:ascii="Times New Roman" w:eastAsia="Aptos" w:hAnsi="Times New Roman" w:cs="Times New Roman"/>
            <w:noProof/>
          </w:rPr>
          <w:t>Event frequency by type, proximity, and week</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_Toc172716948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108</w:t>
        </w:r>
        <w:r w:rsidR="00646F1C" w:rsidRPr="00CC578B">
          <w:rPr>
            <w:rFonts w:cs="Times New Roman"/>
            <w:noProof/>
            <w:webHidden/>
          </w:rPr>
          <w:fldChar w:fldCharType="end"/>
        </w:r>
      </w:hyperlink>
    </w:p>
    <w:p w14:paraId="21B0AAF4" w14:textId="4746B1B5"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49" w:history="1">
        <w:r w:rsidR="00646F1C" w:rsidRPr="00CC578B">
          <w:rPr>
            <w:rStyle w:val="Hyperlink"/>
            <w:rFonts w:ascii="Times New Roman" w:hAnsi="Times New Roman" w:cs="Times New Roman"/>
            <w:noProof/>
          </w:rPr>
          <w:t xml:space="preserve">Figure 9: </w:t>
        </w:r>
        <w:r w:rsidR="00646F1C" w:rsidRPr="00CC578B">
          <w:rPr>
            <w:rStyle w:val="Hyperlink"/>
            <w:rFonts w:ascii="Times New Roman" w:eastAsia="Aptos" w:hAnsi="Times New Roman" w:cs="Times New Roman"/>
            <w:noProof/>
          </w:rPr>
          <w:t>Event rates by type and week</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_Toc172716949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111</w:t>
        </w:r>
        <w:r w:rsidR="00646F1C" w:rsidRPr="00CC578B">
          <w:rPr>
            <w:rFonts w:cs="Times New Roman"/>
            <w:noProof/>
            <w:webHidden/>
          </w:rPr>
          <w:fldChar w:fldCharType="end"/>
        </w:r>
      </w:hyperlink>
    </w:p>
    <w:p w14:paraId="119B18C7" w14:textId="58DF5726"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50" w:history="1">
        <w:r w:rsidR="00646F1C" w:rsidRPr="00CC578B">
          <w:rPr>
            <w:rStyle w:val="Hyperlink"/>
            <w:rFonts w:ascii="Times New Roman" w:hAnsi="Times New Roman" w:cs="Times New Roman"/>
            <w:noProof/>
          </w:rPr>
          <w:t>Figure 10:</w:t>
        </w:r>
        <w:r w:rsidR="00646F1C" w:rsidRPr="00CC578B">
          <w:rPr>
            <w:rStyle w:val="Hyperlink"/>
            <w:rFonts w:ascii="Times New Roman" w:eastAsia="Aptos" w:hAnsi="Times New Roman" w:cs="Times New Roman"/>
            <w:noProof/>
          </w:rPr>
          <w:t xml:space="preserve"> Event rates by type, proximity, and week</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_Toc172716950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112</w:t>
        </w:r>
        <w:r w:rsidR="00646F1C" w:rsidRPr="00CC578B">
          <w:rPr>
            <w:rFonts w:cs="Times New Roman"/>
            <w:noProof/>
            <w:webHidden/>
          </w:rPr>
          <w:fldChar w:fldCharType="end"/>
        </w:r>
      </w:hyperlink>
    </w:p>
    <w:p w14:paraId="06123E5F" w14:textId="0F0335DC"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51" w:history="1">
        <w:r w:rsidR="00646F1C" w:rsidRPr="00CC578B">
          <w:rPr>
            <w:rStyle w:val="Hyperlink"/>
            <w:rFonts w:ascii="Times New Roman" w:hAnsi="Times New Roman" w:cs="Times New Roman"/>
            <w:noProof/>
          </w:rPr>
          <w:t>Figure 11:</w:t>
        </w:r>
        <w:r w:rsidR="00646F1C" w:rsidRPr="00CC578B">
          <w:rPr>
            <w:rStyle w:val="Hyperlink"/>
            <w:rFonts w:ascii="Times New Roman" w:eastAsia="Aptos" w:hAnsi="Times New Roman" w:cs="Times New Roman"/>
            <w:noProof/>
          </w:rPr>
          <w:t xml:space="preserve"> Event summed duration by type and week</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_Toc172716951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118</w:t>
        </w:r>
        <w:r w:rsidR="00646F1C" w:rsidRPr="00CC578B">
          <w:rPr>
            <w:rFonts w:cs="Times New Roman"/>
            <w:noProof/>
            <w:webHidden/>
          </w:rPr>
          <w:fldChar w:fldCharType="end"/>
        </w:r>
      </w:hyperlink>
    </w:p>
    <w:p w14:paraId="04EF7F35" w14:textId="4110018F"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52" w:history="1">
        <w:r w:rsidR="00646F1C" w:rsidRPr="00CC578B">
          <w:rPr>
            <w:rStyle w:val="Hyperlink"/>
            <w:rFonts w:ascii="Times New Roman" w:hAnsi="Times New Roman" w:cs="Times New Roman"/>
            <w:noProof/>
          </w:rPr>
          <w:t xml:space="preserve">Figure 12: </w:t>
        </w:r>
        <w:r w:rsidR="00646F1C" w:rsidRPr="00CC578B">
          <w:rPr>
            <w:rStyle w:val="Hyperlink"/>
            <w:rFonts w:ascii="Times New Roman" w:eastAsia="Aptos" w:hAnsi="Times New Roman" w:cs="Times New Roman"/>
            <w:noProof/>
          </w:rPr>
          <w:t>Event summed duration by type, proximity, and week</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_Toc172716952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119</w:t>
        </w:r>
        <w:r w:rsidR="00646F1C" w:rsidRPr="00CC578B">
          <w:rPr>
            <w:rFonts w:cs="Times New Roman"/>
            <w:noProof/>
            <w:webHidden/>
          </w:rPr>
          <w:fldChar w:fldCharType="end"/>
        </w:r>
      </w:hyperlink>
    </w:p>
    <w:p w14:paraId="72EFCCAC" w14:textId="147DDE39"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53" w:history="1">
        <w:r w:rsidR="00646F1C" w:rsidRPr="00CC578B">
          <w:rPr>
            <w:rStyle w:val="Hyperlink"/>
            <w:rFonts w:ascii="Times New Roman" w:hAnsi="Times New Roman" w:cs="Times New Roman"/>
            <w:noProof/>
          </w:rPr>
          <w:t>Figure 13: Event average duration by week and type</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_Toc172716953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127</w:t>
        </w:r>
        <w:r w:rsidR="00646F1C" w:rsidRPr="00CC578B">
          <w:rPr>
            <w:rFonts w:cs="Times New Roman"/>
            <w:noProof/>
            <w:webHidden/>
          </w:rPr>
          <w:fldChar w:fldCharType="end"/>
        </w:r>
      </w:hyperlink>
    </w:p>
    <w:p w14:paraId="748BDA11" w14:textId="0EB56134"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54" w:history="1">
        <w:r w:rsidR="00646F1C" w:rsidRPr="00CC578B">
          <w:rPr>
            <w:rStyle w:val="Hyperlink"/>
            <w:rFonts w:ascii="Times New Roman" w:hAnsi="Times New Roman" w:cs="Times New Roman"/>
            <w:noProof/>
          </w:rPr>
          <w:t>Figure 14: Event average duration by week, proximity, and type</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_Toc172716954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128</w:t>
        </w:r>
        <w:r w:rsidR="00646F1C" w:rsidRPr="00CC578B">
          <w:rPr>
            <w:rFonts w:cs="Times New Roman"/>
            <w:noProof/>
            <w:webHidden/>
          </w:rPr>
          <w:fldChar w:fldCharType="end"/>
        </w:r>
      </w:hyperlink>
    </w:p>
    <w:p w14:paraId="3439BA7C" w14:textId="4BCCB81B"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55" w:history="1">
        <w:r w:rsidR="00646F1C" w:rsidRPr="00CC578B">
          <w:rPr>
            <w:rStyle w:val="Hyperlink"/>
            <w:rFonts w:ascii="Times New Roman" w:hAnsi="Times New Roman" w:cs="Times New Roman"/>
            <w:noProof/>
          </w:rPr>
          <w:t>Figure 15: Reach proportion and latency</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_Toc172716955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129</w:t>
        </w:r>
        <w:r w:rsidR="00646F1C" w:rsidRPr="00CC578B">
          <w:rPr>
            <w:rFonts w:cs="Times New Roman"/>
            <w:noProof/>
            <w:webHidden/>
          </w:rPr>
          <w:fldChar w:fldCharType="end"/>
        </w:r>
      </w:hyperlink>
    </w:p>
    <w:p w14:paraId="25B3E7B6" w14:textId="167813A9"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56" w:history="1">
        <w:r w:rsidR="00646F1C" w:rsidRPr="00CC578B">
          <w:rPr>
            <w:rStyle w:val="Hyperlink"/>
            <w:rFonts w:ascii="Times New Roman" w:hAnsi="Times New Roman" w:cs="Times New Roman"/>
            <w:noProof/>
          </w:rPr>
          <w:t>Figure 16: Average velocity by week</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_Toc172716956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131</w:t>
        </w:r>
        <w:r w:rsidR="00646F1C" w:rsidRPr="00CC578B">
          <w:rPr>
            <w:rFonts w:cs="Times New Roman"/>
            <w:noProof/>
            <w:webHidden/>
          </w:rPr>
          <w:fldChar w:fldCharType="end"/>
        </w:r>
      </w:hyperlink>
    </w:p>
    <w:p w14:paraId="01CD0198" w14:textId="4FAE11B6"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57" w:history="1">
        <w:r w:rsidR="00646F1C" w:rsidRPr="00CC578B">
          <w:rPr>
            <w:rStyle w:val="Hyperlink"/>
            <w:rFonts w:ascii="Times New Roman" w:hAnsi="Times New Roman" w:cs="Times New Roman"/>
            <w:noProof/>
          </w:rPr>
          <w:t>Figure 17: Average velocity by proximity and week</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_Toc172716957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133</w:t>
        </w:r>
        <w:r w:rsidR="00646F1C" w:rsidRPr="00CC578B">
          <w:rPr>
            <w:rFonts w:cs="Times New Roman"/>
            <w:noProof/>
            <w:webHidden/>
          </w:rPr>
          <w:fldChar w:fldCharType="end"/>
        </w:r>
      </w:hyperlink>
    </w:p>
    <w:p w14:paraId="30C2DAD8" w14:textId="7288473D"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58" w:history="1">
        <w:r w:rsidR="00646F1C" w:rsidRPr="00CC578B">
          <w:rPr>
            <w:rStyle w:val="Hyperlink"/>
            <w:rFonts w:ascii="Times New Roman" w:hAnsi="Times New Roman" w:cs="Times New Roman"/>
            <w:noProof/>
          </w:rPr>
          <w:t>Figure 18: Movement units by week</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_Toc172716958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134</w:t>
        </w:r>
        <w:r w:rsidR="00646F1C" w:rsidRPr="00CC578B">
          <w:rPr>
            <w:rFonts w:cs="Times New Roman"/>
            <w:noProof/>
            <w:webHidden/>
          </w:rPr>
          <w:fldChar w:fldCharType="end"/>
        </w:r>
      </w:hyperlink>
    </w:p>
    <w:p w14:paraId="3E5253E8" w14:textId="561CCA39"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59" w:history="1">
        <w:r w:rsidR="00646F1C" w:rsidRPr="00CC578B">
          <w:rPr>
            <w:rStyle w:val="Hyperlink"/>
            <w:rFonts w:ascii="Times New Roman" w:hAnsi="Times New Roman" w:cs="Times New Roman"/>
            <w:noProof/>
          </w:rPr>
          <w:t>Figure 19: Movement units by proximity and week</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_Toc172716959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136</w:t>
        </w:r>
        <w:r w:rsidR="00646F1C" w:rsidRPr="00CC578B">
          <w:rPr>
            <w:rFonts w:cs="Times New Roman"/>
            <w:noProof/>
            <w:webHidden/>
          </w:rPr>
          <w:fldChar w:fldCharType="end"/>
        </w:r>
      </w:hyperlink>
    </w:p>
    <w:p w14:paraId="7769C80A" w14:textId="547CDF2C"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60" w:history="1">
        <w:r w:rsidR="00646F1C" w:rsidRPr="00CC578B">
          <w:rPr>
            <w:rStyle w:val="Hyperlink"/>
            <w:rFonts w:ascii="Times New Roman" w:hAnsi="Times New Roman" w:cs="Times New Roman"/>
            <w:noProof/>
          </w:rPr>
          <w:t>Figure 20: Proximity duration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_Toc172716960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137</w:t>
        </w:r>
        <w:r w:rsidR="00646F1C" w:rsidRPr="00CC578B">
          <w:rPr>
            <w:rFonts w:cs="Times New Roman"/>
            <w:noProof/>
            <w:webHidden/>
          </w:rPr>
          <w:fldChar w:fldCharType="end"/>
        </w:r>
      </w:hyperlink>
    </w:p>
    <w:p w14:paraId="302C22E4" w14:textId="261F1FD1"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61" w:history="1">
        <w:r w:rsidR="00646F1C" w:rsidRPr="00CC578B">
          <w:rPr>
            <w:rStyle w:val="Hyperlink"/>
            <w:rFonts w:ascii="Times New Roman" w:hAnsi="Times New Roman" w:cs="Times New Roman"/>
            <w:noProof/>
          </w:rPr>
          <w:t>Figure 21: Event frequency by group, week, and type</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_Toc172716961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138</w:t>
        </w:r>
        <w:r w:rsidR="00646F1C" w:rsidRPr="00CC578B">
          <w:rPr>
            <w:rFonts w:cs="Times New Roman"/>
            <w:noProof/>
            <w:webHidden/>
          </w:rPr>
          <w:fldChar w:fldCharType="end"/>
        </w:r>
      </w:hyperlink>
    </w:p>
    <w:p w14:paraId="28435707" w14:textId="7DBF1C06"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62" w:history="1">
        <w:r w:rsidR="00646F1C" w:rsidRPr="00CC578B">
          <w:rPr>
            <w:rStyle w:val="Hyperlink"/>
            <w:rFonts w:ascii="Times New Roman" w:hAnsi="Times New Roman" w:cs="Times New Roman"/>
            <w:noProof/>
          </w:rPr>
          <w:t>Figure 22: Event frequency by type, proximity, and week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_Toc172716962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141</w:t>
        </w:r>
        <w:r w:rsidR="00646F1C" w:rsidRPr="00CC578B">
          <w:rPr>
            <w:rFonts w:cs="Times New Roman"/>
            <w:noProof/>
            <w:webHidden/>
          </w:rPr>
          <w:fldChar w:fldCharType="end"/>
        </w:r>
      </w:hyperlink>
    </w:p>
    <w:p w14:paraId="3A6E64FC" w14:textId="4F80439E"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63" w:history="1">
        <w:r w:rsidR="00646F1C" w:rsidRPr="00CC578B">
          <w:rPr>
            <w:rStyle w:val="Hyperlink"/>
            <w:rFonts w:ascii="Times New Roman" w:hAnsi="Times New Roman" w:cs="Times New Roman"/>
            <w:noProof/>
          </w:rPr>
          <w:t>Figure 23: Event rate by type and week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_Toc172716963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147</w:t>
        </w:r>
        <w:r w:rsidR="00646F1C" w:rsidRPr="00CC578B">
          <w:rPr>
            <w:rFonts w:cs="Times New Roman"/>
            <w:noProof/>
            <w:webHidden/>
          </w:rPr>
          <w:fldChar w:fldCharType="end"/>
        </w:r>
      </w:hyperlink>
    </w:p>
    <w:p w14:paraId="3824EF4A" w14:textId="5AE7BEFA"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64" w:history="1">
        <w:r w:rsidR="00646F1C" w:rsidRPr="00CC578B">
          <w:rPr>
            <w:rStyle w:val="Hyperlink"/>
            <w:rFonts w:ascii="Times New Roman" w:hAnsi="Times New Roman" w:cs="Times New Roman"/>
            <w:noProof/>
          </w:rPr>
          <w:t>Figure 24: Event rate by type, proximity, and week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_Toc172716964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150</w:t>
        </w:r>
        <w:r w:rsidR="00646F1C" w:rsidRPr="00CC578B">
          <w:rPr>
            <w:rFonts w:cs="Times New Roman"/>
            <w:noProof/>
            <w:webHidden/>
          </w:rPr>
          <w:fldChar w:fldCharType="end"/>
        </w:r>
      </w:hyperlink>
    </w:p>
    <w:p w14:paraId="7BFCB841" w14:textId="01020FB0"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65" w:history="1">
        <w:r w:rsidR="00646F1C" w:rsidRPr="00CC578B">
          <w:rPr>
            <w:rStyle w:val="Hyperlink"/>
            <w:rFonts w:ascii="Times New Roman" w:hAnsi="Times New Roman" w:cs="Times New Roman"/>
            <w:noProof/>
          </w:rPr>
          <w:t>Figure 25: Event summed duration by type and week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_Toc172716965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156</w:t>
        </w:r>
        <w:r w:rsidR="00646F1C" w:rsidRPr="00CC578B">
          <w:rPr>
            <w:rFonts w:cs="Times New Roman"/>
            <w:noProof/>
            <w:webHidden/>
          </w:rPr>
          <w:fldChar w:fldCharType="end"/>
        </w:r>
      </w:hyperlink>
    </w:p>
    <w:p w14:paraId="293595AB" w14:textId="2326C342"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66" w:history="1">
        <w:r w:rsidR="00646F1C" w:rsidRPr="00CC578B">
          <w:rPr>
            <w:rStyle w:val="Hyperlink"/>
            <w:rFonts w:ascii="Times New Roman" w:hAnsi="Times New Roman" w:cs="Times New Roman"/>
            <w:noProof/>
          </w:rPr>
          <w:t>Figure 26: Event summed duration by type, proximity and week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_Toc172716966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162</w:t>
        </w:r>
        <w:r w:rsidR="00646F1C" w:rsidRPr="00CC578B">
          <w:rPr>
            <w:rFonts w:cs="Times New Roman"/>
            <w:noProof/>
            <w:webHidden/>
          </w:rPr>
          <w:fldChar w:fldCharType="end"/>
        </w:r>
      </w:hyperlink>
    </w:p>
    <w:p w14:paraId="07BB84EF" w14:textId="42781768"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67" w:history="1">
        <w:r w:rsidR="00646F1C" w:rsidRPr="00CC578B">
          <w:rPr>
            <w:rStyle w:val="Hyperlink"/>
            <w:rFonts w:ascii="Times New Roman" w:hAnsi="Times New Roman" w:cs="Times New Roman"/>
            <w:noProof/>
          </w:rPr>
          <w:t>Figure 27: Event average duration by type and week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_Toc172716967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165</w:t>
        </w:r>
        <w:r w:rsidR="00646F1C" w:rsidRPr="00CC578B">
          <w:rPr>
            <w:rFonts w:cs="Times New Roman"/>
            <w:noProof/>
            <w:webHidden/>
          </w:rPr>
          <w:fldChar w:fldCharType="end"/>
        </w:r>
      </w:hyperlink>
    </w:p>
    <w:p w14:paraId="3FE78710" w14:textId="41AA553E"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68" w:history="1">
        <w:r w:rsidR="00646F1C" w:rsidRPr="00CC578B">
          <w:rPr>
            <w:rStyle w:val="Hyperlink"/>
            <w:rFonts w:ascii="Times New Roman" w:hAnsi="Times New Roman" w:cs="Times New Roman"/>
            <w:noProof/>
          </w:rPr>
          <w:t>Figure 28: Event average duration by type, proximity, and week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_Toc172716968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171</w:t>
        </w:r>
        <w:r w:rsidR="00646F1C" w:rsidRPr="00CC578B">
          <w:rPr>
            <w:rFonts w:cs="Times New Roman"/>
            <w:noProof/>
            <w:webHidden/>
          </w:rPr>
          <w:fldChar w:fldCharType="end"/>
        </w:r>
      </w:hyperlink>
    </w:p>
    <w:p w14:paraId="30353A2B" w14:textId="1A4504E9"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69" w:history="1">
        <w:r w:rsidR="00646F1C" w:rsidRPr="00CC578B">
          <w:rPr>
            <w:rStyle w:val="Hyperlink"/>
            <w:rFonts w:ascii="Times New Roman" w:hAnsi="Times New Roman" w:cs="Times New Roman"/>
            <w:noProof/>
          </w:rPr>
          <w:t>Figure 29: Reach proportion and latency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_Toc172716969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174</w:t>
        </w:r>
        <w:r w:rsidR="00646F1C" w:rsidRPr="00CC578B">
          <w:rPr>
            <w:rFonts w:cs="Times New Roman"/>
            <w:noProof/>
            <w:webHidden/>
          </w:rPr>
          <w:fldChar w:fldCharType="end"/>
        </w:r>
      </w:hyperlink>
    </w:p>
    <w:p w14:paraId="050556CC" w14:textId="50DAA272"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70" w:history="1">
        <w:r w:rsidR="00646F1C" w:rsidRPr="00CC578B">
          <w:rPr>
            <w:rStyle w:val="Hyperlink"/>
            <w:rFonts w:ascii="Times New Roman" w:hAnsi="Times New Roman" w:cs="Times New Roman"/>
            <w:noProof/>
          </w:rPr>
          <w:t>Figure 30: Velocity by week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_Toc172716970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177</w:t>
        </w:r>
        <w:r w:rsidR="00646F1C" w:rsidRPr="00CC578B">
          <w:rPr>
            <w:rFonts w:cs="Times New Roman"/>
            <w:noProof/>
            <w:webHidden/>
          </w:rPr>
          <w:fldChar w:fldCharType="end"/>
        </w:r>
      </w:hyperlink>
    </w:p>
    <w:p w14:paraId="38DF750D" w14:textId="705E0D68"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71" w:history="1">
        <w:r w:rsidR="00646F1C" w:rsidRPr="00CC578B">
          <w:rPr>
            <w:rStyle w:val="Hyperlink"/>
            <w:rFonts w:ascii="Times New Roman" w:hAnsi="Times New Roman" w:cs="Times New Roman"/>
            <w:noProof/>
          </w:rPr>
          <w:t>Figure 31: Velocity by week and proximity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_Toc172716971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179</w:t>
        </w:r>
        <w:r w:rsidR="00646F1C" w:rsidRPr="00CC578B">
          <w:rPr>
            <w:rFonts w:cs="Times New Roman"/>
            <w:noProof/>
            <w:webHidden/>
          </w:rPr>
          <w:fldChar w:fldCharType="end"/>
        </w:r>
      </w:hyperlink>
    </w:p>
    <w:p w14:paraId="6F9A3C40" w14:textId="7F6FECB9"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72" w:history="1">
        <w:r w:rsidR="00646F1C" w:rsidRPr="00CC578B">
          <w:rPr>
            <w:rStyle w:val="Hyperlink"/>
            <w:rFonts w:ascii="Times New Roman" w:hAnsi="Times New Roman" w:cs="Times New Roman"/>
            <w:noProof/>
          </w:rPr>
          <w:t>Figure 32: Movement units per week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_Toc172716972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181</w:t>
        </w:r>
        <w:r w:rsidR="00646F1C" w:rsidRPr="00CC578B">
          <w:rPr>
            <w:rFonts w:cs="Times New Roman"/>
            <w:noProof/>
            <w:webHidden/>
          </w:rPr>
          <w:fldChar w:fldCharType="end"/>
        </w:r>
      </w:hyperlink>
    </w:p>
    <w:p w14:paraId="0B065CDD" w14:textId="2AFD49C5" w:rsidR="00646F1C" w:rsidRPr="00CC578B" w:rsidRDefault="00000000">
      <w:pPr>
        <w:pStyle w:val="TableofFigures"/>
        <w:tabs>
          <w:tab w:val="right" w:leader="dot" w:pos="8630"/>
        </w:tabs>
        <w:rPr>
          <w:rFonts w:eastAsiaTheme="minorEastAsia" w:cs="Times New Roman"/>
          <w:noProof/>
          <w:kern w:val="2"/>
          <w14:ligatures w14:val="standardContextual"/>
        </w:rPr>
      </w:pPr>
      <w:hyperlink w:anchor="_Toc172716973" w:history="1">
        <w:r w:rsidR="00646F1C" w:rsidRPr="00CC578B">
          <w:rPr>
            <w:rStyle w:val="Hyperlink"/>
            <w:rFonts w:ascii="Times New Roman" w:hAnsi="Times New Roman" w:cs="Times New Roman"/>
            <w:noProof/>
          </w:rPr>
          <w:t>Figure 33: Movement units by week and proximity by group</w:t>
        </w:r>
        <w:r w:rsidR="00646F1C" w:rsidRPr="00CC578B">
          <w:rPr>
            <w:rFonts w:cs="Times New Roman"/>
            <w:noProof/>
            <w:webHidden/>
          </w:rPr>
          <w:tab/>
        </w:r>
        <w:r w:rsidR="00646F1C" w:rsidRPr="00CC578B">
          <w:rPr>
            <w:rFonts w:cs="Times New Roman"/>
            <w:noProof/>
            <w:webHidden/>
          </w:rPr>
          <w:fldChar w:fldCharType="begin"/>
        </w:r>
        <w:r w:rsidR="00646F1C" w:rsidRPr="00CC578B">
          <w:rPr>
            <w:rFonts w:cs="Times New Roman"/>
            <w:noProof/>
            <w:webHidden/>
          </w:rPr>
          <w:instrText xml:space="preserve"> PAGEREF _Toc172716973 \h </w:instrText>
        </w:r>
        <w:r w:rsidR="00646F1C" w:rsidRPr="00CC578B">
          <w:rPr>
            <w:rFonts w:cs="Times New Roman"/>
            <w:noProof/>
            <w:webHidden/>
          </w:rPr>
        </w:r>
        <w:r w:rsidR="00646F1C" w:rsidRPr="00CC578B">
          <w:rPr>
            <w:rFonts w:cs="Times New Roman"/>
            <w:noProof/>
            <w:webHidden/>
          </w:rPr>
          <w:fldChar w:fldCharType="separate"/>
        </w:r>
        <w:r w:rsidR="00E14CDC">
          <w:rPr>
            <w:rFonts w:cs="Times New Roman"/>
            <w:noProof/>
            <w:webHidden/>
          </w:rPr>
          <w:t>184</w:t>
        </w:r>
        <w:r w:rsidR="00646F1C" w:rsidRPr="00CC578B">
          <w:rPr>
            <w:rFonts w:cs="Times New Roman"/>
            <w:noProof/>
            <w:webHidden/>
          </w:rPr>
          <w:fldChar w:fldCharType="end"/>
        </w:r>
      </w:hyperlink>
    </w:p>
    <w:p w14:paraId="4E552F87" w14:textId="0E253645" w:rsidR="003C1575" w:rsidRPr="00CC578B" w:rsidRDefault="00754EF7" w:rsidP="00E2527A">
      <w:pPr>
        <w:numPr>
          <w:ilvl w:val="12"/>
          <w:numId w:val="0"/>
        </w:numPr>
        <w:sectPr w:rsidR="003C1575" w:rsidRPr="00CC578B" w:rsidSect="009D304D">
          <w:headerReference w:type="even" r:id="rId11"/>
          <w:footerReference w:type="default" r:id="rId12"/>
          <w:pgSz w:w="12240" w:h="15840" w:code="1"/>
          <w:pgMar w:top="1440" w:right="1800" w:bottom="1872" w:left="1800" w:header="720" w:footer="1440" w:gutter="0"/>
          <w:pgNumType w:fmt="lowerRoman" w:start="1"/>
          <w:cols w:space="720"/>
          <w:noEndnote/>
          <w:titlePg/>
        </w:sectPr>
      </w:pPr>
      <w:r w:rsidRPr="00CC578B">
        <w:fldChar w:fldCharType="end"/>
      </w:r>
    </w:p>
    <w:p w14:paraId="2B5209AF" w14:textId="0795A925" w:rsidR="00575F33" w:rsidRPr="00E14CDC" w:rsidRDefault="00575F33" w:rsidP="00CC578B">
      <w:pPr>
        <w:pStyle w:val="Heading1"/>
      </w:pPr>
      <w:bookmarkStart w:id="0" w:name="_Hlk169082767"/>
      <w:bookmarkStart w:id="1" w:name="_Toc420995900"/>
      <w:bookmarkStart w:id="2" w:name="_Toc422997487"/>
      <w:r w:rsidRPr="00081436">
        <w:lastRenderedPageBreak/>
        <w:t xml:space="preserve"> </w:t>
      </w:r>
      <w:bookmarkStart w:id="3" w:name="_Toc420995890"/>
      <w:bookmarkStart w:id="4" w:name="_Toc422997477"/>
      <w:bookmarkStart w:id="5" w:name="_Hlk169006303"/>
      <w:r w:rsidRPr="00081436">
        <w:br/>
      </w:r>
      <w:bookmarkStart w:id="6" w:name="_Toc427156460"/>
      <w:bookmarkStart w:id="7" w:name="_Toc166576490"/>
      <w:bookmarkStart w:id="8" w:name="_Toc173185039"/>
      <w:r w:rsidRPr="00E14CDC">
        <w:t>INTRODUCTION AND GENERAL INFORMATION</w:t>
      </w:r>
      <w:bookmarkEnd w:id="3"/>
      <w:bookmarkEnd w:id="4"/>
      <w:bookmarkEnd w:id="5"/>
      <w:bookmarkEnd w:id="6"/>
      <w:bookmarkEnd w:id="7"/>
      <w:bookmarkEnd w:id="8"/>
    </w:p>
    <w:p w14:paraId="054A4C5B" w14:textId="77777777" w:rsidR="00575F33" w:rsidRPr="00E14CDC" w:rsidRDefault="00575F33" w:rsidP="00575F33"/>
    <w:p w14:paraId="0E5FE101" w14:textId="228BBDC6" w:rsidR="00575F33" w:rsidRPr="00E14CDC" w:rsidRDefault="00D758E7" w:rsidP="00575F33">
      <w:pPr>
        <w:spacing w:line="480" w:lineRule="auto"/>
        <w:ind w:firstLine="720"/>
      </w:pPr>
      <w:bookmarkStart w:id="9" w:name="_Hlk169177836"/>
      <w:r w:rsidRPr="00E14CDC">
        <w:t>Imagine Liam, a newborn, waking up to a new day of visual exploration. He lies on his back in his crib, with a small mobile above him slowly rotating, capturing his attention. A musical lightbox on the side of the crib plays soothing music and projects star-shaped lights on the ceiling. The room is filled with natural light, gently warming the crib. This is Liam’s world, filled with a wealth of sensory experiences- the sight of the mobile, the warmth of the sunlight, the softness of his crib sheets, and the sound of the music</w:t>
      </w:r>
      <w:r w:rsidR="00575F33" w:rsidRPr="00E14CDC">
        <w:t xml:space="preserve">. </w:t>
      </w:r>
    </w:p>
    <w:p w14:paraId="0F47A1B5" w14:textId="2BAD636C" w:rsidR="00575F33" w:rsidRPr="00E14CDC" w:rsidRDefault="00575F33" w:rsidP="00575F33">
      <w:pPr>
        <w:spacing w:line="480" w:lineRule="auto"/>
        <w:ind w:firstLine="720"/>
      </w:pPr>
      <w:r w:rsidRPr="00E14CDC">
        <w:t>We fast-forward 15 weeks. Having been extending and contacting his arms and legs for weeks and gaining proprioceptive experience, Liam extends his arm and hits a small jingling toy in the crib. He extends his arm again, and he misses. He extends a leg, but nothing again. He extends his other arm, and again, nothing; finally, after innumerable movements, the contact and subsequent ring of success is heard. In a single spark of a moment, he has crossed the threshold from passive experience</w:t>
      </w:r>
      <w:r w:rsidR="00702D72" w:rsidRPr="00E14CDC">
        <w:t>r</w:t>
      </w:r>
      <w:r w:rsidRPr="00E14CDC">
        <w:t xml:space="preserve"> to active agent in his environment. Liam may take another week or two before reaching consistently. However, his first and most crucial step has been taken. The extent to which Liam could interact with his environment was limited until the emergence of the milestone that unlocked active autonomy, the reach-onset.</w:t>
      </w:r>
    </w:p>
    <w:p w14:paraId="4A135506" w14:textId="2529AB3A" w:rsidR="00575F33" w:rsidRPr="00E14CDC" w:rsidRDefault="00575F33" w:rsidP="00575F33">
      <w:pPr>
        <w:spacing w:line="480" w:lineRule="auto"/>
        <w:ind w:firstLine="720"/>
      </w:pPr>
      <w:r w:rsidRPr="00E14CDC">
        <w:t xml:space="preserve">A vital moment in early infancy is the onset of reaching. The genesis of this skill signifies an essential turning point in the infant’s life: a shift from passivity to active agency. Before reach-onset, infants’ environmental interactions are limited to </w:t>
      </w:r>
      <w:r w:rsidRPr="00E14CDC">
        <w:lastRenderedPageBreak/>
        <w:t xml:space="preserve">vocalizations, visual exploration, and tactile stimulation, limited to their immediate surroundings. Following the onset of reaching, infants gain more autonomy and begin to directly influence their environment while learning more about the relationship between cause and effect through their actions and perception of those actions' outcomes. The months of motor and visual experience leading to reach-onset in early infancy are crucial to the emergence of reaching. The infants’ initial </w:t>
      </w:r>
      <w:r w:rsidR="009D205F" w:rsidRPr="00E14CDC">
        <w:t>spontaneous</w:t>
      </w:r>
      <w:r w:rsidRPr="00E14CDC">
        <w:t xml:space="preserve"> movements are selected from all possible movements defined by muscle extension and flex and joint degrees of freedom in the shoulder, elbow, wrist, and fingers. These movements are enlisted for motor movements that are then compared to a desired goal and adjusted as necessary in developing prehensile control that is later selected for successful reaching </w:t>
      </w:r>
      <w:r w:rsidRPr="00E14CDC">
        <w:fldChar w:fldCharType="begin"/>
      </w:r>
      <w:r w:rsidRPr="00E14CDC">
        <w:instrText xml:space="preserve"> ADDIN ZOTERO_ITEM CSL_CITATION {"citationID":"CnTCdaZ3","properties":{"formattedCitation":"(Jordan, 2018; Michel, 1991; Pew, 1966; Thelen, 1991)","plainCitation":"(Jordan, 2018; Michel, 1991; Pew, 1966; Thelen, 1991)","noteIndex":0},"citationItems":[{"id":95,"uris":["http://zotero.org/users/local/uKe4C4Lg/items/UYT2SUP9"],"itemData":{"id":95,"type":"chapter","container-title":"Attention and performance XIII","page":"796-836","publisher":"Psychology Press","title":"Motor learning and the degrees of freedom problem","author":[{"family":"Jordan","given":"Michael I"}],"issued":{"date-parts":[["2018"]]}}},{"id":96,"uris":["http://zotero.org/users/local/uKe4C4Lg/items/DGMZQYRG"],"itemData":{"id":96,"type":"chapter","abstract":"Publisher Summary\nThe hands are used in an enormous range of actions involving feeding, locomotion, body maintenance (cleaning, soothing, and protection), communication, play, social cohesion, and emotional regulation. However, in the contexts of both evolution and civilization, the manipulation of inedible environmental objects is the most important use of the hands. Most human characteristics depend, directly or indirectly, on the manual skills needed to use implements and construct tools. Effective manual action in these skills requires refined control of the shoulder, elbow, wrist, and finger joints, as well as specific postural adjustment of the trunk and legs. Failure to achieve the appropriate postural “set” can preclude the expression of a manual skill. The execution of manual actions has a special priority in the organization of central nervous system activity, co-opting a diverse set of neuro-anatomical structures that are involved in a wide range of functions. Reaching and grasping are prehensile skills established during infancy and serve as the basis for most of the infant's manipulatory actions. Intelligent behavior almost always involves acts of prehension and manipulation (e.g., searching for hidden objects, using tools). Accordingly, processes involved in the acquisition of various manual skills during infancy may serve to either facilitate or constrain cognitive development, and manual skill is often used as a means of assessing the cognitive ability of infants.","container-title":"Advances in Psychology","ISBN":"0166-4115","note":"DOI: 10.1016/S0166-4115(08)60765-7","page":"175-199","publisher":"North-Holland","title":"Development of Infant Manual Skills: Motor Programs, Schemata, or Dynamic Systems?11Preparation of this chapter was supported in part by NICHHD grant number 5R01 HD22399. I would like to thank Celia L. Moore for comments on earlier versions.","URL":"https://www.sciencedirect.com/science/article/pii/S0166411508607657","volume":"81","author":[{"family":"Michel","given":"George F."}],"editor":[{"family":"Fagard","given":"Jacqueline"},{"family":"Wolff","given":"Peter H."}],"issued":{"date-parts":[["1991",1,1]]}}},{"id":94,"uris":["http://zotero.org/users/local/uKe4C4Lg/items/4SZUTWA2"],"itemData":{"id":94,"type":"article-journal","container-title":"Journal of experimental psychology","ISSN":"0022-1015","issue":"5","journalAbbreviation":"Journal of experimental psychology","note":"publisher: American Psychological Association","page":"764","title":"Acquisition of hierarchical control over the temporal organization of a skill.","volume":"71","author":[{"family":"Pew","given":"Richard W"}],"issued":{"date-parts":[["1966"]]}}},{"id":97,"uris":["http://zotero.org/users/local/uKe4C4Lg/items/UFS2QPMA"],"itemData":{"id":97,"type":"chapter","container-title":"Advances in psychology","ISBN":"0166-4115","page":"201-211","publisher":"Elsevier","title":"Timing in motor development as emergent process and product","volume":"81","author":[{"family":"Thelen","given":"Esther"}],"issued":{"date-parts":[["1991"]]}}}],"schema":"https://github.com/citation-style-language/schema/raw/master/csl-citation.json"} </w:instrText>
      </w:r>
      <w:r w:rsidRPr="00E14CDC">
        <w:fldChar w:fldCharType="separate"/>
      </w:r>
      <w:r w:rsidRPr="00E14CDC">
        <w:rPr>
          <w:sz w:val="22"/>
        </w:rPr>
        <w:t>(Jordan, 2018; Michel, 1991; Pew, 1966; Thelen, 1991)</w:t>
      </w:r>
      <w:r w:rsidRPr="00E14CDC">
        <w:fldChar w:fldCharType="end"/>
      </w:r>
      <w:r w:rsidRPr="00E14CDC">
        <w:t>. However, the path to this milestone depends on the individual and the development of multiple essential systems, including motor, visual, and proprioception, as well as their subsequent convergence. Specifically, reaching is not dependent on any single system but rather the accumulation of these intricate systems dynamically intertwining</w:t>
      </w:r>
      <w:r w:rsidR="00590EF9" w:rsidRPr="00E14CDC">
        <w:t xml:space="preserve"> </w:t>
      </w:r>
      <w:r w:rsidRPr="00E14CDC">
        <w:fldChar w:fldCharType="begin"/>
      </w:r>
      <w:r w:rsidRPr="00E14CDC">
        <w:instrText xml:space="preserve"> ADDIN ZOTERO_ITEM CSL_CITATION {"citationID":"zBxrKvGA","properties":{"formattedCitation":"(Thelen, 1991)","plainCitation":"(Thelen, 1991)","noteIndex":0},"citationItems":[{"id":97,"uris":["http://zotero.org/users/local/uKe4C4Lg/items/UFS2QPMA"],"itemData":{"id":97,"type":"chapter","container-title":"Advances in psychology","ISBN":"0166-4115","page":"201-211","publisher":"Elsevier","title":"Timing in motor development as emergent process and product","volume":"81","author":[{"family":"Thelen","given":"Esther"}],"issued":{"date-parts":[["1991"]]}}}],"schema":"https://github.com/citation-style-language/schema/raw/master/csl-citation.json"} </w:instrText>
      </w:r>
      <w:r w:rsidRPr="00E14CDC">
        <w:fldChar w:fldCharType="separate"/>
      </w:r>
      <w:r w:rsidRPr="00E14CDC">
        <w:rPr>
          <w:sz w:val="22"/>
        </w:rPr>
        <w:t>(Thelen, 1991)</w:t>
      </w:r>
      <w:r w:rsidRPr="00E14CDC">
        <w:fldChar w:fldCharType="end"/>
      </w:r>
      <w:r w:rsidRPr="00E14CDC">
        <w:t xml:space="preserve">. Simply put, infants develop and master the skill of reaching, as with many skills, through repeated exposure to trial and error while observing the outcomes of those attempts to obtain a desired target or outcome </w:t>
      </w:r>
      <w:r w:rsidRPr="00E14CDC">
        <w:fldChar w:fldCharType="begin"/>
      </w:r>
      <w:r w:rsidRPr="00E14CDC">
        <w:instrText xml:space="preserve"> ADDIN ZOTERO_ITEM CSL_CITATION {"citationID":"p6vvFF3a","properties":{"formattedCitation":"(Thelen, 1991)","plainCitation":"(Thelen, 1991)","noteIndex":0},"citationItems":[{"id":97,"uris":["http://zotero.org/users/local/uKe4C4Lg/items/UFS2QPMA"],"itemData":{"id":97,"type":"chapter","container-title":"Advances in psychology","ISBN":"0166-4115","page":"201-211","publisher":"Elsevier","title":"Timing in motor development as emergent process and product","volume":"81","author":[{"family":"Thelen","given":"Esther"}],"issued":{"date-parts":[["1991"]]}}}],"schema":"https://github.com/citation-style-language/schema/raw/master/csl-citation.json"} </w:instrText>
      </w:r>
      <w:r w:rsidRPr="00E14CDC">
        <w:fldChar w:fldCharType="separate"/>
      </w:r>
      <w:r w:rsidRPr="00E14CDC">
        <w:rPr>
          <w:sz w:val="22"/>
        </w:rPr>
        <w:t>(Thelen, 1991)</w:t>
      </w:r>
      <w:r w:rsidRPr="00E14CDC">
        <w:fldChar w:fldCharType="end"/>
      </w:r>
      <w:r w:rsidRPr="00E14CDC">
        <w:t xml:space="preserve">. Following the first contact with an object, infants quickly begin replicating the action to satisfy an intrinsic motivation to achieve the effect again </w:t>
      </w:r>
      <w:r w:rsidRPr="00E14CDC">
        <w:fldChar w:fldCharType="begin"/>
      </w:r>
      <w:r w:rsidRPr="00E14CDC">
        <w:instrText xml:space="preserve"> ADDIN ZOTERO_ITEM CSL_CITATION {"citationID":"M74PXEJp","properties":{"formattedCitation":"(Corbetta, 2021)","plainCitation":"(Corbetta, 2021)","noteIndex":0},"citationItems":[{"id":13,"uris":["http://zotero.org/users/local/uKe4C4Lg/items/L3H2QEFP"],"itemData":{"id":13,"type":"article-journal","abstract":"Perception, action, and intrinsic motivation play an essential role in early development, promoting the creation and refinement of new and more complex forms of behaviors as infants try a range of sensorimotor patterns in their environment. I use the example of infants? reaching to illustrate how goal-directed action emerges from the intersection of seemingly distinct visual and proprioceptive-tactile-motor spaces that form in the early months following birth. The intersection of these two spaces begins with a casual contingent event involving vision and action: when the hand happens to contact a target. This event, which marks the onset of reaching, provides new behavioral value, reinforces the motor action, and intrinsically motivates infants to attempt to reproduce the behavior. Subsequent repeated cycles of perception and action lead to the exploration of a range of motor responses and a progressive alignment of the visual space with the proprioceptive-tactile-motor space, ultimately fostering the selection and refinement of increasingly successful and refined reaching patterns. Extensive hands-on experience in the environment and learning about the immediate outcomes of actions play a critical role in shaping behavioral development.","container-title":"Current Directions in Psychological Science","DOI":"10.1177/09637214211031939","ISSN":"0963-7214","issue":"5","journalAbbreviation":"Curr Dir Psychol Sci","note":"publisher: SAGE Publications Inc","page":"418-424","title":"Perception, Action, and Intrinsic Motivation in Infants’ Motor-Skill Development","volume":"30","author":[{"family":"Corbetta","given":"Daniela"}],"issued":{"date-parts":[["2021",10,1]]}}}],"schema":"https://github.com/citation-style-language/schema/raw/master/csl-citation.json"} </w:instrText>
      </w:r>
      <w:r w:rsidRPr="00E14CDC">
        <w:fldChar w:fldCharType="separate"/>
      </w:r>
      <w:r w:rsidRPr="00E14CDC">
        <w:t>(Corbetta, 2021)</w:t>
      </w:r>
      <w:r w:rsidRPr="00E14CDC">
        <w:fldChar w:fldCharType="end"/>
      </w:r>
      <w:r w:rsidRPr="00E14CDC">
        <w:t>.</w:t>
      </w:r>
    </w:p>
    <w:p w14:paraId="62B1B0D4" w14:textId="67DC8DA9" w:rsidR="00575F33" w:rsidRPr="00E14CDC" w:rsidRDefault="00575F33" w:rsidP="00575F33">
      <w:pPr>
        <w:spacing w:line="480" w:lineRule="auto"/>
      </w:pPr>
      <w:r w:rsidRPr="00E14CDC">
        <w:tab/>
        <w:t xml:space="preserve">Over the last several decades, the onset of reaching has been researched in many aspects of the skill: the role of vision </w:t>
      </w:r>
      <w:r w:rsidRPr="00E14CDC">
        <w:fldChar w:fldCharType="begin"/>
      </w:r>
      <w:r w:rsidRPr="00E14CDC">
        <w:instrText xml:space="preserve"> ADDIN ZOTERO_ITEM CSL_CITATION {"citationID":"r7SuH87d","properties":{"formattedCitation":"(Berthier et al., 1996; Clifton et al., 1993; von Hofsten, 1977, 1982)","plainCitation":"(Berthier et al., 1996; Clifton et al., 1993; von Hofsten, 1977, 1982)","noteIndex":0},"citationItems":[{"id":39,"uris":["http://zotero.org/users/local/uKe4C4Lg/items/D8FQ9JG9"],"itemData":{"id":39,"type":"article-journal","container-title":"Journal of Motor Behavior","DOI":"10.1080/00222895.1996.9941744","ISSN":"0022-2895","issue":"3","journalAbbreviation":"Journal of Motor Behavior","note":"publisher: Routledge","page":"187-197","title":"Visual Information and Object Size in the Control of Reaching","volume":"28","author":[{"family":"Berthier","given":"Neil E."},{"family":"Clifton","given":"Rachel K."},{"family":"Gullapalli","given":"Vijaykumar"},{"family":"McCall","given":"Daniel D."},{"family":"Robin","given":"Daniel J."}],"issued":{"date-parts":[["1996",9,1]]}}},{"id":25,"uris":["http://zotero.org/users/local/uKe4C4Lg/items/YBJPTDZ6"],"itemData":{"id":25,"type":"article-journal","abstract":"[The issue examined was whether infants require sight of their hand when first beginning to reach for, contact, and grasp objects. 7 infants were repeatedly tested between 6 and 25 weeks of age. Each session consisted of 8 trials of objects presented in the light and 8 trials of glowing or sounding objects in complete darkness. Infants first contacted the object in both conditions at comparable ages (mean age for light, 12.3 weeks, and for dark, 11.9 weeks). Infants first grasped the object in the light at 16.0 weeks and in the dark at 14.7 weeks, a nonsignificant difference. Once contact was observed, infants continued to touch and grasp the objects in both light and dark throughout all sessions. Because infants could not see their hand or arm in the dark, their early success in contacting the glowing and sounding objects indicates that proprioceptive cues, not sight of the limb, guided their early reaching. Reaching in the light developed in parallel with reaching in the dark, suggesting that visual guidance of the hand is not necessary to achieve object contact either at the onset of successful reaching or in the succeeding weeks.]","archive":"JSTOR","container-title":"Child Development","DOI":"10.2307/1131328","ISSN":"00093920, 14678624","issue":"4","note":"publisher: [Wiley, Society for Research in Child Development]","page":"1099-1110","title":"Is Visually Guided Reaching in Early Infancy a Myth?","volume":"64","author":[{"family":"Clifton","given":"Rachel K."},{"family":"Muir","given":"Darwin W."},{"family":"Ashmead","given":"Daniel H."},{"family":"Clarkson","given":"Marsha G."}],"issued":{"date-parts":[["1993"]]}}},{"id":23,"uris":["http://zotero.org/users/local/uKe4C4Lg/items/U3CB426P"],"itemData":{"id":23,"type":"article-journal","abstract":"Reaching behavior in eighteen- to thirty-two-week-old infants was studied as a function of binocular convergence. The infant looked at the object to be reached for through prism arrangements which changed convergence only. The reaches obtained were nearly always directed at the virtual object defined by convergence. Corrections of the reaches, if any, were made rather late and often not before the hand arrived at the place of the virtual object.","container-title":"Perception","DOI":"10.1068/p060139","ISSN":"0301-0066","issue":"2","journalAbbreviation":"Perception","note":"publisher: SAGE Publications Ltd STM","page":"139-144","title":"Binocular Convergence as a Determinant of Reaching Behavior in Infancy","volume":"6","author":[{"family":"Hofsten","given":"Claes","non-dropping-particle":"von"}],"issued":{"date-parts":[["1977",4,1]]}}},{"id":28,"uris":["http://zotero.org/users/local/uKe4C4Lg/items/CHMT43Y4"],"itemData":{"id":28,"type":"article-journal","abstract":"Examined in Exp I the number and distribution of arm–hand movements of 14 newborn infants when a slowly moving object was either present or absent. More of the movements performed while the infant fixated the object were forward extended than otherwise. However, there was no difference in the absolute frequency of forward extension between periods when the object was present and when it was absent. In Exp II, the forward extensions of 13 infants were analyzed by a technique that took into consideration the 3-dimensional properties of arm–hand movements. The movements performed while the neonate fixated the object were aimed closer at the object than other movements. The effect was not a function of changes in body posture or head direction accompanying changes in visual direction. It was further shown that fixated movements clustered closer around the object and that the hand slowed down near the object in the best aimed of the fixated movements. It is concluded that there exists in the newborn a rudimentary form of eye–hand coordination, the primary function of which is attentional rather than manipulative. (30 ref) (PsycINFO Database Record (c) 2016 APA, all rights reserved)","archive":"APA PsycArticles®","archive_location":"614290528; 1982-23347-001","container-title":"Developmental Psychology","DOI":"10.1037/0012-1649.18.3.450","ISSN":"0012-1649, 0012-1649","issue":"3","language":"English","note":"publisher-place: Washington\npublisher: American Psychological Association, American Psychological Association","page":"450-461","title":"Eye–hand coordination in the newborn","volume":"18","author":[{"family":"Hofsten","given":"Claes","non-dropping-particle":"von"}],"issued":{"date-parts":[["1982",5]]}}}],"schema":"https://github.com/citation-style-language/schema/raw/master/csl-citation.json"} </w:instrText>
      </w:r>
      <w:r w:rsidRPr="00E14CDC">
        <w:fldChar w:fldCharType="separate"/>
      </w:r>
      <w:r w:rsidRPr="00E14CDC">
        <w:rPr>
          <w:sz w:val="22"/>
        </w:rPr>
        <w:t>(Berthier et al., 1996; Clifton et al., 1993; von Hofsten, 1977, 1982)</w:t>
      </w:r>
      <w:r w:rsidRPr="00E14CDC">
        <w:fldChar w:fldCharType="end"/>
      </w:r>
      <w:r w:rsidRPr="00E14CDC">
        <w:t xml:space="preserve">, movement speed, and kinematics </w:t>
      </w:r>
      <w:r w:rsidRPr="00E14CDC">
        <w:fldChar w:fldCharType="begin"/>
      </w:r>
      <w:r w:rsidRPr="00E14CDC">
        <w:instrText xml:space="preserve"> ADDIN ZOTERO_ITEM CSL_CITATION {"citationID":"kqnCEHI7","properties":{"formattedCitation":"(Thelen et al., 1993, 1996)","plainCitation":"(Thelen et al., 1993, 1996)","noteIndex":0},"citationItems":[{"id":76,"uris":["http://zotero.org/users/local/uKe4C4Lg/items/4PYU3BVT"],"itemData":{"id":76,"type":"article-journal","container-title":"Child development","ISSN":"0009-3920","issue":"4","journalAbbreviation":"Child development","note":"publisher: Wiley Online Library","page":"1058-1098","title":"The transition to reaching: Mapping intention and intrinsic dynamics","volume":"64","author":[{"family":"Thelen","given":"Esther"},{"family":"Corbetta","given":"Daniela"},{"family":"Kamm","given":"Kathi"},{"family":"Spencer","given":"John P"},{"family":"Schneider","given":"Klaus"},{"family":"Zernicke","given":"Ronald F"}],"issued":{"date-parts":[["1993"]]}}},{"id":67,"uris":["http://zotero.org/users/local/uKe4C4Lg/items/9AQBEWQ7"],"itemData":{"id":67,"type":"article-journal","container-title":"Journal of experimental psychology: human perception and performance","ISSN":"1939-1277","issue":"5","journalAbbreviation":"Journal of experimental psychology: human perception and performance","note":"publisher: American Psychological Association","page":"1059","title":"Development of reaching during the first year: role of movement speed.","volume":"22","author":[{"family":"Thelen","given":"Esther"},{"family":"Corbetta","given":"Daniela"},{"family":"Spencer","given":"John P"}],"issued":{"date-parts":[["1996"]]}}}],"schema":"https://github.com/citation-style-language/schema/raw/master/csl-citation.json"} </w:instrText>
      </w:r>
      <w:r w:rsidRPr="00E14CDC">
        <w:fldChar w:fldCharType="separate"/>
      </w:r>
      <w:r w:rsidRPr="00E14CDC">
        <w:rPr>
          <w:sz w:val="22"/>
        </w:rPr>
        <w:t>(Thelen et al., 1993, 1996)</w:t>
      </w:r>
      <w:r w:rsidRPr="00E14CDC">
        <w:fldChar w:fldCharType="end"/>
      </w:r>
      <w:r w:rsidRPr="00E14CDC">
        <w:t xml:space="preserve">, behavioral </w:t>
      </w:r>
      <w:r w:rsidRPr="00E14CDC">
        <w:lastRenderedPageBreak/>
        <w:t xml:space="preserve">frequency </w:t>
      </w:r>
      <w:r w:rsidRPr="00E14CDC">
        <w:fldChar w:fldCharType="begin"/>
      </w:r>
      <w:r w:rsidRPr="00E14CDC">
        <w:instrText xml:space="preserve"> ADDIN ZOTERO_ITEM CSL_CITATION {"citationID":"nITG96NN","properties":{"formattedCitation":"(von Hofsten, 1991; White et al., 1964)","plainCitation":"(von Hofsten, 1991; White et al., 1964)","noteIndex":0},"citationItems":[{"id":77,"uris":["http://zotero.org/users/local/uKe4C4Lg/items/P8ABG2CE"],"itemData":{"id":77,"type":"article-journal","container-title":"Journal of motor behavior","ISSN":"0022-2895","issue":"4","journalAbbreviation":"Journal of motor behavior","note":"publisher: Taylor &amp; Francis","page":"280-292","title":"Structuring of early reaching movements: a longitudinal study","volume":"23","author":[{"family":"Hofsten","given":"Claes","non-dropping-particle":"von"}],"issued":{"date-parts":[["1991"]]}}},{"id":82,"uris":["http://zotero.org/users/local/uKe4C4Lg/items/6Z6J7CTP"],"itemData":{"id":82,"type":"article-journal","container-title":"Child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fldChar w:fldCharType="separate"/>
      </w:r>
      <w:r w:rsidRPr="00E14CDC">
        <w:rPr>
          <w:sz w:val="22"/>
        </w:rPr>
        <w:t>(von Hofsten, 1991; White et al., 1964)</w:t>
      </w:r>
      <w:r w:rsidRPr="00E14CDC">
        <w:fldChar w:fldCharType="end"/>
      </w:r>
      <w:r w:rsidRPr="00E14CDC">
        <w:t>, and behavioral change around reach-onset</w:t>
      </w:r>
      <w:r w:rsidR="002B0501" w:rsidRPr="00E14CDC">
        <w:t xml:space="preserve"> </w:t>
      </w:r>
      <w:r w:rsidRPr="00E14CDC">
        <w:fldChar w:fldCharType="begin"/>
      </w:r>
      <w:r w:rsidRPr="00E14CDC">
        <w:instrText xml:space="preserve"> ADDIN ZOTERO_ITEM CSL_CITATION {"citationID":"wB5FwHzW","properties":{"formattedCitation":"(Corbetta et al., 2014; Thelen et al., 1993, 1996)","plainCitation":"(Corbetta et al., 2014; Thelen et al., 1993, 1996)","noteIndex":0},"citationItems":[{"id":52,"uris":["http://zotero.org/users/local/uKe4C4Lg/items/IUPCEAET"],"itemData":{"id":52,"type":"article-journal","container-title":"Frontiers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L"}],"issued":{"date-parts":[["2014"]]}}},{"id":76,"uris":["http://zotero.org/users/local/uKe4C4Lg/items/4PYU3BVT"],"itemData":{"id":76,"type":"article-journal","container-title":"Child development","ISSN":"0009-3920","issue":"4","journalAbbreviation":"Child development","note":"publisher: Wiley Online Library","page":"1058-1098","title":"The transition to reaching: Mapping intention and intrinsic dynamics","volume":"64","author":[{"family":"Thelen","given":"Esther"},{"family":"Corbetta","given":"Daniela"},{"family":"Kamm","given":"Kathi"},{"family":"Spencer","given":"John P"},{"family":"Schneider","given":"Klaus"},{"family":"Zernicke","given":"Ronald F"}],"issued":{"date-parts":[["1993"]]}}},{"id":67,"uris":["http://zotero.org/users/local/uKe4C4Lg/items/9AQBEWQ7"],"itemData":{"id":67,"type":"article-journal","container-title":"Journal of experimental psychology: human perception and performance","ISSN":"1939-1277","issue":"5","journalAbbreviation":"Journal of experimental psychology: human perception and performance","note":"publisher: American Psychological Association","page":"1059","title":"Development of reaching during the first year: role of movement speed.","volume":"22","author":[{"family":"Thelen","given":"Esther"},{"family":"Corbetta","given":"Daniela"},{"family":"Spencer","given":"John P"}],"issued":{"date-parts":[["1996"]]}}}],"schema":"https://github.com/citation-style-language/schema/raw/master/csl-citation.json"} </w:instrText>
      </w:r>
      <w:r w:rsidRPr="00E14CDC">
        <w:fldChar w:fldCharType="separate"/>
      </w:r>
      <w:r w:rsidRPr="00E14CDC">
        <w:rPr>
          <w:sz w:val="22"/>
        </w:rPr>
        <w:t>(Corbetta et al., 2014; Thelen et al., 1993, 1996)</w:t>
      </w:r>
      <w:r w:rsidRPr="00E14CDC">
        <w:fldChar w:fldCharType="end"/>
      </w:r>
      <w:r w:rsidRPr="00E14CDC">
        <w:t xml:space="preserve">. These studies focused primarily on </w:t>
      </w:r>
      <w:r w:rsidR="00AA21E8" w:rsidRPr="00E14CDC">
        <w:t>aligning</w:t>
      </w:r>
      <w:r w:rsidRPr="00E14CDC">
        <w:t xml:space="preserve"> the visual and motor systems in service to the emergence of reach-onset and hand-eye coordination and consisted of macro-observations across multiple months. Few studies, however, have followed infants on a micro-observation scale to describe the qualitative and quantitative changes surrounding the weeks of reach-onset in detail </w:t>
      </w:r>
      <w:r w:rsidRPr="00E14CDC">
        <w:fldChar w:fldCharType="begin"/>
      </w:r>
      <w:r w:rsidRPr="00E14CDC">
        <w:instrText xml:space="preserve"> ADDIN ZOTERO_ITEM CSL_CITATION {"citationID":"DWlhHRG6","properties":{"formattedCitation":"(Corbetta et al., 2014; Thelen et al., 1996; von Hofsten, 1982, 1991; von Hofsten &amp; Lindhagen, 1979)","plainCitation":"(Corbetta et al., 2014; Thelen et al., 1996; von Hofsten, 1982, 1991; von Hofsten &amp; Lindhagen, 1979)","noteIndex":0},"citationItems":[{"id":52,"uris":["http://zotero.org/users/local/uKe4C4Lg/items/IUPCEAET"],"itemData":{"id":52,"type":"article-journal","container-title":"Frontiers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L"}],"issued":{"date-parts":[["2014"]]}}},{"id":67,"uris":["http://zotero.org/users/local/uKe4C4Lg/items/9AQBEWQ7"],"itemData":{"id":67,"type":"article-journal","container-title":"Journal of experimental psychology: human perception and performance","ISSN":"1939-1277","issue":"5","journalAbbreviation":"Journal of experimental psychology: human perception and performance","note":"publisher: American Psychological Association","page":"1059","title":"Development of reaching during the first year: role of movement speed.","volume":"22","author":[{"family":"Thelen","given":"Esther"},{"family":"Corbetta","given":"Daniela"},{"family":"Spencer","given":"John P"}],"issued":{"date-parts":[["1996"]]}}},{"id":28,"uris":["http://zotero.org/users/local/uKe4C4Lg/items/CHMT43Y4"],"itemData":{"id":28,"type":"article-journal","abstract":"Examined in Exp I the number and distribution of arm–hand movements of 14 newborn infants when a slowly moving object was either present or absent. More of the movements performed while the infant fixated the object were forward extended than otherwise. However, there was no difference in the absolute frequency of forward extension between periods when the object was present and when it was absent. In Exp II, the forward extensions of 13 infants were analyzed by a technique that took into consideration the 3-dimensional properties of arm–hand movements. The movements performed while the neonate fixated the object were aimed closer at the object than other movements. The effect was not a function of changes in body posture or head direction accompanying changes in visual direction. It was further shown that fixated movements clustered closer around the object and that the hand slowed down near the object in the best aimed of the fixated movements. It is concluded that there exists in the newborn a rudimentary form of eye–hand coordination, the primary function of which is attentional rather than manipulative. (30 ref) (PsycINFO Database Record (c) 2016 APA, all rights reserved)","archive":"APA PsycArticles®","archive_location":"614290528; 1982-23347-001","container-title":"Developmental Psychology","DOI":"10.1037/0012-1649.18.3.450","ISSN":"0012-1649, 0012-1649","issue":"3","language":"English","note":"publisher-place: Washington\npublisher: American Psychological Association, American Psychological Association","page":"450-461","title":"Eye–hand coordination in the newborn","volume":"18","author":[{"family":"Hofsten","given":"Claes","non-dropping-particle":"von"}],"issued":{"date-parts":[["1982",5]]}}},{"id":77,"uris":["http://zotero.org/users/local/uKe4C4Lg/items/P8ABG2CE"],"itemData":{"id":77,"type":"article-journal","container-title":"Journal of motor behavior","ISSN":"0022-2895","issue":"4","journalAbbreviation":"Journal of motor behavior","note":"publisher: Taylor &amp; Francis","page":"280-292","title":"Structuring of early reaching movements: a longitudinal study","volume":"23","author":[{"family":"Hofsten","given":"Claes","non-dropping-particle":"von"}],"issued":{"date-parts":[["1991"]]}}},{"id":83,"uris":["http://zotero.org/users/local/uKe4C4Lg/items/63GNNRRT"],"itemData":{"id":83,"type":"article-journal","abstract":"How infants come to master reaching for moving objects was studied in a situation where the distance to and the velocity of the moving object varied. Eleven infants participated in the study. They were from 12 to 24 weeks old at the first session, were seen at 3-week intervals until 30 weeks old, and were finally seen once at 36 weeks old. The following behaviors were observed from video recordings: frequency of fixated and followed motions, latency to first goal-directed behavior, type of goal-directed behaviors, and type of reaches. It was found that by the time the infant masters reaching for stationary objects he will also successfully reach for moving ones. Eighteen-week-old infants caught the object as it moved at 30 cm/sec. The results suggest a basic human capacity to time-coordinate one's behavior with external events, and to foresee in one's actions future positions of moving objects.","container-title":"Journal of Experimental Child Psychology","DOI":"10.1016/0022-0965(79)90109-7","ISSN":"0022-0965","issue":"1","journalAbbreviation":"Journal of Experimental Child Psychology","page":"158-173","title":"Observations on the development of reaching for moving objects","volume":"28","author":[{"family":"Hofsten","given":"Claes","non-dropping-particle":"von"},{"family":"Lindhagen","given":"Karin"}],"issued":{"date-parts":[["1979",8,1]]}}}],"schema":"https://github.com/citation-style-language/schema/raw/master/csl-citation.json"} </w:instrText>
      </w:r>
      <w:r w:rsidRPr="00E14CDC">
        <w:fldChar w:fldCharType="separate"/>
      </w:r>
      <w:r w:rsidRPr="00E14CDC">
        <w:rPr>
          <w:sz w:val="22"/>
        </w:rPr>
        <w:t>(Corbetta et al., 2014; Thelen et al., 1996; von Hofsten, 1982, 1991; von Hofsten &amp; Lindhagen, 1979)</w:t>
      </w:r>
      <w:r w:rsidRPr="00E14CDC">
        <w:fldChar w:fldCharType="end"/>
      </w:r>
      <w:r w:rsidRPr="00E14CDC">
        <w:t>. Furthermore, the role of vision in reach-onset has been a topic of debate for the past few decades</w:t>
      </w:r>
      <w:r w:rsidRPr="00E14CDC">
        <w:fldChar w:fldCharType="begin"/>
      </w:r>
      <w:r w:rsidRPr="00E14CDC">
        <w:instrText xml:space="preserve"> ADDIN ZOTERO_ITEM CSL_CITATION {"citationID":"izT4IRXG","properties":{"formattedCitation":"(Bushnell, 1985; Corbetta, Wiener, et al., 2018; White et al., 1964)","plainCitation":"(Bushnell, 1985; Corbetta, Wiener, et al., 2018; White et al., 1964)","dontUpdate":true,"noteIndex":0},"citationItems":[{"id":47,"uris":["http://zotero.org/users/local/uKe4C4Lg/items/8N8YA4X9"],"itemData":{"id":47,"type":"article-journal","container-title":"Infant Behavior and Development","ISSN":"0163-6383","issue":"2","journalAbbreviation":"Infant Behavior and Development","note":"publisher: Elsevier","page":"139-155","title":"The decline of visually guided reaching during infancy","volume":"8","author":[{"family":"Bushnell","given":"Emily W"}],"issued":{"date-parts":[["1985"]]}}},{"id":73,"uris":["http://zotero.org/users/local/uKe4C4Lg/items/AF9EDKTE"],"itemData":{"id":73,"type":"article-journal","container-title":"Kinesiology Review","ISSN":"2161-6035","issue":"1","journalAbbreviation":"Kinesiology Review","note":"publisher: Human Kinetics","page":"10-17","title":"The embodied origins of infant reaching: Implications for the emergence of eye-hand coordination","volume":"7","author":[{"family":"Corbetta","given":"Daniela"},{"family":"Wiener","given":"Rebecca F"},{"family":"Thurman","given":"Sabrina L"},{"family":"McMahon","given":"Emalie"}],"issued":{"date-parts":[["2018"]]}}},{"id":82,"uris":["http://zotero.org/users/local/uKe4C4Lg/items/6Z6J7CTP"],"itemData":{"id":82,"type":"article-journal","container-title":"Child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fldChar w:fldCharType="separate"/>
      </w:r>
      <w:r w:rsidRPr="00E14CDC">
        <w:rPr>
          <w:sz w:val="22"/>
        </w:rPr>
        <w:t>(</w:t>
      </w:r>
      <w:r w:rsidRPr="00E14CDC">
        <w:t xml:space="preserve">see </w:t>
      </w:r>
      <w:r w:rsidRPr="00E14CDC">
        <w:rPr>
          <w:sz w:val="22"/>
        </w:rPr>
        <w:t>Bushnell, 1985; Corbetta, Wiener, et al., 2018; White et al., 1964</w:t>
      </w:r>
      <w:r w:rsidRPr="00E14CDC">
        <w:t xml:space="preserve"> for review</w:t>
      </w:r>
      <w:r w:rsidRPr="00E14CDC">
        <w:rPr>
          <w:sz w:val="22"/>
        </w:rPr>
        <w:t>)</w:t>
      </w:r>
      <w:r w:rsidRPr="00E14CDC">
        <w:fldChar w:fldCharType="end"/>
      </w:r>
      <w:r w:rsidRPr="00E14CDC">
        <w:t>.</w:t>
      </w:r>
    </w:p>
    <w:p w14:paraId="55D99333" w14:textId="77777777" w:rsidR="00575F33" w:rsidRPr="00E14CDC" w:rsidRDefault="00575F33" w:rsidP="00575F33">
      <w:pPr>
        <w:spacing w:line="480" w:lineRule="auto"/>
        <w:ind w:firstLine="720"/>
      </w:pPr>
      <w:r w:rsidRPr="00E14CDC">
        <w:t xml:space="preserve">The visual system's role was first intertwined with reaching and the motor system by Jean Piaget </w:t>
      </w:r>
      <w:r w:rsidRPr="00E14CDC">
        <w:fldChar w:fldCharType="begin"/>
      </w:r>
      <w:r w:rsidRPr="00E14CDC">
        <w:instrText xml:space="preserve"> ADDIN ZOTERO_ITEM CSL_CITATION {"citationID":"kLMyfJNN","properties":{"formattedCitation":"(Piaget &amp; Cook, 1952)","plainCitation":"(Piaget &amp; Cook, 1952)","noteIndex":0},"citationItems":[{"id":56,"uris":["http://zotero.org/users/local/uKe4C4Lg/items/9PZHGFEG"],"itemData":{"id":56,"type":"book","note":"issue: 5","publisher":"International Universities Press New York","title":"The origins of intelligence in children","volume":"8","author":[{"family":"Piaget","given":"Jean"},{"family":"Cook","given":"Margaret"}],"issued":{"date-parts":[["1952"]]}}}],"schema":"https://github.com/citation-style-language/schema/raw/master/csl-citation.json"} </w:instrText>
      </w:r>
      <w:r w:rsidRPr="00E14CDC">
        <w:fldChar w:fldCharType="separate"/>
      </w:r>
      <w:r w:rsidRPr="00E14CDC">
        <w:t>(Piaget &amp; Cook, 1952)</w:t>
      </w:r>
      <w:r w:rsidRPr="00E14CDC">
        <w:fldChar w:fldCharType="end"/>
      </w:r>
      <w:r w:rsidRPr="00E14CDC">
        <w:t>. Piaget laid the foundational understanding of the role of vision in reaching, which he termed visually guided. He proposed that infants utilize visual information to locate their hands' position to a target to close the gap and complete the reach. The alignment of the visual and motor systems gave way to an infant's hand-eye coordination and resulted in more precise reaching over time. Infants exhibited this action through repeated visual fixation shifts from hand to target and back as their hands drew closer to the target, constantly observing the approximation of the hand to the target object. This resulted in contact with the target object. Therefore, developing hand-eye coordination was necessary for the emergence of reaching; specifically, the visual component was paramount. This sparked decades of research into the relationship between the visual and motor system.</w:t>
      </w:r>
    </w:p>
    <w:p w14:paraId="16F0F1BB" w14:textId="3A4AD5F7" w:rsidR="00575F33" w:rsidRPr="00E14CDC" w:rsidRDefault="00575F33" w:rsidP="00575F33">
      <w:pPr>
        <w:spacing w:line="480" w:lineRule="auto"/>
      </w:pPr>
      <w:r w:rsidRPr="00E14CDC">
        <w:lastRenderedPageBreak/>
        <w:tab/>
        <w:t xml:space="preserve">Over the following decade,  studies </w:t>
      </w:r>
      <w:r w:rsidRPr="00E14CDC">
        <w:fldChar w:fldCharType="begin"/>
      </w:r>
      <w:r w:rsidRPr="00E14CDC">
        <w:instrText xml:space="preserve"> ADDIN ZOTERO_ITEM CSL_CITATION {"citationID":"cjvqwBb9","properties":{"formattedCitation":"(Lasky, 1977; McDonnell, 1975; von Hofsten, 1977; White et al., 1964)","plainCitation":"(Lasky, 1977; McDonnell, 1975; von Hofsten, 1977; White et al., 1964)","noteIndex":0},"citationItems":[{"id":17,"uris":["http://zotero.org/users/local/uKe4C4Lg/items/TKFQBQEP"],"itemData":{"id":17,"type":"article-journal","abstract":"[Reaching and retrieving, with and without visual feedback of the hand, were observed in 50 infants ranging in age from 2½ to 6½ months. Failure, to see the hand did not completely inhibit reaching and retrieving, although reaching and retrieving were reduced in this situation for infants 5½ months and older. It was hypothesized that infants of this age expected to see their hands within their visual fields. When this expectation was not met, the infant's ongoing behavior was disrupted.]","archive":"JSTOR","container-title":"Child Development","DOI":"10.2307/1128888","ISSN":"00093920, 14678624","issue":"1","note":"publisher: [Wiley, Society for Research in Child Development]","page":"112-117","title":"The Effect of Visual Feedback of the Hand on the Reaching and Retrieval Behavior of Young Infants","volume":"48","author":[{"family":"Lasky","given":"Robert E."}],"issued":{"date-parts":[["1977"]]}}},{"id":22,"uris":["http://zotero.org/users/local/uKe4C4Lg/items/XBABE38V"],"itemData":{"id":22,"type":"article-journal","abstract":"This investigation measured the accuracy of reaching in infants wearing 30-diopter prisms. Infants varied in age from 4 to 10 months. Although accuracy was barely affected, the reach trajectories indicated that infants switched from a miss path to a hit path in midcourse. There was some evidence to support the view that visually directed reaching was operative in the youngest infants and that it improved with age.","container-title":"Perception &amp; Psychophysics","DOI":"10.3758/BF03205963","ISSN":"1532-5962","issue":"3","journalAbbreviation":"Perception &amp; Psychophysics","page":"181-185","title":"The development of visually guided reaching","volume":"18","author":[{"family":"McDonnell","given":"Paul M."}],"issued":{"date-parts":[["1975",5,1]]}}},{"id":23,"uris":["http://zotero.org/users/local/uKe4C4Lg/items/U3CB426P"],"itemData":{"id":23,"type":"article-journal","abstract":"Reaching behavior in eighteen- to thirty-two-week-old infants was studied as a function of binocular convergence. The infant looked at the object to be reached for through prism arrangements which changed convergence only. The reaches obtained were nearly always directed at the virtual object defined by convergence. Corrections of the reaches, if any, were made rather late and often not before the hand arrived at the place of the virtual object.","container-title":"Perception","DOI":"10.1068/p060139","ISSN":"0301-0066","issue":"2","journalAbbreviation":"Perception","note":"publisher: SAGE Publications Ltd STM","page":"139-144","title":"Binocular Convergence as a Determinant of Reaching Behavior in Infancy","volume":"6","author":[{"family":"Hofsten","given":"Claes","non-dropping-particle":"von"}],"issued":{"date-parts":[["1977",4,1]]}}},{"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fldChar w:fldCharType="separate"/>
      </w:r>
      <w:r w:rsidRPr="00E14CDC">
        <w:t>(Lasky, 1977; McDonnell, 1975; von Hofsten, 1977; White et al., 1964)</w:t>
      </w:r>
      <w:r w:rsidRPr="00E14CDC">
        <w:fldChar w:fldCharType="end"/>
      </w:r>
      <w:r w:rsidRPr="00E14CDC">
        <w:t xml:space="preserve"> have reported infants producing Piagetian-style reaching in early infancy. However, in the last few decades, reaching has moved from visually guided to visually elicited </w:t>
      </w:r>
      <w:r w:rsidRPr="00E14CDC">
        <w:fldChar w:fldCharType="begin"/>
      </w:r>
      <w:r w:rsidRPr="00E14CDC">
        <w:instrText xml:space="preserve"> ADDIN ZOTERO_ITEM CSL_CITATION {"citationID":"7MfgRuRK","properties":{"formattedCitation":"(Corbetta, Wiener, et al., 2018)","plainCitation":"(Corbetta, Wiener, et al., 2018)","dontUpdate":true,"noteIndex":0},"citationItems":[{"id":73,"uris":["http://zotero.org/users/local/uKe4C4Lg/items/AF9EDKTE"],"itemData":{"id":73,"type":"article-journal","container-title":"Kinesiology Review","ISSN":"2161-6035","issue":"1","journalAbbreviation":"Kinesiology Review","note":"publisher: Human Kinetics","page":"10-17","title":"The embodied origins of infant reaching: Implications for the emergence of eye-hand coordination","volume":"7","author":[{"family":"Corbetta","given":"Daniela"},{"family":"Wiener","given":"Rebecca F"},{"family":"Thurman","given":"Sabrina L"},{"family":"McMahon","given":"Emalie"}],"issued":{"date-parts":[["2018"]]}}}],"schema":"https://github.com/citation-style-language/schema/raw/master/csl-citation.json"} </w:instrText>
      </w:r>
      <w:r w:rsidRPr="00E14CDC">
        <w:fldChar w:fldCharType="separate"/>
      </w:r>
      <w:r w:rsidRPr="00E14CDC">
        <w:rPr>
          <w:sz w:val="22"/>
        </w:rPr>
        <w:t>(</w:t>
      </w:r>
      <w:r w:rsidRPr="00E14CDC">
        <w:t xml:space="preserve">see </w:t>
      </w:r>
      <w:r w:rsidRPr="00E14CDC">
        <w:rPr>
          <w:sz w:val="22"/>
        </w:rPr>
        <w:t>Corbetta, Wiener, et al., 2018)</w:t>
      </w:r>
      <w:r w:rsidRPr="00E14CDC">
        <w:fldChar w:fldCharType="end"/>
      </w:r>
      <w:r w:rsidRPr="00E14CDC">
        <w:t xml:space="preserve">. Von Hofsten </w:t>
      </w:r>
      <w:r w:rsidRPr="00E14CDC">
        <w:fldChar w:fldCharType="begin"/>
      </w:r>
      <w:r w:rsidRPr="00E14CDC">
        <w:instrText xml:space="preserve"> ADDIN ZOTERO_ITEM CSL_CITATION {"citationID":"jLNfmlDp","properties":{"formattedCitation":"(von Hofsten, 1979)","plainCitation":"(von Hofsten, 1979)","dontUpdate":true,"noteIndex":0},"citationItems":[{"id":84,"uris":["http://zotero.org/users/local/uKe4C4Lg/items/GW23NYQH"],"itemData":{"id":84,"type":"book","publisher":"Department of psychology, University of Uppsala","title":"Development of visually directed reaching: The approach phase","author":[{"family":"Hofsten","given":"Claes","non-dropping-particle":"von"}],"issued":{"date-parts":[["1979"]]}}}],"schema":"https://github.com/citation-style-language/schema/raw/master/csl-citation.json"} </w:instrText>
      </w:r>
      <w:r w:rsidRPr="00E14CDC">
        <w:fldChar w:fldCharType="separate"/>
      </w:r>
      <w:r w:rsidRPr="00E14CDC">
        <w:t>(1979)</w:t>
      </w:r>
      <w:r w:rsidRPr="00E14CDC">
        <w:fldChar w:fldCharType="end"/>
      </w:r>
      <w:r w:rsidRPr="00E14CDC">
        <w:t xml:space="preserve"> argued that the visual system aligned with a proprioceptive-haptic-feedback system rather than converging with the motor system. Corbetta </w:t>
      </w:r>
      <w:r w:rsidRPr="00E14CDC">
        <w:fldChar w:fldCharType="begin"/>
      </w:r>
      <w:r w:rsidRPr="00E14CDC">
        <w:instrText xml:space="preserve"> ADDIN ZOTERO_ITEM CSL_CITATION {"citationID":"YwxBv3Zs","properties":{"formattedCitation":"(Corbetta, 2021)","plainCitation":"(Corbetta, 2021)","dontUpdate":true,"noteIndex":0},"citationItems":[{"id":13,"uris":["http://zotero.org/users/local/uKe4C4Lg/items/L3H2QEFP"],"itemData":{"id":13,"type":"article-journal","abstract":"Perception, action, and intrinsic motivation play an essential role in early development, promoting the creation and refinement of new and more complex forms of behaviors as infants try a range of sensorimotor patterns in their environment. I use the example of infants? reaching to illustrate how goal-directed action emerges from the intersection of seemingly distinct visual and proprioceptive-tactile-motor spaces that form in the early months following birth. The intersection of these two spaces begins with a casual contingent event involving vision and action: when the hand happens to contact a target. This event, which marks the onset of reaching, provides new behavioral value, reinforces the motor action, and intrinsically motivates infants to attempt to reproduce the behavior. Subsequent repeated cycles of perception and action lead to the exploration of a range of motor responses and a progressive alignment of the visual space with the proprioceptive-tactile-motor space, ultimately fostering the selection and refinement of increasingly successful and refined reaching patterns. Extensive hands-on experience in the environment and learning about the immediate outcomes of actions play a critical role in shaping behavioral development.","container-title":"Current Directions in Psychological Science","DOI":"10.1177/09637214211031939","ISSN":"0963-7214","issue":"5","journalAbbreviation":"Curr Dir Psychol Sci","note":"publisher: SAGE Publications Inc","page":"418-424","title":"Perception, Action, and Intrinsic Motivation in Infants’ Motor-Skill Development","volume":"30","author":[{"family":"Corbetta","given":"Daniela"}],"issued":{"date-parts":[["2021",10,1]]}}}],"schema":"https://github.com/citation-style-language/schema/raw/master/csl-citation.json"} </w:instrText>
      </w:r>
      <w:r w:rsidRPr="00E14CDC">
        <w:fldChar w:fldCharType="separate"/>
      </w:r>
      <w:r w:rsidRPr="00E14CDC">
        <w:t>(2021)</w:t>
      </w:r>
      <w:r w:rsidRPr="00E14CDC">
        <w:fldChar w:fldCharType="end"/>
      </w:r>
      <w:r w:rsidRPr="00E14CDC">
        <w:t xml:space="preserve"> further expands upon this point, suggesting that the visual system aligns with a proprioceptive-tactile-motor system, placing the motor system back into the process, which results in the combination of the visual and motor spaces. Both of these positions argue that while vision is essential to the onset of reaching, proprioception, the sense of one’s body’s proximity to itself and its surroundings, plays </w:t>
      </w:r>
      <w:r w:rsidR="009D205F" w:rsidRPr="00E14CDC">
        <w:t>a crucial,</w:t>
      </w:r>
      <w:r w:rsidRPr="00E14CDC">
        <w:t xml:space="preserve"> if not paramount, role in reaching. The importance of proprioception was further illustrated by research that obfuscated visual feedback of infants’ hands when reaching </w:t>
      </w:r>
      <w:r w:rsidRPr="00E14CDC">
        <w:fldChar w:fldCharType="begin"/>
      </w:r>
      <w:r w:rsidRPr="00E14CDC">
        <w:instrText xml:space="preserve"> ADDIN ZOTERO_ITEM CSL_CITATION {"citationID":"mzcTUoCO","properties":{"formattedCitation":"(Clifton et al., 1993; Robin et al., 1996)","plainCitation":"(Clifton et al., 1993; Robin et al., 1996)","noteIndex":0},"citationItems":[{"id":25,"uris":["http://zotero.org/users/local/uKe4C4Lg/items/YBJPTDZ6"],"itemData":{"id":25,"type":"article-journal","abstract":"[The issue examined was whether infants require sight of their hand when first beginning to reach for, contact, and grasp objects. 7 infants were repeatedly tested between 6 and 25 weeks of age. Each session consisted of 8 trials of objects presented in the light and 8 trials of glowing or sounding objects in complete darkness. Infants first contacted the object in both conditions at comparable ages (mean age for light, 12.3 weeks, and for dark, 11.9 weeks). Infants first grasped the object in the light at 16.0 weeks and in the dark at 14.7 weeks, a nonsignificant difference. Once contact was observed, infants continued to touch and grasp the objects in both light and dark throughout all sessions. Because infants could not see their hand or arm in the dark, their early success in contacting the glowing and sounding objects indicates that proprioceptive cues, not sight of the limb, guided their early reaching. Reaching in the light developed in parallel with reaching in the dark, suggesting that visual guidance of the hand is not necessary to achieve object contact either at the onset of successful reaching or in the succeeding weeks.]","archive":"JSTOR","container-title":"Child Development","DOI":"10.2307/1131328","ISSN":"00093920, 14678624","issue":"4","note":"publisher: [Wiley, Society for Research in Child Development]","page":"1099-1110","title":"Is Visually Guided Reaching in Early Infancy a Myth?","volume":"64","author":[{"family":"Clifton","given":"Rachel K."},{"family":"Muir","given":"Darwin W."},{"family":"Ashmead","given":"Daniel H."},{"family":"Clarkson","given":"Marsha G."}],"issued":{"date-parts":[["1993"]]}}},{"id":57,"uris":["http://zotero.org/users/local/uKe4C4Lg/items/FHQG6R4K"],"itemData":{"id":57,"type":"article-journal","container-title":"Developmental Psychology","ISSN":"1939-0599","issue":"5","journalAbbreviation":"Developmental Psychology","note":"publisher: American Psychological Association","page":"824","title":"Infants' predictive reaching for moving objects in the dark.","volume":"32","author":[{"family":"Robin","given":"Daniel J"},{"family":"Berthier","given":"Neil E"},{"family":"Clifton","given":"Rachel K"}],"issued":{"date-parts":[["1996"]]}}}],"schema":"https://github.com/citation-style-language/schema/raw/master/csl-citation.json"} </w:instrText>
      </w:r>
      <w:r w:rsidRPr="00E14CDC">
        <w:fldChar w:fldCharType="separate"/>
      </w:r>
      <w:r w:rsidRPr="00E14CDC">
        <w:t>(Clifton et al., 1993; Robin et al., 1996)</w:t>
      </w:r>
      <w:r w:rsidRPr="00E14CDC">
        <w:fldChar w:fldCharType="end"/>
      </w:r>
      <w:r w:rsidRPr="00E14CDC">
        <w:t xml:space="preserve"> as well as Corbetta et al. </w:t>
      </w:r>
      <w:r w:rsidRPr="00E14CDC">
        <w:fldChar w:fldCharType="begin"/>
      </w:r>
      <w:r w:rsidRPr="00E14CDC">
        <w:instrText xml:space="preserve"> ADDIN ZOTERO_ITEM CSL_CITATION {"citationID":"ECCnr5a9","properties":{"formattedCitation":"(Corbetta et al., 2014)","plainCitation":"(Corbetta et al., 2014)","dontUpdate":true,"noteIndex":0},"citationItems":[{"id":52,"uris":["http://zotero.org/users/local/uKe4C4Lg/items/IUPCEAET"],"itemData":{"id":52,"type":"article-journal","container-title":"Frontiers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L"}],"issued":{"date-parts":[["2014"]]}}}],"schema":"https://github.com/citation-style-language/schema/raw/master/csl-citation.json"} </w:instrText>
      </w:r>
      <w:r w:rsidRPr="00E14CDC">
        <w:fldChar w:fldCharType="separate"/>
      </w:r>
      <w:r w:rsidRPr="00E14CDC">
        <w:t>(2014)</w:t>
      </w:r>
      <w:r w:rsidRPr="00E14CDC">
        <w:fldChar w:fldCharType="end"/>
      </w:r>
      <w:r w:rsidRPr="00E14CDC">
        <w:t xml:space="preserve"> and Connell </w:t>
      </w:r>
      <w:r w:rsidRPr="00E14CDC">
        <w:fldChar w:fldCharType="begin"/>
      </w:r>
      <w:r w:rsidRPr="00E14CDC">
        <w:instrText xml:space="preserve"> ADDIN ZOTERO_ITEM CSL_CITATION {"citationID":"DQOYMv5k","properties":{"formattedCitation":"(Connell, 2020)","plainCitation":"(Connell, 2020)","dontUpdate":true,"noteIndex":0},"citationItems":[{"id":71,"uris":["http://zotero.org/users/local/uKe4C4Lg/items/JZKUMIHI"],"itemData":{"id":71,"type":"thesis","publisher":"University of Tennessee","title":"The Impact of Objects’ Visual Properties on Infant Reaching Strategies","URL":"https://trace.tennessee.edu/utk_gradthes/5586","author":[{"family":"Connell","given":"John P"}],"issued":{"date-parts":[["2020"]]}}}],"schema":"https://github.com/citation-style-language/schema/raw/master/csl-citation.json"} </w:instrText>
      </w:r>
      <w:r w:rsidRPr="00E14CDC">
        <w:fldChar w:fldCharType="separate"/>
      </w:r>
      <w:r w:rsidRPr="00E14CDC">
        <w:t>(2020)</w:t>
      </w:r>
      <w:r w:rsidRPr="00E14CDC">
        <w:fldChar w:fldCharType="end"/>
      </w:r>
      <w:r w:rsidRPr="00E14CDC">
        <w:t xml:space="preserve"> neither of which reported Piagetian-style reaching.</w:t>
      </w:r>
    </w:p>
    <w:p w14:paraId="3476637C" w14:textId="77777777" w:rsidR="00575F33" w:rsidRPr="00E14CDC" w:rsidRDefault="00575F33" w:rsidP="00575F33">
      <w:pPr>
        <w:spacing w:line="480" w:lineRule="auto"/>
      </w:pPr>
      <w:r w:rsidRPr="00E14CDC">
        <w:tab/>
        <w:t xml:space="preserve">Regardless of the degree to which vision impacts reach-onset, it is a component of the intertwining systems, visual, motor, and proprioceptive, that promote the emergence of reaching. The trial and error inherent in novel reachers as they practice and fine-tune their movements to obtain an object is not limited to the visual system. Still, vision is nonetheless a readily available source of information that infants integrate into the cause-and-effect observations, the perception-action loop, that intrinsically motivates the development of reaching. As such, the role of vision has been widely studied in contrast to the proprioceptive-tactile-motor system. To highlight the complexities of this system, </w:t>
      </w:r>
      <w:r w:rsidRPr="00E14CDC">
        <w:lastRenderedPageBreak/>
        <w:t xml:space="preserve">we turn to behavioral and kinematic changes exhibited by infants during the weeks around reach-onset.  </w:t>
      </w:r>
    </w:p>
    <w:p w14:paraId="3CD349A3" w14:textId="77777777" w:rsidR="00575F33" w:rsidRPr="00E14CDC" w:rsidRDefault="00575F33" w:rsidP="00575F33">
      <w:pPr>
        <w:spacing w:line="480" w:lineRule="auto"/>
      </w:pPr>
      <w:r w:rsidRPr="00E14CDC">
        <w:tab/>
        <w:t xml:space="preserve">While some studies, such as those by Thelen et al. </w:t>
      </w:r>
      <w:r w:rsidRPr="00E14CDC">
        <w:fldChar w:fldCharType="begin"/>
      </w:r>
      <w:r w:rsidRPr="00E14CDC">
        <w:instrText xml:space="preserve"> ADDIN ZOTERO_ITEM CSL_CITATION {"citationID":"vo9ZJPX1","properties":{"formattedCitation":"(Thelen et al., 1996)","plainCitation":"(Thelen et al., 1996)","dontUpdate":true,"noteIndex":0},"citationItems":[{"id":67,"uris":["http://zotero.org/users/local/uKe4C4Lg/items/9AQBEWQ7"],"itemData":{"id":67,"type":"article-journal","container-title":"Journal of experimental psychology: human perception and performance","ISSN":"1939-1277","issue":"5","journalAbbreviation":"Journal of experimental psychology: human perception and performance","note":"publisher: American Psychological Association","page":"1059","title":"Development of reaching during the first year: role of movement speed.","volume":"22","author":[{"family":"Thelen","given":"Esther"},{"family":"Corbetta","given":"Daniela"},{"family":"Spencer","given":"John P"}],"issued":{"date-parts":[["1996"]]}}}],"schema":"https://github.com/citation-style-language/schema/raw/master/csl-citation.json"} </w:instrText>
      </w:r>
      <w:r w:rsidRPr="00E14CDC">
        <w:fldChar w:fldCharType="separate"/>
      </w:r>
      <w:r w:rsidRPr="00E14CDC">
        <w:t>(1996)</w:t>
      </w:r>
      <w:r w:rsidRPr="00E14CDC">
        <w:fldChar w:fldCharType="end"/>
      </w:r>
      <w:r w:rsidRPr="00E14CDC">
        <w:t xml:space="preserve">, have explored reach onset kinematics on a micro-analytical scale; the focus has predominantly been on tracking behavioral changes over more extended periods, as highlighted by von Hofsten </w:t>
      </w:r>
      <w:r w:rsidRPr="00E14CDC">
        <w:fldChar w:fldCharType="begin"/>
      </w:r>
      <w:r w:rsidRPr="00E14CDC">
        <w:instrText xml:space="preserve"> ADDIN ZOTERO_ITEM CSL_CITATION {"citationID":"UOP0Vv6n","properties":{"formattedCitation":"(von Hofsten, 1991)","plainCitation":"(von Hofsten, 1991)","dontUpdate":true,"noteIndex":0},"citationItems":[{"id":77,"uris":["http://zotero.org/users/local/uKe4C4Lg/items/P8ABG2CE"],"itemData":{"id":77,"type":"article-journal","container-title":"Journal of motor behavior","ISSN":"0022-2895","issue":"4","journalAbbreviation":"Journal of motor behavior","note":"publisher: Taylor &amp; Francis","page":"280-292","title":"Structuring of early reaching movements: a longitudinal study","volume":"23","author":[{"family":"Hofsten","given":"Claes","non-dropping-particle":"von"}],"issued":{"date-parts":[["1991"]]}}}],"schema":"https://github.com/citation-style-language/schema/raw/master/csl-citation.json"} </w:instrText>
      </w:r>
      <w:r w:rsidRPr="00E14CDC">
        <w:fldChar w:fldCharType="separate"/>
      </w:r>
      <w:r w:rsidRPr="00E14CDC">
        <w:t>(1991)</w:t>
      </w:r>
      <w:r w:rsidRPr="00E14CDC">
        <w:fldChar w:fldCharType="end"/>
      </w:r>
      <w:r w:rsidRPr="00E14CDC">
        <w:t xml:space="preserve">. However, when considering the developmental progression of movement experiences leading to reach-onset, the first weeks of experience yield significant differences </w:t>
      </w:r>
      <w:r w:rsidRPr="00E14CDC">
        <w:fldChar w:fldCharType="begin"/>
      </w:r>
      <w:r w:rsidRPr="00E14CDC">
        <w:instrText xml:space="preserve"> ADDIN ZOTERO_ITEM CSL_CITATION {"citationID":"CbChLILX","properties":{"formattedCitation":"(Corbetta et al., 2014)","plainCitation":"(Corbetta et al., 2014)","noteIndex":0},"citationItems":[{"id":52,"uris":["http://zotero.org/users/local/uKe4C4Lg/items/IUPCEAET"],"itemData":{"id":52,"type":"article-journal","container-title":"Frontiers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L"}],"issued":{"date-parts":[["2014"]]}}}],"schema":"https://github.com/citation-style-language/schema/raw/master/csl-citation.json"} </w:instrText>
      </w:r>
      <w:r w:rsidRPr="00E14CDC">
        <w:fldChar w:fldCharType="separate"/>
      </w:r>
      <w:r w:rsidRPr="00E14CDC">
        <w:rPr>
          <w:sz w:val="22"/>
        </w:rPr>
        <w:t>(Corbetta et al., 2014)</w:t>
      </w:r>
      <w:r w:rsidRPr="00E14CDC">
        <w:fldChar w:fldCharType="end"/>
      </w:r>
      <w:r w:rsidRPr="00E14CDC">
        <w:t xml:space="preserve">. Although not primarily concerned with kinematics, Corbetta et al. </w:t>
      </w:r>
      <w:r w:rsidRPr="00E14CDC">
        <w:fldChar w:fldCharType="begin"/>
      </w:r>
      <w:r w:rsidRPr="00E14CDC">
        <w:instrText xml:space="preserve"> ADDIN ZOTERO_ITEM CSL_CITATION {"citationID":"xK4TVdcp","properties":{"formattedCitation":"(Corbetta et al., 2014)","plainCitation":"(Corbetta et al., 2014)","dontUpdate":true,"noteIndex":0},"citationItems":[{"id":52,"uris":["http://zotero.org/users/local/uKe4C4Lg/items/IUPCEAET"],"itemData":{"id":52,"type":"article-journal","container-title":"Frontiers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L"}],"issued":{"date-parts":[["2014"]]}}}],"schema":"https://github.com/citation-style-language/schema/raw/master/csl-citation.json"} </w:instrText>
      </w:r>
      <w:r w:rsidRPr="00E14CDC">
        <w:fldChar w:fldCharType="separate"/>
      </w:r>
      <w:r w:rsidRPr="00E14CDC">
        <w:t>(2014)</w:t>
      </w:r>
      <w:r w:rsidRPr="00E14CDC">
        <w:fldChar w:fldCharType="end"/>
      </w:r>
      <w:r w:rsidRPr="00E14CDC">
        <w:t xml:space="preserve"> noted that infants with just five weeks of reaching experience exhibited similar patterns to their nine-month counterparts who had been reaching for about five months. Hence, conducting micro-analyses of behaviors surrounding this milestone is imperative for a comprehensive understanding of reach-onset development. What is currently lacking in the kinematic literature on infant reaching is a meticulous examination of the behavioral transition from pre-reaching to reaching, along with its frequency and change.</w:t>
      </w:r>
    </w:p>
    <w:p w14:paraId="10BCD7E5" w14:textId="77777777" w:rsidR="00575F33" w:rsidRPr="00E14CDC" w:rsidRDefault="00575F33" w:rsidP="00575F33">
      <w:pPr>
        <w:spacing w:line="480" w:lineRule="auto"/>
      </w:pPr>
      <w:r w:rsidRPr="00E14CDC">
        <w:tab/>
        <w:t xml:space="preserve">This study aims to underscore the importance of microanalyses in infant object-elected-non-reaching movement behaviors and kinematics while expanding upon the existing groundwork in this area. To achieve this objective, I will offer a concise overview of the historical progression of visual systems studies related to infant reaching, highlighting the transition from visually guided to visually elicited behaviors. Following this, I will delve into the field of infant non-reaching movement behavior and kinematics, </w:t>
      </w:r>
      <w:r w:rsidRPr="00E14CDC">
        <w:lastRenderedPageBreak/>
        <w:t>which constitutes the primary focus of this study. Additionally, I will endeavor to present a quantitative depiction of developmental change around reach onset.</w:t>
      </w:r>
    </w:p>
    <w:p w14:paraId="37B33253" w14:textId="77777777" w:rsidR="00575F33" w:rsidRPr="00E14CDC" w:rsidRDefault="00575F33" w:rsidP="00575F33">
      <w:r w:rsidRPr="00E14CDC">
        <w:br w:type="page"/>
      </w:r>
    </w:p>
    <w:bookmarkEnd w:id="9"/>
    <w:p w14:paraId="709E7497" w14:textId="5C005BAC" w:rsidR="00575F33" w:rsidRPr="00E14CDC" w:rsidRDefault="00575F33" w:rsidP="00CC578B">
      <w:pPr>
        <w:pStyle w:val="Heading1"/>
      </w:pPr>
      <w:r w:rsidRPr="00E14CDC">
        <w:rPr>
          <w:sz w:val="22"/>
          <w:szCs w:val="22"/>
        </w:rPr>
        <w:lastRenderedPageBreak/>
        <w:t xml:space="preserve"> </w:t>
      </w:r>
      <w:r w:rsidRPr="00E14CDC">
        <w:rPr>
          <w:sz w:val="22"/>
          <w:szCs w:val="22"/>
        </w:rPr>
        <w:br/>
      </w:r>
      <w:bookmarkStart w:id="10" w:name="_Toc173185040"/>
      <w:r w:rsidRPr="00E14CDC">
        <w:t>LITERATURE REVIEW</w:t>
      </w:r>
      <w:bookmarkEnd w:id="10"/>
    </w:p>
    <w:p w14:paraId="09EBA7EA" w14:textId="77777777" w:rsidR="00575F33" w:rsidRPr="00E14CDC" w:rsidRDefault="00575F33" w:rsidP="00575F33">
      <w:pPr>
        <w:pStyle w:val="Heading3"/>
        <w:spacing w:line="480" w:lineRule="auto"/>
        <w:rPr>
          <w:b/>
          <w:bCs/>
          <w:i w:val="0"/>
          <w:iCs w:val="0"/>
        </w:rPr>
      </w:pPr>
      <w:bookmarkStart w:id="11" w:name="_Hlk169177914"/>
      <w:bookmarkStart w:id="12" w:name="_Toc173185041"/>
      <w:r w:rsidRPr="00E14CDC">
        <w:rPr>
          <w:b/>
          <w:bCs/>
        </w:rPr>
        <w:t>Motor Experiences: Pre-reaching Movements</w:t>
      </w:r>
      <w:bookmarkEnd w:id="12"/>
    </w:p>
    <w:p w14:paraId="30957494" w14:textId="67559330" w:rsidR="00575F33" w:rsidRPr="00E14CDC" w:rsidRDefault="00575F33" w:rsidP="00575F33">
      <w:pPr>
        <w:spacing w:line="480" w:lineRule="auto"/>
      </w:pPr>
      <w:r w:rsidRPr="00E14CDC">
        <w:tab/>
        <w:t>Research on pre-reaching movements highlights distinct differences across various age groups leading up to the onset of reaching, typically considered to occur around four months of age (von Hofsten, 1979). Studies categorize these differences into monthly intervals, providing insights into the developmental trajectory of arm movement skills during infancy.</w:t>
      </w:r>
    </w:p>
    <w:p w14:paraId="70A630EC" w14:textId="23FA83EF" w:rsidR="00575F33" w:rsidRPr="00E14CDC" w:rsidRDefault="00575F33" w:rsidP="00575F33">
      <w:pPr>
        <w:pStyle w:val="Heading3"/>
        <w:spacing w:line="480" w:lineRule="auto"/>
        <w:rPr>
          <w:i w:val="0"/>
          <w:iCs w:val="0"/>
        </w:rPr>
      </w:pPr>
      <w:bookmarkStart w:id="13" w:name="_Toc173185042"/>
      <w:r w:rsidRPr="00E14CDC">
        <w:t xml:space="preserve">Newborn </w:t>
      </w:r>
      <w:r w:rsidR="0069439A" w:rsidRPr="00E14CDC">
        <w:t>to</w:t>
      </w:r>
      <w:r w:rsidRPr="00E14CDC">
        <w:t xml:space="preserve"> </w:t>
      </w:r>
      <w:r w:rsidR="0069439A" w:rsidRPr="00E14CDC">
        <w:t xml:space="preserve">One </w:t>
      </w:r>
      <w:r w:rsidRPr="00E14CDC">
        <w:t>Month Old</w:t>
      </w:r>
      <w:bookmarkEnd w:id="13"/>
    </w:p>
    <w:p w14:paraId="32AFC1CD" w14:textId="6516F142" w:rsidR="00575F33" w:rsidRPr="00E14CDC" w:rsidRDefault="00575F33" w:rsidP="00575F33">
      <w:pPr>
        <w:spacing w:line="480" w:lineRule="auto"/>
      </w:pPr>
      <w:r w:rsidRPr="00E14CDC">
        <w:tab/>
        <w:t xml:space="preserve">Research on infant motor development suggests that newborns exhibit spontaneous movements toward stimuli in their environment. For instance, studies like those conducted by van der Meer </w:t>
      </w:r>
      <w:r w:rsidRPr="00E14CDC">
        <w:fldChar w:fldCharType="begin"/>
      </w:r>
      <w:r w:rsidRPr="00E14CDC">
        <w:instrText xml:space="preserve"> ADDIN ZOTERO_ITEM CSL_CITATION {"citationID":"1jexd5uz","properties":{"formattedCitation":"(1997)","plainCitation":"(1997)","noteIndex":0},"citationItems":[{"id":89,"uris":["http://zotero.org/users/local/uKe4C4Lg/items/6UZJ2HF4"],"itemData":{"id":89,"type":"article-journal","container-title":"European Journal of Paediatric Neurology","ISSN":"1090-3798","issue":"4","journalAbbreviation":"European Journal of Paediatric Neurology","note":"publisher: Elsevier","page":"103-108","title":"Keeping the arm in the limelight: Advanced visual control of arm movements in neonates","volume":"1","author":[{"family":"Meer","given":"Audrey L","non-dropping-particle":"van der"}],"issued":{"date-parts":[["1997"]]}},"label":"page","suppress-author":true}],"schema":"https://github.com/citation-style-language/schema/raw/master/csl-citation.json"} </w:instrText>
      </w:r>
      <w:r w:rsidRPr="00E14CDC">
        <w:fldChar w:fldCharType="separate"/>
      </w:r>
      <w:r w:rsidRPr="00E14CDC">
        <w:t>(1997)</w:t>
      </w:r>
      <w:r w:rsidRPr="00E14CDC">
        <w:fldChar w:fldCharType="end"/>
      </w:r>
      <w:r w:rsidRPr="00E14CDC">
        <w:t xml:space="preserve"> indicated that infants move their hands toward light sources more frequently than when no light is present. Von Hofsten </w:t>
      </w:r>
      <w:r w:rsidRPr="00E14CDC">
        <w:fldChar w:fldCharType="begin"/>
      </w:r>
      <w:r w:rsidR="00B33CB1" w:rsidRPr="00E14CDC">
        <w:instrText xml:space="preserve"> ADDIN ZOTERO_ITEM CSL_CITATION {"citationID":"QgAL5Kao","properties":{"formattedCitation":"(von Hofsten, 1982)","plainCitation":"(von Hofsten, 1982)","dontUpdate":true,"noteIndex":0},"citationItems":[{"id":28,"uris":["http://zotero.org/users/local/uKe4C4Lg/items/CHMT43Y4"],"itemData":{"id":28,"type":"article-journal","abstract":"Examined in Exp I the number and distribution of arm–hand movements of 14 newborn infants when a slowly moving object was either present or absent. More of the movements performed while the infant fixated the object were forward extended than otherwise. However, there was no difference in the absolute frequency of forward extension between periods when the object was present and when it was absent. In Exp II, the forward extensions of 13 infants were analyzed by a technique that took into consideration the 3-dimensional properties of arm–hand movements. The movements performed while the neonate fixated the object were aimed closer at the object than other movements. The effect was not a function of changes in body posture or head direction accompanying changes in visual direction. It was further shown that fixated movements clustered closer around the object and that the hand slowed down near the object in the best aimed of the fixated movements. It is concluded that there exists in the newborn a rudimentary form of eye–hand coordination, the primary function of which is attentional rather than manipulative. (30 ref) (PsycINFO Database Record (c) 2016 APA, all rights reserved)","archive":"APA PsycArticles®","archive_location":"614290528; 1982-23347-001","container-title":"Developmental Psychology","DOI":"10.1037/0012-1649.18.3.450","ISSN":"0012-1649, 0012-1649","issue":"3","language":"English","note":"publisher-place: Washington\npublisher: American Psychological Association, American Psychological Association","page":"450-461","title":"Eye–hand coordination in the newborn","volume":"18","author":[{"family":"Hofsten","given":"Claes","non-dropping-particle":"von"}],"issued":{"date-parts":[["1982",5]]}}}],"schema":"https://github.com/citation-style-language/schema/raw/master/csl-citation.json"} </w:instrText>
      </w:r>
      <w:r w:rsidRPr="00E14CDC">
        <w:fldChar w:fldCharType="separate"/>
      </w:r>
      <w:r w:rsidRPr="00E14CDC">
        <w:t>(1982)</w:t>
      </w:r>
      <w:r w:rsidRPr="00E14CDC">
        <w:fldChar w:fldCharType="end"/>
      </w:r>
      <w:r w:rsidRPr="00E14CDC">
        <w:t xml:space="preserve"> observed that newborns frequently use forward arm extensions when presented with small objects while in a seated position. The researchers presented the infants with graspable, small, and made-from-cloth objects but did not show grasping motions at this age. White et al. </w:t>
      </w:r>
      <w:r w:rsidRPr="00E14CDC">
        <w:fldChar w:fldCharType="begin"/>
      </w:r>
      <w:r w:rsidRPr="00E14CDC">
        <w:instrText xml:space="preserve"> ADDIN ZOTERO_ITEM CSL_CITATION {"citationID":"wmRNsoyA","properties":{"formattedCitation":"(1964)","plainCitation":"(1964)","noteIndex":0},"citationItems":[{"id":82,"uris":["http://zotero.org/users/local/uKe4C4Lg/items/6Z6J7CTP"],"itemData":{"id":82,"type":"article-journal","container-title":"Child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L"},{"family":"Castle","given":"Peter"},{"family":"Held","given":"Richard"}],"issued":{"date-parts":[["1964"]]}},"label":"page","suppress-author":true}],"schema":"https://github.com/citation-style-language/schema/raw/master/csl-citation.json"} </w:instrText>
      </w:r>
      <w:r w:rsidRPr="00E14CDC">
        <w:fldChar w:fldCharType="separate"/>
      </w:r>
      <w:r w:rsidRPr="00E14CDC">
        <w:t>(1964)</w:t>
      </w:r>
      <w:r w:rsidRPr="00E14CDC">
        <w:fldChar w:fldCharType="end"/>
      </w:r>
      <w:r w:rsidRPr="00E14CDC">
        <w:t xml:space="preserve"> Documented infants swiped at objects near them but not at objects further away. Von Hofsten (1979) noted that infants rapidly extended their arms toward objects, which he termed ballistic movements. He suggested that these actions were an unplanned reaction to visual stimuli rather than a planned reach attempt. These findings collectively highlight the early emergence of motor behaviors in infants, underscoring the dynamic nature of their interactions with the surrounding world.</w:t>
      </w:r>
    </w:p>
    <w:p w14:paraId="1BAA96E3" w14:textId="77777777" w:rsidR="00575F33" w:rsidRPr="00E14CDC" w:rsidRDefault="00575F33" w:rsidP="00575F33">
      <w:pPr>
        <w:spacing w:line="480" w:lineRule="auto"/>
      </w:pPr>
      <w:r w:rsidRPr="00E14CDC">
        <w:lastRenderedPageBreak/>
        <w:tab/>
        <w:t xml:space="preserve">By one month old, infants begin to produce ample spontaneous movements, potentially resulting in the ontogeny of their proprioceptive bodily mapping. White et al. </w:t>
      </w:r>
      <w:r w:rsidRPr="00E14CDC">
        <w:fldChar w:fldCharType="begin"/>
      </w:r>
      <w:r w:rsidRPr="00E14CDC">
        <w:instrText xml:space="preserve"> ADDIN ZOTERO_ITEM CSL_CITATION {"citationID":"3T9hVQqO","properties":{"formattedCitation":"(1964)","plainCitation":"(1964)","noteIndex":0},"citationItems":[{"id":82,"uris":["http://zotero.org/users/local/uKe4C4Lg/items/6Z6J7CTP"],"itemData":{"id":82,"type":"article-journal","container-title":"Child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L"},{"family":"Castle","given":"Peter"},{"family":"Held","given":"Richard"}],"issued":{"date-parts":[["1964"]]}},"label":"page","suppress-author":true}],"schema":"https://github.com/citation-style-language/schema/raw/master/csl-citation.json"} </w:instrText>
      </w:r>
      <w:r w:rsidRPr="00E14CDC">
        <w:fldChar w:fldCharType="separate"/>
      </w:r>
      <w:r w:rsidRPr="00E14CDC">
        <w:t>(1964)</w:t>
      </w:r>
      <w:r w:rsidRPr="00E14CDC">
        <w:fldChar w:fldCharType="end"/>
      </w:r>
      <w:r w:rsidRPr="00E14CDC">
        <w:t xml:space="preserve"> reported that infants at this age produced jerky arm and head movements in the presence of objects. They argued that this was an innate visual and motor response that lacked coordination. Infants’ movements appear reactive and triggered or elicited by visual stimuli. This is especially true for moving objects in their environment. </w:t>
      </w:r>
    </w:p>
    <w:p w14:paraId="7A6B4BE4" w14:textId="64D32681" w:rsidR="00575F33" w:rsidRPr="00E14CDC" w:rsidRDefault="0069439A" w:rsidP="00575F33">
      <w:pPr>
        <w:pStyle w:val="Heading3"/>
        <w:spacing w:line="480" w:lineRule="auto"/>
        <w:rPr>
          <w:i w:val="0"/>
          <w:iCs w:val="0"/>
        </w:rPr>
      </w:pPr>
      <w:bookmarkStart w:id="14" w:name="_Toc173185043"/>
      <w:r w:rsidRPr="00E14CDC">
        <w:t>Two to Three</w:t>
      </w:r>
      <w:r w:rsidR="00575F33" w:rsidRPr="00E14CDC">
        <w:t xml:space="preserve"> Months Old</w:t>
      </w:r>
      <w:bookmarkEnd w:id="14"/>
    </w:p>
    <w:p w14:paraId="014B6A56" w14:textId="77777777" w:rsidR="00575F33" w:rsidRPr="00E14CDC" w:rsidRDefault="00575F33" w:rsidP="00575F33">
      <w:pPr>
        <w:spacing w:line="480" w:lineRule="auto"/>
        <w:ind w:firstLine="720"/>
      </w:pPr>
      <w:r w:rsidRPr="00E14CDC">
        <w:t xml:space="preserve">In the following two months, infants exhibited notable motor and visual development. Von Hofsten and Fazel-Zandy </w:t>
      </w:r>
      <w:r w:rsidRPr="00E14CDC">
        <w:fldChar w:fldCharType="begin"/>
      </w:r>
      <w:r w:rsidRPr="00E14CDC">
        <w:instrText xml:space="preserve"> ADDIN ZOTERO_ITEM CSL_CITATION {"citationID":"QVSgECRg","properties":{"formattedCitation":"(1984)","plainCitation":"(1984)","noteIndex":0},"citationItems":[{"id":70,"uris":["http://zotero.org/users/local/uKe4C4Lg/items/6VICRPG3"],"itemData":{"id":70,"type":"article-journal","container-title":"Journal of experimental child psychology","ISSN":"0022-0965","issue":"2","journalAbbreviation":"Journal of experimental child psychology","note":"publisher: Elsevier","page":"208-219","title":"Development of visually guided hand orientation in reaching","volume":"38","author":[{"family":"Hofsten","given":"Claes","non-dropping-particle":"von"},{"family":"Fazel-Zandy","given":"Shirin"}],"issued":{"date-parts":[["1984"]]}},"label":"page","suppress-author":true}],"schema":"https://github.com/citation-style-language/schema/raw/master/csl-citation.json"} </w:instrText>
      </w:r>
      <w:r w:rsidRPr="00E14CDC">
        <w:fldChar w:fldCharType="separate"/>
      </w:r>
      <w:r w:rsidRPr="00E14CDC">
        <w:t>(1984)</w:t>
      </w:r>
      <w:r w:rsidRPr="00E14CDC">
        <w:fldChar w:fldCharType="end"/>
      </w:r>
      <w:r w:rsidRPr="00E14CDC">
        <w:t xml:space="preserve"> observed that at this age, infants’ arm movements increased in the presence of objects but were not directed toward the objects. They further observed that while the infants produced fewer arm extensions toward the object, the movements produced were increasingly fisted hand movements as opposed to the open hand swiping observed in the first month of life. While open-handed movements did occur, they were seldom and not directed toward the object. White et al. </w:t>
      </w:r>
      <w:r w:rsidRPr="00E14CDC">
        <w:fldChar w:fldCharType="begin"/>
      </w:r>
      <w:r w:rsidRPr="00E14CDC">
        <w:instrText xml:space="preserve"> ADDIN ZOTERO_ITEM CSL_CITATION {"citationID":"yOsszDHa","properties":{"formattedCitation":"(1964)","plainCitation":"(1964)","noteIndex":0},"citationItems":[{"id":82,"uris":["http://zotero.org/users/local/uKe4C4Lg/items/6Z6J7CTP"],"itemData":{"id":82,"type":"article-journal","container-title":"Child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L"},{"family":"Castle","given":"Peter"},{"family":"Held","given":"Richard"}],"issued":{"date-parts":[["1964"]]}},"label":"page","suppress-author":true}],"schema":"https://github.com/citation-style-language/schema/raw/master/csl-citation.json"} </w:instrText>
      </w:r>
      <w:r w:rsidRPr="00E14CDC">
        <w:fldChar w:fldCharType="separate"/>
      </w:r>
      <w:r w:rsidRPr="00E14CDC">
        <w:t>(1964)</w:t>
      </w:r>
      <w:r w:rsidRPr="00E14CDC">
        <w:fldChar w:fldCharType="end"/>
      </w:r>
      <w:r w:rsidRPr="00E14CDC">
        <w:t xml:space="preserve"> argued that these arm movements were due to an emerging awareness of objects within their reaching space, as they could now visually focus on objects up to five inches away. Despite not engaging in reaching actions, infants now fixate on stationary objects within their visual field, indicating a departure from object-movement-dependent visual fixations of one-month-olds. </w:t>
      </w:r>
    </w:p>
    <w:p w14:paraId="453B0623" w14:textId="77777777" w:rsidR="00575F33" w:rsidRPr="00E14CDC" w:rsidRDefault="00575F33" w:rsidP="00575F33">
      <w:pPr>
        <w:spacing w:line="480" w:lineRule="auto"/>
        <w:ind w:firstLine="720"/>
      </w:pPr>
      <w:r w:rsidRPr="00E14CDC">
        <w:t xml:space="preserve">By three months, infants exhibit more reach-like movements than in previous weeks, which can be considered pre-reaching. Lee et al. </w:t>
      </w:r>
      <w:r w:rsidRPr="00E14CDC">
        <w:fldChar w:fldCharType="begin"/>
      </w:r>
      <w:r w:rsidRPr="00E14CDC">
        <w:instrText xml:space="preserve"> ADDIN ZOTERO_ITEM CSL_CITATION {"citationID":"7Rjz0jdl","properties":{"formattedCitation":"(2011)","plainCitation":"(2011)","noteIndex":0},"citationItems":[{"id":92,"uris":["http://zotero.org/users/local/uKe4C4Lg/items/2VGLDW8A"],"itemData":{"id":92,"type":"article-journal","container-title":"Developmental Psychobiology","ISSN":"0012-1630","issue":"7","journalAbbreviation":"Developmental Psychobiology","note":"publisher: Wiley Online Library","page":"685-693","title":"Changes in object‐oriented arm movements that precede the transition to goal‐directed reaching in infancy","volume":"53","author":[{"family":"Lee","given":"Mei‐Hua"},{"family":"Ranganathan","given":"Rajiv"},{"family":"Newell","given":"Karl M"}],"issued":{"date-parts":[["2011"]]}},"label":"page","suppress-author":true}],"schema":"https://github.com/citation-style-language/schema/raw/master/csl-citation.json"} </w:instrText>
      </w:r>
      <w:r w:rsidRPr="00E14CDC">
        <w:fldChar w:fldCharType="separate"/>
      </w:r>
      <w:r w:rsidRPr="00E14CDC">
        <w:t>(2011)</w:t>
      </w:r>
      <w:r w:rsidRPr="00E14CDC">
        <w:fldChar w:fldCharType="end"/>
      </w:r>
      <w:r w:rsidRPr="00E14CDC">
        <w:t xml:space="preserve"> observed these pre-reaching movements in infants who produced arm extensions to objects. White et al. </w:t>
      </w:r>
      <w:r w:rsidRPr="00E14CDC">
        <w:lastRenderedPageBreak/>
        <w:t xml:space="preserve">(1964) argued that the lack of grasping disqualified the infant's movements as pre-reaching but identified them as spontaneous, like the previous months. </w:t>
      </w:r>
    </w:p>
    <w:p w14:paraId="04673C98" w14:textId="15968770" w:rsidR="00575F33" w:rsidRPr="00E14CDC" w:rsidRDefault="00575F33" w:rsidP="00575F33">
      <w:pPr>
        <w:spacing w:line="480" w:lineRule="auto"/>
        <w:ind w:firstLine="720"/>
      </w:pPr>
      <w:r w:rsidRPr="00E14CDC">
        <w:t xml:space="preserve">Alternatively, Bhat and Galloway </w:t>
      </w:r>
      <w:r w:rsidRPr="00E14CDC">
        <w:fldChar w:fldCharType="begin"/>
      </w:r>
      <w:r w:rsidRPr="00E14CDC">
        <w:instrText xml:space="preserve"> ADDIN ZOTERO_ITEM CSL_CITATION {"citationID":"wyoHXjYB","properties":{"formattedCitation":"(2006)","plainCitation":"(2006)","noteIndex":0},"citationItems":[{"id":45,"uris":["http://zotero.org/users/local/uKe4C4Lg/items/PAG64NIL"],"itemData":{"id":45,"type":"article-journal","container-title":"Infant Behavior and Development","ISSN":"0163-6383","issue":"3","journalAbbreviation":"Infant Behavior and Development","note":"publisher: Elsevier","page":"358-372","title":"Toy-oriented changes during early arm movements: Hand kinematics","volume":"29","author":[{"family":"Bhat","given":"Anjana N"},{"family":"Galloway","given":"James C"}],"issued":{"date-parts":[["2006"]]}},"label":"page","suppress-author":true}],"schema":"https://github.com/citation-style-language/schema/raw/master/csl-citation.json"} </w:instrText>
      </w:r>
      <w:r w:rsidRPr="00E14CDC">
        <w:fldChar w:fldCharType="separate"/>
      </w:r>
      <w:r w:rsidRPr="00E14CDC">
        <w:t>(2006)</w:t>
      </w:r>
      <w:r w:rsidRPr="00E14CDC">
        <w:fldChar w:fldCharType="end"/>
      </w:r>
      <w:r w:rsidRPr="00E14CDC">
        <w:t xml:space="preserve"> found that infants produce slower and fewer movements when presented with objects, suggesting a transitional phase in motor skill development during this period. Whether these movements are labeled as pre-reaching or spontaneous reaching, the qualitative differences, fast and frequent or slow and </w:t>
      </w:r>
      <w:r w:rsidR="009175E7" w:rsidRPr="00E14CDC">
        <w:t>infrequent, may</w:t>
      </w:r>
      <w:r w:rsidRPr="00E14CDC">
        <w:t xml:space="preserve"> stem from differences in experimental conditions, operationalizations, and stimuli used to elicit behavioral responses, highlighting the complexity of infant development.</w:t>
      </w:r>
    </w:p>
    <w:p w14:paraId="4269E072" w14:textId="14F42FC0" w:rsidR="002B0501" w:rsidRPr="00E14CDC" w:rsidRDefault="002B0501" w:rsidP="002B0501">
      <w:pPr>
        <w:pStyle w:val="Heading3"/>
        <w:spacing w:line="480" w:lineRule="auto"/>
        <w:rPr>
          <w:i w:val="0"/>
          <w:iCs w:val="0"/>
        </w:rPr>
      </w:pPr>
      <w:bookmarkStart w:id="15" w:name="_Toc173185044"/>
      <w:r w:rsidRPr="00E14CDC">
        <w:t>Four Months Old</w:t>
      </w:r>
      <w:bookmarkEnd w:id="15"/>
    </w:p>
    <w:p w14:paraId="2B16911F" w14:textId="781B7A30" w:rsidR="00575F33" w:rsidRPr="00E14CDC" w:rsidRDefault="00575F33" w:rsidP="002B0501">
      <w:pPr>
        <w:spacing w:line="480" w:lineRule="auto"/>
        <w:ind w:firstLine="720"/>
      </w:pPr>
      <w:r w:rsidRPr="00E14CDC">
        <w:t>At four months old, most infants achieve reach-onset a week</w:t>
      </w:r>
      <w:r w:rsidRPr="00E14CDC">
        <w:rPr>
          <w:rStyle w:val="CommentReference"/>
          <w:rFonts w:eastAsiaTheme="minorHAnsi"/>
          <w:kern w:val="2"/>
          <w:sz w:val="24"/>
          <w:szCs w:val="24"/>
          <w14:ligatures w14:val="standardContextual"/>
        </w:rPr>
        <w:t>; this</w:t>
      </w:r>
      <w:r w:rsidRPr="00E14CDC">
        <w:t xml:space="preserve"> onset is marked as the week of first contact with the object </w:t>
      </w:r>
      <w:r w:rsidRPr="00E14CDC">
        <w:fldChar w:fldCharType="begin"/>
      </w:r>
      <w:r w:rsidRPr="00E14CDC">
        <w:instrText xml:space="preserve"> ADDIN ZOTERO_ITEM CSL_CITATION {"citationID":"YtNkiwfS","properties":{"formattedCitation":"(Clifton et al., 1993; Corbetta et al., 2014; Lee et al., 2011; Thelen et al., 1996)","plainCitation":"(Clifton et al., 1993; Corbetta et al., 2014; Lee et al., 2011; Thelen et al., 1996)","noteIndex":0},"citationItems":[{"id":25,"uris":["http://zotero.org/users/local/uKe4C4Lg/items/YBJPTDZ6"],"itemData":{"id":25,"type":"article-journal","abstract":"[The issue examined was whether infants require sight of their hand when first beginning to reach for, contact, and grasp objects. 7 infants were repeatedly tested between 6 and 25 weeks of age. Each session consisted of 8 trials of objects presented in the light and 8 trials of glowing or sounding objects in complete darkness. Infants first contacted the object in both conditions at comparable ages (mean age for light, 12.3 weeks, and for dark, 11.9 weeks). Infants first grasped the object in the light at 16.0 weeks and in the dark at 14.7 weeks, a nonsignificant difference. Once contact was observed, infants continued to touch and grasp the objects in both light and dark throughout all sessions. Because infants could not see their hand or arm in the dark, their early success in contacting the glowing and sounding objects indicates that proprioceptive cues, not sight of the limb, guided their early reaching. Reaching in the light developed in parallel with reaching in the dark, suggesting that visual guidance of the hand is not necessary to achieve object contact either at the onset of successful reaching or in the succeeding weeks.]","archive":"JSTOR","container-title":"Child Development","DOI":"10.2307/1131328","ISSN":"00093920, 14678624","issue":"4","note":"publisher: [Wiley, Society for Research in Child Development]","page":"1099-1110","title":"Is Visually Guided Reaching in Early Infancy a Myth?","volume":"64","author":[{"family":"Clifton","given":"Rachel K."},{"family":"Muir","given":"Darwin W."},{"family":"Ashmead","given":"Daniel H."},{"family":"Clarkson","given":"Marsha G."}],"issued":{"date-parts":[["1993"]]}}},{"id":52,"uris":["http://zotero.org/users/local/uKe4C4Lg/items/IUPCEAET"],"itemData":{"id":52,"type":"article-journal","container-title":"Frontiers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L"}],"issued":{"date-parts":[["2014"]]}}},{"id":92,"uris":["http://zotero.org/users/local/uKe4C4Lg/items/2VGLDW8A"],"itemData":{"id":92,"type":"article-journal","container-title":"Developmental Psychobiology","ISSN":"0012-1630","issue":"7","journalAbbreviation":"Developmental Psychobiology","note":"publisher: Wiley Online Library","page":"685-693","title":"Changes in object‐oriented arm movements that precede the transition to goal‐directed reaching in infancy","volume":"53","author":[{"family":"Lee","given":"Mei‐Hua"},{"family":"Ranganathan","given":"Rajiv"},{"family":"Newell","given":"Karl M"}],"issued":{"date-parts":[["2011"]]}}},{"id":67,"uris":["http://zotero.org/users/local/uKe4C4Lg/items/9AQBEWQ7"],"itemData":{"id":67,"type":"article-journal","container-title":"Journal of experimental psychology: human perception and performance","ISSN":"1939-1277","issue":"5","journalAbbreviation":"Journal of experimental psychology: human perception and performance","note":"publisher: American Psychological Association","page":"1059","title":"Development of reaching during the first year: role of movement speed.","volume":"22","author":[{"family":"Thelen","given":"Esther"},{"family":"Corbetta","given":"Daniela"},{"family":"Spencer","given":"John P"}],"issued":{"date-parts":[["1996"]]}}}],"schema":"https://github.com/citation-style-language/schema/raw/master/csl-citation.json"} </w:instrText>
      </w:r>
      <w:r w:rsidRPr="00E14CDC">
        <w:fldChar w:fldCharType="separate"/>
      </w:r>
      <w:r w:rsidRPr="00E14CDC">
        <w:t>(Clifton et al., 1993; Corbetta et al., 2014; Lee et al., 2011; Thelen et al., 1996)</w:t>
      </w:r>
      <w:r w:rsidRPr="00E14CDC">
        <w:fldChar w:fldCharType="end"/>
      </w:r>
      <w:r w:rsidRPr="00E14CDC">
        <w:t xml:space="preserve">, the fourth object contacts </w:t>
      </w:r>
      <w:r w:rsidRPr="00E14CDC">
        <w:fldChar w:fldCharType="begin"/>
      </w:r>
      <w:r w:rsidRPr="00E14CDC">
        <w:instrText xml:space="preserve"> ADDIN ZOTERO_ITEM CSL_CITATION {"citationID":"3p6kFThY","properties":{"formattedCitation":"(Berthier et al., 1996)","plainCitation":"(Berthier et al., 1996)","noteIndex":0},"citationItems":[{"id":39,"uris":["http://zotero.org/users/local/uKe4C4Lg/items/D8FQ9JG9"],"itemData":{"id":39,"type":"article-journal","container-title":"Journal of Motor Behavior","DOI":"10.1080/00222895.1996.9941744","ISSN":"0022-2895","issue":"3","journalAbbreviation":"Journal of Motor Behavior","note":"publisher: Routledge","page":"187-197","title":"Visual Information and Object Size in the Control of Reaching","volume":"28","author":[{"family":"Berthier","given":"Neil E."},{"family":"Clifton","given":"Rachel K."},{"family":"Gullapalli","given":"Vijaykumar"},{"family":"McCall","given":"Daniel D."},{"family":"Robin","given":"Daniel J."}],"issued":{"date-parts":[["1996",9,1]]}}}],"schema":"https://github.com/citation-style-language/schema/raw/master/csl-citation.json"} </w:instrText>
      </w:r>
      <w:r w:rsidRPr="00E14CDC">
        <w:fldChar w:fldCharType="separate"/>
      </w:r>
      <w:r w:rsidRPr="00E14CDC">
        <w:t>(Berthier et al., 1996)</w:t>
      </w:r>
      <w:r w:rsidRPr="00E14CDC">
        <w:fldChar w:fldCharType="end"/>
      </w:r>
      <w:r w:rsidRPr="00E14CDC">
        <w:t xml:space="preserve">, or the week at which the proportion of reaching is three times higher than the previous weeks </w:t>
      </w:r>
      <w:r w:rsidRPr="00E14CDC">
        <w:fldChar w:fldCharType="begin"/>
      </w:r>
      <w:r w:rsidRPr="00E14CDC">
        <w:instrText xml:space="preserve"> ADDIN ZOTERO_ITEM CSL_CITATION {"citationID":"s4QGiSX4","properties":{"formattedCitation":"(Bhat &amp; Galloway, 2006)","plainCitation":"(Bhat &amp; Galloway, 2006)","noteIndex":0},"citationItems":[{"id":45,"uris":["http://zotero.org/users/local/uKe4C4Lg/items/PAG64NIL"],"itemData":{"id":45,"type":"article-journal","container-title":"Infant Behavior and Development","ISSN":"0163-6383","issue":"3","journalAbbreviation":"Infant Behavior and Development","note":"publisher: Elsevier","page":"358-372","title":"Toy-oriented changes during early arm movements: Hand kinematics","volume":"29","author":[{"family":"Bhat","given":"Anjana N"},{"family":"Galloway","given":"James C"}],"issued":{"date-parts":[["2006"]]}}}],"schema":"https://github.com/citation-style-language/schema/raw/master/csl-citation.json"} </w:instrText>
      </w:r>
      <w:r w:rsidRPr="00E14CDC">
        <w:fldChar w:fldCharType="separate"/>
      </w:r>
      <w:r w:rsidRPr="00E14CDC">
        <w:t>(Bhat &amp; Galloway, 2006)</w:t>
      </w:r>
      <w:r w:rsidRPr="00E14CDC">
        <w:fldChar w:fldCharType="end"/>
      </w:r>
      <w:r w:rsidRPr="00E14CDC">
        <w:t>. This onset indicates considerable progress in infants’ motor development towards more adult-like reaching and grasping, maintaining sole control of an object in their hands. Corbetta and colleagues observed that the coordination of the visual and motor systems is not yet in place. Object-contact and looking locations do not match accumulated looking, initial, or last fixation (Corbetta et al.</w:t>
      </w:r>
      <w:r w:rsidR="00B93444" w:rsidRPr="00E14CDC">
        <w:t>,</w:t>
      </w:r>
      <w:r w:rsidRPr="00E14CDC">
        <w:t xml:space="preserve"> </w:t>
      </w:r>
      <w:r w:rsidRPr="00E14CDC">
        <w:fldChar w:fldCharType="begin"/>
      </w:r>
      <w:r w:rsidR="00B33CB1" w:rsidRPr="00E14CDC">
        <w:instrText xml:space="preserve"> ADDIN ZOTERO_ITEM CSL_CITATION {"citationID":"anMBPkhp","properties":{"formattedCitation":"(2014)","plainCitation":"(2014)","dontUpdate":true,"noteIndex":0},"citationItems":[{"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L"}],"issued":{"date-parts":[["2014"]]}},"label":"page","suppress-author":true}],"schema":"https://github.com/citation-style-language/schema/raw/master/csl-citation.json"} </w:instrText>
      </w:r>
      <w:r w:rsidRPr="00E14CDC">
        <w:fldChar w:fldCharType="separate"/>
      </w:r>
      <w:r w:rsidRPr="00E14CDC">
        <w:t>2014)</w:t>
      </w:r>
      <w:r w:rsidRPr="00E14CDC">
        <w:fldChar w:fldCharType="end"/>
      </w:r>
      <w:r w:rsidRPr="00E14CDC">
        <w:t>. The nearing of reach onset is marked by intense fixations of the infant on objects, as well as slower lock-in arm movements</w:t>
      </w:r>
      <w:r w:rsidRPr="00E14CDC">
        <w:rPr>
          <w:rStyle w:val="CommentReference"/>
          <w:rFonts w:eastAsiaTheme="minorHAnsi"/>
          <w:kern w:val="2"/>
          <w:sz w:val="24"/>
          <w:szCs w:val="24"/>
          <w14:ligatures w14:val="standardContextual"/>
        </w:rPr>
        <w:t>; lock-in</w:t>
      </w:r>
      <w:r w:rsidRPr="00E14CDC">
        <w:t xml:space="preserve"> refers to the excessive rigidity of the arms, presumably in an attempt to control for a wide range of motion of each joint  </w:t>
      </w:r>
      <w:r w:rsidRPr="00E14CDC">
        <w:fldChar w:fldCharType="begin"/>
      </w:r>
      <w:r w:rsidRPr="00E14CDC">
        <w:instrText xml:space="preserve"> ADDIN ZOTERO_ITEM CSL_CITATION {"citationID":"pR1jBzOg","properties":{"formattedCitation":"(Corbetta et al., 2014; Corbetta, Wiener, et al., 2018; Jordan, 2018; Thelen et al., 1993)","plainCitation":"(Corbetta et al., 2014; Corbetta, Wiener, et al., 2018; Jordan, 2018; Thelen et al., 1993)","noteIndex":0},"citationItems":[{"id":52,"uris":["http://zotero.org/users/local/uKe4C4Lg/items/IUPCEAET"],"itemData":{"id":52,"type":"article-journal","container-title":"Frontiers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L"}],"issued":{"date-parts":[["2014"]]}}},{"id":73,"uris":["http://zotero.org/users/local/uKe4C4Lg/items/AF9EDKTE"],"itemData":{"id":73,"type":"article-journal","container-title":"Kinesiology Review","ISSN":"2161-6035","issue":"1","journalAbbreviation":"Kinesiology Review","note":"publisher: Human Kinetics","page":"10-17","title":"The embodied origins of infant reaching: Implications for the emergence of eye-hand coordination","volume":"7","author":[{"family":"Corbetta","given":"Daniela"},{"family":"Wiener","given":"Rebecca F"},{"family":"Thurman","given":"Sabrina L"},{"family":"McMahon","given":"Emalie"}],"issued":{"date-parts":[["2018"]]}}},{"id":95,"uris":["http://zotero.org/users/local/uKe4C4Lg/items/UYT2SUP9"],"itemData":{"id":95,"type":"chapter","container-title":"Attention and performance XIII","page":"796-836","publisher":"Psychology Press","title":"Motor learning and the degrees of freedom problem","author":[{"family":"Jordan","given":"Michael I"}],"issued":{"date-parts":[["2018"]]}}},{"id":76,"uris":["http://zotero.org/users/local/uKe4C4Lg/items/4PYU3BVT"],"itemData":{"id":76,"type":"article-journal","container-title":"Child development","ISSN":"0009-3920","issue":"4","journalAbbreviation":"Child development","note":"publisher: Wiley Online Library","page":"1058-1098","title":"The transition to reaching: Mapping intention and intrinsic dynamics","volume":"64","author":[{"family":"Thelen","given":"Esther"},{"family":"Corbetta","given":"Daniela"},{"family":"Kamm","given":"Kathi"},{"family":"Spencer","given":"John P"},{"family":"Schneider","given":"Klaus"},{"family":"Zernicke","given":"Ronald F"}],"issued":{"date-parts":[["1993"]]}}}],"schema":"https://github.com/citation-style-language/schema/raw/master/csl-citation.json"} </w:instrText>
      </w:r>
      <w:r w:rsidRPr="00E14CDC">
        <w:fldChar w:fldCharType="separate"/>
      </w:r>
      <w:r w:rsidRPr="00E14CDC">
        <w:t xml:space="preserve">(Corbetta et al., 2014; </w:t>
      </w:r>
      <w:r w:rsidRPr="00E14CDC">
        <w:lastRenderedPageBreak/>
        <w:t>Corbetta, Wiener, et al., 2018; Jordan, 2018; Thelen et al., 1993)</w:t>
      </w:r>
      <w:r w:rsidRPr="00E14CDC">
        <w:fldChar w:fldCharType="end"/>
      </w:r>
      <w:r w:rsidRPr="00E14CDC">
        <w:rPr>
          <w:lang w:val="fr-CH"/>
        </w:rPr>
        <w:t xml:space="preserve">. </w:t>
      </w:r>
      <w:r w:rsidRPr="00E14CDC">
        <w:t xml:space="preserve">This period of approaching reach onset may stem from a combination of factors, including a lack of practice in the exact correct sequence of movements needed to attain an object </w:t>
      </w:r>
      <w:r w:rsidRPr="00E14CDC">
        <w:fldChar w:fldCharType="begin"/>
      </w:r>
      <w:r w:rsidRPr="00E14CDC">
        <w:instrText xml:space="preserve"> ADDIN ZOTERO_ITEM CSL_CITATION {"citationID":"ro3MfQjQ","properties":{"formattedCitation":"(Corbetta, DiMercurio, et al., 2018; Jordan, 2018)","plainCitation":"(Corbetta, DiMercurio, et al., 2018; Jordan, 2018)","noteIndex":0},"citationItems":[{"id":86,"uris":["http://zotero.org/users/local/uKe4C4Lg/items/29YIWGER"],"itemData":{"id":86,"type":"article-journal","container-title":"Advances in child development and behavior","ISSN":"0065-2407","journalAbbreviation":"Advances in child development and behavior","note":"publisher: Elsevier","page":"1-29","title":"How perception and action fosters exploration and selection in infant skill acquisition","volume":"55","author":[{"family":"Corbetta","given":"Daniela"},{"family":"DiMercurio","given":"Abigail"},{"family":"Wiener","given":"Rebecca F"},{"family":"Connell","given":"John P"},{"family":"Clark","given":"Matthew"}],"issued":{"date-parts":[["2018"]]}}},{"id":95,"uris":["http://zotero.org/users/local/uKe4C4Lg/items/UYT2SUP9"],"itemData":{"id":95,"type":"chapter","container-title":"Attention and performance XIII","page":"796-836","publisher":"Psychology Press","title":"Motor learning and the degrees of freedom problem","author":[{"family":"Jordan","given":"Michael I"}],"issued":{"date-parts":[["2018"]]}}}],"schema":"https://github.com/citation-style-language/schema/raw/master/csl-citation.json"} </w:instrText>
      </w:r>
      <w:r w:rsidRPr="00E14CDC">
        <w:fldChar w:fldCharType="separate"/>
      </w:r>
      <w:r w:rsidRPr="00E14CDC">
        <w:t>(Corbetta, DiMercurio et al., 2018; Jordan, 2018)</w:t>
      </w:r>
      <w:r w:rsidRPr="00E14CDC">
        <w:fldChar w:fldCharType="end"/>
      </w:r>
      <w:r w:rsidRPr="00E14CDC">
        <w:t xml:space="preserve"> and freezing of degrees of freedom for infants to perform desired motions, resulting in rigidity of the arms </w:t>
      </w:r>
      <w:r w:rsidRPr="00E14CDC">
        <w:fldChar w:fldCharType="begin"/>
      </w:r>
      <w:r w:rsidRPr="00E14CDC">
        <w:instrText xml:space="preserve"> ADDIN ZOTERO_ITEM CSL_CITATION {"citationID":"r8KqCPnK","properties":{"formattedCitation":"(van Den Berg, 2000)","plainCitation":"(van Den Berg, 2000)","noteIndex":0},"citationItems":[{"id":85,"uris":["http://zotero.org/users/local/uKe4C4Lg/items/WIYXVK56"],"itemData":{"id":85,"type":"article-journal","container-title":"Netherlands Journal of Zoology","DOI":"10.1163/156854200X00063","issue":"2","journalAbbreviation":"Netherlands Journal of Zoology","language":"English","note":"publisher-place: Leiden, The Netherlands\npublisher: Brill","page":"163-178","title":"A Dynamical Systems Approach To Movement Coordination","volume":"50","author":[{"family":"Den Berg","given":"Coen","non-dropping-particle":"van"}],"issued":{"date-parts":[["2000",1,1]]}}}],"schema":"https://github.com/citation-style-language/schema/raw/master/csl-citation.json"} </w:instrText>
      </w:r>
      <w:r w:rsidRPr="00E14CDC">
        <w:fldChar w:fldCharType="separate"/>
      </w:r>
      <w:r w:rsidRPr="00E14CDC">
        <w:t>(van Den Berg, 2000)</w:t>
      </w:r>
      <w:r w:rsidRPr="00E14CDC">
        <w:fldChar w:fldCharType="end"/>
      </w:r>
      <w:r w:rsidRPr="00E14CDC">
        <w:t>.</w:t>
      </w:r>
    </w:p>
    <w:p w14:paraId="1BCA2AAE" w14:textId="07B754B3" w:rsidR="00575F33" w:rsidRPr="00E14CDC" w:rsidRDefault="00575F33" w:rsidP="00575F33">
      <w:pPr>
        <w:pStyle w:val="NormalWeb"/>
        <w:spacing w:line="480" w:lineRule="auto"/>
        <w:ind w:firstLine="720"/>
      </w:pPr>
      <w:r w:rsidRPr="00E14CDC">
        <w:t xml:space="preserve">Research by Bhat and Galloway </w:t>
      </w:r>
      <w:r w:rsidRPr="00E14CDC">
        <w:fldChar w:fldCharType="begin"/>
      </w:r>
      <w:r w:rsidRPr="00E14CDC">
        <w:instrText xml:space="preserve"> ADDIN ZOTERO_ITEM CSL_CITATION {"citationID":"gOQtSU4Z","properties":{"formattedCitation":"(2006)","plainCitation":"(2006)","noteIndex":0},"citationItems":[{"id":45,"uris":["http://zotero.org/users/local/uKe4C4Lg/items/PAG64NIL"],"itemData":{"id":45,"type":"article-journal","container-title":"Infant Behavior and Development","ISSN":"0163-6383","issue":"3","journalAbbreviation":"Infant Behavior and Development","note":"publisher: Elsevier","page":"358-372","title":"Toy-oriented changes during early arm movements: Hand kinematics","volume":"29","author":[{"family":"Bhat","given":"Anjana N"},{"family":"Galloway","given":"James C"}],"issued":{"date-parts":[["2006"]]}},"label":"page","suppress-author":true}],"schema":"https://github.com/citation-style-language/schema/raw/master/csl-citation.json"} </w:instrText>
      </w:r>
      <w:r w:rsidRPr="00E14CDC">
        <w:fldChar w:fldCharType="separate"/>
      </w:r>
      <w:r w:rsidRPr="00E14CDC">
        <w:t>(2006)</w:t>
      </w:r>
      <w:r w:rsidRPr="00E14CDC">
        <w:fldChar w:fldCharType="end"/>
      </w:r>
      <w:r w:rsidRPr="00E14CDC">
        <w:t xml:space="preserve"> noted that infants increase their arm movements as they approach the onset of reaching. These movements are not necessarily toward objects. At this time, unilateral movements involving one arm or arm movements independent of each other give way to bilateral movements, in which both arms move in a near-mirrored and synchronous motion. This bilateral motion culminated in midline-hand-clasping by four months, indicating progress toward grasping </w:t>
      </w:r>
      <w:r w:rsidRPr="00E14CDC">
        <w:fldChar w:fldCharType="begin"/>
      </w:r>
      <w:r w:rsidRPr="00E14CDC">
        <w:instrText xml:space="preserve"> ADDIN ZOTERO_ITEM CSL_CITATION {"citationID":"6Mo5l7lX","properties":{"formattedCitation":"(White et al., 1964)","plainCitation":"(White et al., 1964)","noteIndex":0},"citationItems":[{"id":82,"uris":["http://zotero.org/users/local/uKe4C4Lg/items/6Z6J7CTP"],"itemData":{"id":82,"type":"article-journal","container-title":"Child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fldChar w:fldCharType="separate"/>
      </w:r>
      <w:r w:rsidRPr="00E14CDC">
        <w:t>(White et al., 1964)</w:t>
      </w:r>
      <w:r w:rsidRPr="00E14CDC">
        <w:fldChar w:fldCharType="end"/>
      </w:r>
      <w:r w:rsidRPr="00E14CDC">
        <w:t xml:space="preserve">. Lee et al. </w:t>
      </w:r>
      <w:r w:rsidRPr="00E14CDC">
        <w:fldChar w:fldCharType="begin"/>
      </w:r>
      <w:r w:rsidR="00B33CB1" w:rsidRPr="00E14CDC">
        <w:instrText xml:space="preserve"> ADDIN ZOTERO_ITEM CSL_CITATION {"citationID":"hAQewKqg","properties":{"formattedCitation":"(Lee et al., 2011)","plainCitation":"(Lee et al., 2011)","dontUpdate":true,"noteIndex":0},"citationItems":[{"id":92,"uris":["http://zotero.org/users/local/uKe4C4Lg/items/2VGLDW8A"],"itemData":{"id":92,"type":"article-journal","container-title":"Developmental Psychobiology","ISSN":"0012-1630","issue":"7","journalAbbreviation":"Developmental Psychobiology","note":"publisher: Wiley Online Library","page":"685-693","title":"Changes in object‐oriented arm movements that precede the transition to goal‐directed reaching in infancy","volume":"53","author":[{"family":"Lee","given":"Mei‐Hua"},{"family":"Ranganathan","given":"Rajiv"},{"family":"Newell","given":"Karl M"}],"issued":{"date-parts":[["2011"]]}}}],"schema":"https://github.com/citation-style-language/schema/raw/master/csl-citation.json"} </w:instrText>
      </w:r>
      <w:r w:rsidRPr="00E14CDC">
        <w:fldChar w:fldCharType="separate"/>
      </w:r>
      <w:r w:rsidRPr="00E14CDC">
        <w:t>(2011)</w:t>
      </w:r>
      <w:r w:rsidRPr="00E14CDC">
        <w:fldChar w:fldCharType="end"/>
      </w:r>
      <w:r w:rsidRPr="00E14CDC">
        <w:t xml:space="preserve"> reported that the first goal-directed attempts toward objects begin, marking a significant milestone in motor development. Lee identified the change from object-oriented movements to goal-directed attempts by a decrease in the level of jerky moments that was significantly lower than in previous weeks and continued in the later weeks from 4 to 5 months of age.</w:t>
      </w:r>
    </w:p>
    <w:p w14:paraId="35D41593" w14:textId="279E4DF8" w:rsidR="00575F33" w:rsidRPr="00E14CDC" w:rsidRDefault="00575F33" w:rsidP="00575F33">
      <w:pPr>
        <w:pStyle w:val="NormalWeb"/>
        <w:spacing w:line="480" w:lineRule="auto"/>
        <w:ind w:firstLine="720"/>
      </w:pPr>
      <w:r w:rsidRPr="00E14CDC">
        <w:t xml:space="preserve">As infants at this age make their first contact with objects, they associate the success of the contact with their postural position, preceding arm movement, and sensory feedback from tactile, visual, and proprioception </w:t>
      </w:r>
      <w:r w:rsidRPr="00E14CDC">
        <w:fldChar w:fldCharType="begin"/>
      </w:r>
      <w:r w:rsidRPr="00E14CDC">
        <w:instrText xml:space="preserve"> ADDIN ZOTERO_ITEM CSL_CITATION {"citationID":"nOH7c9HP","properties":{"formattedCitation":"(Williams et al., 2015)","plainCitation":"(Williams et al., 2015)","noteIndex":0},"citationItems":[{"id":87,"uris":["http://zotero.org/users/local/uKe4C4Lg/items/VFFQLZKL"],"itemData":{"id":87,"type":"article-journal","container-title":"Movement &amp; Sport Sciences-Science &amp; Motricité","ISSN":"2118-5735","issue":"89","journalAbbreviation":"Movement &amp; Sport Sciences-Science &amp; Motricité","note":"publisher: EDP Sciences","page":"5-15","title":"How perception, action, functional value, and context can shape the development of infant reaching","author":[{"family":"Williams","given":"Joshua L"},{"family":"Corbetta","given":"Daniela"},{"family":"Cobb","given":"Lauren"}],"issued":{"date-parts":[["2015"]]}}}],"schema":"https://github.com/citation-style-language/schema/raw/master/csl-citation.json"} </w:instrText>
      </w:r>
      <w:r w:rsidRPr="00E14CDC">
        <w:fldChar w:fldCharType="separate"/>
      </w:r>
      <w:r w:rsidRPr="00E14CDC">
        <w:t>(Williams et al., 2015)</w:t>
      </w:r>
      <w:r w:rsidRPr="00E14CDC">
        <w:fldChar w:fldCharType="end"/>
      </w:r>
      <w:r w:rsidRPr="00E14CDC">
        <w:t xml:space="preserve">. Bakker et al. reported that posture plays a crucial role in reach production, with infants in a supine position producing more reaches than when seated </w:t>
      </w:r>
      <w:r w:rsidRPr="00E14CDC">
        <w:fldChar w:fldCharType="begin"/>
      </w:r>
      <w:r w:rsidR="00B33CB1" w:rsidRPr="00E14CDC">
        <w:instrText xml:space="preserve"> ADDIN ZOTERO_ITEM CSL_CITATION {"citationID":"Tbflbakh","properties":{"formattedCitation":"(Bakker et al., 2010)","plainCitation":"(Bakker et al., 2010)","dontUpdate":true,"noteIndex":0},"citationItems":[{"id":42,"uris":["http://zotero.org/users/local/uKe4C4Lg/items/PC4YHDJZ"],"itemData":{"id":42,"type":"article-journal","container-title":"Infant Behavior and Development","ISSN":"0163-6383","issue":"1","journalAbbreviation":"Infant Behavior and Development","note":"publisher: Elsevier","page":"30-38","title":"Development of proximal arm muscle control during reaching in young infants: From variation to selection","volume":"33","author":[{"family":"Bakker","given":"Hanneke"},{"family":"Graaf-Peters","given":"Victorine B","non-dropping-particle":"de"},{"family":"Eykern","given":"Leo A","non-dropping-particle":"van"},{"family":"Otten","given":"Bert"},{"family":"Hadders-Algra","given":"Mijna"}],"issued":{"date-parts":[["2010"]]}}}],"schema":"https://github.com/citation-style-language/schema/raw/master/csl-citation.json"} </w:instrText>
      </w:r>
      <w:r w:rsidRPr="00E14CDC">
        <w:fldChar w:fldCharType="separate"/>
      </w:r>
      <w:r w:rsidRPr="00E14CDC">
        <w:t>(2010)</w:t>
      </w:r>
      <w:r w:rsidRPr="00E14CDC">
        <w:fldChar w:fldCharType="end"/>
      </w:r>
      <w:r w:rsidRPr="00E14CDC">
        <w:t xml:space="preserve">. Conversely, de Graff-Peters et </w:t>
      </w:r>
      <w:r w:rsidRPr="00E14CDC">
        <w:lastRenderedPageBreak/>
        <w:t xml:space="preserve">al. (2007) found that infants produced more events in the seated position than in the supine. In the first few weeks of reaching, there are frequent movement unit changes in the reach trajectory reminiscent of corrections in the reach that signify less efficient and novel reaching </w:t>
      </w:r>
      <w:r w:rsidRPr="00E14CDC">
        <w:fldChar w:fldCharType="begin"/>
      </w:r>
      <w:r w:rsidRPr="00E14CDC">
        <w:instrText xml:space="preserve"> ADDIN ZOTERO_ITEM CSL_CITATION {"citationID":"koJoUZza","properties":{"formattedCitation":"(von Hofsten, 1979)","plainCitation":"(von Hofsten, 1979)","noteIndex":0},"citationItems":[{"id":84,"uris":["http://zotero.org/users/local/uKe4C4Lg/items/GW23NYQH"],"itemData":{"id":84,"type":"book","publisher":"Department of psychology, University of Uppsala","title":"Development of visually directed reaching: The approach phase","author":[{"family":"Hofsten","given":"Claes","non-dropping-particle":"von"}],"issued":{"date-parts":[["1979"]]}}}],"schema":"https://github.com/citation-style-language/schema/raw/master/csl-citation.json"} </w:instrText>
      </w:r>
      <w:r w:rsidRPr="00E14CDC">
        <w:fldChar w:fldCharType="separate"/>
      </w:r>
      <w:r w:rsidRPr="00E14CDC">
        <w:t>(von Hofsten, 1979)</w:t>
      </w:r>
      <w:r w:rsidRPr="00E14CDC">
        <w:fldChar w:fldCharType="end"/>
      </w:r>
      <w:r w:rsidR="00B93444" w:rsidRPr="00E14CDC">
        <w:t>.</w:t>
      </w:r>
      <w:r w:rsidRPr="00E14CDC">
        <w:t xml:space="preserve"> While both Bakker et al. and de Graff-Peters et al. report decreased movement units and more controlled reaches, the postural findings are contradictory </w:t>
      </w:r>
      <w:r w:rsidRPr="00E14CDC">
        <w:fldChar w:fldCharType="begin"/>
      </w:r>
      <w:r w:rsidRPr="00E14CDC">
        <w:instrText xml:space="preserve"> ADDIN ZOTERO_ITEM CSL_CITATION {"citationID":"PC5bbKL4","properties":{"formattedCitation":"(Bakker et al., 2010; de Graaf-Peters et al., 2007)","plainCitation":"(Bakker et al., 2010; de Graaf-Peters et al., 2007)","noteIndex":0},"citationItems":[{"id":42,"uris":["http://zotero.org/users/local/uKe4C4Lg/items/PC4YHDJZ"],"itemData":{"id":42,"type":"article-journal","container-title":"Infant Behavior and Development","ISSN":"0163-6383","issue":"1","journalAbbreviation":"Infant Behavior and Development","note":"publisher: Elsevier","page":"30-38","title":"Development of proximal arm muscle control during reaching in young infants: From variation to selection","volume":"33","author":[{"family":"Bakker","given":"Hanneke"},{"family":"Graaf-Peters","given":"Victorine B","non-dropping-particle":"de"},{"family":"Eykern","given":"Leo A","non-dropping-particle":"van"},{"family":"Otten","given":"Bert"},{"family":"Hadders-Algra","given":"Mijna"}],"issued":{"date-parts":[["2010"]]}}},{"id":99,"uris":["http://zotero.org/users/local/uKe4C4Lg/items/D2HWGMK5"],"itemData":{"id":99,"type":"article-journal","container-title":"Experimental brain research","ISSN":"0014-4819","journalAbbreviation":"Experimental brain research","note":"publisher: Springer","page":"647-656","title":"Postural adjustments and reaching in 4-and 6-month-old infants: an EMG and kinematical study","volume":"181","author":[{"family":"Graaf-Peters","given":"Victorine B","non-dropping-particle":"de"},{"family":"Bakker","given":"Hanneke"},{"family":"Eykern","given":"Leo A","non-dropping-particle":"van"},{"family":"Otten","given":"Bert"},{"family":"Hadders-Algra","given":"Mijna"}],"issued":{"date-parts":[["2007"]]}}}],"schema":"https://github.com/citation-style-language/schema/raw/master/csl-citation.json"} </w:instrText>
      </w:r>
      <w:r w:rsidRPr="00E14CDC">
        <w:fldChar w:fldCharType="separate"/>
      </w:r>
      <w:r w:rsidRPr="00E14CDC">
        <w:t>(Bakker et al., 2010; de Graaf-Peters et al., 2007)</w:t>
      </w:r>
      <w:r w:rsidRPr="00E14CDC">
        <w:fldChar w:fldCharType="end"/>
      </w:r>
      <w:r w:rsidRPr="00E14CDC">
        <w:t>.</w:t>
      </w:r>
    </w:p>
    <w:p w14:paraId="244C835E" w14:textId="77777777" w:rsidR="00575F33" w:rsidRPr="00E14CDC" w:rsidRDefault="00575F33" w:rsidP="00575F33">
      <w:pPr>
        <w:pStyle w:val="Heading3"/>
        <w:spacing w:line="480" w:lineRule="auto"/>
        <w:rPr>
          <w:b/>
          <w:bCs/>
          <w:i w:val="0"/>
          <w:iCs w:val="0"/>
        </w:rPr>
      </w:pPr>
      <w:bookmarkStart w:id="16" w:name="_Toc173185045"/>
      <w:r w:rsidRPr="00E14CDC">
        <w:rPr>
          <w:b/>
          <w:bCs/>
        </w:rPr>
        <w:t>Motor Experiences: Post-reaching Movements</w:t>
      </w:r>
      <w:bookmarkEnd w:id="16"/>
    </w:p>
    <w:p w14:paraId="26587442" w14:textId="24CBFD0B" w:rsidR="00575F33" w:rsidRPr="00E14CDC" w:rsidRDefault="0069439A" w:rsidP="00575F33">
      <w:pPr>
        <w:pStyle w:val="Heading3"/>
        <w:spacing w:line="480" w:lineRule="auto"/>
        <w:rPr>
          <w:i w:val="0"/>
          <w:iCs w:val="0"/>
        </w:rPr>
      </w:pPr>
      <w:bookmarkStart w:id="17" w:name="_Toc173185046"/>
      <w:r w:rsidRPr="00E14CDC">
        <w:t>Five to Six</w:t>
      </w:r>
      <w:r w:rsidR="00575F33" w:rsidRPr="00E14CDC">
        <w:t xml:space="preserve"> Months Old</w:t>
      </w:r>
      <w:bookmarkEnd w:id="17"/>
    </w:p>
    <w:p w14:paraId="2A70C9EA" w14:textId="62D329BB" w:rsidR="00575F33" w:rsidRPr="00E14CDC" w:rsidRDefault="00575F33" w:rsidP="002B0501">
      <w:pPr>
        <w:pStyle w:val="NoSpacing"/>
        <w:rPr>
          <w:rFonts w:ascii="Times New Roman" w:hAnsi="Times New Roman" w:cs="Times New Roman"/>
        </w:rPr>
      </w:pPr>
      <w:r w:rsidRPr="00E14CDC">
        <w:rPr>
          <w:rFonts w:ascii="Times New Roman" w:hAnsi="Times New Roman" w:cs="Times New Roman"/>
        </w:rPr>
        <w:tab/>
        <w:t xml:space="preserve">By five months, grasping begins, and infants have trouble reaching when visual input is displaced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{"citationID":"eYn1Bqqq","properties":{"formattedCitation":"(Bower, 1976; McDonnell, 1975)","plainCitation":"(Bower, 1976; McDonnell, 1975)","noteIndex":0},"citationItems":[{"id":91,"uris":["http://zotero.org/users/local/uKe4C4Lg/items/QS96SAHR"],"itemData":{"id":91,"type":"article-journal","container-title":"Scientific American","ISSN":"0036-8733","issue":"5","journalAbbreviation":"Scientific American","note":"publisher: JSTOR","page":"38-47","title":"Repetitive processes in child development","volume":"235","author":[{"family":"Bower","given":"TGR"}],"issued":{"date-parts":[["1976"]]}}},{"id":22,"uris":["http://zotero.org/users/local/uKe4C4Lg/items/XBABE38V"],"itemData":{"id":22,"type":"article-journal","abstract":"This investigation measured the accuracy of reaching in infants wearing 30-diopter prisms. Infants varied in age from 4 to 10 months. Although accuracy was barely affected, the reach trajectories indicated that infants switched from a miss path to a hit path in midcourse. There was some evidence to support the view that visually directed reaching was operative in the youngest infants and that it improved with age.","container-title":"Perception &amp; Psychophysics","DOI":"10.3758/BF03205963","ISSN":"1532-5962","issue":"3","journalAbbreviation":"Perception &amp; Psychophysics","page":"181-185","title":"The development of visually guided reaching","volume":"18","author":[{"family":"McDonnell","given":"Paul M."}],"issued":{"date-parts":[["1975",5,1]]}}}],"schema":"https://github.com/citation-style-language/schema/raw/master/csl-citation.json"}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(Bower, 1976; McDonnell, 1975)</w:t>
      </w:r>
      <w:r w:rsidRPr="00E14CDC">
        <w:rPr>
          <w:rFonts w:ascii="Times New Roman" w:hAnsi="Times New Roman" w:cs="Times New Roman"/>
        </w:rPr>
        <w:fldChar w:fldCharType="end"/>
      </w:r>
      <w:r w:rsidRPr="00E14CDC">
        <w:rPr>
          <w:rFonts w:ascii="Times New Roman" w:hAnsi="Times New Roman" w:cs="Times New Roman"/>
        </w:rPr>
        <w:t xml:space="preserve"> or obscured (Lasky, 1977). While wearing Prism glasses, infants reached away from the fixated object, according to the visual input displacement, until their hands came into view. Following the hand's visual input, the infants corrected their reach and grasped the objects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{"citationID":"IJiFmFga","properties":{"formattedCitation":"(Bower, 1976; McDonnell, 1975)","plainCitation":"(Bower, 1976; McDonnell, 1975)","noteIndex":0},"citationItems":[{"id":91,"uris":["http://zotero.org/users/local/uKe4C4Lg/items/QS96SAHR"],"itemData":{"id":91,"type":"article-journal","container-title":"Scientific American","ISSN":"0036-8733","issue":"5","journalAbbreviation":"Scientific American","note":"publisher: JSTOR","page":"38-47","title":"Repetitive processes in child development","volume":"235","author":[{"family":"Bower","given":"TGR"}],"issued":{"date-parts":[["1976"]]}}},{"id":22,"uris":["http://zotero.org/users/local/uKe4C4Lg/items/XBABE38V"],"itemData":{"id":22,"type":"article-journal","abstract":"This investigation measured the accuracy of reaching in infants wearing 30-diopter prisms. Infants varied in age from 4 to 10 months. Although accuracy was barely affected, the reach trajectories indicated that infants switched from a miss path to a hit path in midcourse. There was some evidence to support the view that visually directed reaching was operative in the youngest infants and that it improved with age.","container-title":"Perception &amp; Psychophysics","DOI":"10.3758/BF03205963","ISSN":"1532-5962","issue":"3","journalAbbreviation":"Perception &amp; Psychophysics","page":"181-185","title":"The development of visually guided reaching","volume":"18","author":[{"family":"McDonnell","given":"Paul M."}],"issued":{"date-parts":[["1975",5,1]]}}}],"schema":"https://github.com/citation-style-language/schema/raw/master/csl-citation.json"}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(Bower, 1976; McDonnell, 1975)</w:t>
      </w:r>
      <w:r w:rsidRPr="00E14CDC">
        <w:rPr>
          <w:rFonts w:ascii="Times New Roman" w:hAnsi="Times New Roman" w:cs="Times New Roman"/>
        </w:rPr>
        <w:fldChar w:fldCharType="end"/>
      </w:r>
      <w:r w:rsidR="00B93444" w:rsidRPr="00E14CDC">
        <w:rPr>
          <w:rFonts w:ascii="Times New Roman" w:hAnsi="Times New Roman" w:cs="Times New Roman"/>
        </w:rPr>
        <w:t xml:space="preserve">. </w:t>
      </w:r>
      <w:r w:rsidRPr="00E14CDC">
        <w:rPr>
          <w:rFonts w:ascii="Times New Roman" w:hAnsi="Times New Roman" w:cs="Times New Roman"/>
        </w:rPr>
        <w:t xml:space="preserve">Lasky found similar findings by excluding the infants’ view of the hand, resulting in fewer successful reaching attempts. They argued that visual input played an influential role in 5-month-olds' reaching. </w:t>
      </w:r>
    </w:p>
    <w:p w14:paraId="43FEE9DA" w14:textId="549DCC7B"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 xml:space="preserve">By 5.5 to 6.5 months, infants may reach more clumsily and stop mid-reach due to frustration if attempts fail or visual input is obscured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{"citationID":"fQyNk9wb","properties":{"formattedCitation":"(Lasky, 1977)","plainCitation":"(Lasky, 1977)","noteIndex":0},"citationItems":[{"id":17,"uris":["http://zotero.org/users/local/uKe4C4Lg/items/TKFQBQEP"],"itemData":{"id":17,"type":"article-journal","abstract":"[Reaching and retrieving, with and without visual feedback of the hand, were observed in 50 infants ranging in age from 2½ to 6½ months. Failure, to see the hand did not completely inhibit reaching and retrieving, although reaching and retrieving were reduced in this situation for infants 5½ months and older. It was hypothesized that infants of this age expected to see their hands within their visual fields. When this expectation was not met, the infant's ongoing behavior was disrupted.]","archive":"JSTOR","container-title":"Child Development","DOI":"10.2307/1128888","ISSN":"00093920, 14678624","issue":"1","note":"publisher: [Wiley, Society for Research in Child Development]","page":"112-117","title":"The Effect of Visual Feedback of the Hand on the Reaching and Retrieval Behavior of Young Infants","volume":"48","author":[{"family":"Lasky","given":"Robert E."}],"issued":{"date-parts":[["1977"]]}}}],"schema":"https://github.com/citation-style-language/schema/raw/master/csl-citation.json"}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(Lasky, 1977)</w:t>
      </w:r>
      <w:r w:rsidRPr="00E14CDC">
        <w:rPr>
          <w:rFonts w:ascii="Times New Roman" w:hAnsi="Times New Roman" w:cs="Times New Roman"/>
        </w:rPr>
        <w:fldChar w:fldCharType="end"/>
      </w:r>
      <w:r w:rsidRPr="00E14CDC">
        <w:rPr>
          <w:rFonts w:ascii="Times New Roman" w:hAnsi="Times New Roman" w:cs="Times New Roman"/>
        </w:rPr>
        <w:t>.</w:t>
      </w:r>
      <w:r w:rsidR="00433CB3" w:rsidRPr="00E14CDC">
        <w:rPr>
          <w:rFonts w:ascii="Times New Roman" w:hAnsi="Times New Roman" w:cs="Times New Roman"/>
        </w:rPr>
        <w:t xml:space="preserve"> </w:t>
      </w:r>
      <w:r w:rsidRPr="00E14CDC">
        <w:rPr>
          <w:rFonts w:ascii="Times New Roman" w:hAnsi="Times New Roman" w:cs="Times New Roman"/>
        </w:rPr>
        <w:t xml:space="preserve">They exhibit fluid reach and grasp motions, with attention shifting following contact with objects. This developmental progression relies on aligning visual-motor and tactile-proprioceptive-motor systems shaped by early motor experiences. Von Hofsten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{"citationID":"cpj54trJ","properties":{"formattedCitation":"(1977)","plainCitation":"(1977)","noteIndex":0},"citationItems":[{"id":23,"uris":["http://zotero.org/users/local/uKe4C4Lg/items/U3CB426P"],"itemData":{"id":23,"type":"article-journal","abstract":"Reaching behavior in eighteen- to thirty-two-week-old infants was studied as a function of binocular convergence. The infant looked at the object to be reached for through prism arrangements which changed convergence only. The reaches obtained were nearly always directed at the virtual object defined by convergence. Corrections of the reaches, if any, were made rather late and often not before the hand arrived at the place of the virtual object.","container-title":"Perception","DOI":"10.1068/p060139","ISSN":"0301-0066","issue":"2","journalAbbreviation":"Perception","note":"publisher: SAGE Publications Ltd STM","page":"139-144","title":"Binocular Convergence as a Determinant of Reaching Behavior in Infancy","volume":"6","author":[{"family":"Hofsten","given":"Claes","non-dropping-particle":"von"}],"issued":{"date-parts":[["1977",4,1]]}},"label":"page","suppress-author":true}],"schema":"https://github.com/citation-style-language/schema/raw/master/csl-citation.json"}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(1977)</w:t>
      </w:r>
      <w:r w:rsidRPr="00E14CDC">
        <w:rPr>
          <w:rFonts w:ascii="Times New Roman" w:hAnsi="Times New Roman" w:cs="Times New Roman"/>
        </w:rPr>
        <w:fldChar w:fldCharType="end"/>
      </w:r>
      <w:r w:rsidRPr="00E14CDC">
        <w:rPr>
          <w:rFonts w:ascii="Times New Roman" w:hAnsi="Times New Roman" w:cs="Times New Roman"/>
        </w:rPr>
        <w:t xml:space="preserve"> noted that infants continued to produce ballistic arm movements, resulting in missed target touches and </w:t>
      </w:r>
      <w:r w:rsidRPr="00E14CDC">
        <w:rPr>
          <w:rFonts w:ascii="Times New Roman" w:hAnsi="Times New Roman" w:cs="Times New Roman"/>
        </w:rPr>
        <w:lastRenderedPageBreak/>
        <w:t>unsuccessful reaching; therefore, mastery of reach speed is necessary for successful teaching.</w:t>
      </w:r>
    </w:p>
    <w:p w14:paraId="255E33DA" w14:textId="0AAB88C4"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 xml:space="preserve">At six months, infants demonstrate a mastery of their reach es by producing greater approach phase durations with limited movement units (von Hofsten, 1979). The approach phase constituted a more significant proportion of the overall reach than in previous weeks, which had more minor approach phases and more frequent movement units. Beyond movement units research by Lynch et al.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{"citationID":"ijgBWy3C","properties":{"formattedCitation":"(2008)","plainCitation":"(2008)","noteIndex":0},"citationItems":[{"id":93,"uris":["http://zotero.org/users/local/uKe4C4Lg/items/QDR972FD"],"itemData":{"id":93,"type":"article-journal","container-title":"Developmental Psychobiology: The Journal of the International Society for Developmental Psychobiology","ISSN":"0012-1630","issue":"4","journalAbbreviation":"Developmental Psychobiology: The Journal of the International Society for Developmental Psychobiology","note":"publisher: Wiley Online Library","page":"390-398","title":"No stable arm preference during the pre‐reaching period: A comparison of right and left hand kinematics with and without a toy present","volume":"50","author":[{"family":"Lynch","given":"A"},{"family":"Lee","given":"HM"},{"family":"Bhat","given":"A"},{"family":"Galloway","given":"JC"}],"issued":{"date-parts":[["2008"]]}},"label":"page","suppress-author":true}],"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(2008)</w:t>
      </w:r>
      <w:r w:rsidRPr="00E14CDC">
        <w:rPr>
          <w:rFonts w:ascii="Times New Roman" w:hAnsi="Times New Roman" w:cs="Times New Roman"/>
        </w:rPr>
        <w:fldChar w:fldCharType="end"/>
      </w:r>
      <w:r w:rsidRPr="00E14CDC">
        <w:rPr>
          <w:rFonts w:ascii="Times New Roman" w:hAnsi="Times New Roman" w:cs="Times New Roman"/>
        </w:rPr>
        <w:t xml:space="preserve"> observed differences in reach speeds and kinematic signatures between objects present and absent, indicating ongoing motor development and evidence of intentional reaching. Bojczyk &amp; Corbetta expanded on the control infants exhibit reporting and increased coordination of arm movements in infants who retrieve items from a box </w:t>
      </w:r>
      <w:r w:rsidRPr="00E14CDC">
        <w:rPr>
          <w:rFonts w:ascii="Times New Roman" w:hAnsi="Times New Roman" w:cs="Times New Roman"/>
        </w:rPr>
        <w:fldChar w:fldCharType="begin"/>
      </w:r>
      <w:r w:rsidR="00B33CB1" w:rsidRPr="00E14CDC">
        <w:rPr>
          <w:rFonts w:ascii="Times New Roman" w:hAnsi="Times New Roman" w:cs="Times New Roman"/>
        </w:rPr>
        <w:instrText xml:space="preserve"> ADDIN ZOTERO_ITEM CSL_CITATION {"citationID":"rLyyh3ml","properties":{"formattedCitation":"(Bojczyk &amp; Corbetta, 2004)","plainCitation":"(Bojczyk &amp; Corbetta, 2004)","dontUpdate":true,"noteIndex":0},"citationItems":[{"id":88,"uris":["http://zotero.org/users/local/uKe4C4Lg/items/H2V8VEWT"],"itemData":{"id":88,"type":"article-journal","container-title":"Developmental psychology","ISSN":"1939-0599","issue":"1","journalAbbreviation":"Developmental psychology","note":"publisher: American Psychological Association","page":"54","title":"Object retrieval in the 1st year of life: learning effects of task exposure and box transparency.","volume":"40","author":[{"family":"Bojczyk","given":"Kathryn E"},{"family":"Corbetta","given":"Daniela"}],"issued":{"date-parts":[["2004"]]}}}],"schema":"https://github.com/citation-style-language/schema/raw/master/csl-citation.json"}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(2004)</w:t>
      </w:r>
      <w:r w:rsidRPr="00E14CDC">
        <w:rPr>
          <w:rFonts w:ascii="Times New Roman" w:hAnsi="Times New Roman" w:cs="Times New Roman"/>
        </w:rPr>
        <w:fldChar w:fldCharType="end"/>
      </w:r>
      <w:r w:rsidRPr="00E14CDC">
        <w:rPr>
          <w:rFonts w:ascii="Times New Roman" w:hAnsi="Times New Roman" w:cs="Times New Roman"/>
        </w:rPr>
        <w:t>.</w:t>
      </w:r>
    </w:p>
    <w:p w14:paraId="29F7FC00"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 xml:space="preserve">At around 5.5 months, infants begin reaching for objects in the dark, showing varying degrees of success, particularly with their contralateral hand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{"citationID":"N680KOZX","properties":{"formattedCitation":"(Robin et al., 1996)","plainCitation":"(Robin et al., 1996)","noteIndex":0},"citationItems":[{"id":57,"uris":["http://zotero.org/users/local/uKe4C4Lg/items/FHQG6R4K"],"itemData":{"id":57,"type":"article-journal","container-title":"Developmental Psychology","ISSN":"1939-0599","issue":"5","journalAbbreviation":"Developmental Psychology","note":"publisher: American Psychological Association","page":"824","title":"Infants' predictive reaching for moving objects in the dark.","volume":"32","author":[{"family":"Robin","given":"Daniel J"},{"family":"Berthier","given":"Neil E"},{"family":"Clifton","given":"Rachel K"}],"issued":{"date-parts":[["1996"]]}}}],"schema":"https://github.com/citation-style-language/schema/raw/master/csl-citation.json"}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(Robin et al., 1996)</w:t>
      </w:r>
      <w:r w:rsidRPr="00E14CDC">
        <w:rPr>
          <w:rFonts w:ascii="Times New Roman" w:hAnsi="Times New Roman" w:cs="Times New Roman"/>
        </w:rPr>
        <w:fldChar w:fldCharType="end"/>
      </w:r>
      <w:r w:rsidRPr="00E14CDC">
        <w:rPr>
          <w:rFonts w:ascii="Times New Roman" w:hAnsi="Times New Roman" w:cs="Times New Roman"/>
        </w:rPr>
        <w:t xml:space="preserve">.While reaching was not always successful, moving the arm forward with an open hand indicated that these responses might be attempts to reach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{"citationID":"xShdwTgx","properties":{"formattedCitation":"(White et al., 1964)","plainCitation":"(White et al., 1964)","noteIndex":0},"citationItems":[{"id":82,"uris":["http://zotero.org/users/local/uKe4C4Lg/items/6Z6J7CTP"],"itemData":{"id":82,"type":"article-journal","container-title":"Child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(White et al., 1964)</w:t>
      </w:r>
      <w:r w:rsidRPr="00E14CDC">
        <w:rPr>
          <w:rFonts w:ascii="Times New Roman" w:hAnsi="Times New Roman" w:cs="Times New Roman"/>
        </w:rPr>
        <w:fldChar w:fldCharType="end"/>
      </w:r>
      <w:r w:rsidRPr="00E14CDC">
        <w:rPr>
          <w:rFonts w:ascii="Times New Roman" w:hAnsi="Times New Roman" w:cs="Times New Roman"/>
        </w:rPr>
        <w:t xml:space="preserve">. </w:t>
      </w:r>
    </w:p>
    <w:p w14:paraId="298B629E"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 xml:space="preserve">Rudimentary aperture anticipation occurs at this age. Infants show unreliable orientation adjustment of their hands towards presented shapes. Rather than adjusting in the early reach, the infants adjusted to the object orientation, vertical or horizontal, following contact with the object (Lockman et al., 1984). Additional research by von Hofsten and Fazel-Zandy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{"citationID":"RkT9nY5D","properties":{"formattedCitation":"(1984)","plainCitation":"(1984)","noteIndex":0},"citationItems":[{"id":70,"uris":["http://zotero.org/users/local/uKe4C4Lg/items/6VICRPG3"],"itemData":{"id":70,"type":"article-journal","container-title":"Journal of experimental child psychology","ISSN":"0022-0965","issue":"2","journalAbbreviation":"Journal of experimental child psychology","note":"publisher: Elsevier","page":"208-219","title":"Development of visually guided hand orientation in reaching","volume":"38","author":[{"family":"Hofsten","given":"Claes","non-dropping-particle":"von"},{"family":"Fazel-Zandy","given":"Shirin"}],"issued":{"date-parts":[["1984"]]}},"label":"page","suppress-author":true}],"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(1984)</w:t>
      </w:r>
      <w:r w:rsidRPr="00E14CDC">
        <w:rPr>
          <w:rFonts w:ascii="Times New Roman" w:hAnsi="Times New Roman" w:cs="Times New Roman"/>
        </w:rPr>
        <w:fldChar w:fldCharType="end"/>
      </w:r>
      <w:r w:rsidRPr="00E14CDC">
        <w:rPr>
          <w:rFonts w:ascii="Times New Roman" w:hAnsi="Times New Roman" w:cs="Times New Roman"/>
        </w:rPr>
        <w:t>observed a similar phenomenon when infants made crude adjustments to object orientation, arguing that infants were integrating visual information into their reaches.</w:t>
      </w:r>
    </w:p>
    <w:p w14:paraId="63532056"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lastRenderedPageBreak/>
        <w:t xml:space="preserve">By six months, infants demonstrate more fluid and complete reaches and grasp. They shift attention following contact with the object to adjust for a successful grasp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{"citationID":"461OAt6P","properties":{"formattedCitation":"(Corbetta et al., 2000; White et al., 1964)","plainCitation":"(Corbetta et al., 2000; White et al., 1964)","noteIndex":0},"citationItems":[{"id":74,"uris":["http://zotero.org/users/local/uKe4C4Lg/items/I6DDQ67Y"],"itemData":{"id":74,"type":"article-journal","container-title":"Infant behavior and development","ISSN":"0163-6383","issue":"3-4","journalAbbreviation":"Infant behavior and development","note":"publisher: Elsevier","page":"351-374","title":"Motor constraints on the development of perception-action matching in infant reaching","volume":"23","author":[{"family":"Corbetta","given":"Daniela"},{"family":"Thelen","given":"Esther"},{"family":"Johnson","given":"Kimberly"}],"issued":{"date-parts":[["2000"]]}}},{"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(Corbetta et al., 2000; White et al., 1964)</w:t>
      </w:r>
      <w:r w:rsidRPr="00E14CDC">
        <w:rPr>
          <w:rFonts w:ascii="Times New Roman" w:hAnsi="Times New Roman" w:cs="Times New Roman"/>
        </w:rPr>
        <w:fldChar w:fldCharType="end"/>
      </w:r>
      <w:r w:rsidRPr="00E14CDC">
        <w:rPr>
          <w:rFonts w:ascii="Times New Roman" w:hAnsi="Times New Roman" w:cs="Times New Roman"/>
        </w:rPr>
        <w:t>. Infant reaches consist of proportionally greater approach phases, where the approach phase makes up more of the reach and fewer movement units, suggesting increased proficiency in reaching</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{"citationID":"emhxBWWh","properties":{"formattedCitation":"(von Hofsten, 1979)","plainCitation":"(von Hofsten, 1979)","noteIndex":0},"citationItems":[{"id":84,"uris":["http://zotero.org/users/local/uKe4C4Lg/items/GW23NYQH"],"itemData":{"id":84,"type":"book","publisher":"Department of psychology, University of Uppsala","title":"Development of visually directed reaching: The approach phase","author":[{"family":"Hofsten","given":"Claes","non-dropping-particle":"von"}],"issued":{"date-parts":[["1979"]]}}}],"schema":"https://github.com/citation-style-language/schema/raw/master/csl-citation.json"}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(von Hofsten, 1979)</w:t>
      </w:r>
      <w:r w:rsidRPr="00E14CDC">
        <w:rPr>
          <w:rFonts w:ascii="Times New Roman" w:hAnsi="Times New Roman" w:cs="Times New Roman"/>
        </w:rPr>
        <w:fldChar w:fldCharType="end"/>
      </w:r>
      <w:r w:rsidRPr="00E14CDC">
        <w:rPr>
          <w:rFonts w:ascii="Times New Roman" w:hAnsi="Times New Roman" w:cs="Times New Roman"/>
        </w:rPr>
        <w:t xml:space="preserve">. Posture no longer affects reach movements at this age, and infants exhibit decreased failed reaching attempts and arm extensions forward and not towards the object, indicating enhanced motor system development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{"citationID":"dVhSAeYl","properties":{"formattedCitation":"(Bakker et al., 2010)","plainCitation":"(Bakker et al., 2010)","noteIndex":0},"citationItems":[{"id":42,"uris":["http://zotero.org/users/local/uKe4C4Lg/items/PC4YHDJZ"],"itemData":{"id":42,"type":"article-journal","container-title":"Infant Behavior and Development","ISSN":"0163-6383","issue":"1","journalAbbreviation":"Infant Behavior and Development","note":"publisher: Elsevier","page":"30-38","title":"Development of proximal arm muscle control during reaching in young infants: From variation to selection","volume":"33","author":[{"family":"Bakker","given":"Hanneke"},{"family":"Graaf-Peters","given":"Victorine B","non-dropping-particle":"de"},{"family":"Eykern","given":"Leo A","non-dropping-particle":"van"},{"family":"Otten","given":"Bert"},{"family":"Hadders-Algra","given":"Mijna"}],"issued":{"date-parts":[["2010"]]}}}],"schema":"https://github.com/citation-style-language/schema/raw/master/csl-citation.json"}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(Bakker et al., 2010)</w:t>
      </w:r>
      <w:r w:rsidRPr="00E14CDC">
        <w:rPr>
          <w:rFonts w:ascii="Times New Roman" w:hAnsi="Times New Roman" w:cs="Times New Roman"/>
        </w:rPr>
        <w:fldChar w:fldCharType="end"/>
      </w:r>
      <w:r w:rsidRPr="00E14CDC">
        <w:rPr>
          <w:rFonts w:ascii="Times New Roman" w:hAnsi="Times New Roman" w:cs="Times New Roman"/>
        </w:rPr>
        <w:t>.</w:t>
      </w:r>
    </w:p>
    <w:p w14:paraId="070C7463" w14:textId="12CD38C5" w:rsidR="00575F33" w:rsidRPr="00E14CDC" w:rsidRDefault="0069439A" w:rsidP="00575F33">
      <w:pPr>
        <w:pStyle w:val="Heading3"/>
        <w:spacing w:line="480" w:lineRule="auto"/>
        <w:rPr>
          <w:i w:val="0"/>
          <w:iCs w:val="0"/>
        </w:rPr>
      </w:pPr>
      <w:bookmarkStart w:id="18" w:name="_Toc173185047"/>
      <w:r w:rsidRPr="00E14CDC">
        <w:t>Seven</w:t>
      </w:r>
      <w:r w:rsidR="00575F33" w:rsidRPr="00E14CDC">
        <w:t>+ Months Old</w:t>
      </w:r>
      <w:bookmarkEnd w:id="18"/>
    </w:p>
    <w:p w14:paraId="03D9B816"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 xml:space="preserve">From seven months on, infants displayed extensive reaching developments. They relied less on vision during reaching tasks, showed decreased effects in the prism paradigms, and displayed different reaching strategies and planning. At seven months old, infants showed decreased reliance on vision compared to younger ages. Two studies illustrate this feat: McDonnell's prism studies study and Clifton and colleague’s 1993 dark-reaching study. McDonnell used vision diffusion prism glasses to alter a target's visual location and participants' hands. Despite this difference and the incongruency of the visual input and their reaching motion, infants at this age successfully completed the reaches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{"citationID":"yfG65IFb","properties":{"formattedCitation":"(McDonnell, 1975; McDonnell &amp; Abraham, 1979, 1981)","plainCitation":"(McDonnell, 1975; McDonnell &amp; Abraham, 1979, 1981)","noteIndex":0},"citationItems":[{"id":22,"uris":["http://zotero.org/users/local/uKe4C4Lg/items/XBABE38V"],"itemData":{"id":22,"type":"article-journal","abstract":"This investigation measured the accuracy of reaching in infants wearing 30-diopter prisms. Infants varied in age from 4 to 10 months. Although accuracy was barely affected, the reach trajectories indicated that infants switched from a miss path to a hit path in midcourse. There was some evidence to support the view that visually directed reaching was operative in the youngest infants and that it improved with age.","container-title":"Perception &amp; Psychophysics","DOI":"10.3758/BF03205963","ISSN":"1532-5962","issue":"3","journalAbbreviation":"Perception &amp; Psychophysics","page":"181-185","title":"The development of visually guided reaching","volume":"18","author":[{"family":"McDonnell","given":"Paul M."}],"issued":{"date-parts":[["1975",5,1]]}}},{"id":18,"uris":["http://zotero.org/users/local/uKe4C4Lg/items/NVQ5TEC6"],"itemData":{"id":18,"type":"article-journal","abstract":"This research reports a first attempt to study adaptation to laterally displacing prisms in human infants of ages six to ten months. Twenty infants were tested over four days under conditions similar to those used in adult adaptation studies. Evidence was found of vigorous adaptation when infants were exposed to base-right prisms under conditions of active exposure. Detailed consideration is given to the conditions and methods of studying adaptation in infants and implications for adult studies.","container-title":"Perception","DOI":"10.1068/p080175","ISSN":"0301-0066","issue":"2","journalAbbreviation":"Perception","note":"publisher: SAGE Publications Ltd STM","page":"175-185","title":"Adaptation to Displacing Prisms in Human Infants","volume":"8","author":[{"family":"McDonnell","given":"Paul M"},{"family":"Abraham","given":"Wayne C"}],"issued":{"date-parts":[["1979",4,1]]}}},{"id":55,"uris":["http://zotero.org/users/local/uKe4C4Lg/items/2ISNJ255"],"itemData":{"id":55,"type":"article-journal","abstract":"[This study replicated a previous demonstration of prism-induced aftereffects in 5-9-month-old infants. Aftereffects were considered to be changes in direction of reaching for visual targets following prism exposure. The present study employed a longitudinal design. In the experimental group, infants were exposed to 25-diopter lateral displacing prisms once each month from 5 to 9 months. Since many of the subjects were unable to complete testing at 5 months, data for that age level were not included in the main analyses. In a control group, infants were tested each month but were exposed to prisms only at 9 months of age. The magnitude of aftereffects for control subjects at 9 months was not significantly greater than aftereffects obtained for experimentals at 6 months, so there was little evidence of changes in adaptability due to age or repeated exposure to the prisms. The finding of an increase in the frequency of reaching with the left hand during exposure to leftward-deviating prisms was replicated. Such a shift in hand preference probably represents an alternative form of adaptation which for methodological reasons has not been observed in adults. The aftereffect and frequency results were complementary and provide a clear demonstration of adaptation to prismatic displacement between 6 and 9 months.]","archive":"JSTOR","container-title":"Child Development","DOI":"10.2307/1129163","ISSN":"00093920, 14678624","issue":"2","note":"publisher: [Wiley, Society for Research in Child Development]","page":"463-469","title":"A Longitudinal Study of Prism Adaptation in Infants from Six to Nine Months of Age","volume":"52","author":[{"family":"McDonnell","given":"Paul M."},{"family":"Abraham","given":"Wayne C."}],"issued":{"date-parts":[["1981"]]}}}],"schema":"https://github.com/citation-style-language/schema/raw/master/csl-citation.json"}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(McDonnell, 1975; McDonnell &amp; Abraham, 1979, 1981)</w:t>
      </w:r>
      <w:r w:rsidRPr="00E14CDC">
        <w:rPr>
          <w:rFonts w:ascii="Times New Roman" w:hAnsi="Times New Roman" w:cs="Times New Roman"/>
        </w:rPr>
        <w:fldChar w:fldCharType="end"/>
      </w:r>
      <w:r w:rsidRPr="00E14CDC">
        <w:rPr>
          <w:rFonts w:ascii="Times New Roman" w:hAnsi="Times New Roman" w:cs="Times New Roman"/>
        </w:rPr>
        <w:t xml:space="preserve">. Clifton et al.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{"citationID":"pMLCeu5i","properties":{"formattedCitation":"(1993)","plainCitation":"(1993)","noteIndex":0},"citationItems":[{"id":25,"uris":["http://zotero.org/users/local/uKe4C4Lg/items/YBJPTDZ6"],"itemData":{"id":25,"type":"article-journal","abstract":"[The issue examined was whether infants require sight of their hand when first beginning to reach for, contact, and grasp objects. 7 infants were repeatedly tested between 6 and 25 weeks of age. Each session consisted of 8 trials of objects presented in the light and 8 trials of glowing or sounding objects in complete darkness. Infants first contacted the object in both conditions at comparable ages (mean age for light, 12.3 weeks, and for dark, 11.9 weeks). Infants first grasped the object in the light at 16.0 weeks and in the dark at 14.7 weeks, a nonsignificant difference. Once contact was observed, infants continued to touch and grasp the objects in both light and dark throughout all sessions. Because infants could not see their hand or arm in the dark, their early success in contacting the glowing and sounding objects indicates that proprioceptive cues, not sight of the limb, guided their early reaching. Reaching in the light developed in parallel with reaching in the dark, suggesting that visual guidance of the hand is not necessary to achieve object contact either at the onset of successful reaching or in the succeeding weeks.]","archive":"JSTOR","container-title":"Child Development","DOI":"10.2307/1131328","ISSN":"00093920, 14678624","issue":"4","note":"publisher: [Wiley, Society for Research in Child Development]","page":"1099-1110","title":"Is Visually Guided Reaching in Early Infancy a Myth?","volume":"64","author":[{"family":"Clifton","given":"Rachel K."},{"family":"Muir","given":"Darwin W."},{"family":"Ashmead","given":"Daniel H."},{"family":"Clarkson","given":"Marsha G."}],"issued":{"date-parts":[["1993"]]}},"label":"page","suppress-author":true}],"schema":"https://github.com/citation-style-language/schema/raw/master/csl-citation.json"}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(1993)</w:t>
      </w:r>
      <w:r w:rsidRPr="00E14CDC">
        <w:rPr>
          <w:rFonts w:ascii="Times New Roman" w:hAnsi="Times New Roman" w:cs="Times New Roman"/>
        </w:rPr>
        <w:fldChar w:fldCharType="end"/>
      </w:r>
      <w:r w:rsidRPr="00E14CDC">
        <w:rPr>
          <w:rFonts w:ascii="Times New Roman" w:hAnsi="Times New Roman" w:cs="Times New Roman"/>
        </w:rPr>
        <w:t xml:space="preserve"> reported that infants readily reached for glowing objects in the dark without the visual input of their hands. Expanding on Clifton’s findings, Robin et al.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{"citationID":"KTstXw1W","properties":{"formattedCitation":"(1996)","plainCitation":"(1996)","noteIndex":0},"citationItems":[{"id":57,"uris":["http://zotero.org/users/local/uKe4C4Lg/items/FHQG6R4K"],"itemData":{"id":57,"type":"article-journal","container-title":"Developmental Psychology","ISSN":"1939-0599","issue":"5","journalAbbreviation":"Developmental Psychology","note":"publisher: American Psychological Association","page":"824","title":"Infants' predictive reaching for moving objects in the dark.","volume":"32","author":[{"family":"Robin","given":"Daniel J"},{"family":"Berthier","given":"Neil E"},{"family":"Clifton","given":"Rachel K"}],"issued":{"date-parts":[["1996"]]}},"label":"page","suppress-author":true}],"schema":"https://github.com/citation-style-language/schema/raw/master/csl-citation.json"}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(1996)</w:t>
      </w:r>
      <w:r w:rsidRPr="00E14CDC">
        <w:rPr>
          <w:rFonts w:ascii="Times New Roman" w:hAnsi="Times New Roman" w:cs="Times New Roman"/>
        </w:rPr>
        <w:fldChar w:fldCharType="end"/>
      </w:r>
      <w:r w:rsidRPr="00E14CDC">
        <w:rPr>
          <w:rFonts w:ascii="Times New Roman" w:hAnsi="Times New Roman" w:cs="Times New Roman"/>
        </w:rPr>
        <w:t xml:space="preserve"> had infants reach toward a sounding object that offered no visual input at all, and again, the infants completed the task at lower levels than when visual input was granted. </w:t>
      </w:r>
    </w:p>
    <w:p w14:paraId="5277C75C"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lastRenderedPageBreak/>
        <w:t xml:space="preserve">At nine months old, infants exhibited diverse visual motor alignment patterns, including reaching toward an object area to which they constantly fixated, shifting visual fixations during the reach to an object location, and reaching an object area to which they had not fixated (Connell, 2020). These strategies, therefore, constituted the motor-proprioceptive system matching the visual system, the visual system mapping the motor-proprioceptive system, and the visual and motor-proprioceptive systems not aligning at all when an object is presented directly in their reach (Connell, 2020). When an object is presented outside their reaching space, 9-month-olds consistently match their looking and first contact locations based on object saliency, indicating coordination between visual attention and reaching when given prolonged visual input exposure before reaching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{"citationID":"2AHPLZxk","properties":{"formattedCitation":"(Corbetta et al., 2014)","plainCitation":"(Corbetta et al., 2014)","noteIndex":0},"citationItems":[{"id":52,"uris":["http://zotero.org/users/local/uKe4C4Lg/items/IUPCEAET"],"itemData":{"id":52,"type":"article-journal","container-title":"Frontiers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(Corbetta et al., 2014)</w:t>
      </w:r>
      <w:r w:rsidRPr="00E14CDC">
        <w:rPr>
          <w:rFonts w:ascii="Times New Roman" w:hAnsi="Times New Roman" w:cs="Times New Roman"/>
        </w:rPr>
        <w:fldChar w:fldCharType="end"/>
      </w:r>
      <w:r w:rsidRPr="00E14CDC">
        <w:rPr>
          <w:rFonts w:ascii="Times New Roman" w:hAnsi="Times New Roman" w:cs="Times New Roman"/>
        </w:rPr>
        <w:t xml:space="preserve">. Infants continue to demonstrate early orientation of their hands towards the visual orientation of presented objects at a higher rate than their 5-month-old selves, i.e., they match their hand orientation to the object’s orientation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{"citationID":"qkasbdHp","properties":{"formattedCitation":"(Lockman et al., 1984)","plainCitation":"(Lockman et al., 1984)","noteIndex":0},"citationItems":[{"id":53,"uris":["http://zotero.org/users/local/uKe4C4Lg/items/MBG6VP62"],"itemData":{"id":53,"type":"article-journal","container-title":"Journal of experimental child psychology","ISSN":"0022-0965","issue":"1","journalAbbreviation":"Journal of experimental child psychology","note":"publisher: Elsevier","page":"176-186","title":"The development of anticipatory hand orientation during infancy","volume":"37","author":[{"family":"Lockman","given":"Jeffrey J"},{"family":"Ashmead","given":"Daniel H"},{"family":"Bushnell","given":"Emily W"}],"issued":{"date-parts":[["1984"]]}}}],"schema":"https://github.com/citation-style-language/schema/raw/master/csl-citation.json"}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(Lockman et al., 1984)</w:t>
      </w:r>
      <w:r w:rsidRPr="00E14CDC">
        <w:rPr>
          <w:rFonts w:ascii="Times New Roman" w:hAnsi="Times New Roman" w:cs="Times New Roman"/>
        </w:rPr>
        <w:fldChar w:fldCharType="end"/>
      </w:r>
      <w:r w:rsidRPr="00E14CDC">
        <w:rPr>
          <w:rFonts w:ascii="Times New Roman" w:hAnsi="Times New Roman" w:cs="Times New Roman"/>
        </w:rPr>
        <w:t>.</w:t>
      </w:r>
    </w:p>
    <w:p w14:paraId="5827E412"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 xml:space="preserve">By ten months old, infants modulate their movement speed based on the task they plan to perform, displaying more significant peak and average speeds when throwing an object instead of fitting the ball into a small container, indicating a level of planning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{"citationID":"MKxb9OOZ","properties":{"formattedCitation":"(Claxton et al., 2003)","plainCitation":"(Claxton et al., 2003)","noteIndex":0},"citationItems":[{"id":48,"uris":["http://zotero.org/users/local/uKe4C4Lg/items/CLSHDR42"],"itemData":{"id":48,"type":"article-journal","container-title":"Psychological Science","ISSN":"0956-7976","issue":"4","journalAbbreviation":"Psychological Science","note":"publisher: SAGE Publications Sage CA: Los Angeles, CA","page":"354-356","title":"Evidence of motor planning in infant reaching behavior","volume":"14","author":[{"family":"Claxton","given":"Laura J"},{"family":"Keen","given":"Rachel"},{"family":"McCarty","given":"Michael E"}],"issued":{"date-parts":[["2003"]]}}}],"schema":"https://github.com/citation-style-language/schema/raw/master/csl-citation.json"}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(Claxton et al., 2003)</w:t>
      </w:r>
      <w:r w:rsidRPr="00E14CDC">
        <w:rPr>
          <w:rFonts w:ascii="Times New Roman" w:hAnsi="Times New Roman" w:cs="Times New Roman"/>
        </w:rPr>
        <w:fldChar w:fldCharType="end"/>
      </w:r>
      <w:r w:rsidRPr="00E14CDC">
        <w:rPr>
          <w:rFonts w:ascii="Times New Roman" w:hAnsi="Times New Roman" w:cs="Times New Roman"/>
        </w:rPr>
        <w:t xml:space="preserve">. Finally, by 20 months, infants can more reliably reach without seeing their hands than their younger peers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{"citationID":"TKhTu9Dy","properties":{"formattedCitation":"(Bower &amp; Wishart, 1972)","plainCitation":"(Bower &amp; Wishart, 1972)","noteIndex":0},"citationItems":[{"id":90,"uris":["http://zotero.org/users/local/uKe4C4Lg/items/3S4EZ767"],"itemData":{"id":90,"type":"article-journal","container-title":"Cognition","ISSN":"0010-0277","issue":"2-3","journalAbbreviation":"Cognition","note":"publisher: Elsevier","page":"165-172","title":"The effects of motor skill on object permanence","volume":"1","author":[{"family":"Bower","given":"TGR"},{"family":"Wishart","given":"Jennifer G"}],"issued":{"date-parts":[["1972"]]}}}],"schema":"https://github.com/citation-style-language/schema/raw/master/csl-citation.json"}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(Bower &amp; Wishart, 1972)</w:t>
      </w:r>
      <w:r w:rsidRPr="00E14CDC">
        <w:rPr>
          <w:rFonts w:ascii="Times New Roman" w:hAnsi="Times New Roman" w:cs="Times New Roman"/>
        </w:rPr>
        <w:fldChar w:fldCharType="end"/>
      </w:r>
      <w:r w:rsidRPr="00E14CDC">
        <w:rPr>
          <w:rFonts w:ascii="Times New Roman" w:hAnsi="Times New Roman" w:cs="Times New Roman"/>
        </w:rPr>
        <w:t xml:space="preserve">. Finally, they display task-specific changes to their latency to reach and subsequent reach duration, where those with longer latencies reach slower than their counterparts with shorter latencies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{"citationID":"idoo6CDf","properties":{"formattedCitation":"(Abney et al., 2024)","plainCitation":"(Abney et al., 2024)","noteIndex":0},"citationItems":[{"id":41,"uris":["http://zotero.org/users/local/uKe4C4Lg/items/SBN7TYMJ"],"itemData":{"id":41,"type":"article-journal","container-title":"Infancy","ISSN":"1525-0008","issue":"1","journalAbbreviation":"Infancy","note":"publisher: Wiley Online Library","page":"6-21","title":"Look before you reach: Fixation‐reach latencies predict reaching kinematics in toddlers","volume":"29","author":[{"family":"Abney","given":"Drew H"},{"family":"Jerry","given":"Christian M"},{"family":"Smith","given":"Linda B"},{"family":"Yu","given":"Chen"}],"issued":{"date-parts":[["2024"]]}}}],"schema":"https://github.com/citation-style-language/schema/raw/master/csl-citation.json"}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(Abney et al., 2024)</w:t>
      </w:r>
      <w:r w:rsidRPr="00E14CDC">
        <w:rPr>
          <w:rFonts w:ascii="Times New Roman" w:hAnsi="Times New Roman" w:cs="Times New Roman"/>
        </w:rPr>
        <w:fldChar w:fldCharType="end"/>
      </w:r>
      <w:r w:rsidRPr="00E14CDC">
        <w:rPr>
          <w:rFonts w:ascii="Times New Roman" w:hAnsi="Times New Roman" w:cs="Times New Roman"/>
        </w:rPr>
        <w:t>.</w:t>
      </w:r>
    </w:p>
    <w:p w14:paraId="0D65639A"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lastRenderedPageBreak/>
        <w:t xml:space="preserve">The transition from non-reaching to reaching represents a critical milestone in early development. Infants initially produce simple reflexive movements and spontaneous movement activities before gradually refining these movements through repeated practice and feedback.  Infants gradually learn to coordinate their movements to reach for objects they are interested in. This process does not occur instantaneously; it evolves over months of movement experiences. Moreover, it relies on converging several systems that initially develop separately, namely the visual, motor, tactile, and proprioceptive systems. For years, research on reaching development focused primarily on the visual system, initially assumed to be the guiding factor of reach-onset, termed visually guided reaching. However, recent studies have shifted towards a broader perspective, emphasizing the dynamic relationship between multiple factors and systems involved in reaching. This perspective recognizes that reaching behaviors are not solely elicited or guided by visual input but are influenced by a complex interplay of redundant sensory inputs, motor planning, and execution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{"citationID":"pwhwVbI6","properties":{"formattedCitation":"(Jordan, 2018; Michel, 1991; Thelen, 1991)","plainCitation":"(Jordan, 2018; Michel, 1991; Thelen, 1991)","noteIndex":0},"citationItems":[{"id":95,"uris":["http://zotero.org/users/local/uKe4C4Lg/items/UYT2SUP9"],"itemData":{"id":95,"type":"chapter","container-title":"Attention and performance XIII","page":"796-836","publisher":"Psychology Press","title":"Motor learning and the degrees of freedom problem","author":[{"family":"Jordan","given":"Michael I"}],"issued":{"date-parts":[["2018"]]}}},{"id":96,"uris":["http://zotero.org/users/local/uKe4C4Lg/items/DGMZQYRG"],"itemData":{"id":96,"type":"chapter","abstract":"Publisher Summary\nThe hands are used in an enormous range of actions involving feeding, locomotion, body maintenance (cleaning, soothing, and protection), communication, play, social cohesion, and emotional regulation. However, in the contexts of both evolution and civilization, the manipulation of inedible environmental objects is the most important use of the hands. Most human characteristics depend, directly or indirectly, on the manual skills needed to use implements and construct tools. Effective manual action in these skills requires refined control of the shoulder, elbow, wrist, and finger joints, as well as specific postural adjustment of the trunk and legs. Failure to achieve the appropriate postural “set” can preclude the expression of a manual skill. The execution of manual actions has a special priority in the organization of central nervous system activity, co-opting a diverse set of neuro-anatomical structures that are involved in a wide range of functions. Reaching and grasping are prehensile skills established during infancy and serve as the basis for most of the infant's manipulatory actions. Intelligent behavior almost always involves acts of prehension and manipulation (e.g., searching for hidden objects, using tools). Accordingly, processes involved in the acquisition of various manual skills during infancy may serve to either facilitate or constrain cognitive development, and manual skill is often used as a means of assessing the cognitive ability of infants.","container-title":"Advances in Psychology","ISBN":"0166-4115","note":"DOI: 10.1016/S0166-4115(08)60765-7","page":"175-199","publisher":"North-Holland","title":"Development of Infant Manual Skills: Motor Programs, Schemata, or Dynamic Systems?11Preparation of this chapter was supported in part by NICHHD grant number 5R01 HD22399. I would like to thank Celia L. Moore for comments on earlier versions.","URL":"https://www.sciencedirect.com/science/article/pii/S0166411508607657","volume":"81","author":[{"family":"Michel","given":"George F."}],"editor":[{"family":"Fagard","given":"Jacqueline"},{"family":"Wolff","given":"Peter H."}],"issued":{"date-parts":[["1991",1,1]]}}},{"id":97,"uris":["http://zotero.org/users/local/uKe4C4Lg/items/UFS2QPMA"],"itemData":{"id":97,"type":"chapter","container-title":"Advances in psychology","ISBN":"0166-4115","page":"201-211","publisher":"Elsevier","title":"Timing in motor development as emergent process and product","volume":"81","author":[{"family":"Thelen","given":"Esther"}],"issued":{"date-parts":[["1991"]]}}}],"schema":"https://github.com/citation-style-language/schema/raw/master/csl-citation.json"}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sz w:val="22"/>
        </w:rPr>
        <w:t>(Jordan, 2018; Michel, 1991; Thelen, 1991)</w:t>
      </w:r>
      <w:r w:rsidRPr="00E14CDC">
        <w:rPr>
          <w:rFonts w:ascii="Times New Roman" w:hAnsi="Times New Roman" w:cs="Times New Roman"/>
        </w:rPr>
        <w:fldChar w:fldCharType="end"/>
      </w:r>
      <w:r w:rsidRPr="00E14CDC">
        <w:rPr>
          <w:rFonts w:ascii="Times New Roman" w:hAnsi="Times New Roman" w:cs="Times New Roman"/>
        </w:rPr>
        <w:t xml:space="preserve">. The integration of these systems is crucial for the development of precise reaching skills. Infants refine their reaching abilities as they explore and interact with their environment, eventually achieving more accurate and purposeful movements through the perception-action loop.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{"citationID":"wbdcRpnv","properties":{"formattedCitation":"(Corbetta, 2021)","plainCitation":"(Corbetta, 2021)","noteIndex":0},"citationItems":[{"id":13,"uris":["http://zotero.org/users/local/uKe4C4Lg/items/L3H2QEFP"],"itemData":{"id":13,"type":"article-journal","abstract":"Perception, action, and intrinsic motivation play an essential role in early development, promoting the creation and refinement of new and more complex forms of behaviors as infants try a range of sensorimotor patterns in their environment. I use the example of infants? reaching to illustrate how goal-directed action emerges from the intersection of seemingly distinct visual and proprioceptive-tactile-motor spaces that form in the early months following birth. The intersection of these two spaces begins with a casual contingent event involving vision and action: when the hand happens to contact a target. This event, which marks the onset of reaching, provides new behavioral value, reinforces the motor action, and intrinsically motivates infants to attempt to reproduce the behavior. Subsequent repeated cycles of perception and action lead to the exploration of a range of motor responses and a progressive alignment of the visual space with the proprioceptive-tactile-motor space, ultimately fostering the selection and refinement of increasingly successful and refined reaching patterns. Extensive hands-on experience in the environment and learning about the immediate outcomes of actions play a critical role in shaping behavioral development.","container-title":"Current Directions in Psychological Science","DOI":"10.1177/09637214211031939","ISSN":"0963-7214","issue":"5","journalAbbreviation":"Curr Dir Psychol Sci","note":"publisher: SAGE Publications Inc","page":"418-424","title":"Perception, Action, and Intrinsic Motivation in Infants’ Motor-Skill Development","volume":"30","author":[{"family":"Corbetta","given":"Daniela"}],"issued":{"date-parts":[["2021",10,1]]}}}],"schema":"https://github.com/citation-style-language/schema/raw/master/csl-citation.json"}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(Corbetta, 2021)</w:t>
      </w:r>
      <w:r w:rsidRPr="00E14CDC">
        <w:rPr>
          <w:rFonts w:ascii="Times New Roman" w:hAnsi="Times New Roman" w:cs="Times New Roman"/>
        </w:rPr>
        <w:fldChar w:fldCharType="end"/>
      </w:r>
      <w:r w:rsidRPr="00E14CDC">
        <w:rPr>
          <w:rFonts w:ascii="Times New Roman" w:hAnsi="Times New Roman" w:cs="Times New Roman"/>
        </w:rPr>
        <w:t>. This progression highlights the importance of both experience and the alignment of sensory and motor systems in developing reaching behaviors. The following section briefly describes the change in basic assumptions from visually guided to visually elicited and the complicated relationship between the visual and motor systems.</w:t>
      </w:r>
    </w:p>
    <w:p w14:paraId="38654FE3" w14:textId="77777777" w:rsidR="002B0501" w:rsidRPr="00E14CDC" w:rsidRDefault="002B0501" w:rsidP="002B0501">
      <w:pPr>
        <w:pStyle w:val="NoSpacing"/>
        <w:ind w:firstLine="720"/>
        <w:rPr>
          <w:rFonts w:ascii="Times New Roman" w:hAnsi="Times New Roman" w:cs="Times New Roman"/>
        </w:rPr>
      </w:pPr>
    </w:p>
    <w:p w14:paraId="05AAD55A" w14:textId="77777777" w:rsidR="00575F33" w:rsidRPr="00E14CDC" w:rsidRDefault="00575F33" w:rsidP="00575F33">
      <w:pPr>
        <w:pStyle w:val="Heading3"/>
        <w:spacing w:line="480" w:lineRule="auto"/>
        <w:rPr>
          <w:b/>
          <w:bCs/>
          <w:sz w:val="22"/>
          <w:szCs w:val="22"/>
        </w:rPr>
      </w:pPr>
      <w:bookmarkStart w:id="19" w:name="_Toc173185048"/>
      <w:r w:rsidRPr="00E14CDC">
        <w:rPr>
          <w:b/>
          <w:bCs/>
          <w:sz w:val="22"/>
          <w:szCs w:val="22"/>
        </w:rPr>
        <w:lastRenderedPageBreak/>
        <w:t>History of Reaching Studies: Visually Guided</w:t>
      </w:r>
      <w:bookmarkEnd w:id="19"/>
    </w:p>
    <w:p w14:paraId="05C79F56" w14:textId="77777777" w:rsidR="00575F33" w:rsidRPr="00E14CDC" w:rsidRDefault="00575F33" w:rsidP="00575F33">
      <w:pPr>
        <w:spacing w:line="480" w:lineRule="auto"/>
        <w:ind w:firstLine="720"/>
      </w:pPr>
      <w:r w:rsidRPr="00E14CDC">
        <w:t xml:space="preserve">Jean Piaget’s observations of his children signify the origins of the so-called </w:t>
      </w:r>
      <w:r w:rsidRPr="00E14CDC">
        <w:rPr>
          <w:i/>
          <w:iCs/>
        </w:rPr>
        <w:t>visually guided</w:t>
      </w:r>
      <w:r w:rsidRPr="00E14CDC">
        <w:t xml:space="preserve"> reaching. Though not coined by himself, the term became commonplace when describing the phenomenon first illustrated by him. Piaget systematically described the actions of his children and reported them in his 1936 work </w:t>
      </w:r>
      <w:r w:rsidRPr="00E14CDC">
        <w:rPr>
          <w:i/>
          <w:iCs/>
        </w:rPr>
        <w:t xml:space="preserve">The Origins of Intelligence in Children </w:t>
      </w:r>
      <w:r w:rsidRPr="00E14CDC">
        <w:rPr>
          <w:i/>
          <w:iCs/>
        </w:rPr>
        <w:fldChar w:fldCharType="begin"/>
      </w:r>
      <w:r w:rsidRPr="00E14CDC">
        <w:rPr>
          <w:i/>
          <w:iCs/>
        </w:rPr>
        <w:instrText xml:space="preserve"> ADDIN ZOTERO_ITEM CSL_CITATION {"citationID":"N05fvJxV","properties":{"formattedCitation":"(Piaget &amp; Cook, 1952)","plainCitation":"(Piaget &amp; Cook, 1952)","noteIndex":0},"citationItems":[{"id":56,"uris":["http://zotero.org/users/local/uKe4C4Lg/items/9PZHGFEG"],"itemData":{"id":56,"type":"book","note":"issue: 5","publisher":"International Universities Press New York","title":"The origins of intelligence in children","volume":"8","author":[{"family":"Piaget","given":"Jean"},{"family":"Cook","given":"Margaret"}],"issued":{"date-parts":[["1952"]]}}}],"schema":"https://github.com/citation-style-language/schema/raw/master/csl-citation.json"} </w:instrText>
      </w:r>
      <w:r w:rsidRPr="00E14CDC">
        <w:rPr>
          <w:i/>
          <w:iCs/>
        </w:rPr>
        <w:fldChar w:fldCharType="separate"/>
      </w:r>
      <w:r w:rsidRPr="00E14CDC">
        <w:t>(Piaget &amp; Cook, 1952)</w:t>
      </w:r>
      <w:r w:rsidRPr="00E14CDC">
        <w:rPr>
          <w:i/>
          <w:iCs/>
        </w:rPr>
        <w:fldChar w:fldCharType="end"/>
      </w:r>
      <w:r w:rsidRPr="00E14CDC">
        <w:rPr>
          <w:i/>
          <w:iCs/>
        </w:rPr>
        <w:t xml:space="preserve">. </w:t>
      </w:r>
      <w:r w:rsidRPr="00E14CDC">
        <w:t>In it, he described the events and movements that led to his infants' first reaches. Specifically, when attempting to reach, the infants produced visual fixation shifts from their hands and the to-be-touched target of their reach. The infants then shifted from hand to object, repeatedly approaching the target until they made contact. This Piagetian-style form of reaching was then identified in several studies over the next few decades, giving credence to the visually guided theory of reaching.</w:t>
      </w:r>
    </w:p>
    <w:p w14:paraId="56385E36" w14:textId="77777777" w:rsidR="00575F33" w:rsidRPr="00E14CDC" w:rsidRDefault="00575F33" w:rsidP="00575F33">
      <w:pPr>
        <w:spacing w:line="480" w:lineRule="auto"/>
      </w:pPr>
      <w:r w:rsidRPr="00E14CDC">
        <w:t xml:space="preserve">White et al. </w:t>
      </w:r>
      <w:r w:rsidRPr="00E14CDC">
        <w:fldChar w:fldCharType="begin"/>
      </w:r>
      <w:r w:rsidRPr="00E14CDC">
        <w:instrText xml:space="preserve"> ADDIN ZOTERO_ITEM CSL_CITATION {"citationID":"XeAYh56p","properties":{"formattedCitation":"(White et al., 1964)","plainCitation":"(White et al., 1964)","dontUpdate":true,"noteIndex":0},"citationItems":[{"id":82,"uris":["http://zotero.org/users/local/uKe4C4Lg/items/6Z6J7CTP"],"itemData":{"id":82,"type":"article-journal","container-title":"Child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fldChar w:fldCharType="separate"/>
      </w:r>
      <w:r w:rsidRPr="00E14CDC">
        <w:t>(1964)</w:t>
      </w:r>
      <w:r w:rsidRPr="00E14CDC">
        <w:fldChar w:fldCharType="end"/>
      </w:r>
      <w:r w:rsidRPr="00E14CDC">
        <w:t xml:space="preserve"> observed infants' visually directed prehensile movements in response to a presented object. During these presentations, infants produced </w:t>
      </w:r>
      <w:r w:rsidRPr="00E14CDC">
        <w:rPr>
          <w:i/>
          <w:iCs/>
        </w:rPr>
        <w:t>Piaget-like patterns</w:t>
      </w:r>
      <w:r w:rsidRPr="00E14CDC">
        <w:t xml:space="preserve"> from 2 to 4 months old (stage 2–6). They further utilized </w:t>
      </w:r>
      <w:r w:rsidRPr="00E14CDC">
        <w:rPr>
          <w:i/>
          <w:iCs/>
        </w:rPr>
        <w:t>Piaget-type, reaching</w:t>
      </w:r>
      <w:r w:rsidRPr="00E14CDC">
        <w:t xml:space="preserve"> up to 5</w:t>
      </w:r>
      <w:r w:rsidRPr="00E14CDC">
        <w:rPr>
          <w:vertAlign w:val="superscript"/>
        </w:rPr>
        <w:t xml:space="preserve"> </w:t>
      </w:r>
      <w:r w:rsidRPr="00E14CDC">
        <w:t>months old (stage 8).  White and colleagues additionally described that infants did not reach to contact the object at four months of age. Instead, they brought their hands close to the object and shifted visual fixations from hand to object. Consistent with Piaget, White et al. argued that the visual and motor systems were independent of one another initially before becoming intertwined in the weeks leading to reach-onset as the visual fixations give way to slow methodical movements and apprehensive grasping of the object. They further summarized that the complete integration of the visual and motor systems occurred shortly before the fifth month when adult-like reaching emerged.</w:t>
      </w:r>
    </w:p>
    <w:p w14:paraId="4B8331C1" w14:textId="77777777" w:rsidR="00575F33" w:rsidRPr="00E14CDC" w:rsidRDefault="00575F33" w:rsidP="00575F33">
      <w:pPr>
        <w:spacing w:line="480" w:lineRule="auto"/>
        <w:ind w:firstLine="720"/>
      </w:pPr>
      <w:r w:rsidRPr="00E14CDC">
        <w:lastRenderedPageBreak/>
        <w:t xml:space="preserve">Over the next few decades, Piaget’s theory was supported repeatedly, study after study. Piaget's theory received extensive validation through several studies over several decades, underscoring its enduring significance. In a seminal 1975 study, McDonnell utilized Prism glasses to displace infants' visual perception during reaching tasks. Despite initial errors, infants swiftly adapted and successfully reached their target objects, indicating a reliance on visual cues for task completion. Lasky </w:t>
      </w:r>
      <w:r w:rsidRPr="00E14CDC">
        <w:fldChar w:fldCharType="begin"/>
      </w:r>
      <w:r w:rsidRPr="00E14CDC">
        <w:instrText xml:space="preserve"> ADDIN ZOTERO_ITEM CSL_CITATION {"citationID":"KpWR8QcW","properties":{"formattedCitation":"(1977)","plainCitation":"(1977)","noteIndex":0},"citationItems":[{"id":17,"uris":["http://zotero.org/users/local/uKe4C4Lg/items/TKFQBQEP"],"itemData":{"id":17,"type":"article-journal","abstract":"[Reaching and retrieving, with and without visual feedback of the hand, were observed in 50 infants ranging in age from 2½ to 6½ months. Failure, to see the hand did not completely inhibit reaching and retrieving, although reaching and retrieving were reduced in this situation for infants 5½ months and older. It was hypothesized that infants of this age expected to see their hands within their visual fields. When this expectation was not met, the infant's ongoing behavior was disrupted.]","archive":"JSTOR","container-title":"Child Development","DOI":"10.2307/1128888","ISSN":"00093920, 14678624","issue":"1","note":"publisher: [Wiley, Society for Research in Child Development]","page":"112-117","title":"The Effect of Visual Feedback of the Hand on the Reaching and Retrieval Behavior of Young Infants","volume":"48","author":[{"family":"Lasky","given":"Robert E."}],"issued":{"date-parts":[["1977"]]}},"label":"page","suppress-author":true}],"schema":"https://github.com/citation-style-language/schema/raw/master/csl-citation.json"} </w:instrText>
      </w:r>
      <w:r w:rsidRPr="00E14CDC">
        <w:fldChar w:fldCharType="separate"/>
      </w:r>
      <w:r w:rsidRPr="00E14CDC">
        <w:t>(1977)</w:t>
      </w:r>
      <w:r w:rsidRPr="00E14CDC">
        <w:fldChar w:fldCharType="end"/>
      </w:r>
      <w:r w:rsidRPr="00E14CDC">
        <w:t xml:space="preserve"> introduced a novel approach to investigating the role of vision in infant reaching by employing a mirror to obscure infants' vision of their hands while reaching for objects. Infants performed less effectively under obscured conditions, suggesting the importance of visual guidance in reaching tasks. Building upon McDonnell's work, McDonnell and Abraham </w:t>
      </w:r>
      <w:r w:rsidRPr="00E14CDC">
        <w:fldChar w:fldCharType="begin"/>
      </w:r>
      <w:r w:rsidRPr="00E14CDC">
        <w:instrText xml:space="preserve"> ADDIN ZOTERO_ITEM CSL_CITATION {"citationID":"i3OB8c0w","properties":{"formattedCitation":"(1981)","plainCitation":"(1981)","noteIndex":0},"citationItems":[{"id":55,"uris":["http://zotero.org/users/local/uKe4C4Lg/items/2ISNJ255"],"itemData":{"id":55,"type":"article-journal","abstract":"[This study replicated a previous demonstration of prism-induced aftereffects in 5-9-month-old infants. Aftereffects were considered to be changes in direction of reaching for visual targets following prism exposure. The present study employed a longitudinal design. In the experimental group, infants were exposed to 25-diopter lateral displacing prisms once each month from 5 to 9 months. Since many of the subjects were unable to complete testing at 5 months, data for that age level were not included in the main analyses. In a control group, infants were tested each month but were exposed to prisms only at 9 months of age. The magnitude of aftereffects for control subjects at 9 months was not significantly greater than aftereffects obtained for experimentals at 6 months, so there was little evidence of changes in adaptability due to age or repeated exposure to the prisms. The finding of an increase in the frequency of reaching with the left hand during exposure to leftward-deviating prisms was replicated. Such a shift in hand preference probably represents an alternative form of adaptation which for methodological reasons has not been observed in adults. The aftereffect and frequency results were complementary and provide a clear demonstration of adaptation to prismatic displacement between 6 and 9 months.]","archive":"JSTOR","container-title":"Child Development","DOI":"10.2307/1129163","ISSN":"00093920, 14678624","issue":"2","note":"publisher: [Wiley, Society for Research in Child Development]","page":"463-469","title":"A Longitudinal Study of Prism Adaptation in Infants from Six to Nine Months of Age","volume":"52","author":[{"family":"McDonnell","given":"Paul M."},{"family":"Abraham","given":"Wayne C."}],"issued":{"date-parts":[["1981"]]}},"label":"page","suppress-author":true}],"schema":"https://github.com/citation-style-language/schema/raw/master/csl-citation.json"} </w:instrText>
      </w:r>
      <w:r w:rsidRPr="00E14CDC">
        <w:fldChar w:fldCharType="separate"/>
      </w:r>
      <w:r w:rsidRPr="00E14CDC">
        <w:t>(1981)</w:t>
      </w:r>
      <w:r w:rsidRPr="00E14CDC">
        <w:fldChar w:fldCharType="end"/>
      </w:r>
      <w:r w:rsidRPr="00E14CDC">
        <w:t xml:space="preserve"> observed the trajectory of reaches by 7-month-old infants, noting that while visually guided reaching led to errors in the second year of life, ballistic reaching did not.</w:t>
      </w:r>
    </w:p>
    <w:p w14:paraId="0318A7C9" w14:textId="77777777" w:rsidR="00575F33" w:rsidRPr="00E14CDC" w:rsidRDefault="00575F33" w:rsidP="00575F33">
      <w:pPr>
        <w:spacing w:line="480" w:lineRule="auto"/>
        <w:ind w:firstLine="720"/>
      </w:pPr>
      <w:r w:rsidRPr="00E14CDC">
        <w:t xml:space="preserve">Von Hofsten's in </w:t>
      </w:r>
      <w:r w:rsidRPr="00E14CDC">
        <w:fldChar w:fldCharType="begin"/>
      </w:r>
      <w:r w:rsidRPr="00E14CDC">
        <w:instrText xml:space="preserve"> ADDIN ZOTERO_ITEM CSL_CITATION {"citationID":"DGgeXpvZ","properties":{"formattedCitation":"(1977)","plainCitation":"(1977)","noteIndex":0},"citationItems":[{"id":23,"uris":["http://zotero.org/users/local/uKe4C4Lg/items/U3CB426P"],"itemData":{"id":23,"type":"article-journal","abstract":"Reaching behavior in eighteen- to thirty-two-week-old infants was studied as a function of binocular convergence. The infant looked at the object to be reached for through prism arrangements which changed convergence only. The reaches obtained were nearly always directed at the virtual object defined by convergence. Corrections of the reaches, if any, were made rather late and often not before the hand arrived at the place of the virtual object.","container-title":"Perception","DOI":"10.1068/p060139","ISSN":"0301-0066","issue":"2","journalAbbreviation":"Perception","note":"publisher: SAGE Publications Ltd STM","page":"139-144","title":"Binocular Convergence as a Determinant of Reaching Behavior in Infancy","volume":"6","author":[{"family":"Hofsten","given":"Claes","non-dropping-particle":"von"}],"issued":{"date-parts":[["1977",4,1]]}},"label":"page","suppress-author":true}],"schema":"https://github.com/citation-style-language/schema/raw/master/csl-citation.json"} </w:instrText>
      </w:r>
      <w:r w:rsidRPr="00E14CDC">
        <w:fldChar w:fldCharType="separate"/>
      </w:r>
      <w:r w:rsidRPr="00E14CDC">
        <w:rPr>
          <w:sz w:val="22"/>
        </w:rPr>
        <w:t>(1977)</w:t>
      </w:r>
      <w:r w:rsidRPr="00E14CDC">
        <w:fldChar w:fldCharType="end"/>
      </w:r>
      <w:r w:rsidRPr="00E14CDC">
        <w:t xml:space="preserve"> provided further insights, proposing that reaching corrections following trajectory deviations was influenced by infants' assessment of hand and target object locations and their proximity. As infants matured, trajectory deviations decreased, and the 'approach phase' constituted more of the reach with a shorter duration, indicating a shift from visually guided to visually elicited reaching. However, these studies overlooked the influence of proprioception on infants' reaching ability or, at best, hinted at its potential significance.</w:t>
      </w:r>
    </w:p>
    <w:p w14:paraId="1D2B6E4C" w14:textId="77777777" w:rsidR="00CC578B" w:rsidRPr="00E14CDC" w:rsidRDefault="00CC578B" w:rsidP="002B0501">
      <w:pPr>
        <w:spacing w:line="480" w:lineRule="auto"/>
      </w:pPr>
    </w:p>
    <w:p w14:paraId="63E9885C" w14:textId="77777777" w:rsidR="00575F33" w:rsidRPr="00E14CDC" w:rsidRDefault="00575F33" w:rsidP="00575F33">
      <w:pPr>
        <w:spacing w:line="480" w:lineRule="auto"/>
        <w:rPr>
          <w:b/>
          <w:bCs/>
          <w:i/>
          <w:iCs/>
        </w:rPr>
      </w:pPr>
      <w:r w:rsidRPr="00E14CDC">
        <w:rPr>
          <w:b/>
          <w:bCs/>
          <w:i/>
          <w:iCs/>
        </w:rPr>
        <w:t>History of Reaching Studies: Visually Elicited Rebutting Visually Guided</w:t>
      </w:r>
    </w:p>
    <w:p w14:paraId="11211010"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lastRenderedPageBreak/>
        <w:t xml:space="preserve">Approximately thirty years after Piaget first articulated his theories and two decades following White et al.'s seminal study confirming his ideas, dissenting perspectives emerged regarding the central role of vision in the initiation of reaching behavior. Lockman et al.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{"citationID":"DVQbACSv","properties":{"formattedCitation":"(1984)","plainCitation":"(1984)","noteIndex":0},"citationItems":[{"id":53,"uris":["http://zotero.org/users/local/uKe4C4Lg/items/MBG6VP62"],"itemData":{"id":53,"type":"article-journal","container-title":"Journal of experimental child psychology","ISSN":"0022-0965","issue":"1","journalAbbreviation":"Journal of experimental child psychology","note":"publisher: Elsevier","page":"176-186","title":"The development of anticipatory hand orientation during infancy","volume":"37","author":[{"family":"Lockman","given":"Jeffrey J"},{"family":"Ashmead","given":"Daniel H"},{"family":"Bushnell","given":"Emily W"}],"issued":{"date-parts":[["1984"]]}},"label":"page","suppress-author":true}],"schema":"https://github.com/citation-style-language/schema/raw/master/csl-citation.json"}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(1984)</w:t>
      </w:r>
      <w:r w:rsidRPr="00E14CDC">
        <w:rPr>
          <w:rFonts w:ascii="Times New Roman" w:hAnsi="Times New Roman" w:cs="Times New Roman"/>
        </w:rPr>
        <w:fldChar w:fldCharType="end"/>
      </w:r>
      <w:r w:rsidRPr="00E14CDC">
        <w:rPr>
          <w:rFonts w:ascii="Times New Roman" w:hAnsi="Times New Roman" w:cs="Times New Roman"/>
        </w:rPr>
        <w:t xml:space="preserve"> conducted research suggesting that after several weeks of reaching experience, infants adjusted the orientation of their hand movements to align it with the presented objects without visually monitoring their hands but fixating on the target object instead. Similarly, von Hofsten and Fazel-Zandy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{"citationID":"r9cFKWBM","properties":{"formattedCitation":"(1984)","plainCitation":"(1984)","noteIndex":0},"citationItems":[{"id":38,"uris":["http://zotero.org/users/local/uKe4C4Lg/items/Z7X6E6CK"],"itemData":{"id":38,"type":"article-journal","abstract":"Examined how the kind and amount of prereaching activity change with age during the period preceding successful grasping of objects. 23 infants were tested at 3-wk intervals from the 1st week of life to 16 wks of age. 12 Ss were also seen at 19 wks of age. At each session, the S was presented with an object moving slowly in different ways in front of him or her. In the middle of each session there was also a 1-min period with no object present. Results show that the amount of prereaching declined at 7 wks and that this decrease was contingent on the presence of the object. Ss did not seem to lose interest in the object at this age, but attending to the object inhibited prereaching activity in some way. The form of prereaching also changed at 7 wks, with the fist clenched during the forward extension of the arm. After this age, the amount of prereaching activity again increased and the hand opened during the forward extension, but only when the S looked at the object. (20 ref) (PsycINFO Database Record (c) 2016 APA, all rights reserved)","container-title":"Developmental Psychology","DOI":"10.1037/0012-1649.20.3.378","ISSN":"1939-0599(Electronic),0012-1649(Print)","issue":"3","note":"publisher-place: US\npublisher: American Psychological Association","page":"378-388","title":"Developmental changes in the organization of prereaching movements.","volume":"20","author":[{"family":"Hofsten","given":"Claes","non-dropping-particle":"von"}],"issued":{"date-parts":[["1984"]]}},"label":"page","suppress-author":true}],"schema":"https://github.com/citation-style-language/schema/raw/master/csl-citation.json"}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(1984)</w:t>
      </w:r>
      <w:r w:rsidRPr="00E14CDC">
        <w:rPr>
          <w:rFonts w:ascii="Times New Roman" w:hAnsi="Times New Roman" w:cs="Times New Roman"/>
        </w:rPr>
        <w:fldChar w:fldCharType="end"/>
      </w:r>
      <w:r w:rsidRPr="00E14CDC">
        <w:rPr>
          <w:rFonts w:ascii="Times New Roman" w:hAnsi="Times New Roman" w:cs="Times New Roman"/>
        </w:rPr>
        <w:t xml:space="preserve"> observed infants as young as ten weeks old extending their arms and opening their hands toward objects without notable fixation on their hands but rather on the presented object. Though contact was not consistent, infants displayed some orientation matching.</w:t>
      </w:r>
    </w:p>
    <w:p w14:paraId="3C71E9BD" w14:textId="2975C376"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 xml:space="preserve">In subsequent studies following von Hofsten’s 1977 work, von Hofsten and Fazel-Zandy (1984) failed to replicate the results described by McDonnell (1975). Instead of infants employing the Piagetian strategy of alternating fixations between hand and object, which occurs from 3 to 5 weeks of age, von Hofsten and Fazel-Zandy noted constant fixation on the object and a prevalence of ballistic movements over slower, deliberate actions. McDonnell and Abraham (1979, 1981) described similar ballistic reaches alongside the Piagetian type reaches, positing that infants utilized proprioceptive information. Using the proprioceptive information, infants produced ballistic movements that needed </w:t>
      </w:r>
      <w:r w:rsidR="002B0501" w:rsidRPr="00E14CDC">
        <w:rPr>
          <w:rFonts w:ascii="Times New Roman" w:hAnsi="Times New Roman" w:cs="Times New Roman"/>
        </w:rPr>
        <w:t>to be moderated</w:t>
      </w:r>
      <w:r w:rsidRPr="00E14CDC">
        <w:rPr>
          <w:rFonts w:ascii="Times New Roman" w:hAnsi="Times New Roman" w:cs="Times New Roman"/>
        </w:rPr>
        <w:t xml:space="preserve"> to reduce overreaching the object. This reaching strategy was termed visually elicited or visually triggered. These visually elicited reaches persisted until approximately 5.5 months of age</w:t>
      </w:r>
      <w:r w:rsidR="002B0501" w:rsidRPr="00E14CDC">
        <w:rPr>
          <w:rFonts w:ascii="Times New Roman" w:hAnsi="Times New Roman" w:cs="Times New Roman"/>
        </w:rPr>
        <w:t>,</w:t>
      </w:r>
      <w:r w:rsidRPr="00E14CDC">
        <w:rPr>
          <w:rFonts w:ascii="Times New Roman" w:hAnsi="Times New Roman" w:cs="Times New Roman"/>
        </w:rPr>
        <w:t xml:space="preserve"> when errors described by Lasky (1977) became prevalent.</w:t>
      </w:r>
    </w:p>
    <w:p w14:paraId="7920CCC7"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lastRenderedPageBreak/>
        <w:t>In 1993, Clifton et al. conducted a study focusing on infants from 6 to 25 weeks of age that heavily refuted visually guided reaching</w:t>
      </w:r>
      <w:r w:rsidRPr="00E14CDC">
        <w:rPr>
          <w:rStyle w:val="CommentReference"/>
          <w:rFonts w:ascii="Times New Roman" w:eastAsiaTheme="minorHAnsi" w:hAnsi="Times New Roman" w:cs="Times New Roman"/>
          <w:kern w:val="2"/>
          <w:sz w:val="24"/>
          <w:szCs w:val="24"/>
          <w14:ligatures w14:val="standardContextual"/>
        </w:rPr>
        <w:t xml:space="preserve"> between 3 </w:t>
      </w:r>
      <w:r w:rsidRPr="00E14CDC">
        <w:rPr>
          <w:rStyle w:val="CommentReference"/>
          <w:rFonts w:ascii="Times New Roman" w:eastAsiaTheme="minorHAnsi" w:hAnsi="Times New Roman" w:cs="Times New Roman"/>
          <w:kern w:val="2"/>
          <w14:ligatures w14:val="standardContextual"/>
        </w:rPr>
        <w:t>and</w:t>
      </w:r>
      <w:r w:rsidRPr="00E14CDC">
        <w:rPr>
          <w:rStyle w:val="CommentReference"/>
          <w:rFonts w:ascii="Times New Roman" w:eastAsiaTheme="minorHAnsi" w:hAnsi="Times New Roman" w:cs="Times New Roman"/>
          <w:kern w:val="2"/>
          <w:sz w:val="24"/>
          <w:szCs w:val="24"/>
          <w14:ligatures w14:val="standardContextual"/>
        </w:rPr>
        <w:t xml:space="preserve"> 5 months</w:t>
      </w:r>
      <w:r w:rsidRPr="00E14CDC">
        <w:rPr>
          <w:rFonts w:ascii="Times New Roman" w:hAnsi="Times New Roman" w:cs="Times New Roman"/>
          <w:sz w:val="40"/>
          <w:szCs w:val="40"/>
        </w:rPr>
        <w:t xml:space="preserve"> </w:t>
      </w:r>
      <w:r w:rsidRPr="00E14CDC">
        <w:rPr>
          <w:rFonts w:ascii="Times New Roman" w:hAnsi="Times New Roman" w:cs="Times New Roman"/>
        </w:rPr>
        <w:t xml:space="preserve">old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{"citationID":"0XKTH8AW","properties":{"formattedCitation":"(McDonnell &amp; Abraham, 1979; Piaget &amp; Cook, 1952; White et al., 1964)","plainCitation":"(McDonnell &amp; Abraham, 1979; Piaget &amp; Cook, 1952; White et al., 1964)","noteIndex":0},"citationItems":[{"id":18,"uris":["http://zotero.org/users/local/uKe4C4Lg/items/NVQ5TEC6"],"itemData":{"id":18,"type":"article-journal","abstract":"This research reports a first attempt to study adaptation to laterally displacing prisms in human infants of ages six to ten months. Twenty infants were tested over four days under conditions similar to those used in adult adaptation studies. Evidence was found of vigorous adaptation when infants were exposed to base-right prisms under conditions of active exposure. Detailed consideration is given to the conditions and methods of studying adaptation in infants and implications for adult studies.","container-title":"Perception","DOI":"10.1068/p080175","ISSN":"0301-0066","issue":"2","journalAbbreviation":"Perception","note":"publisher: SAGE Publications Ltd STM","page":"175-185","title":"Adaptation to Displacing Prisms in Human Infants","volume":"8","author":[{"family":"McDonnell","given":"Paul M"},{"family":"Abraham","given":"Wayne C"}],"issued":{"date-parts":[["1979",4,1]]}}},{"id":56,"uris":["http://zotero.org/users/local/uKe4C4Lg/items/9PZHGFEG"],"itemData":{"id":56,"type":"book","note":"issue: 5","publisher":"International Universities Press New York","title":"The origins of intelligence in children","volume":"8","author":[{"family":"Piaget","given":"Jean"},{"family":"Cook","given":"Margaret"}],"issued":{"date-parts":[["1952"]]}}},{"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(McDonnell &amp; Abraham, 1979; Piaget &amp; Cook, 1952; White et al., 1964)</w:t>
      </w:r>
      <w:r w:rsidRPr="00E14CDC">
        <w:rPr>
          <w:rFonts w:ascii="Times New Roman" w:hAnsi="Times New Roman" w:cs="Times New Roman"/>
        </w:rPr>
        <w:fldChar w:fldCharType="end"/>
      </w:r>
      <w:r w:rsidRPr="00E14CDC">
        <w:rPr>
          <w:rFonts w:ascii="Times New Roman" w:hAnsi="Times New Roman" w:cs="Times New Roman"/>
        </w:rPr>
        <w:t xml:space="preserve">. They observed infants accurately reaching for objects in the dark, relying solely on the sight of the object while receiving no visual information about their hands. Subsequent studies replicated and refined this finding, including anticipatory reaches to moving objects and reaching to visually obscured objects producing sound but no visual input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{"citationID":"2JfpEOGW","properties":{"formattedCitation":"(Robin et al., 1996)","plainCitation":"(Robin et al., 1996)","noteIndex":0},"citationItems":[{"id":57,"uris":["http://zotero.org/users/local/uKe4C4Lg/items/FHQG6R4K"],"itemData":{"id":57,"type":"article-journal","container-title":"Developmental Psychology","ISSN":"1939-0599","issue":"5","journalAbbreviation":"Developmental Psychology","note":"publisher: American Psychological Association","page":"824","title":"Infants' predictive reaching for moving objects in the dark.","volume":"32","author":[{"family":"Robin","given":"Daniel J"},{"family":"Berthier","given":"Neil E"},{"family":"Clifton","given":"Rachel K"}],"issued":{"date-parts":[["1996"]]}}}],"schema":"https://github.com/citation-style-language/schema/raw/master/csl-citation.json"}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(Robin et al., 1996)</w:t>
      </w:r>
      <w:r w:rsidRPr="00E14CDC">
        <w:rPr>
          <w:rFonts w:ascii="Times New Roman" w:hAnsi="Times New Roman" w:cs="Times New Roman"/>
        </w:rPr>
        <w:fldChar w:fldCharType="end"/>
      </w:r>
      <w:r w:rsidRPr="00E14CDC">
        <w:rPr>
          <w:rFonts w:ascii="Times New Roman" w:hAnsi="Times New Roman" w:cs="Times New Roman"/>
        </w:rPr>
        <w:t>. Therefore, the infants utilized proprioceptive feedback of their hand's location in space and the object’s location to themselves to complete the tasks.</w:t>
      </w:r>
    </w:p>
    <w:p w14:paraId="7A5CD551"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 xml:space="preserve">More recently, DiMercurio et al.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{"citationID":"JVgzQlvX","properties":{"formattedCitation":"(2018)","plainCitation":"(2018)","noteIndex":0},"citationItems":[{"id":21,"uris":["http://zotero.org/users/local/uKe4C4Lg/items/3668UPDR"],"itemData":{"id":21,"type":"article-journal","abstract":"Self-generated touches to the body or supporting surface are considered important contributors to the emergence of an early sense of the body and self in infancy. Both are critical for the formation of later goal-directed actions. Very few studies have examined in detail the development of these early spontaneous touches during the first months of life. In this study, we followed weekly four infants in two naturalistic 5-min sessions (baseline and toys-in-view) as they laid alert in supine from the age of 3 weeks until they acquired head control. We found that throughout the 2 months of observation, infants engaged in a high rate of touch and spent about 50% of the time moving their hands from one touch location to the next. On most sessions, they produced up to 200 body/surface contacts and touched as many as 18 different areas (mainly upper body and floor) both hands combined. When we did not consider the specific areas touched, the rates of touches were higher to the body than to the floor, but the duration of contacts and the most touched areas were higher for the supporting surface than for the body. Until the age of 9 weeks, we found no consistent differences in the rate of touch between head and trunk. Infants also did not display significant differences in their rate of touch between right and left hand or between conditions. However, we discovered that in the earlier weeks, infants engaged more often in what we called “complex touches.” Complex touches were touches performed across several body/floor areas in one continuous bout while the hand maintained contact with the body or floor. Single touches, in contrast, corresponded to one touch to one single body or floor area at a time. We suggest that infants are active explorers of their own body and peripersonal space from day 1 and that these early self-generated and deeply embodied sensorimotor experiences form the critical foundation from which future behaviors develop.","container-title":"Frontiers in Psychology","ISSN":"1664-1078","journalAbbreviation":"Frontiers in Psychology","title":"A Naturalistic Observation of Spontaneous Touches to the Body and Environment in the First 2 Months of Life","URL":"https://www.frontiersin.org/journals/psychology/articles/10.3389/fpsyg.2018.02613","volume":"9","author":[{"family":"DiMercurio","given":"Abigail"},{"family":"Connell","given":"John P."},{"family":"Clark","given":"Matthew"},{"family":"Corbetta","given":"Daniela"}],"issued":{"date-parts":[["2018"]]}},"label":"page","suppress-author":true}],"schema":"https://github.com/citation-style-language/schema/raw/master/csl-citation.json"}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(2018)</w:t>
      </w:r>
      <w:r w:rsidRPr="00E14CDC">
        <w:rPr>
          <w:rFonts w:ascii="Times New Roman" w:hAnsi="Times New Roman" w:cs="Times New Roman"/>
        </w:rPr>
        <w:fldChar w:fldCharType="end"/>
      </w:r>
      <w:r w:rsidRPr="00E14CDC">
        <w:rPr>
          <w:rFonts w:ascii="Times New Roman" w:hAnsi="Times New Roman" w:cs="Times New Roman"/>
        </w:rPr>
        <w:t xml:space="preserve"> observed infants' spontaneous arm movements in a naturalistic environment. Despite the expectation of frequent hand observation, infants exhibited over two hundred movements in ten minutes of observation with no noticeable fixations on their hands. Instead, they explored their bodies tactically and presumably proprioceptively.</w:t>
      </w:r>
    </w:p>
    <w:p w14:paraId="56707B56" w14:textId="77777777" w:rsidR="00575F33" w:rsidRPr="00E14CDC" w:rsidRDefault="00575F33" w:rsidP="002B0501">
      <w:pPr>
        <w:pStyle w:val="NoSpacing"/>
        <w:rPr>
          <w:rFonts w:ascii="Times New Roman" w:hAnsi="Times New Roman" w:cs="Times New Roman"/>
        </w:rPr>
      </w:pPr>
      <w:r w:rsidRPr="00E14CDC">
        <w:rPr>
          <w:rFonts w:ascii="Times New Roman" w:hAnsi="Times New Roman" w:cs="Times New Roman"/>
        </w:rPr>
        <w:t xml:space="preserve">In another study, Corbetta et al.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{"citationID":"dFGC0yP2","properties":{"formattedCitation":"(2014)","plainCitation":"(2014)","noteIndex":0},"citationItems":[{"id":52,"uris":["http://zotero.org/users/local/uKe4C4Lg/items/IUPCEAET"],"itemData":{"id":52,"type":"article-journal","container-title":"Frontiers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L"}],"issued":{"date-parts":[["2014"]]}},"label":"page","suppress-author":true}],"schema":"https://github.com/citation-style-language/schema/raw/master/csl-citation.json"}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(2014)</w:t>
      </w:r>
      <w:r w:rsidRPr="00E14CDC">
        <w:rPr>
          <w:rFonts w:ascii="Times New Roman" w:hAnsi="Times New Roman" w:cs="Times New Roman"/>
        </w:rPr>
        <w:fldChar w:fldCharType="end"/>
      </w:r>
      <w:r w:rsidRPr="00E14CDC">
        <w:rPr>
          <w:rFonts w:ascii="Times New Roman" w:hAnsi="Times New Roman" w:cs="Times New Roman"/>
        </w:rPr>
        <w:t xml:space="preserve"> conducted a longitudinal observation of infants around and following reach onset. They investigated infants' looking patterns on and reaching toward presented objects. Interestingly, infants at reach onset did not demonstrate visually guided reaching, though they were between ages 15 and 22, which was well within the proposed age of the phenomenon. Initially, they exhibited ballistic reaches, followed rapidly by slower, deliberate reaches. Their looking and reaching patterns resembled those of their 9-month-old counterparts. In a related study, Connell (2020) discovered that when infants were presented with objects within reach, they </w:t>
      </w:r>
      <w:r w:rsidRPr="00E14CDC">
        <w:rPr>
          <w:rFonts w:ascii="Times New Roman" w:hAnsi="Times New Roman" w:cs="Times New Roman"/>
        </w:rPr>
        <w:lastRenderedPageBreak/>
        <w:t>employed various strategies to retrieve them. They did not, however, visually track their hands during this process. Instead, the infants executed reaches that resembled ballistic movements. Even in slower, non-ballistic, and more deliberate reaching, they did not visually monitor their hands as they reached toward the object.</w:t>
      </w:r>
    </w:p>
    <w:p w14:paraId="34387646" w14:textId="3E11541F"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 xml:space="preserve">Infants appeared to use vision to locate the object's location in space </w:t>
      </w:r>
      <w:r w:rsidRPr="00E14CDC">
        <w:rPr>
          <w:rFonts w:ascii="Times New Roman" w:hAnsi="Times New Roman" w:cs="Times New Roman"/>
        </w:rPr>
        <w:fldChar w:fldCharType="begin"/>
      </w:r>
      <w:r w:rsidR="00B33CB1" w:rsidRPr="00E14CDC">
        <w:rPr>
          <w:rFonts w:ascii="Times New Roman" w:hAnsi="Times New Roman" w:cs="Times New Roman"/>
        </w:rPr>
        <w:instrText xml:space="preserve"> ADDIN ZOTERO_ITEM CSL_CITATION {"citationID":"qD6nU0qT","properties":{"formattedCitation":"(Berthier et al., 1996; Clifton et al., 1993; J. P. Connell, 2020; Corbetta et al., 2014; Robin et al., 1996)","plainCitation":"(Berthier et al., 1996; Clifton et al., 1993; J. P. Connell, 2020; Corbetta et al., 2014; Robin et al., 1996)","dontUpdate":true,"noteIndex":0},"citationItems":[{"id":39,"uris":["http://zotero.org/users/local/uKe4C4Lg/items/D8FQ9JG9"],"itemData":{"id":39,"type":"article-journal","container-title":"Journal of Motor Behavior","DOI":"10.1080/00222895.1996.9941744","ISSN":"0022-2895","issue":"3","journalAbbreviation":"Journal of Motor Behavior","note":"publisher: Routledge","page":"187-197","title":"Visual Information and Object Size in the Control of Reaching","volume":"28","author":[{"family":"Berthier","given":"Neil E."},{"family":"Clifton","given":"Rachel K."},{"family":"Gullapalli","given":"Vijaykumar"},{"family":"McCall","given":"Daniel D."},{"family":"Robin","given":"Daniel J."}],"issued":{"date-parts":[["1996",9,1]]}}},{"id":25,"uris":["http://zotero.org/users/local/uKe4C4Lg/items/YBJPTDZ6"],"itemData":{"id":25,"type":"article-journal","abstract":"[The issue examined was whether infants require sight of their hand when first beginning to reach for, contact, and grasp objects. 7 infants were repeatedly tested between 6 and 25 weeks of age. Each session consisted of 8 trials of objects presented in the light and 8 trials of glowing or sounding objects in complete darkness. Infants first contacted the object in both conditions at comparable ages (mean age for light, 12.3 weeks, and for dark, 11.9 weeks). Infants first grasped the object in the light at 16.0 weeks and in the dark at 14.7 weeks, a nonsignificant difference. Once contact was observed, infants continued to touch and grasp the objects in both light and dark throughout all sessions. Because infants could not see their hand or arm in the dark, their early success in contacting the glowing and sounding objects indicates that proprioceptive cues, not sight of the limb, guided their early reaching. Reaching in the light developed in parallel with reaching in the dark, suggesting that visual guidance of the hand is not necessary to achieve object contact either at the onset of successful reaching or in the succeeding weeks.]","archive":"JSTOR","container-title":"Child Development","DOI":"10.2307/1131328","ISSN":"00093920, 14678624","issue":"4","note":"publisher: [Wiley, Society for Research in Child Development]","page":"1099-1110","title":"Is Visually Guided Reaching in Early Infancy a Myth?","volume":"64","author":[{"family":"Clifton","given":"Rachel K."},{"family":"Muir","given":"Darwin W."},{"family":"Ashmead","given":"Daniel H."},{"family":"Clarkson","given":"Marsha G."}],"issued":{"date-parts":[["1993"]]}}},{"id":71,"uris":["http://zotero.org/users/local/uKe4C4Lg/items/JZKUMIHI"],"itemData":{"id":71,"type":"thesis","publisher":"University of Tennessee","title":"The Impact of Objects’ Visual Properties on Infant Reaching Strategies","URL":"https://trace.tennessee.edu/utk_gradthes/5586","author":[{"family":"Connell","given":"John P"}],"issued":{"date-parts":[["2020"]]}}},{"id":52,"uris":["http://zotero.org/users/local/uKe4C4Lg/items/IUPCEAET"],"itemData":{"id":52,"type":"article-journal","container-title":"Frontiers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L"}],"issued":{"date-parts":[["2014"]]}}},{"id":57,"uris":["http://zotero.org/users/local/uKe4C4Lg/items/FHQG6R4K"],"itemData":{"id":57,"type":"article-journal","container-title":"Developmental Psychology","ISSN":"1939-0599","issue":"5","journalAbbreviation":"Developmental Psychology","note":"publisher: American Psychological Association","page":"824","title":"Infants' predictive reaching for moving objects in the dark.","volume":"32","author":[{"family":"Robin","given":"Daniel J"},{"family":"Berthier","given":"Neil E"},{"family":"Clifton","given":"Rachel K"}],"issued":{"date-parts":[["1996"]]}}}],"schema":"https://github.com/citation-style-language/schema/raw/master/csl-citation.json"}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(Berthier et al., 1996; Clifton et al., 1993; Connell, 2020; Corbetta et al., 2014; Robin et al., 1996)</w:t>
      </w:r>
      <w:r w:rsidRPr="00E14CDC">
        <w:rPr>
          <w:rFonts w:ascii="Times New Roman" w:hAnsi="Times New Roman" w:cs="Times New Roman"/>
        </w:rPr>
        <w:fldChar w:fldCharType="end"/>
      </w:r>
      <w:r w:rsidRPr="00E14CDC">
        <w:rPr>
          <w:rFonts w:ascii="Times New Roman" w:hAnsi="Times New Roman" w:cs="Times New Roman"/>
        </w:rPr>
        <w:t xml:space="preserve"> and to </w:t>
      </w:r>
      <w:r w:rsidR="001A0AFD" w:rsidRPr="00E14CDC">
        <w:rPr>
          <w:rFonts w:ascii="Times New Roman" w:hAnsi="Times New Roman" w:cs="Times New Roman"/>
        </w:rPr>
        <w:t>identify</w:t>
      </w:r>
      <w:r w:rsidRPr="00E14CDC">
        <w:rPr>
          <w:rFonts w:ascii="Times New Roman" w:hAnsi="Times New Roman" w:cs="Times New Roman"/>
        </w:rPr>
        <w:t xml:space="preserve"> the object's visual features</w:t>
      </w:r>
      <w:r w:rsidR="001A0AFD" w:rsidRPr="00E14CDC">
        <w:rPr>
          <w:rFonts w:ascii="Times New Roman" w:hAnsi="Times New Roman" w:cs="Times New Roman"/>
        </w:rPr>
        <w:t xml:space="preserve"> </w:t>
      </w:r>
      <w:r w:rsidRPr="00E14CDC">
        <w:rPr>
          <w:rFonts w:ascii="Times New Roman" w:hAnsi="Times New Roman" w:cs="Times New Roman"/>
        </w:rPr>
        <w:fldChar w:fldCharType="begin"/>
      </w:r>
      <w:r w:rsidRPr="00E14CDC">
        <w:rPr>
          <w:rFonts w:ascii="Times New Roman" w:hAnsi="Times New Roman" w:cs="Times New Roman"/>
        </w:rPr>
        <w:instrText xml:space="preserve"> ADDIN ZOTERO_ITEM CSL_CITATION {"citationID":"UY589pNW","properties":{"formattedCitation":"(Corbetta et al., 2014; Lockman et al., 1984; von Hofsten, 1984)","plainCitation":"(Corbetta et al., 2014; Lockman et al., 1984; von Hofsten, 1984)","noteIndex":0},"citationItems":[{"id":52,"uris":["http://zotero.org/users/local/uKe4C4Lg/items/IUPCEAET"],"itemData":{"id":52,"type":"article-journal","container-title":"Frontiers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L"}],"issued":{"date-parts":[["2014"]]}}},{"id":53,"uris":["http://zotero.org/users/local/uKe4C4Lg/items/MBG6VP62"],"itemData":{"id":53,"type":"article-journal","container-title":"Journal of experimental child psychology","ISSN":"0022-0965","issue":"1","journalAbbreviation":"Journal of experimental child psychology","note":"publisher: Elsevier","page":"176-186","title":"The development of anticipatory hand orientation during infancy","volume":"37","author":[{"family":"Lockman","given":"Jeffrey J"},{"family":"Ashmead","given":"Daniel H"},{"family":"Bushnell","given":"Emily W"}],"issued":{"date-parts":[["1984"]]}}},{"id":38,"uris":["http://zotero.org/users/local/uKe4C4Lg/items/Z7X6E6CK"],"itemData":{"id":38,"type":"article-journal","abstract":"Examined how the kind and amount of prereaching activity change with age during the period preceding successful grasping of objects. 23 infants were tested at 3-wk intervals from the 1st week of life to 16 wks of age. 12 Ss were also seen at 19 wks of age. At each session, the S was presented with an object moving slowly in different ways in front of him or her. In the middle of each session there was also a 1-min period with no object present. Results show that the amount of prereaching declined at 7 wks and that this decrease was contingent on the presence of the object. Ss did not seem to lose interest in the object at this age, but attending to the object inhibited prereaching activity in some way. The form of prereaching also changed at 7 wks, with the fist clenched during the forward extension of the arm. After this age, the amount of prereaching activity again increased and the hand opened during the forward extension, but only when the S looked at the object. (20 ref) (PsycINFO Database Record (c) 2016 APA, all rights reserved)","container-title":"Developmental Psychology","DOI":"10.1037/0012-1649.20.3.378","ISSN":"1939-0599(Electronic),0012-1649(Print)","issue":"3","note":"publisher-place: US\npublisher: American Psychological Association","page":"378-388","title":"Developmental changes in the organization of prereaching movements.","volume":"20","author":[{"family":"Hofsten","given":"Claes","non-dropping-particle":"von"}],"issued":{"date-parts":[["1984"]]}}}],"schema":"https://github.com/citation-style-language/schema/raw/master/csl-citation.json"} </w:instrText>
      </w:r>
      <w:r w:rsidRPr="00E14CDC">
        <w:rPr>
          <w:rFonts w:ascii="Times New Roman" w:hAnsi="Times New Roman" w:cs="Times New Roman"/>
        </w:rPr>
        <w:fldChar w:fldCharType="separate"/>
      </w:r>
      <w:r w:rsidRPr="00E14CDC">
        <w:rPr>
          <w:rFonts w:ascii="Times New Roman" w:hAnsi="Times New Roman" w:cs="Times New Roman"/>
        </w:rPr>
        <w:t>(Corbetta et al., 2014; Lockman et al., 1984; von Hofsten, 1984)</w:t>
      </w:r>
      <w:r w:rsidRPr="00E14CDC">
        <w:rPr>
          <w:rFonts w:ascii="Times New Roman" w:hAnsi="Times New Roman" w:cs="Times New Roman"/>
        </w:rPr>
        <w:fldChar w:fldCharType="end"/>
      </w:r>
      <w:r w:rsidRPr="00E14CDC">
        <w:rPr>
          <w:rFonts w:ascii="Times New Roman" w:hAnsi="Times New Roman" w:cs="Times New Roman"/>
        </w:rPr>
        <w:t xml:space="preserve"> before executing their reaches, which relied on the feel of the arm and hand.</w:t>
      </w:r>
    </w:p>
    <w:p w14:paraId="751E21B6"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Collectively, these studies challenge the theory of visually guided reaching and provide robust evidence for the importance of the tactile-proprioceptive-motor system in reaching behavior. Consequently, the study described here will focus on infants' arm movements, disregarding visual cues.</w:t>
      </w:r>
    </w:p>
    <w:p w14:paraId="20002B7F" w14:textId="77777777" w:rsidR="00575F33" w:rsidRPr="00E14CDC" w:rsidRDefault="00575F33" w:rsidP="00575F33">
      <w:pPr>
        <w:pStyle w:val="Heading3"/>
        <w:spacing w:line="480" w:lineRule="auto"/>
        <w:rPr>
          <w:b/>
          <w:bCs/>
          <w:i w:val="0"/>
          <w:iCs w:val="0"/>
        </w:rPr>
      </w:pPr>
      <w:bookmarkStart w:id="20" w:name="_Toc173185049"/>
      <w:bookmarkEnd w:id="0"/>
      <w:r w:rsidRPr="00E14CDC">
        <w:rPr>
          <w:b/>
          <w:bCs/>
        </w:rPr>
        <w:t>Motor Experiences: On individual differences</w:t>
      </w:r>
      <w:bookmarkEnd w:id="20"/>
    </w:p>
    <w:p w14:paraId="41915BA9" w14:textId="0B7AF04E" w:rsidR="00575F33" w:rsidRPr="00E14CDC" w:rsidRDefault="00575F33" w:rsidP="00575F33">
      <w:pPr>
        <w:spacing w:line="480" w:lineRule="auto"/>
        <w:ind w:firstLine="720"/>
      </w:pPr>
      <w:r w:rsidRPr="00E14CDC">
        <w:t>To appreciate the intricacies of motor-skill development, it is crucial to acknowledge the inherent variability in the onset of reaching</w:t>
      </w:r>
      <w:r w:rsidR="000418A6" w:rsidRPr="00E14CDC">
        <w:t>.</w:t>
      </w:r>
      <w:r w:rsidRPr="00E14CDC">
        <w:t xml:space="preserve"> </w:t>
      </w:r>
      <w:r w:rsidR="000418A6" w:rsidRPr="00E14CDC">
        <w:t>V</w:t>
      </w:r>
      <w:r w:rsidRPr="00E14CDC">
        <w:t xml:space="preserve">on Hofsten </w:t>
      </w:r>
      <w:r w:rsidRPr="00E14CDC">
        <w:fldChar w:fldCharType="begin"/>
      </w:r>
      <w:r w:rsidRPr="00E14CDC">
        <w:instrText xml:space="preserve"> ADDIN ZOTERO_ITEM CSL_CITATION {"citationID":"f3Qrin89","properties":{"formattedCitation":"(1979)","plainCitation":"(1979)","noteIndex":0},"citationItems":[{"id":84,"uris":["http://zotero.org/users/local/uKe4C4Lg/items/GW23NYQH"],"itemData":{"id":84,"type":"book","publisher":"Department of psychology, University of Uppsala","title":"Development of visually directed reaching: The approach phase","author":[{"family":"Hofsten","given":"Claes","non-dropping-particle":"von"}],"issued":{"date-parts":[["1979"]]}},"label":"page","suppress-author":true}],"schema":"https://github.com/citation-style-language/schema/raw/master/csl-citation.json"} </w:instrText>
      </w:r>
      <w:r w:rsidRPr="00E14CDC">
        <w:fldChar w:fldCharType="separate"/>
      </w:r>
      <w:r w:rsidRPr="00E14CDC">
        <w:t>(1979)</w:t>
      </w:r>
      <w:r w:rsidRPr="00E14CDC">
        <w:fldChar w:fldCharType="end"/>
      </w:r>
      <w:r w:rsidR="000418A6" w:rsidRPr="00E14CDC">
        <w:t xml:space="preserve"> and </w:t>
      </w:r>
      <w:r w:rsidRPr="00E14CDC">
        <w:t xml:space="preserve">others have identified this milestone as occurring between 3 and 4 months of age. However, in the previously mentioned, the age of reach onset ranged from 3 months </w:t>
      </w:r>
      <w:r w:rsidRPr="00E14CDC">
        <w:fldChar w:fldCharType="begin"/>
      </w:r>
      <w:r w:rsidRPr="00E14CDC">
        <w:instrText xml:space="preserve"> ADDIN ZOTERO_ITEM CSL_CITATION {"citationID":"RazGOKwH","properties":{"formattedCitation":"(Bakker et al., 2010; Clifton et al., 1993; Corbetta et al., 2014; Lee et al., 2011; Thelen et al., 1993; von Hofsten &amp; Fazel-Zandy, 1984; White et al., 1964)","plainCitation":"(Bakker et al., 2010; Clifton et al., 1993; Corbetta et al., 2014; Lee et al., 2011; Thelen et al., 1993; von Hofsten &amp; Fazel-Zandy, 1984; White et al., 1964)","noteIndex":0},"citationItems":[{"id":42,"uris":["http://zotero.org/users/local/uKe4C4Lg/items/PC4YHDJZ"],"itemData":{"id":42,"type":"article-journal","container-title":"Infant Behavior and Development","ISSN":"0163-6383","issue":"1","journalAbbreviation":"Infant Behavior and Development","note":"publisher: Elsevier","page":"30-38","title":"Development of proximal arm muscle control during reaching in young infants: From variation to selection","volume":"33","author":[{"family":"Bakker","given":"Hanneke"},{"family":"Graaf-Peters","given":"Victorine B","non-dropping-particle":"de"},{"family":"Eykern","given":"Leo A","non-dropping-particle":"van"},{"family":"Otten","given":"Bert"},{"family":"Hadders-Algra","given":"Mijna"}],"issued":{"date-parts":[["2010"]]}}},{"id":25,"uris":["http://zotero.org/users/local/uKe4C4Lg/items/YBJPTDZ6"],"itemData":{"id":25,"type":"article-journal","abstract":"[The issue examined was whether infants require sight of their hand when first beginning to reach for, contact, and grasp objects. 7 infants were repeatedly tested between 6 and 25 weeks of age. Each session consisted of 8 trials of objects presented in the light and 8 trials of glowing or sounding objects in complete darkness. Infants first contacted the object in both conditions at comparable ages (mean age for light, 12.3 weeks, and for dark, 11.9 weeks). Infants first grasped the object in the light at 16.0 weeks and in the dark at 14.7 weeks, a nonsignificant difference. Once contact was observed, infants continued to touch and grasp the objects in both light and dark throughout all sessions. Because infants could not see their hand or arm in the dark, their early success in contacting the glowing and sounding objects indicates that proprioceptive cues, not sight of the limb, guided their early reaching. Reaching in the light developed in parallel with reaching in the dark, suggesting that visual guidance of the hand is not necessary to achieve object contact either at the onset of successful reaching or in the succeeding weeks.]","archive":"JSTOR","container-title":"Child Development","DOI":"10.2307/1131328","ISSN":"00093920, 14678624","issue":"4","note":"publisher: [Wiley, Society for Research in Child Development]","page":"1099-1110","title":"Is Visually Guided Reaching in Early Infancy a Myth?","volume":"64","author":[{"family":"Clifton","given":"Rachel K."},{"family":"Muir","given":"Darwin W."},{"family":"Ashmead","given":"Daniel H."},{"family":"Clarkson","given":"Marsha G."}],"issued":{"date-parts":[["1993"]]}}},{"id":52,"uris":["http://zotero.org/users/local/uKe4C4Lg/items/IUPCEAET"],"itemData":{"id":52,"type":"article-journal","container-title":"Frontiers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L"}],"issued":{"date-parts":[["2014"]]}}},{"id":92,"uris":["http://zotero.org/users/local/uKe4C4Lg/items/2VGLDW8A"],"itemData":{"id":92,"type":"article-journal","container-title":"Developmental Psychobiology","ISSN":"0012-1630","issue":"7","journalAbbreviation":"Developmental Psychobiology","note":"publisher: Wiley Online Library","page":"685-693","title":"Changes in object‐oriented arm movements that precede the transition to goal‐directed reaching in infancy","volume":"53","author":[{"family":"Lee","given":"Mei‐Hua"},{"family":"Ranganathan","given":"Rajiv"},{"family":"Newell","given":"Karl M"}],"issued":{"date-parts":[["2011"]]}}},{"id":76,"uris":["http://zotero.org/users/local/uKe4C4Lg/items/4PYU3BVT"],"itemData":{"id":76,"type":"article-journal","container-title":"Child development","ISSN":"0009-3920","issue":"4","journalAbbreviation":"Child development","note":"publisher: Wiley Online Library","page":"1058-1098","title":"The tran</w:instrText>
      </w:r>
      <w:r w:rsidRPr="00E14CDC">
        <w:rPr>
          <w:lang w:val="fr-CH"/>
        </w:rPr>
        <w:instrText xml:space="preserve">sition to reaching: Mapping intention and intrinsic dynamics","volume":"64","author":[{"family":"Thelen","given":"Esther"},{"family":"Corbetta","given":"Daniela"},{"family":"Kamm","given":"Kathi"},{"family":"Spencer","given":"John P"},{"family":"Schneider","given":"Klaus"},{"family":"Zernicke","given":"Ronald F"}],"issued":{"date-parts":[["1993"]]}}},{"id":70,"uris":["http://zotero.org/users/local/uKe4C4Lg/items/6VICRPG3"],"itemData":{"id":70,"type":"article-journal","container-title":"Journal of experimental child psychology","ISSN":"0022-0965","issue":"2","journalAbbreviation":"Journal of experimental child psychology","note":"publisher: Elsevier","page":"208-219","title":"Development of visually guided hand orientation in reaching","volume":"38","author":[{"family":"Hofsten","given":"Claes","non-dropping-particle":"von"},{"family":"Fazel-Zandy","given":"Shirin"}],"issued":{"date-parts":[["1984"]]}}},{"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fldChar w:fldCharType="separate"/>
      </w:r>
      <w:r w:rsidRPr="00E14CDC">
        <w:rPr>
          <w:lang w:val="fr-CH"/>
        </w:rPr>
        <w:t>(Bakker et al., 2010; Clifton et al., 1993; Corbetta et al., 2014; Lee et al., 2011; Thelen et al., 1993; von Hofsten &amp; Fazel-Zandy, 1984; White et al., 1964)</w:t>
      </w:r>
      <w:r w:rsidRPr="00E14CDC">
        <w:fldChar w:fldCharType="end"/>
      </w:r>
      <w:r w:rsidRPr="00E14CDC">
        <w:rPr>
          <w:lang w:val="fr-CH"/>
        </w:rPr>
        <w:t xml:space="preserve"> to </w:t>
      </w:r>
      <w:r w:rsidRPr="00E14CDC">
        <w:t xml:space="preserve">5 months </w:t>
      </w:r>
      <w:r w:rsidRPr="00E14CDC">
        <w:fldChar w:fldCharType="begin"/>
      </w:r>
      <w:r w:rsidRPr="00E14CDC">
        <w:instrText xml:space="preserve"> ADDIN ZOTERO_ITEM CSL_CITATION {"citationID":"xJWEvJR0","properties":{"formattedCitation":"(Berthier et al., 1996; Corbetta et al., 2014; Lynch et al., 2008; Thelen et al., 1993, 1996; White et al., 1964)","plainCitation":"(Berthier et al., 1996; Corbetta et al., 2014; Lynch et al., 2008; Thelen et al., 1993, 1996; White et al., 1964)","noteIndex":0},"citationItems":[{"id":39,"uris":["http://zotero.org/users/local/uKe4C4Lg/items/D8FQ9JG9"],"itemData":{"id":39,"type":"article-journal","container-title":"Journal of Motor Behavior","DOI":"10.1080/00222895.1996.9941744","ISSN":"0022-2895","issue":"3","journalAbbreviation":"Journal of Motor Behavior","note":"publisher: Routledge","page":"187-197","title":"Visual Information and Object Size in the Control of Reaching","volume":"28","author":[{"family":"Berthier","given":"Neil E."},{"family":"Clifton","given":"Rachel K."},{"family":"Gullapalli","given":"Vijaykumar"},{"family":"McCall","given":"Daniel D."},{"family":"Robin","given":"Daniel J."}],"issued":{"date-parts":[["1996",9,1]]}}},{"id":52,"uris":["http://zotero.org/users/local/uKe4C4Lg/items/IUPCEAET"],"itemData":{"id":52,"type":"article-journal","container-title":"Frontiers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L"}],"issued":{"date-parts":[["2014"]]}}},{"id":93,"uris":["http://zotero.org/users/local/uKe4C4Lg/items/QDR972FD"],"itemData":{"id":93,"type":"article-journal","container-title":"Developmental Psychobiology: The Journal of the International Society for Developmental Psychobiology","ISSN":"0012-1630","issue":"4","journalAbbreviation":"Developmental Psychobiology: The Journal of the International Society for Developmental Psychobiology","note":"publisher: Wiley Online Library","page":"390-398","title":"No stable arm preference during the pre‐reaching period: A comparison of right and left hand kinematics with and without a toy present","volume":"50","author":[{"family":"Lynch","given":"A"},{"family":"Lee","given":"HM"},{"family":"Bhat","given":"A"},{"family":"Galloway","given":"JC"}],"issued":{"date-parts":[["2008"]]}}},{"id":76,"uris":["http://zotero.org/users/local/uKe4C4Lg/items/4PYU3BVT"],"itemData":{"id":76,"type":"article-journal","container-title":"Child development","ISSN":"0009-3920","issue":"4","journalAbbreviation":"Child development","note":"publisher: Wiley Online Library","page":"1058-1098","title":"The transition to reaching: Mapping intention and intrinsic dynamics","volume":"64","author":[{"family":"Thelen","given":"Esther"},{"family":"Corbetta","given":"Daniela"},{"family":"Kamm","given":"Kathi"},{"family":"Spencer","given":"John P"},{"family":"Schneider","given":"Klaus"},{"family":"Zernicke","given":"Ronald F"}],"issued":{"date-parts":[["1993"]]}}},{"id":67,"uris":["http://zotero.org/users/local/uKe4C4Lg/items/9AQBEWQ7"],"itemData":{"id":67,"type":"article-journal","container-title":"Journal of experimental psychology: human perception and performance","ISSN":"1939-1277","issue":"5","journalAbbreviation":"Journal of experimental psychology: human perception and performance","note":"publisher: American Psychological Association","page":"1059","title":"Development of reaching during the first year: role of movement speed.","volume":"22","author":[{"family":"Thelen","given":"Esther"},{"family":"Corbetta","given":"Daniela"},{"family":"Spencer","given":"John P"}],"issued":{"date-parts":[["1996"]]}}},{"id":82,"uris":["http://zotero.org/users/local/uKe4C4Lg/items/6Z6J7CTP"],"itemData":{"id":82,"type":"article-journal","container-title":"Child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fldChar w:fldCharType="separate"/>
      </w:r>
      <w:r w:rsidRPr="00E14CDC">
        <w:t xml:space="preserve">(Berthier et al., 1996; Corbetta et al., 2014; Lynch et al., 2008; Thelen et al., 1993, 1996; White et al., </w:t>
      </w:r>
      <w:r w:rsidRPr="00E14CDC">
        <w:lastRenderedPageBreak/>
        <w:t>1964)</w:t>
      </w:r>
      <w:r w:rsidRPr="00E14CDC">
        <w:fldChar w:fldCharType="end"/>
      </w:r>
      <w:r w:rsidRPr="00E14CDC">
        <w:rPr>
          <w:lang w:val="fr-CH"/>
        </w:rPr>
        <w:t xml:space="preserve">. </w:t>
      </w:r>
      <w:r w:rsidRPr="00E14CDC">
        <w:t xml:space="preserve">This variance underscores the need to consider individual differences, mainly when developmental milestones are the focus and occur at different chronological ages. </w:t>
      </w:r>
    </w:p>
    <w:p w14:paraId="31A857FD" w14:textId="74AB196D" w:rsidR="000418A6" w:rsidRPr="00E14CDC" w:rsidRDefault="00575F33" w:rsidP="002B0501">
      <w:pPr>
        <w:spacing w:line="480" w:lineRule="auto"/>
        <w:ind w:firstLine="720"/>
      </w:pPr>
      <w:r w:rsidRPr="00E14CDC">
        <w:t xml:space="preserve">This section focuses on the landmark longitudinal study of Thelen and colleagues </w:t>
      </w:r>
      <w:r w:rsidRPr="00E14CDC">
        <w:fldChar w:fldCharType="begin"/>
      </w:r>
      <w:r w:rsidRPr="00E14CDC">
        <w:instrText xml:space="preserve"> ADDIN ZOTERO_ITEM CSL_CITATION {"citationID":"xJbIvBrG","properties":{"formattedCitation":"(1993, 1996)","plainCitation":"(1993, 1996)","noteIndex":0},"citationItems":[{"id":76,"uris":["http://zotero.org/users/local/uKe4C4Lg/items/4PYU3BVT"],"itemData":{"id":76,"type":"article-journal","container-title":"Child development","ISSN":"0009-3920","issue":"4","journalAbbreviation":"Child development","note":"publisher: Wiley Online Library","page":"1058-1098","title":"The transition to reaching: Mapping intention and intrinsic dynamics","volume":"64","author":[{"family":"Thelen","given":"Esther"},{"family":"Corbetta","given":"Daniela"},{"family":"Kamm","given":"Kathi"},{"family":"Spencer","given":"John P"},{"family":"Schneider","given":"Klaus"},{"family":"Zernicke","given":"Ronald F"}],"issued":{"date-parts":[["1993"]]}},"label":"page","suppress-author":true},{"id":67,"uris":["http://zotero.org/users/local/uKe4C4Lg/items/9AQBEWQ7"],"itemData":{"id":67,"type":"article-journal","container-title":"Journal of experimental psychology: human perception and performance","ISSN":"1939-1277","issue":"5","journalAbbreviation":"Journal of experimental psychology: human perception and performance","note":"publisher: American Psychological Association","page":"1059","title":"Development of reaching during the first year: role of movement speed.","volume":"22","author":[{"family":"Thelen","given":"Esther"},{"family":"Corbetta","given":"Daniela"},{"family":"Spencer","given":"John P"}],"issued":{"date-parts":[["1996"]]}},"label":"page","suppress-author":true}],"schema":"https://github.com/citation-style-language/schema/raw/master/csl-citation.json"} </w:instrText>
      </w:r>
      <w:r w:rsidRPr="00E14CDC">
        <w:fldChar w:fldCharType="separate"/>
      </w:r>
      <w:r w:rsidRPr="00E14CDC">
        <w:t>(1993, 1996)</w:t>
      </w:r>
      <w:r w:rsidRPr="00E14CDC">
        <w:fldChar w:fldCharType="end"/>
      </w:r>
      <w:r w:rsidRPr="00E14CDC">
        <w:t xml:space="preserve"> which offers valuable insight into the dynamics of this variability and serves as an example of the potential differences inherent in individual differences. By tracking the developmental trajectories of Gabriel, Nathan, Hannah, and Justin across the two weeks before and after reach-onsets, the study sheds light on the dynamic nature of development and underscores the importance of interpreting studies through the lens of dynamic systems theory </w:t>
      </w:r>
      <w:r w:rsidRPr="00E14CDC">
        <w:fldChar w:fldCharType="begin"/>
      </w:r>
      <w:r w:rsidR="00B33CB1" w:rsidRPr="00E14CDC">
        <w:instrText xml:space="preserve"> ADDIN ZOTERO_ITEM CSL_CITATION {"citationID":"n4JgVRDI","properties":{"formattedCitation":"(J. Connell et al., 2017)","plainCitation":"(J. Connell et al., 2017)","dontUpdate":true,"noteIndex":0},"citationItems":[{"id":72,"uris":["http://zotero.org/users/local/uKe4C4Lg/items/EJLX65CI"],"itemData":{"id":72,"type":"article-journal","container-title":"Encyclopedia of animal cognition and behavior","journalAbbreviation":"Encyclopedia of animal cognition and behavior","note":"publisher: Springer, Cham","page":"1-8","title":"Dynamic systems theory","author":[{"family":"Connell","given":"JP"},{"family":"DiMercurio","given":"A"},{"family":"Corbetta","given":"D"},{"family":"Vonk","given":"J"},{"family":"Shackelford","given":"T"}],"issued":{"date-parts":[["2017"]]}},"label":"page"}],"schema":"https://github.com/citation-style-language/schema/raw/master/csl-citation.json"} </w:instrText>
      </w:r>
      <w:r w:rsidRPr="00E14CDC">
        <w:fldChar w:fldCharType="separate"/>
      </w:r>
      <w:r w:rsidRPr="00E14CDC">
        <w:rPr>
          <w:sz w:val="22"/>
        </w:rPr>
        <w:t>(Connell et al., 2017)</w:t>
      </w:r>
      <w:r w:rsidRPr="00E14CDC">
        <w:fldChar w:fldCharType="end"/>
      </w:r>
      <w:r w:rsidRPr="00E14CDC">
        <w:t xml:space="preserve">. </w:t>
      </w:r>
    </w:p>
    <w:bookmarkEnd w:id="11"/>
    <w:p w14:paraId="54D7659D" w14:textId="77777777" w:rsidR="00575F33" w:rsidRPr="00E14CDC" w:rsidRDefault="00575F33" w:rsidP="00575F33">
      <w:pPr>
        <w:spacing w:line="480" w:lineRule="auto"/>
      </w:pPr>
      <w:r w:rsidRPr="00E14CDC">
        <w:t>Gabriel</w:t>
      </w:r>
    </w:p>
    <w:p w14:paraId="66620B81"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Gabriel reached onset at 15 weeks of age. He displayed increased levels of activity that manifested as flapping his arms in the early weeks of his reaching development. Before reach-onset, Gabriel produced large spontaneous arm movements that were ballistic. These continued into his reaching weeks when he rapidly changed his reach trajectory. He initially displayed swipe-like arm movements with high velocities before learning to dampen his movements to grasp the object more accurately. In the weeks following the reach-onset, Gabriel slowed his reach velocity when close to the object, displaying his understanding that he needed to reduce his activity levels to reach accurately. Gabriel consistently reached bimanually, using both hands and contacting the object simultaneously. This progression from fast, large swipes to controlled reaches demonstrates his adaptive motor skill development and increased understanding of his muscular demands.</w:t>
      </w:r>
    </w:p>
    <w:p w14:paraId="5A604681" w14:textId="77777777" w:rsidR="00575F33" w:rsidRPr="00E14CDC" w:rsidRDefault="00575F33" w:rsidP="00575F33">
      <w:pPr>
        <w:spacing w:line="480" w:lineRule="auto"/>
      </w:pPr>
      <w:r w:rsidRPr="00E14CDC">
        <w:lastRenderedPageBreak/>
        <w:t>Nathan</w:t>
      </w:r>
    </w:p>
    <w:p w14:paraId="3A7D9942"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Nathan reached onset at 11 weeks old. As with Gabriel, he displayed increased levels of activity that manifested as large spontaneous arm movements that were also ballistic. These continued into his reaching weeks. While rarely contacting the object, he continuously reached towards it, swinging his arms before slowing to a stop near it. Nathan produced high velocities, notably in his left hand, and reached primarily with his left. Though data was missing, he also learned to dampen his movements. In the weeks following the reach-onset, Nathan began to reach bi-manually using both hands and contacting the object with his left. Nathan’s behavior reflects his active exploration of his environment and emerging motor skill control.</w:t>
      </w:r>
    </w:p>
    <w:p w14:paraId="7F6D3D02" w14:textId="77777777" w:rsidR="00575F33" w:rsidRPr="00E14CDC" w:rsidRDefault="00575F33" w:rsidP="00575F33">
      <w:pPr>
        <w:spacing w:line="480" w:lineRule="auto"/>
      </w:pPr>
      <w:r w:rsidRPr="00E14CDC">
        <w:t>Justin</w:t>
      </w:r>
    </w:p>
    <w:p w14:paraId="1CCA733C" w14:textId="77777777" w:rsidR="00575F33" w:rsidRPr="00E14CDC" w:rsidRDefault="00575F33" w:rsidP="002B0501">
      <w:pPr>
        <w:pStyle w:val="NoSpacing"/>
        <w:ind w:firstLine="720"/>
        <w:rPr>
          <w:rFonts w:ascii="Times New Roman" w:hAnsi="Times New Roman" w:cs="Times New Roman"/>
        </w:rPr>
      </w:pPr>
      <w:r w:rsidRPr="00E14CDC">
        <w:rPr>
          <w:rFonts w:ascii="Times New Roman" w:hAnsi="Times New Roman" w:cs="Times New Roman"/>
        </w:rPr>
        <w:t>Justin achieved reaching onset at approximately 21 weeks old. His milestone transition was characterized by a notably low energy level compared to Nathan and Gabriel. Contrasting with the large arm movements of his active peers, Justin often kept his hands on his chest and exhibited slow, controlled movements. Intriguingly, despite his average velocity being similar, Justin produced fewer peaks in movement. As his movements had such a low energy level, Justin’s reaching actions were deliberate and required scaling up activity to contact the object. After reaching onset, Justin shifted to faster, more varied movements resembling swatting behavior. Overall, Justin's developmental trajectory initially suggests a preference for slower, controlled movements, followed by a transition to faster and more varied actions post-reach onset.</w:t>
      </w:r>
    </w:p>
    <w:p w14:paraId="1DB381DE" w14:textId="77777777" w:rsidR="00575F33" w:rsidRPr="00E14CDC" w:rsidRDefault="00575F33" w:rsidP="00575F33">
      <w:pPr>
        <w:pStyle w:val="z-TopofForm"/>
        <w:spacing w:line="480" w:lineRule="auto"/>
        <w:ind w:left="720" w:firstLine="720"/>
        <w:rPr>
          <w:rFonts w:ascii="Times New Roman" w:hAnsi="Times New Roman" w:cs="Times New Roman"/>
        </w:rPr>
      </w:pPr>
      <w:r w:rsidRPr="00E14CDC">
        <w:rPr>
          <w:rFonts w:ascii="Times New Roman" w:hAnsi="Times New Roman" w:cs="Times New Roman"/>
        </w:rPr>
        <w:t>Top of Form</w:t>
      </w:r>
    </w:p>
    <w:p w14:paraId="0A89D68D" w14:textId="77777777" w:rsidR="00575F33" w:rsidRPr="00E14CDC" w:rsidRDefault="00575F33" w:rsidP="00575F33">
      <w:pPr>
        <w:pStyle w:val="z-BottomofForm"/>
        <w:spacing w:line="480" w:lineRule="auto"/>
        <w:rPr>
          <w:rFonts w:ascii="Times New Roman" w:hAnsi="Times New Roman" w:cs="Times New Roman"/>
        </w:rPr>
      </w:pPr>
      <w:r w:rsidRPr="00E14CDC">
        <w:rPr>
          <w:rFonts w:ascii="Times New Roman" w:hAnsi="Times New Roman" w:cs="Times New Roman"/>
        </w:rPr>
        <w:t>Bottom of Form</w:t>
      </w:r>
    </w:p>
    <w:p w14:paraId="64F89BD6" w14:textId="77777777" w:rsidR="00575F33" w:rsidRPr="00E14CDC" w:rsidRDefault="00575F33" w:rsidP="00575F33">
      <w:pPr>
        <w:spacing w:line="480" w:lineRule="auto"/>
      </w:pPr>
      <w:r w:rsidRPr="00E14CDC">
        <w:t>Hannah</w:t>
      </w:r>
    </w:p>
    <w:p w14:paraId="307F5EEC" w14:textId="77777777" w:rsidR="00575F33" w:rsidRPr="00E14CDC" w:rsidRDefault="00575F33" w:rsidP="00575F33">
      <w:pPr>
        <w:spacing w:line="480" w:lineRule="auto"/>
      </w:pPr>
      <w:r w:rsidRPr="00E14CDC">
        <w:lastRenderedPageBreak/>
        <w:tab/>
        <w:t xml:space="preserve">The final study participant, Hannah, began reaching 22 weeks old. Like Justin, Hannah produced low energy levels but also had low velocity and a decreased frequency of velocity peaks. She was highly docile overall and rarely made extravagant movements. Like Justin, she preferred to heap her hands overlaid on her chest. She produced much slower movements than her peers, and as with Justin, her reaches initially were very mature and adult-like. Despite this, she ramped up her movements to contact the toy and began to consistently overshoot the target, not appearing to consider readjusting her reach. Overall, Hannah produced unimanual reaches while her non-reaching hand remained at her side. </w:t>
      </w:r>
    </w:p>
    <w:p w14:paraId="21695914" w14:textId="77777777" w:rsidR="00575F33" w:rsidRPr="00E14CDC" w:rsidRDefault="00575F33" w:rsidP="00575F33">
      <w:pPr>
        <w:spacing w:line="480" w:lineRule="auto"/>
        <w:ind w:firstLine="720"/>
      </w:pPr>
      <w:r w:rsidRPr="00E14CDC">
        <w:t xml:space="preserve">Each infant had the characteristics for spontaneous movement in the weeks before the emergence of reaching. Thelen et al. (1993) identified more active and less active infants of the four infants. Gabriel and Nathan had the highest overall velocities, average resultant speed, and peaks in their movements before tapering off by the final week of observation two weeks following reach onset. Justin and Hannah had lower velocity levels, mean velocity, and a peak velocity count that dropped in the week before reach-onset and remained low. Infants used trial and error in their reaching attempts to isolate the successful range of motion and speed needed to complete the movement. More active reachers are needed to dampen down their high-energy movements to produce successful reaching. Less active reachers produced more clam and straight reaches. </w:t>
      </w:r>
      <w:bookmarkStart w:id="21" w:name="_Hlk169189048"/>
      <w:r w:rsidRPr="00E14CDC">
        <w:rPr>
          <w:vanish/>
          <w:sz w:val="16"/>
          <w:szCs w:val="16"/>
        </w:rPr>
        <w:t>Top of Form</w:t>
      </w:r>
    </w:p>
    <w:p w14:paraId="618B29D5" w14:textId="77777777" w:rsidR="00575F33" w:rsidRPr="00E14CDC" w:rsidRDefault="00575F33" w:rsidP="00575F33">
      <w:pPr>
        <w:spacing w:after="160" w:line="480" w:lineRule="auto"/>
        <w:ind w:firstLine="720"/>
        <w:jc w:val="center"/>
        <w:rPr>
          <w:vanish/>
          <w:sz w:val="16"/>
          <w:szCs w:val="16"/>
        </w:rPr>
      </w:pPr>
    </w:p>
    <w:p w14:paraId="32D0BADA" w14:textId="77777777" w:rsidR="00575F33" w:rsidRPr="00E14CDC" w:rsidRDefault="00575F33" w:rsidP="00575F33">
      <w:pPr>
        <w:pBdr>
          <w:top w:val="single" w:sz="6" w:space="1" w:color="auto"/>
        </w:pBdr>
        <w:spacing w:line="480" w:lineRule="auto"/>
        <w:ind w:left="3240"/>
        <w:jc w:val="center"/>
        <w:rPr>
          <w:vanish/>
          <w:sz w:val="16"/>
          <w:szCs w:val="16"/>
        </w:rPr>
      </w:pPr>
      <w:r w:rsidRPr="00E14CDC">
        <w:rPr>
          <w:vanish/>
          <w:sz w:val="16"/>
          <w:szCs w:val="16"/>
        </w:rPr>
        <w:t>Bottom of Form</w:t>
      </w:r>
    </w:p>
    <w:p w14:paraId="0C9D1B4F" w14:textId="77777777" w:rsidR="00575F33" w:rsidRPr="00E14CDC" w:rsidRDefault="00575F33" w:rsidP="00575F33">
      <w:pPr>
        <w:pStyle w:val="z-TopofForm"/>
        <w:spacing w:line="480" w:lineRule="auto"/>
        <w:ind w:left="720"/>
        <w:jc w:val="left"/>
        <w:rPr>
          <w:rFonts w:ascii="Times New Roman" w:hAnsi="Times New Roman" w:cs="Times New Roman"/>
        </w:rPr>
      </w:pPr>
      <w:bookmarkStart w:id="22" w:name="_Hlk169189059"/>
      <w:bookmarkEnd w:id="21"/>
      <w:r w:rsidRPr="00E14CDC">
        <w:rPr>
          <w:rFonts w:ascii="Times New Roman" w:hAnsi="Times New Roman" w:cs="Times New Roman"/>
        </w:rPr>
        <w:t>Top of Form</w:t>
      </w:r>
    </w:p>
    <w:p w14:paraId="022D5E93" w14:textId="77777777" w:rsidR="00575F33" w:rsidRPr="00E14CDC" w:rsidRDefault="00575F33" w:rsidP="00575F33">
      <w:pPr>
        <w:pStyle w:val="z-BottomofForm"/>
        <w:numPr>
          <w:ilvl w:val="0"/>
          <w:numId w:val="8"/>
        </w:numPr>
        <w:spacing w:line="480" w:lineRule="auto"/>
        <w:rPr>
          <w:rFonts w:ascii="Times New Roman" w:hAnsi="Times New Roman" w:cs="Times New Roman"/>
        </w:rPr>
      </w:pPr>
      <w:r w:rsidRPr="00E14CDC">
        <w:rPr>
          <w:rFonts w:ascii="Times New Roman" w:hAnsi="Times New Roman" w:cs="Times New Roman"/>
        </w:rPr>
        <w:t>Bottom of Form</w:t>
      </w:r>
    </w:p>
    <w:p w14:paraId="2191DBB6" w14:textId="77777777" w:rsidR="00575F33" w:rsidRPr="00E14CDC" w:rsidRDefault="00575F33" w:rsidP="00575F33">
      <w:pPr>
        <w:pStyle w:val="Heading3"/>
        <w:spacing w:line="480" w:lineRule="auto"/>
        <w:rPr>
          <w:b/>
          <w:bCs/>
        </w:rPr>
      </w:pPr>
      <w:bookmarkStart w:id="23" w:name="_Toc173185050"/>
      <w:bookmarkEnd w:id="22"/>
      <w:r w:rsidRPr="00E14CDC">
        <w:rPr>
          <w:b/>
          <w:bCs/>
        </w:rPr>
        <w:t>Gaps in the Literature, Novelty, and Hypotheses</w:t>
      </w:r>
      <w:bookmarkEnd w:id="23"/>
    </w:p>
    <w:p w14:paraId="73A69255" w14:textId="6F32FF5C" w:rsidR="00575F33" w:rsidRPr="00E14CDC" w:rsidRDefault="00575F33" w:rsidP="00575F33">
      <w:pPr>
        <w:spacing w:line="480" w:lineRule="auto"/>
        <w:ind w:firstLine="720"/>
      </w:pPr>
      <w:r w:rsidRPr="00E14CDC">
        <w:t xml:space="preserve">Most research on reach development focused on the behavioral changes following reaching onset; however, very few observed and documented the behavior preceding </w:t>
      </w:r>
      <w:r w:rsidRPr="00E14CDC">
        <w:lastRenderedPageBreak/>
        <w:t>reach-onset in conjunction with post-onset movements. Thelen et al. (1996) observed the infants in their study for their first year of life. However, their focus on reach-onset concentrated on the observation weeks to the two weeks before and after (</w:t>
      </w:r>
      <w:r w:rsidR="00C1267B" w:rsidRPr="00E14CDC">
        <w:t>Thelen</w:t>
      </w:r>
      <w:r w:rsidR="002E46D3" w:rsidRPr="00E14CDC">
        <w:t xml:space="preserve">, </w:t>
      </w:r>
      <w:r w:rsidRPr="00E14CDC">
        <w:t>1993</w:t>
      </w:r>
      <w:r w:rsidR="002E46D3" w:rsidRPr="00E14CDC">
        <w:t>)</w:t>
      </w:r>
      <w:r w:rsidRPr="00E14CDC">
        <w:t xml:space="preserve">. A more extended observation period around reaching onset is warranted </w:t>
      </w:r>
      <w:r w:rsidR="002E46D3" w:rsidRPr="00E14CDC">
        <w:t xml:space="preserve">better to understand the relationship between infants' spontaneous </w:t>
      </w:r>
      <w:r w:rsidR="00AB6C8F" w:rsidRPr="00E14CDC">
        <w:t>movements</w:t>
      </w:r>
      <w:r w:rsidRPr="00E14CDC">
        <w:t xml:space="preserve">. This study will allow for a better representation of the transition or </w:t>
      </w:r>
      <w:r w:rsidRPr="00E14CDC">
        <w:rPr>
          <w:i/>
          <w:iCs/>
        </w:rPr>
        <w:t xml:space="preserve">behavioral shift </w:t>
      </w:r>
      <w:r w:rsidRPr="00E14CDC">
        <w:t xml:space="preserve">from stable object-elicited-non-reaching behaviors to stable reaching, a transition from one stable range of movement to another stable range encompassing a period of destabilized movements </w:t>
      </w:r>
      <w:r w:rsidRPr="00E14CDC">
        <w:fldChar w:fldCharType="begin"/>
      </w:r>
      <w:r w:rsidRPr="00E14CDC">
        <w:instrText xml:space="preserve"> ADDIN ZOTERO_ITEM CSL_CITATION {"citationID":"kw9vszFb","properties":{"formattedCitation":"(Thelen, 1995)","plainCitation":"(Thelen, 1995)","noteIndex":0},"citationItems":[{"id":58,"uris":["http://zotero.org/users/local/uKe4C4Lg/items/X94VW2EJ"],"itemData":{"id":58,"type":"article-journal","abstract":"The study of the acquisition of motor skills, long moribund in developmental psychology, has seen a renaissance in the last decade. Inspired by contemporary work in movement science, perceptual psychology, neuroscience, and dynamic systems theory, multidisciplinary approaches are affording new insights into the processes by which infants and children learn to control their bodies. In particular the new synthesis emphasizes the multicausal, fluid, contextual, and self-organizing nature of developmental change, the unity of perception, action, and cognition, and the role of exploration and selection in the emergence of new behavior. Studies are concerned less with how children perform and more with how the components cooperate to produce stability or engender change. Such process approaches make moot the traditional nature–nurture debates. (PsycINFO Database Record (c) 2020 APA, all rights reserved)","archive":"APA PsycArticles®","archive_location":"614325859; 1995-20907-001","container-title":"American Psychologist","DOI":"10.1037/0003-066X.50.2.79","ISSN":"0003-066X, 0003-066X","issue":"2","language":"English","note":"publisher-place: Washington\npublisher: American Psychological Association, American Psychological Association","page":"79-95","title":"Motor development: A new synthesis","volume":"50","author":[{"family":"Thelen","given":"Esther"}],"issued":{"date-parts":[["1995",2]]}}}],"schema":"https://github.com/citation-style-language/schema/raw/master/csl-citation.json"} </w:instrText>
      </w:r>
      <w:r w:rsidRPr="00E14CDC">
        <w:fldChar w:fldCharType="separate"/>
      </w:r>
      <w:r w:rsidRPr="00E14CDC">
        <w:t>(Thelen, 1995)</w:t>
      </w:r>
      <w:r w:rsidRPr="00E14CDC">
        <w:fldChar w:fldCharType="end"/>
      </w:r>
      <w:r w:rsidRPr="00E14CDC">
        <w:t>.</w:t>
      </w:r>
    </w:p>
    <w:p w14:paraId="5848C714" w14:textId="7FCDBA6B" w:rsidR="00575F33" w:rsidRPr="00E14CDC" w:rsidRDefault="00575F33" w:rsidP="00575F33">
      <w:pPr>
        <w:spacing w:line="480" w:lineRule="auto"/>
        <w:ind w:firstLine="720"/>
      </w:pPr>
      <w:r w:rsidRPr="00E14CDC">
        <w:t>The current study aims to observe and describe the relationship between object-elicited-non-reaching movements and reaching behaviors during the weeks leading to and following the onset of reaching and underscore qualitative differences in behaviors around the behavioral shift occurring during reach onset</w:t>
      </w:r>
      <w:r w:rsidR="008538F4" w:rsidRPr="00E14CDC">
        <w:t xml:space="preserve"> (Thelen, 1993)</w:t>
      </w:r>
      <w:r w:rsidRPr="00E14CDC">
        <w:t>.</w:t>
      </w:r>
    </w:p>
    <w:p w14:paraId="7B0A425F" w14:textId="195F0F7E" w:rsidR="00575F33" w:rsidRPr="00E14CDC" w:rsidRDefault="00575F33" w:rsidP="00575F33">
      <w:pPr>
        <w:spacing w:line="480" w:lineRule="auto"/>
        <w:ind w:firstLine="720"/>
      </w:pPr>
      <w:r w:rsidRPr="00E14CDC">
        <w:t xml:space="preserve">Suppose non-reaching behaviors are precursor movements crucial to the onset of reaching; there should be a link between object-elicited-non-reaching arm activities in the weeks preceding reach onset and reach onset, such that greater levels of these behaviors (frequency of behaviors: Mouth contacts, midline clasping, and face contacts) are associated with greater reaching </w:t>
      </w:r>
      <w:r w:rsidR="005D1F96" w:rsidRPr="00E14CDC">
        <w:t xml:space="preserve">following onset </w:t>
      </w:r>
      <w:r w:rsidRPr="00E14CDC">
        <w:t xml:space="preserve">(proportion of reaches). Mouth and face contacts and midline clasping were selected as the frequently observed behaviors during object fixation prior to reaching </w:t>
      </w:r>
      <w:r w:rsidRPr="00E14CDC">
        <w:fldChar w:fldCharType="begin"/>
      </w:r>
      <w:r w:rsidR="00B33CB1" w:rsidRPr="00E14CDC">
        <w:instrText xml:space="preserve"> ADDIN ZOTERO_ITEM CSL_CITATION {"citationID":"eAdhRcq5","properties":{"formattedCitation":"(Thelen et al., 1993, 1996; von Hofsten, 1979; White et al., 1964)","plainCitation":"(Thelen et al., 1993, 1996; von Hofsten, 1979; White et al., 1964)","noteIndex":0},"citationItems":[{"id":76,"uris":["http://zotero.org/users/local/uKe4C4Lg/items/4PYU3BVT"],"itemData":{"id":76,"type":"article-journal","container-title":"Child development","ISSN":"0009-3920","issue":"4","journalAbbreviation":"Child development","note":"publisher: Wiley Online Library","page":"1058-1098","title":"The transition to reaching: Mapping intention and intrinsic dynamics","volume":"64","author":[{"family":"Thelen","given":"Esther"},{"family":"Corbetta","given":"Daniela"},{"family":"Kamm","given":"Kathi"},{"family":"Spencer","given":"John P"},{"family":"Schneider","given":"Klaus"},{"family":"Zernicke","given":"Ronald F"}],"issued":{"date-parts":[["1993"]]}}},{"id":67,"uris":["http://zotero.org/users/local/uKe4C4Lg/items/9AQBEWQ7"],"itemData":{"id":67,"type":"article-journal","container-title":"Journal of experimental psychology: human perception and performance","ISSN":"1939-1277","issue":"5","journalAbbreviation":"Journal of experimental psychology: human perception and performance","note":"publisher: American Psychological Association","page":"1059","title":"Development of reaching during the first year: role of movement speed.","volume":"22","author":[{"family":"Thelen","given":"Esther"},{"family":"Corbetta","given":"Daniela"},{"family":"Spencer","given":"John P"}],"issued":{"date-parts":[["1996"]]}}},{"id":84,"uris":["http://zotero.org/users/local/uKe4C4Lg/items/GW23NYQH"],"itemData":{"id":84,"type":"book","publisher":"Department of psychology, University of Uppsala","title":"Development of visually directed reaching: The approach phase","author":[{"family":"Hofsten","given":"Claes","non-dropping-particle":"von"}],"issued":{"date-parts":[["1979"]]}}},{"id":82,"uris":["http://zotero.org/users/local/uKe4C4Lg/items/6Z6J7CTP"],"itemData":{"id":82,"type":"article-journal","container-title":"Child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fldChar w:fldCharType="separate"/>
      </w:r>
      <w:r w:rsidR="00B33CB1" w:rsidRPr="00E14CDC">
        <w:t>(Thelen et al., 1993, 1996; von Hofsten, 1979; White et al., 1964)</w:t>
      </w:r>
      <w:r w:rsidRPr="00E14CDC">
        <w:fldChar w:fldCharType="end"/>
      </w:r>
      <w:r w:rsidRPr="00E14CDC">
        <w:t xml:space="preserve">. As reach onset occurs and the proportion of reaching each week increases, there should be a comparable decrease in the object-elicited-non-reaching activities. </w:t>
      </w:r>
    </w:p>
    <w:p w14:paraId="53A13D3B" w14:textId="6B4F3AE3" w:rsidR="00575F33" w:rsidRPr="00E14CDC" w:rsidRDefault="00575F33" w:rsidP="00575F33">
      <w:pPr>
        <w:spacing w:line="480" w:lineRule="auto"/>
        <w:ind w:firstLine="720"/>
      </w:pPr>
      <w:r w:rsidRPr="00E14CDC">
        <w:lastRenderedPageBreak/>
        <w:t xml:space="preserve">Infants produce increased movement vents when an object is closer than further away at </w:t>
      </w:r>
      <w:r w:rsidR="00DA6FE7" w:rsidRPr="00E14CDC">
        <w:t>one month old</w:t>
      </w:r>
      <w:r w:rsidRPr="00E14CDC">
        <w:t xml:space="preserve"> </w:t>
      </w:r>
      <w:r w:rsidRPr="00E14CDC">
        <w:fldChar w:fldCharType="begin"/>
      </w:r>
      <w:r w:rsidRPr="00E14CDC">
        <w:instrText xml:space="preserve"> ADDIN ZOTERO_ITEM CSL_CITATION {"citationID":"pjra6RFD","properties":{"formattedCitation":"(von Hofsten, 1979; White et al., 1964)","plainCitation":"(von Hofsten, 1979; White et al., 1964)","noteIndex":0},"citationItems":[{"id":84,"uris":["http://zotero.org/users/local/uKe4C4Lg/items/GW23NYQH"],"itemData":{"id":84,"type":"book","publisher":"Department of psychology, University of Uppsala","title":"Development of visually directed reaching: The approach phase","author":[{"family":"Hofsten","given":"Claes","non-dropping-particle":"von"}],"issued":{"date-parts":[["1979"]]}}},{"id":82,"uris":["http://zotero.org/users/local/uKe4C4Lg/items/6Z6J7CTP"],"itemData":{"id":82,"type":"article-journal","container-title":"Child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fldChar w:fldCharType="separate"/>
      </w:r>
      <w:r w:rsidRPr="00E14CDC">
        <w:t>(von Hofsten, 1979; White et al., 1964)</w:t>
      </w:r>
      <w:r w:rsidRPr="00E14CDC">
        <w:fldChar w:fldCharType="end"/>
      </w:r>
      <w:r w:rsidRPr="00E14CDC">
        <w:t xml:space="preserve">, able to track and reach </w:t>
      </w:r>
      <w:r w:rsidR="00DA6FE7" w:rsidRPr="00E14CDC">
        <w:t>toward</w:t>
      </w:r>
      <w:r w:rsidRPr="00E14CDC">
        <w:t xml:space="preserve"> moving objects by five months old </w:t>
      </w:r>
      <w:r w:rsidRPr="00E14CDC">
        <w:fldChar w:fldCharType="begin"/>
      </w:r>
      <w:r w:rsidRPr="00E14CDC">
        <w:instrText xml:space="preserve"> ADDIN ZOTERO_ITEM CSL_CITATION {"citationID":"x5xq0yHk","properties":{"formattedCitation":"(Robin et al., 1996)","plainCitation":"(Robin et al., 1996)","noteIndex":0},"citationItems":[{"id":57,"uris":["http://zotero.org/users/local/uKe4C4Lg/items/FHQG6R4K"],"itemData":{"id":57,"type":"article-journal","container-title":"Developmental Psychology","ISSN":"1939-0599","issue":"5","journalAbbreviation":"Developmental Psychology","note":"publisher: American Psychological Association","page":"824","title":"Infants' predictive reaching for moving objects in the dark.","volume":"32","author":[{"family":"Robin","given":"Daniel J"},{"family":"Berthier","given":"Neil E"},{"family":"Clifton","given":"Rachel K"}],"issued":{"date-parts":[["1996"]]}}}],"schema":"https://github.com/citation-style-language/schema/raw/master/csl-citation.json"} </w:instrText>
      </w:r>
      <w:r w:rsidRPr="00E14CDC">
        <w:fldChar w:fldCharType="separate"/>
      </w:r>
      <w:r w:rsidRPr="00E14CDC">
        <w:t>(Robin et al., 1996)</w:t>
      </w:r>
      <w:r w:rsidRPr="00E14CDC">
        <w:fldChar w:fldCharType="end"/>
      </w:r>
      <w:r w:rsidRPr="00E14CDC">
        <w:t xml:space="preserve">, and distinguish between the sizes of objects at a distance by 8 months old </w:t>
      </w:r>
      <w:r w:rsidRPr="00E14CDC">
        <w:fldChar w:fldCharType="begin"/>
      </w:r>
      <w:r w:rsidRPr="00E14CDC">
        <w:instrText xml:space="preserve"> ADDIN ZOTERO_ITEM CSL_CITATION {"citationID":"K8jMu7zY","properties":{"formattedCitation":"(Guan &amp; Corbetta, 2012)","plainCitation":"(Guan &amp; Corbetta, 2012)","noteIndex":0},"citationItems":[{"id":100,"uris":["http://zotero.org/users/local/uKe4C4Lg/items/BWYF76RK"],"itemData":{"id":100,"type":"article-journal","abstract":"The current eye-tracking study explored the relative impact of object size and depth cues on 8-month-old infants? visual attention processes. A series of slides containing 3 objects of either different or same size were displayed on backgrounds with varying depth cues. The distribution of infants? first looks (a measure of initial attention switch) and infants? looking durations (a measure of sustained attention) at the objects were analyzed. Results revealed that the large objects captured infants? attention first, that is, most of the times infants directed their visual attention first to the largest object in the scene regardless of depth cues. For sustained attention, infants preferred maintaining their attention to the largest object also, but this occurred only when depth cues were present. These findings suggest that infants? initial attention response is driven mainly by object size, while infants? sustained attention is more the product of combined figure and background processing, where object sizes are perceived as a function of depth cues.","container-title":"Child Development Research","DOI":"10.1155/2012/439618","ISSN":"2090-3987","issue":"1","journalAbbreviation":"Child Development Research","note":"publisher: John Wiley &amp; Sons, Ltd","page":"439618","title":"What Grasps and Holds 8-Month-Old Infants′ Looking Attention? The Effects of Object Size and Depth Cues","volume":"2012","author":[{"family":"Guan","given":"Yu"},{"family":"Corbetta","given":"Daniela"}],"issued":{"date-parts":[["2012",1,1]]}}}],"schema":"https://github.com/citation-style-language/schema/raw/master/csl-citation.json"} </w:instrText>
      </w:r>
      <w:r w:rsidRPr="00E14CDC">
        <w:fldChar w:fldCharType="separate"/>
      </w:r>
      <w:r w:rsidRPr="00E14CDC">
        <w:t>(Guan &amp; Corbetta, 2012)</w:t>
      </w:r>
      <w:r w:rsidRPr="00E14CDC">
        <w:fldChar w:fldCharType="end"/>
      </w:r>
      <w:r w:rsidRPr="00E14CDC">
        <w:t>. Th</w:t>
      </w:r>
      <w:r w:rsidR="00133DC7" w:rsidRPr="00E14CDC">
        <w:t>ese findings</w:t>
      </w:r>
      <w:r w:rsidRPr="00E14CDC">
        <w:t xml:space="preserve"> </w:t>
      </w:r>
      <w:r w:rsidR="00133DC7" w:rsidRPr="00E14CDC">
        <w:t>illustrate</w:t>
      </w:r>
      <w:r w:rsidRPr="00E14CDC">
        <w:t xml:space="preserve"> a developmental understanding</w:t>
      </w:r>
      <w:r w:rsidR="00133DC7" w:rsidRPr="00E14CDC">
        <w:t xml:space="preserve"> of spatial proximity</w:t>
      </w:r>
      <w:r w:rsidRPr="00E14CDC">
        <w:t xml:space="preserve"> that may become more precise following reach-onset when infants gain increased agency in their environment. If infants begin to understand the spatial relationship of objects within and outside their reach space following reach onset, that is when an object can be reached for and when it cannot, we expect to see a decrease in object-elicited non-reaching activities when the object is within reach and a stable decreasing yet still present level when the object is outside the infant's reach. </w:t>
      </w:r>
    </w:p>
    <w:p w14:paraId="4D08E242" w14:textId="1470C8FF" w:rsidR="006F5A78" w:rsidRPr="00E14CDC" w:rsidRDefault="00575F33" w:rsidP="00CC578B">
      <w:pPr>
        <w:spacing w:line="480" w:lineRule="auto"/>
        <w:ind w:firstLine="720"/>
        <w:rPr>
          <w:i/>
          <w:iCs/>
        </w:rPr>
      </w:pPr>
      <w:r w:rsidRPr="00E14CDC">
        <w:t xml:space="preserve">The study's second aim is to highlight the developmental differences between early and late reachers as associated with Thelen et al.’s 1993 study on active and inactive infants. Differences in reach onset across multiple studies from 3 months </w:t>
      </w:r>
      <w:r w:rsidRPr="00E14CDC">
        <w:fldChar w:fldCharType="begin"/>
      </w:r>
      <w:r w:rsidRPr="00E14CDC">
        <w:instrText xml:space="preserve"> ADDIN ZOTERO_ITEM CSL_CITATION {"citationID":"QAtuVzdJ","properties":{"formattedCitation":"(Bakker et al., 2010; Clifton et al., 1993; Corbetta et al., 2014; Lee et al., 2011; Thelen et al., 1993; von Hofsten &amp; Fazel-Zandy, 1984; White et al., 1964)","plainCitation":"(Bakker et al., 2010; Clifton et al., 1993; Corbetta et al., 2014; Lee et al., 2011; Thelen et al., 1993; von Hofsten &amp; Fazel-Zandy, 1984; White et al., 1964)","noteIndex":0},"citationItems":[{"id":42,"uris":["http://zotero.org/users/local/uKe4C4Lg/items/PC4YHDJZ"],"itemData":{"id":42,"type":"article-journal","container-title":"Infant Behavior and Development","ISSN":"0163-6383","issue":"1","journalAbbreviation":"Infant Behavior and Development","note":"publisher: Elsevier","page":"30-38","title":"Development of proximal arm muscle control during reaching in young infants: From variation to selection","volume":"33","author":[{"family":"Bakker","given":"Hanneke"},{"family":"Graaf-Peters","given":"Victorine B","non-dropping-particle":"de"},{"family":"Eykern","given":"Leo A","non-dropping-particle":"van"},{"family":"Otten","given":"Bert"},{"family":"Hadders-Algra","given":"Mijna"}],"issued":{"date-parts":[["2010"]]}}},{"id":25,"uris":["http://zotero.org/users/local/uKe4C4Lg/items/YBJPTDZ6"],"itemData":{"id":25,"type":"article-journal","abstract":"[The issue examined was whether infants require sight of their hand when first beginning to reach for, contact, and grasp objects. 7 infants were repeatedly tested between 6 and 25 weeks of age. Each session consisted of 8 trials of objects presented in the light and 8 trials of glowing or sounding objects in complete darkness. Infants first contacted the object in both conditions at comparable ages (mean age for light, 12.3 weeks, and for dark, 11.9 weeks). Infants first grasped the object in the light at 16.0 weeks and in the dark at 14.7 weeks, a nonsignificant difference. Once contact was observed, infants continued to touch and grasp the objects in both light and dark throughout all sessions. Because infants could not see their hand or arm in the dark, their early success in contacting the glowing and sounding objects indicates that proprioceptive cues, not sight of the limb, guided their early reaching. Reaching in the light developed in parallel with reaching in the dark, suggesting that visual guidance of the hand is not necessary to achieve object contact either at the onset of successful reaching or in the succeeding weeks.]","archive":"JSTOR","container-title":"Child Development","DOI":"10.2307/1131328","ISSN":"00093920, 14678624","issue":"4","note":"publisher: [Wiley, Society for Research in Child Development]","page":"1099-1110","title":"Is Visually Guided Reaching in Early Infancy a Myth?","volume":"64","author":[{"family":"Clifton","given":"Rachel K."},{"family":"Muir","given":"Darwin W."},{"family":"Ashmead","given":"Daniel H."},{"family":"Clarkson","given":"Marsha G."}],"issued":{"date-parts":[["1993"]]}}},{"id":52,"uris":["http://zotero.org/users/local/uKe4C4Lg/items/IUPCEAET"],"itemData":{"id":52,"type":"article-journal","container-title":"Frontiers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L"}],"issued":{"date-parts":[["2014"]]}}},{"id":92,"uris":["http://zotero.org/users/local/uKe4C4Lg/items/2VGLDW8A"],"itemData":{"id":92,"type":"article-journal","container-title":"Developmental Psychobiology","ISSN":"0012-1630","issue":"7","journalAbbreviation":"Developmental Psychobiology","note":"publisher: Wiley Online Library","page":"685-693","title":"Changes in object‐oriented arm movements that precede the transition to goal‐directed reaching in infancy","volume":"53","author":[{"family":"Lee","given":"Mei‐Hua"},{"family":"Ranganathan","given":"Rajiv"},{"family":"Newell","given":"Karl M"}],"issued":{"date-parts":[["2011"]]}}},{"id":76,"uris":["http://zotero.org/users/local/uKe4C4Lg/items/4PYU3BVT"],"itemData":{"id":76,"type":"article-journal","container-title":"Child development","ISSN":"0009-3920","issue":"4","journalAbbreviation":"Child development","note":"publisher: Wiley Online Library","page":"1058-1098","title":"The transition to reaching: Mapping intention and intrinsic dynamics","volume":"64","author":[{"family":"Thelen","given":"Esther"},{"family":"Corbetta","given":"Daniela"},{"family":"Kamm","given":"Kathi"},{"family":"Spencer","given":"John P"},{"family":"Schneider","given":"Klaus"},{"family":"Zernicke","given":"Ronald F"}],"issued":{"date-parts":[["1993"]]}}},{"id":70,"uris":["http://zotero.org/users/local/uKe4C4Lg/items/6VICRPG3"],"itemData":{"id":70,"type":"article-journal","container-title":"Journal of experimental child psychology","ISSN":"0022-0965","issue":"2","journalAbbreviation":"Journal of experimental child psychology","note":"publisher: Elsevier","page":"208-219","title":"Development of visually guided hand orientation in reaching","volume":"38","author":[{"family":"Hofsten","given":"Claes","non-dropping-particle":"von"},{"family":"Fazel-Zandy","given":"Shirin"}],"issued":{"date-parts":[["1984"]]}}},{"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fldChar w:fldCharType="separate"/>
      </w:r>
      <w:r w:rsidRPr="00E14CDC">
        <w:rPr>
          <w:lang w:val="fr-CH"/>
        </w:rPr>
        <w:t>(Bakker et al., 2010; Clifton et al., 1993; Corbetta et al., 2014; Lee et al., 2011; Thelen et al., 1993; von Hofsten &amp; Fazel-Zandy, 1984; White et al., 1964)</w:t>
      </w:r>
      <w:r w:rsidRPr="00E14CDC">
        <w:fldChar w:fldCharType="end"/>
      </w:r>
      <w:r w:rsidRPr="00E14CDC">
        <w:rPr>
          <w:lang w:val="fr-CH"/>
        </w:rPr>
        <w:t xml:space="preserve"> to 5 </w:t>
      </w:r>
      <w:r w:rsidRPr="00E14CDC">
        <w:t>months</w:t>
      </w:r>
      <w:r w:rsidRPr="00E14CDC">
        <w:rPr>
          <w:lang w:val="fr-CH"/>
        </w:rPr>
        <w:t xml:space="preserve"> </w:t>
      </w:r>
      <w:r w:rsidRPr="00E14CDC">
        <w:fldChar w:fldCharType="begin"/>
      </w:r>
      <w:r w:rsidRPr="00E14CDC">
        <w:rPr>
          <w:lang w:val="fr-CH"/>
        </w:rPr>
        <w:instrText xml:space="preserve"> ADDIN ZOTERO_ITEM CSL_CITATION {"citationID":"HhjrbCen","properties":{"formattedCitation":"(Berthier et al., 1996; Corbetta et al., 2014; Lynch et al., 2008; Thelen et al., 1993, 1996; White et al., 1964)","plainCitation":"(Berthier et al., 1996; Corbetta et al., 2014; Lynch et al., 2008; Thelen et al., 1993, 1996; White et al., 1964)","noteIndex":0},"citationItems":[{"id":39,"uris":["http://zotero.org/users/local/uKe4C4Lg/items/D8FQ9JG9"],"itemData":{"id":39,"type":"article-journal","container-title":"Journal of Motor Behavior","DOI":"10.1080/00222895.1996.9941744","ISSN":"0022-2895","issue":"3","journalAbbreviation":"Journal of Motor Behavior","note":"publisher: Routledge","page":"187-197","title":"Visual Information and Object Size in the Control of Reaching","volume":"28","author":[{"family":"Berthier","given":"Neil E."},{"family":"Clifton","given":"Rachel K."},{"family":"Gullapalli","given":"Vijaykumar"},{"family":"McCall","given":"Daniel D."},{"family":"Robin","given":"Daniel J."}],"issued":{"date-parts":[["1996",9,1]]}}},{"id":52,"uris":["http://zotero.org/users/local/uKe4C4Lg/items/IUPCEAET"],"itemData":{"id":52,"type":"article-journal","container-title":"Frontiers in psychology","ISSN":"1664-1078","journalAbbreviation":"Frontiers in psychology","note":"publisher: Frontiers","page":"93269","title":"Mapping the feel of the arm with the sight of the object: on the embodied origins of infant reaching","volume":"5","author":[{"family":"Corbetta","given":"Daniela"},{"family":"Thurman","given":"Sabrina L"},{"family":"Wiener","given":"Rebecca F"},{"family":"Guan","given":"Yu"},{"family":"Williams","given":"Joshua L"}],"issued":{"date-parts":[["2014"]]}}},{"id":93,"uris":["http://zotero.org/users/local/uKe4C4Lg/items/QDR972FD"],"itemData":{"id":93,"type":"article-journal","container-title":"Developmental Psychobiology: The Journal of the International Society for Developmental Psychobiology","ISSN":"0012-1630","issue":"4","journalAbbreviation":"Developmental Psychobiology: The Journal of the International Society for Developmental Psychobiology","note":"publisher: Wiley Online Library","page":"390-398","title":"No stable arm preference during the pre‐reaching period: A comparison of right and left hand kinematics with and without a toy present","volume":"50","author":[{"family":"Lynch","given":"A"},{"family":"Lee","given":"HM"},{"family":"Bhat","given":"A"},{"family":"Galloway","given":"JC"}],"issued":{"date-parts":[["2008"]]}}},{"id":76,"uris":["http://zotero.org/users/local/uKe4C4Lg/items/4PYU3BVT"],"itemData":{"id":76,"type":"article-journal","container-title":"Child development","ISSN":"0009-3920","issue":"4","journalAbbreviation":"Child development","note":"publisher: Wiley Online Library","page":"1058-1098","title":"The transition to reaching: Mapping intention and intrinsic dynamics","volume":"64","author":[{"family":"Thelen","given":"Esther"},{"family":"Corbetta","given":"Daniela"},{"family":"Kamm","given":"Kathi"},{"family":"Spencer","given":"John P"},{"family":"Schneider","given":"Klaus"},{"family":"Zernicke","given":"Ronald F"}],"issued":{"date-parts":[["1993"]]}}},{"id":67,"uris":["http://zotero.org/users/local/uKe4C4Lg/items/9AQBEWQ7"],"itemData":{"id":67,"type":"article-journal","container-title":"Journal of experimental psychology: human perception and performance","ISSN":"1939-1277","issue":"5","journalAbbreviation":"Journal of experimental psychology: human perception and performance","note":"publisher: American Psychological Association","page":"1059","title":"Development of reaching during the first year: role of movement speed.","volume":"22","author":[{"family":"Thelen","given":"Esther"},{"family":"Corbetta","given":"Daniela"},{"family":"Spencer","given":"John P"}],"issued":{"date-parts":[["1996"]]}}},{"id":82,"uris":["http://zotero.org/users/local/uKe4C4Lg/items/6Z6J7CTP"],"itemData":{"id":82,"type":"article-journal","container-title":"Child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L"},{"family":"Castle","given":"Peter"},{"family":"Held","given":"Richard"}],"issued":{"date-parts":[["1964"]]}}}],"schema":"https://github.com/citation-style-language/schema/raw/master/csl-citation.json"} </w:instrText>
      </w:r>
      <w:r w:rsidRPr="00E14CDC">
        <w:fldChar w:fldCharType="separate"/>
      </w:r>
      <w:r w:rsidRPr="00E14CDC">
        <w:rPr>
          <w:lang w:val="fr-CH"/>
        </w:rPr>
        <w:t>(Berthier et al., 1996; Corbetta et al., 2014; Lynch et al., 2008; Thelen et al., 1993, 1996; White et al., 1964)</w:t>
      </w:r>
      <w:r w:rsidRPr="00E14CDC">
        <w:fldChar w:fldCharType="end"/>
      </w:r>
      <w:r w:rsidRPr="00E14CDC">
        <w:t xml:space="preserve">, exemplify the potential for differences in behaviors presented around the onset of reaching. Assuming non-reaching behaviors are precursor movements crucial to the onset of reaching, infants exhibiting more significant levels of non-reaching behaviors (frequency and rate of events) should become reachers sooner than their peers. Infants with an earlier reach onset should exhibit a greater frequency of mouth, midline clasping, </w:t>
      </w:r>
      <w:r w:rsidRPr="00E14CDC">
        <w:lastRenderedPageBreak/>
        <w:t>and face contacts than their late-onset peers</w:t>
      </w:r>
      <w:r w:rsidR="00D7027C" w:rsidRPr="00E14CDC">
        <w:t xml:space="preserve">. </w:t>
      </w:r>
      <w:r w:rsidRPr="00E14CDC">
        <w:t xml:space="preserve">Further, given the necessity of these movements on the onset of reaching, those with more movements should transition into and more completely exhibit reaching to a more significant percentage (proportion of reach) than their peers. Earlier reachers will produce more movements and exhibit lower durations of these events and, therefore smaller velocities than their latter counterparts. </w:t>
      </w:r>
      <w:r w:rsidR="006F5A78" w:rsidRPr="00E14CDC">
        <w:br w:type="page"/>
      </w:r>
    </w:p>
    <w:p w14:paraId="19ACDD60" w14:textId="451487A6" w:rsidR="004F08CE" w:rsidRPr="00E14CDC" w:rsidRDefault="00E2527A" w:rsidP="00CC578B">
      <w:pPr>
        <w:pStyle w:val="Heading1"/>
      </w:pPr>
      <w:bookmarkStart w:id="24" w:name="_Hlk169717407"/>
      <w:r w:rsidRPr="00E14CDC">
        <w:lastRenderedPageBreak/>
        <w:br/>
      </w:r>
      <w:bookmarkStart w:id="25" w:name="_Hlk166835800"/>
      <w:bookmarkStart w:id="26" w:name="_Toc173185051"/>
      <w:bookmarkEnd w:id="1"/>
      <w:bookmarkEnd w:id="2"/>
      <w:r w:rsidR="000C1A25" w:rsidRPr="00E14CDC">
        <w:t>MATERIALS AND METHODS</w:t>
      </w:r>
      <w:bookmarkEnd w:id="26"/>
    </w:p>
    <w:p w14:paraId="17B575D5" w14:textId="46623EC8" w:rsidR="00236E6D" w:rsidRPr="00E14CDC" w:rsidRDefault="00205E5D" w:rsidP="004B228C">
      <w:pPr>
        <w:pStyle w:val="Heading2"/>
        <w:spacing w:line="480" w:lineRule="auto"/>
      </w:pPr>
      <w:bookmarkStart w:id="27" w:name="_Toc420995901"/>
      <w:bookmarkStart w:id="28" w:name="_Toc422997488"/>
      <w:bookmarkStart w:id="29" w:name="_Toc427156471"/>
      <w:bookmarkStart w:id="30" w:name="_Toc173185052"/>
      <w:bookmarkEnd w:id="24"/>
      <w:r w:rsidRPr="00E14CDC">
        <w:t>Participants</w:t>
      </w:r>
      <w:bookmarkEnd w:id="27"/>
      <w:bookmarkEnd w:id="28"/>
      <w:bookmarkEnd w:id="29"/>
      <w:bookmarkEnd w:id="30"/>
    </w:p>
    <w:p w14:paraId="38DE3F33" w14:textId="4614225D" w:rsidR="002F36C0" w:rsidRPr="00E14CDC" w:rsidRDefault="002F36C0" w:rsidP="004B228C">
      <w:pPr>
        <w:spacing w:line="480" w:lineRule="auto"/>
        <w:ind w:firstLine="720"/>
      </w:pPr>
      <w:bookmarkStart w:id="31" w:name="_Hlk169766481"/>
      <w:r w:rsidRPr="00E14CDC">
        <w:t xml:space="preserve">Eight infants (4 males and </w:t>
      </w:r>
      <w:r w:rsidR="00E16A80" w:rsidRPr="00E14CDC">
        <w:t>four</w:t>
      </w:r>
      <w:r w:rsidRPr="00E14CDC">
        <w:t xml:space="preserve"> females) were recruited in Knoxville, Tennessee, and surrounding cities through mailings and follow-up phone calls. Four infants (CG, DJ, KP, and LN) were part of a longitudinal study observed weekly from 3 weeks old until five weeks post-reach-onset. The observation of these first four infants began in a supine position before </w:t>
      </w:r>
      <w:r w:rsidR="00AB7D6A" w:rsidRPr="00E14CDC">
        <w:t>transitioning</w:t>
      </w:r>
      <w:r w:rsidRPr="00E14CDC">
        <w:t xml:space="preserve"> to the reaching task described in this study following head control (around </w:t>
      </w:r>
      <w:r w:rsidR="00E16A80" w:rsidRPr="00E14CDC">
        <w:t>ten</w:t>
      </w:r>
      <w:r w:rsidRPr="00E14CDC">
        <w:t xml:space="preserve"> weeks of age). Only the weeks following head control in the reaching task are analyzed in the current study. Three of the remaining four infants (AC, JT, and MC) were followed weekly from 11 weeks of age up until the end of their first year. ME was followed until 21 weeks old. These four infants were observed in the seated reaching task for the entire study. The analyses in this study focus on the 11 weeks surrounding reach onset (the five weeks before reach-onset, the week of reach-onset, and the subsequent five weeks following reach-onset). Two infants (AC and MC) were not included in the final analyses due to parental interference in the infants’ naturalistic arm movements and reaching. Table 1 displays the weeks of observation surrounding the age of reach-onset for the remaining six infants (CG, DJ, JT, KP, LN, and ME). All infants were healthy, full-term, and had no reported motor or visual abnormalities. Six infants were reported as white non-Hispanic, one as Hispanic/Latino/a/x, and one as black/African American. The University of Tennessee Institutional Review Board approved this study. </w:t>
      </w:r>
      <w:r w:rsidR="00AB7D6A" w:rsidRPr="00E14CDC">
        <w:t>The caregiver gave consent</w:t>
      </w:r>
      <w:r w:rsidRPr="00E14CDC">
        <w:t xml:space="preserve"> before the study, and participants were </w:t>
      </w:r>
      <w:r w:rsidRPr="00E14CDC">
        <w:lastRenderedPageBreak/>
        <w:t>thanked with a photo of each visit, a small monetary compensation, and a certificate of appreciation upon completion of their respective studies.</w:t>
      </w:r>
    </w:p>
    <w:p w14:paraId="412B669D" w14:textId="77777777" w:rsidR="002F36C0" w:rsidRPr="00E14CDC" w:rsidRDefault="002F36C0" w:rsidP="006C46B2"/>
    <w:p w14:paraId="390C5BC5" w14:textId="77777777" w:rsidR="002F36C0" w:rsidRPr="00E14CDC" w:rsidRDefault="002F36C0" w:rsidP="004B228C">
      <w:pPr>
        <w:keepNext/>
        <w:spacing w:line="480" w:lineRule="auto"/>
        <w:jc w:val="center"/>
        <w:outlineLvl w:val="1"/>
        <w:rPr>
          <w:iCs/>
        </w:rPr>
      </w:pPr>
      <w:bookmarkStart w:id="32" w:name="_Toc166576502"/>
      <w:bookmarkStart w:id="33" w:name="_Toc173185053"/>
      <w:r w:rsidRPr="00E14CDC">
        <w:rPr>
          <w:iCs/>
        </w:rPr>
        <w:t>Apparatus and Stimuli</w:t>
      </w:r>
      <w:bookmarkEnd w:id="32"/>
      <w:bookmarkEnd w:id="33"/>
    </w:p>
    <w:p w14:paraId="2A295A07" w14:textId="77777777" w:rsidR="002F36C0" w:rsidRPr="00E14CDC" w:rsidRDefault="002F36C0" w:rsidP="004B228C">
      <w:pPr>
        <w:keepNext/>
        <w:numPr>
          <w:ilvl w:val="2"/>
          <w:numId w:val="0"/>
        </w:numPr>
        <w:spacing w:line="480" w:lineRule="auto"/>
        <w:outlineLvl w:val="2"/>
        <w:rPr>
          <w:i/>
        </w:rPr>
      </w:pPr>
      <w:bookmarkStart w:id="34" w:name="_Toc420995905"/>
      <w:bookmarkStart w:id="35" w:name="_Toc422997492"/>
      <w:bookmarkStart w:id="36" w:name="_Toc427156475"/>
      <w:bookmarkStart w:id="37" w:name="_Toc166576503"/>
      <w:bookmarkStart w:id="38" w:name="_Toc173185054"/>
      <w:r w:rsidRPr="00E14CDC">
        <w:rPr>
          <w:i/>
        </w:rPr>
        <w:t>Apparatus</w:t>
      </w:r>
      <w:bookmarkEnd w:id="34"/>
      <w:bookmarkEnd w:id="35"/>
      <w:bookmarkEnd w:id="36"/>
      <w:bookmarkEnd w:id="37"/>
      <w:bookmarkEnd w:id="38"/>
    </w:p>
    <w:p w14:paraId="0F6F80A2" w14:textId="77777777"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ab/>
        <w:t xml:space="preserve">Infants were placed in a custom-designed infant seat that allowed for a full range of arm and leg movement while providing postural support with a 15 x 30 cm padded foam strap. The strap was secured with industrial-strength hook and loop straps around the back of the infant seat. The seat and infant were situated in front of a custom-made black trifold theater with a 30 x 30 cm opening to reduce ambient visual distraction.  A 17-inch monitor was placed in the theater to visually calibrate a standalone Tobii remote eye tracker (Tobii x50, Tobii Inc, Danderyd, Sweeden) sampling at 50 Hz. While eye-tracking data was collected for every session, the current study focuses on the behavioral changes exhibited around the reach onset; therefore, this study does not analyze data from the eye tracker. The theater’s opening also had a curtain system that concealed it after removing the calibration monitor. This system consisted of a frontal curtain that opened to reveal the presented objects during each trial. A secondary rear curtain prevented infants from viewing the presenter. The resulting curtain system mounted on the theater permitted control of the object presentations and drew the infant's visual attention to the colorful objects used in the study. </w:t>
      </w:r>
    </w:p>
    <w:p w14:paraId="43A68245" w14:textId="77777777"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290"/>
          <w:tab w:val="left" w:pos="747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ab/>
        <w:t xml:space="preserve">Infants’ arm movements were recorded with a motion tracking device that recorded the position and angle of two 8-mm-wired markers at 100Hz (Flock of Birds, Ascension Technology Inc, Burlington, VT, USA). The markers were affixed centered on </w:t>
      </w:r>
      <w:r w:rsidRPr="00E14CDC">
        <w:lastRenderedPageBreak/>
        <w:t>the dorsal side of the infants’ wrists with Johnson &amp; Johnson hypoallergenic tape.  The markers' 3D (X, Y, and Z) positions and angles (yaw, pitch, and roll) were recorded within a 70-cm-wide generated electromagnetic field created by an emitter box to the rear left of the infant seat. The motion-tracker system recorded the markers’ location across the x-, y-, and z-axis relative to the emitter box (Figure 1).</w:t>
      </w:r>
    </w:p>
    <w:p w14:paraId="4204149E" w14:textId="127B6270"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ab/>
        <w:t xml:space="preserve">Four cameras (2 webcams and </w:t>
      </w:r>
      <w:r w:rsidR="00AB7D6A" w:rsidRPr="00E14CDC">
        <w:t>two</w:t>
      </w:r>
      <w:r w:rsidRPr="00E14CDC">
        <w:t xml:space="preserve"> digital cameras) were positioned around the infants to capture behavior and motor actions for offline coding. The two digital cameras on the tripods were positioned at the rear-left and -right of the infants and offered a concise view of the infants’ reaching and non-reaching behaviors. A digital video mixer combined the feeds of the digital cameras into a synched side-by-side recording of both views. The mixer further superimposed a digital frame counter (TRG-50, Horita Co., Mission Viejo, CA, United States) over the resulting split-view recording. This digital counter (referred to as the Horita from now on) was triggered and stopped at the same time the Flock of Bird motion tracker started or stopped recording. A web camera (the scene camera) was placed centered </w:t>
      </w:r>
      <w:r w:rsidR="00AB7D6A" w:rsidRPr="00E14CDC">
        <w:t>on</w:t>
      </w:r>
      <w:r w:rsidRPr="00E14CDC">
        <w:t xml:space="preserve"> the rear of the infants right above their </w:t>
      </w:r>
      <w:r w:rsidR="00AB7D6A" w:rsidRPr="00E14CDC">
        <w:t>heads</w:t>
      </w:r>
      <w:r w:rsidRPr="00E14CDC">
        <w:t xml:space="preserve"> to capture the scene defined by the theater’s opening where the objects were presented. This camera was adjusted to approximate the scene of the presented objects as closely as possible as perceived from the infant’s point-of-view. Another webcam (the user camera) was affixed centered right above the theater opening, facing the infant, and offered a view of the infant’s behaviors, specifically when the object was within their reach (Figure 1). These two webcam views of the scene and infant were synched and superimposed upon one another when exported with the Tobii Studio eye-tracking software (Tobii Inc, Tobii </w:t>
      </w:r>
      <w:r w:rsidRPr="00E14CDC">
        <w:lastRenderedPageBreak/>
        <w:t>Studio version 3.4.8.1348), allowing a simultaneous view of the object being scanned and the infant's face.</w:t>
      </w:r>
    </w:p>
    <w:p w14:paraId="784C1817" w14:textId="1A451D5F" w:rsidR="002F36C0" w:rsidRPr="00E14CDC" w:rsidRDefault="002F36C0" w:rsidP="004B228C">
      <w:pPr>
        <w:keepNext/>
        <w:numPr>
          <w:ilvl w:val="2"/>
          <w:numId w:val="0"/>
        </w:numPr>
        <w:spacing w:line="480" w:lineRule="auto"/>
        <w:outlineLvl w:val="2"/>
        <w:rPr>
          <w:i/>
        </w:rPr>
      </w:pPr>
      <w:bookmarkStart w:id="39" w:name="_Toc166576504"/>
      <w:bookmarkStart w:id="40" w:name="_Toc420995906"/>
      <w:bookmarkStart w:id="41" w:name="_Toc422997493"/>
      <w:bookmarkStart w:id="42" w:name="_Toc427156476"/>
      <w:bookmarkStart w:id="43" w:name="_Toc173185055"/>
      <w:r w:rsidRPr="00E14CDC">
        <w:rPr>
          <w:i/>
        </w:rPr>
        <w:t>Stimuli</w:t>
      </w:r>
      <w:bookmarkEnd w:id="39"/>
      <w:bookmarkEnd w:id="43"/>
      <w:r w:rsidRPr="00E14CDC">
        <w:rPr>
          <w:i/>
        </w:rPr>
        <w:t xml:space="preserve"> </w:t>
      </w:r>
      <w:bookmarkEnd w:id="40"/>
      <w:bookmarkEnd w:id="41"/>
      <w:bookmarkEnd w:id="42"/>
    </w:p>
    <w:p w14:paraId="58D474BC" w14:textId="77777777"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ab/>
        <w:t xml:space="preserve">Infants were presented with six different types of objects (Figure 2): plain rods (18 cm long × 1 cm wide), drumstick-shaped objects (13 cm long, rod with a 5 cm diameter sphere on one end resulting in an overall length of 18 cm), dumbbell-shaped objects (8 cm long, rod with a 5 cm diameter sphere on each end resulting in an overall length of 18 cm), small cups (5 × 5 cm with one or two 3 × 1.5 cm handle(s) on the side(s)), and plain spheres (5 cm diameter). The cups were made of pink (one-handled) or green (two-handled) non-toxic plastic. All other objects were made of wood, sanded smooth, painted with varying solid colors, and waterproof-sealed. All paints and sealers were rated AMCI-approved. The sizes and shapes of the objects were chosen to elicit visual scanning patterns on the objects and reach location selection from their initial study designs. Looking patterns are not discussed in this study. </w:t>
      </w:r>
    </w:p>
    <w:p w14:paraId="25854A0B" w14:textId="77777777"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rPr>
      </w:pPr>
    </w:p>
    <w:p w14:paraId="698F268A" w14:textId="77777777" w:rsidR="002F36C0" w:rsidRPr="00E14CDC" w:rsidRDefault="002F36C0" w:rsidP="004B228C">
      <w:pPr>
        <w:keepNext/>
        <w:spacing w:line="480" w:lineRule="auto"/>
        <w:jc w:val="center"/>
        <w:outlineLvl w:val="1"/>
        <w:rPr>
          <w:iCs/>
        </w:rPr>
      </w:pPr>
      <w:bookmarkStart w:id="44" w:name="_Toc420995907"/>
      <w:bookmarkStart w:id="45" w:name="_Toc422997494"/>
      <w:bookmarkStart w:id="46" w:name="_Toc427156477"/>
      <w:bookmarkStart w:id="47" w:name="_Toc166576505"/>
      <w:bookmarkStart w:id="48" w:name="_Toc173185056"/>
      <w:r w:rsidRPr="00E14CDC">
        <w:rPr>
          <w:iCs/>
        </w:rPr>
        <w:t>Procedure</w:t>
      </w:r>
      <w:bookmarkEnd w:id="44"/>
      <w:bookmarkEnd w:id="45"/>
      <w:bookmarkEnd w:id="46"/>
      <w:bookmarkEnd w:id="47"/>
      <w:bookmarkEnd w:id="48"/>
    </w:p>
    <w:p w14:paraId="33C65898" w14:textId="0D771996"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ab/>
        <w:t xml:space="preserve">Caregivers brought their infants into the lab once a week during the previously described age ranges. Parents were informed of the purpose and procedures of the study, the method and type of data being collected, and how data was de-identified and stored. Informed consent was obtained for the study, collection, and data retention. The infant was placed in the custom-made infant seat and secured with industrial-strength hook and loop straps. The caregiver sat in a chair beside the infant and remained with them </w:t>
      </w:r>
      <w:r w:rsidRPr="00E14CDC">
        <w:lastRenderedPageBreak/>
        <w:t xml:space="preserve">throughout the study’s duration. Following the calibration of the eye tracker, the screen was removed, the front and rear curtains were placed, and the motion-tracker markers were placed on the infant's arms. </w:t>
      </w:r>
    </w:p>
    <w:p w14:paraId="5B419E9A" w14:textId="77777777"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ab/>
        <w:t xml:space="preserve">This study consisted of three experimenters. While Experimenter 1 set up the presentation task and theater curtains, Experimenter 2 affixed the motion-tracker markers to the dorsal side of the infant’s wrists. Small cotton sleeves were placed over the infant's arms to cover the motion-tracker markers and reduce the infant's pulling or attempting to remove them. The wires from the markers were secured to the upper arm and the rear of the seat. This removed the excess slack of the wire from interfering with the infant’s movements and reduced the chances that infants would unintentionally pull the lines taut, resulting in noise in the 3D position data in the motion-tracker signal. Experimenter 2 ran a “test trial” to ensure the motion tracking collected and saved data at the correct collection rate. </w:t>
      </w:r>
    </w:p>
    <w:p w14:paraId="7F6E5C8C" w14:textId="7878731D"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ab/>
        <w:t xml:space="preserve">Experimenter 1 placed one of the objects between the rear and front curtains at the start of each trial. They then indicated to a third experimenter (3) running the eye-tracker and Experimenter 2 that they were ready to begin. Each experimenter then triggered their equipment in the following order: Experimenter 2 began recording the side cameras and the motion tracker, and Experimenter 2 started recording the Tobii eye tracker. </w:t>
      </w:r>
      <w:r w:rsidR="00AB7D6A" w:rsidRPr="00E14CDC">
        <w:t>Experimenter 1 opened the front curtain when all equipment was running</w:t>
      </w:r>
      <w:r w:rsidRPr="00E14CDC">
        <w:t xml:space="preserve">, allowing the infant to see the object and begin scanning it visually. After approximately 5 seconds of looking at the scene (the calibrated space and the presented object), Experimenter 1 moved the object forward out of the calibration space and into the infant's reaching space. </w:t>
      </w:r>
      <w:r w:rsidRPr="00E14CDC">
        <w:lastRenderedPageBreak/>
        <w:t xml:space="preserve">Before the weeks of reach-onset, the object was held within the infant's reaching space for a short </w:t>
      </w:r>
      <w:r w:rsidR="00AB7D6A" w:rsidRPr="00E14CDC">
        <w:t>period</w:t>
      </w:r>
      <w:r w:rsidRPr="00E14CDC">
        <w:t xml:space="preserve"> before the parent was instructed to take the object or Experimenter 1 withdrew the object. Following reach onset, the infant was </w:t>
      </w:r>
      <w:r w:rsidR="00AB7D6A" w:rsidRPr="00E14CDC">
        <w:t>allowed</w:t>
      </w:r>
      <w:r w:rsidRPr="00E14CDC">
        <w:t xml:space="preserve"> to reach for the object </w:t>
      </w:r>
      <w:r w:rsidR="00AB7D6A" w:rsidRPr="00E14CDC">
        <w:t>when</w:t>
      </w:r>
      <w:r w:rsidRPr="00E14CDC">
        <w:t xml:space="preserve"> the trial ended. After each trial where the infant reached for the object, they were allowed to interact with it before the caregiver was asked to retrieve it and place it in a bucket set next to them. Again, if the infant did not reach for the object, Experimenter 1 instructed the caregiver to take the object from their hand and place it into the bucket. The curtain was closed, all recording equipment was stopped, and Experimenter 1 was prepared for the </w:t>
      </w:r>
      <w:r w:rsidR="00AB7D6A" w:rsidRPr="00E14CDC">
        <w:t>subsequent</w:t>
      </w:r>
      <w:r w:rsidRPr="00E14CDC">
        <w:t xml:space="preserve"> trial. This procedure was repeated for every trial the infant was willing to complete, between two and 24 trials, depending on the week and infant (see Table 2). Objects were presented horizontally and vertically in a quasi-randomly such that no object was presented three times in a row.</w:t>
      </w:r>
    </w:p>
    <w:bookmarkEnd w:id="31"/>
    <w:p w14:paraId="47E1688F" w14:textId="77777777"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2D751FF9" w14:textId="77777777" w:rsidR="002F36C0" w:rsidRPr="00E14CDC" w:rsidRDefault="002F36C0" w:rsidP="004B228C">
      <w:pPr>
        <w:keepNext/>
        <w:spacing w:line="480" w:lineRule="auto"/>
        <w:jc w:val="center"/>
        <w:outlineLvl w:val="1"/>
        <w:rPr>
          <w:iCs/>
        </w:rPr>
      </w:pPr>
      <w:bookmarkStart w:id="49" w:name="_Toc166576506"/>
      <w:bookmarkStart w:id="50" w:name="_Toc173185057"/>
      <w:r w:rsidRPr="00E14CDC">
        <w:rPr>
          <w:iCs/>
        </w:rPr>
        <w:t>Coding and Analyses</w:t>
      </w:r>
      <w:bookmarkEnd w:id="49"/>
      <w:bookmarkEnd w:id="50"/>
    </w:p>
    <w:p w14:paraId="2A5DD2C5" w14:textId="68849875" w:rsidR="002F36C0" w:rsidRPr="00E14CDC" w:rsidRDefault="002F36C0" w:rsidP="004B228C">
      <w:pPr>
        <w:keepNext/>
        <w:numPr>
          <w:ilvl w:val="2"/>
          <w:numId w:val="0"/>
        </w:numPr>
        <w:spacing w:line="480" w:lineRule="auto"/>
        <w:outlineLvl w:val="2"/>
        <w:rPr>
          <w:i/>
        </w:rPr>
      </w:pPr>
      <w:bookmarkStart w:id="51" w:name="_Toc166576507"/>
      <w:bookmarkStart w:id="52" w:name="_Toc173185058"/>
      <w:r w:rsidRPr="00E14CDC">
        <w:rPr>
          <w:i/>
        </w:rPr>
        <w:t>Behavioral coding</w:t>
      </w:r>
      <w:bookmarkEnd w:id="51"/>
      <w:bookmarkEnd w:id="52"/>
    </w:p>
    <w:p w14:paraId="158CE1C2" w14:textId="77777777" w:rsidR="008B299E"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ab/>
        <w:t xml:space="preserve">Initial behavioral coding was completed using Datavyu, v 1.3.4 (Databrary Project, New York University) by selecting the onsets and offsets, frame by frame, of the infant’s movement behavior during each trial. The side-view camera videos were synced in Datavyu with the eye-tracker video recordings. This resulted in a time-synced full view of the infant’s movements in relation to the object's location relative to them, referred to as areas of object proximity. </w:t>
      </w:r>
    </w:p>
    <w:p w14:paraId="38856CDC" w14:textId="5258DA58" w:rsidR="002F36C0" w:rsidRPr="00E14CDC" w:rsidRDefault="008B299E"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lastRenderedPageBreak/>
        <w:tab/>
      </w:r>
      <w:r w:rsidR="002F36C0" w:rsidRPr="00E14CDC">
        <w:t>Three areas of object proximity were identified based on the infants’ ability to reach for the objects: toy-outside-reach, toy-moving-into-reach, and toy-in-reach. Based on the Horita timer, Kinematics</w:t>
      </w:r>
      <w:r w:rsidR="00AB7D6A" w:rsidRPr="00E14CDC">
        <w:t>,</w:t>
      </w:r>
      <w:r w:rsidR="002F36C0" w:rsidRPr="00E14CDC">
        <w:t xml:space="preserve"> and motor behaviors were identified within the temporal limits of these proximities. The Horita timer was used to identify when data collection began for each trial and when each area of proximity started and ended based on video frames and recording time.  The first proximity area of interest was while the object was outside of the infant’s reaching space. This area of object proximity began when the theater curtains opened, and the infant could see the entire presented object. The object remained in this area until the infant produced ~5 seconds of accumulated looking. Experimenter 1 would then move the object out of the visual calibration area and into the infant's reaching space.  The second area of object proximity was the toy-moving-into-reaching</w:t>
      </w:r>
      <w:r w:rsidR="00AB7D6A" w:rsidRPr="00E14CDC">
        <w:t>,</w:t>
      </w:r>
      <w:r w:rsidR="002F36C0" w:rsidRPr="00E14CDC">
        <w:t xml:space="preserve"> in which the object was moved out of the calibration space and into the infant's reaching space. The final proximity zone of interest began when the object stopped moving and was within the infant's reaching space.  The lasted until the object was removed from Experimenter 1’s hand by the caregiver, was withdrawn by Experimenter 1, or the infant reached for and contacted the object (post-reach-onset). These three areas of object proximity are directly related to the infant’s ability to reach and grasp an object and the infant’s understanding of its location in relation to their peripersonal space.</w:t>
      </w:r>
    </w:p>
    <w:p w14:paraId="322D57DF" w14:textId="227C1976"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ab/>
        <w:t xml:space="preserve">Throughout each trial and across proximity zones within trials, specific behavioral events were identified: clasping at the midline, contact with the face, and contact with the mouth, as they indicated significant moments in time and their potential to be proto-reaching behaviors. The frequency of these events over the entire trial and their </w:t>
      </w:r>
      <w:r w:rsidRPr="00E14CDC">
        <w:lastRenderedPageBreak/>
        <w:t xml:space="preserve">occurrences within areas of proximity were identified. Following the week of reach onset, the first week of contact with the object, followed by subsequent weeks every week after, and reaches were also identified. The start of a reach was identified as the beginning of a movement </w:t>
      </w:r>
      <w:r w:rsidR="00AB7D6A" w:rsidRPr="00E14CDC">
        <w:t>resulting</w:t>
      </w:r>
      <w:r w:rsidRPr="00E14CDC">
        <w:t xml:space="preserve"> in hand contact with the object. Finally, the latency between the object entering the infant’s reaching space and the start of the reach was identified.</w:t>
      </w:r>
    </w:p>
    <w:p w14:paraId="18E6A982" w14:textId="41D99D44" w:rsidR="002F36C0" w:rsidRPr="00E14CDC" w:rsidRDefault="002F36C0" w:rsidP="004B228C">
      <w:pPr>
        <w:keepNext/>
        <w:numPr>
          <w:ilvl w:val="2"/>
          <w:numId w:val="0"/>
        </w:numPr>
        <w:spacing w:line="480" w:lineRule="auto"/>
        <w:outlineLvl w:val="2"/>
        <w:rPr>
          <w:i/>
        </w:rPr>
      </w:pPr>
      <w:bookmarkStart w:id="53" w:name="_Toc166576508"/>
      <w:bookmarkStart w:id="54" w:name="_Toc173185059"/>
      <w:r w:rsidRPr="00E14CDC">
        <w:rPr>
          <w:i/>
        </w:rPr>
        <w:t>Kinematic coding</w:t>
      </w:r>
      <w:bookmarkEnd w:id="53"/>
      <w:bookmarkEnd w:id="54"/>
    </w:p>
    <w:p w14:paraId="07A02B05" w14:textId="39EC97C2" w:rsidR="002F36C0" w:rsidRPr="00E14CDC" w:rsidRDefault="002F36C0" w:rsidP="004B228C">
      <w:pPr>
        <w:spacing w:line="480" w:lineRule="auto"/>
        <w:ind w:firstLine="720"/>
      </w:pPr>
      <w:r w:rsidRPr="00E14CDC">
        <w:t>The kinematic motion tracker produced the XYZ coordinate of each motion tracker marker within a 70-centimeter Electromagnetic field at a collection rate of 100 Hz or 100 points of data per second. The relevant kinematic sections were identified using the behavioral coding from the previous section</w:t>
      </w:r>
      <w:r w:rsidR="00AB7D6A" w:rsidRPr="00E14CDC">
        <w:t>, which was</w:t>
      </w:r>
      <w:r w:rsidRPr="00E14CDC">
        <w:t xml:space="preserve"> aligned with the Horita digital counter superimposed over the video as described in the procedure section. Of particular focus were kinematics that occurred while the presented object was in the different areas of object proximity. Specifically, the average velocity and number of movement units were calculated. Movement units were defined as an increase and decrease in velocity (Figure 3). Infants' movements are erratic and noisy (Figure 4). Movement unit criteria of a .01-centimeter difference between collection frames were used to identify changes in the infant's reaching direction. Velocity was calculated using the following formula across the three data collection points, which is the standard in this area of research.</w:t>
      </w:r>
    </w:p>
    <w:p w14:paraId="269F1D9C" w14:textId="77777777"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m:oMathPara>
        <m:oMath>
          <m:r>
            <w:rPr>
              <w:rFonts w:ascii="Cambria Math" w:hAnsi="Cambria Math"/>
            </w:rPr>
            <m:t>velocity=</m:t>
          </m:r>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/dt)</m:t>
                  </m:r>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/dt)</m:t>
                  </m:r>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(Z</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/dt)</m:t>
                  </m:r>
                </m:e>
                <m:sup>
                  <m:r>
                    <w:rPr>
                      <w:rFonts w:ascii="Cambria Math" w:hAnsi="Cambria Math"/>
                    </w:rPr>
                    <m:t>2</m:t>
                  </m:r>
                </m:sup>
              </m:sSup>
            </m:e>
          </m:rad>
        </m:oMath>
      </m:oMathPara>
    </w:p>
    <w:p w14:paraId="2C9C5833" w14:textId="77777777" w:rsidR="008B299E" w:rsidRPr="00E14CDC" w:rsidRDefault="008B299E"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413FA564" w14:textId="77777777"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lastRenderedPageBreak/>
        <w:t>The infant’s movement velocity was used to determine movement units to measure overall activity. A movement unit was defined as a peak in the velocity trajectory with two low points (Figure 3). Finally, the average reach speed and movement units were calculated for the entire trial and the three areas of object proximity.</w:t>
      </w:r>
    </w:p>
    <w:p w14:paraId="70D216AC" w14:textId="2C2C6C52" w:rsidR="0060409D" w:rsidRPr="00E14CDC" w:rsidRDefault="002F36C0" w:rsidP="004B228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br w:type="page"/>
      </w:r>
    </w:p>
    <w:p w14:paraId="31646B84" w14:textId="154BF1F7" w:rsidR="00236E6D" w:rsidRPr="00E14CDC" w:rsidRDefault="007D538B" w:rsidP="00CC578B">
      <w:pPr>
        <w:pStyle w:val="Heading1"/>
      </w:pPr>
      <w:bookmarkStart w:id="55" w:name="_Toc420995908"/>
      <w:bookmarkStart w:id="56" w:name="_Toc422997495"/>
      <w:r w:rsidRPr="00E14CDC">
        <w:lastRenderedPageBreak/>
        <w:br/>
      </w:r>
      <w:bookmarkStart w:id="57" w:name="_Toc427156478"/>
      <w:bookmarkStart w:id="58" w:name="_Toc173185060"/>
      <w:r w:rsidR="003D63DF" w:rsidRPr="00E14CDC">
        <w:t>Results and Discussio</w:t>
      </w:r>
      <w:bookmarkEnd w:id="55"/>
      <w:bookmarkEnd w:id="56"/>
      <w:bookmarkEnd w:id="57"/>
      <w:r w:rsidR="004F08CE" w:rsidRPr="00E14CDC">
        <w:t>n</w:t>
      </w:r>
      <w:bookmarkEnd w:id="58"/>
    </w:p>
    <w:bookmarkEnd w:id="25"/>
    <w:p w14:paraId="48CBDC03" w14:textId="0C299A01" w:rsidR="002F36C0" w:rsidRPr="00E14CDC" w:rsidRDefault="008B299E"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ab/>
      </w:r>
      <w:r w:rsidR="00F71930" w:rsidRPr="00E14CDC">
        <w:t>I conducted a</w:t>
      </w:r>
      <w:r w:rsidR="002F36C0" w:rsidRPr="00E14CDC">
        <w:t>nalyses on movement events and overall kinematics to understand the changes that occurred around reach-onset.</w:t>
      </w:r>
      <w:r w:rsidR="00F71930" w:rsidRPr="00E14CDC">
        <w:t xml:space="preserve"> I conducted my initial </w:t>
      </w:r>
      <w:r w:rsidR="002F36C0" w:rsidRPr="00E14CDC">
        <w:t xml:space="preserve">analysis of the proximity durations to properly compare the behavioral and kinematic </w:t>
      </w:r>
      <w:r w:rsidR="00F71930" w:rsidRPr="00E14CDC">
        <w:t>measures</w:t>
      </w:r>
      <w:r w:rsidR="002F36C0" w:rsidRPr="00E14CDC">
        <w:t xml:space="preserve"> across the different areas of object proximity. The toy-out-of-reach proximity relied on the infant's accumulated looking </w:t>
      </w:r>
      <w:r w:rsidR="00F71930" w:rsidRPr="00E14CDC">
        <w:t xml:space="preserve">to determine its </w:t>
      </w:r>
      <w:r w:rsidR="002F36C0" w:rsidRPr="00E14CDC">
        <w:t>end tim</w:t>
      </w:r>
      <w:r w:rsidR="00F71930" w:rsidRPr="00E14CDC">
        <w:t>e</w:t>
      </w:r>
      <w:r w:rsidR="00AB7D6A" w:rsidRPr="00E14CDC">
        <w:t>; infants needed around five seconds</w:t>
      </w:r>
      <w:r w:rsidR="00F71930" w:rsidRPr="00E14CDC">
        <w:t xml:space="preserve"> of accumulated looking. The </w:t>
      </w:r>
      <w:r w:rsidR="002F36C0" w:rsidRPr="00E14CDC">
        <w:t xml:space="preserve">toy-in-reach </w:t>
      </w:r>
      <w:r w:rsidR="00F71930" w:rsidRPr="00E14CDC">
        <w:t>ended when the infant, parent, or experimenter 1 removed the object</w:t>
      </w:r>
      <w:r w:rsidR="002F36C0" w:rsidRPr="00E14CDC">
        <w:t xml:space="preserve">. </w:t>
      </w:r>
      <w:r w:rsidR="00F71930" w:rsidRPr="00E14CDC">
        <w:t>I conducted a</w:t>
      </w:r>
      <w:r w:rsidR="002F36C0" w:rsidRPr="00E14CDC">
        <w:t xml:space="preserve"> GEE wi</w:t>
      </w:r>
      <w:r w:rsidR="00C866DA" w:rsidRPr="00E14CDC">
        <w:t>Ftrial</w:t>
      </w:r>
      <w:r w:rsidR="002F36C0" w:rsidRPr="00E14CDC">
        <w:t xml:space="preserve">th pairwise comparisons </w:t>
      </w:r>
      <w:r w:rsidR="00F71930" w:rsidRPr="00E14CDC">
        <w:t>to determine if there were differences in the lengths of these proximities. These</w:t>
      </w:r>
      <w:r w:rsidR="002F36C0" w:rsidRPr="00E14CDC">
        <w:t xml:space="preserve"> differences may impact the ability to compare the behaviors in these proximities. The GEE analysis revealed a main effect of proximity-zone durations, </w:t>
      </w:r>
      <w:bookmarkStart w:id="59" w:name="_Hlk166597746"/>
      <w:r w:rsidR="002F36C0" w:rsidRPr="00E14CDC">
        <w:t xml:space="preserve">Wald χ2(2) = 89.836 </w:t>
      </w:r>
      <w:bookmarkEnd w:id="59"/>
      <w:r w:rsidR="002F36C0" w:rsidRPr="00E14CDC">
        <w:t xml:space="preserve">p &lt; 0.001. Specifically, the </w:t>
      </w:r>
      <w:r w:rsidR="00652A14" w:rsidRPr="00E14CDC">
        <w:t xml:space="preserve">duration of the </w:t>
      </w:r>
      <w:r w:rsidR="002F36C0" w:rsidRPr="00E14CDC">
        <w:t xml:space="preserve">toy-moving-into-reach </w:t>
      </w:r>
      <w:r w:rsidR="00652A14" w:rsidRPr="00E14CDC">
        <w:t>proximity</w:t>
      </w:r>
      <w:r w:rsidR="002F36C0" w:rsidRPr="00E14CDC">
        <w:t xml:space="preserve"> (</w:t>
      </w:r>
      <w:r w:rsidR="002F36C0" w:rsidRPr="00E14CDC">
        <w:rPr>
          <w:i/>
          <w:iCs/>
        </w:rPr>
        <w:t>M</w:t>
      </w:r>
      <w:r w:rsidR="002F36C0" w:rsidRPr="00E14CDC">
        <w:t xml:space="preserve"> = 3799.72, </w:t>
      </w:r>
      <w:r w:rsidR="002F36C0" w:rsidRPr="00E14CDC">
        <w:rPr>
          <w:i/>
          <w:iCs/>
        </w:rPr>
        <w:t>SE</w:t>
      </w:r>
      <w:r w:rsidR="002F36C0" w:rsidRPr="00E14CDC">
        <w:t xml:space="preserve"> = 1498.79) was significantly shorter than</w:t>
      </w:r>
      <w:r w:rsidR="00652A14" w:rsidRPr="00E14CDC">
        <w:t xml:space="preserve"> both</w:t>
      </w:r>
      <w:r w:rsidR="002F36C0" w:rsidRPr="00E14CDC">
        <w:t xml:space="preserve"> the toy-out-of-reach (</w:t>
      </w:r>
      <w:r w:rsidR="002F36C0" w:rsidRPr="00E14CDC">
        <w:rPr>
          <w:i/>
          <w:iCs/>
        </w:rPr>
        <w:t>M</w:t>
      </w:r>
      <w:r w:rsidR="002F36C0" w:rsidRPr="00E14CDC">
        <w:t xml:space="preserve"> =19076.41, </w:t>
      </w:r>
      <w:r w:rsidR="002F36C0" w:rsidRPr="00E14CDC">
        <w:rPr>
          <w:i/>
          <w:iCs/>
        </w:rPr>
        <w:t>SE</w:t>
      </w:r>
      <w:r w:rsidR="002F36C0" w:rsidRPr="00E14CDC">
        <w:t xml:space="preserve"> = 1500.24) and the toy-in-reach (</w:t>
      </w:r>
      <w:r w:rsidR="002F36C0" w:rsidRPr="00E14CDC">
        <w:rPr>
          <w:i/>
          <w:iCs/>
        </w:rPr>
        <w:t>M</w:t>
      </w:r>
      <w:r w:rsidR="002F36C0" w:rsidRPr="00E14CDC">
        <w:t xml:space="preserve"> = 16170.79, </w:t>
      </w:r>
      <w:r w:rsidR="002F36C0" w:rsidRPr="00E14CDC">
        <w:rPr>
          <w:i/>
          <w:iCs/>
        </w:rPr>
        <w:t>SE</w:t>
      </w:r>
      <w:r w:rsidR="002F36C0" w:rsidRPr="00E14CDC">
        <w:t xml:space="preserve"> = 1500.28) durations (</w:t>
      </w:r>
      <w:r w:rsidR="002F36C0" w:rsidRPr="00E14CDC">
        <w:rPr>
          <w:i/>
          <w:iCs/>
        </w:rPr>
        <w:t>p</w:t>
      </w:r>
      <w:r w:rsidR="002F36C0" w:rsidRPr="00E14CDC">
        <w:t>s &lt; 0.001) There was no difference between the toy-out-of-reach and</w:t>
      </w:r>
      <w:r w:rsidR="00652A14" w:rsidRPr="00E14CDC">
        <w:t xml:space="preserve"> the</w:t>
      </w:r>
      <w:r w:rsidR="002F36C0" w:rsidRPr="00E14CDC">
        <w:t xml:space="preserve"> toy-in-reach durations (</w:t>
      </w:r>
      <w:r w:rsidR="002F36C0" w:rsidRPr="00E14CDC">
        <w:rPr>
          <w:i/>
          <w:iCs/>
        </w:rPr>
        <w:t>p</w:t>
      </w:r>
      <w:r w:rsidR="002F36C0" w:rsidRPr="00E14CDC">
        <w:t xml:space="preserve"> &gt;.05, see Figure 5). There was additionally a significant effect of Proximity and Week (Wald χ2(20) = 76.482 </w:t>
      </w:r>
      <w:r w:rsidR="002F36C0" w:rsidRPr="00E14CDC">
        <w:rPr>
          <w:i/>
          <w:iCs/>
        </w:rPr>
        <w:t>p</w:t>
      </w:r>
      <w:r w:rsidR="002F36C0" w:rsidRPr="00E14CDC">
        <w:t xml:space="preserve"> &lt; 0.001; see Figure 6 and Table 5 for estimated means). The </w:t>
      </w:r>
      <w:r w:rsidR="00562F06" w:rsidRPr="00E14CDC">
        <w:t>toy</w:t>
      </w:r>
      <w:r w:rsidR="002F36C0" w:rsidRPr="00E14CDC">
        <w:t xml:space="preserve">-in-reach decreased significantly from week </w:t>
      </w:r>
      <w:r w:rsidR="00652A14" w:rsidRPr="00E14CDC">
        <w:t>0, reach-onset,</w:t>
      </w:r>
      <w:r w:rsidR="002F36C0" w:rsidRPr="00E14CDC">
        <w:t xml:space="preserve"> to week </w:t>
      </w:r>
      <w:r w:rsidR="00AB7D6A" w:rsidRPr="00E14CDC">
        <w:t>5,</w:t>
      </w:r>
      <w:r w:rsidR="002F36C0" w:rsidRPr="00E14CDC">
        <w:t xml:space="preserve"> when infants reached as expected. </w:t>
      </w:r>
    </w:p>
    <w:p w14:paraId="4FC44225" w14:textId="77777777" w:rsidR="002F36C0" w:rsidRPr="00E14CDC" w:rsidRDefault="002F36C0" w:rsidP="004B228C">
      <w:pPr>
        <w:keepNext/>
        <w:spacing w:before="240" w:after="60" w:line="480" w:lineRule="auto"/>
        <w:jc w:val="center"/>
        <w:outlineLvl w:val="1"/>
        <w:rPr>
          <w:iCs/>
        </w:rPr>
      </w:pPr>
      <w:bookmarkStart w:id="60" w:name="_Toc173185061"/>
      <w:r w:rsidRPr="00E14CDC">
        <w:rPr>
          <w:iCs/>
        </w:rPr>
        <w:lastRenderedPageBreak/>
        <w:t>Movement events</w:t>
      </w:r>
      <w:bookmarkEnd w:id="60"/>
    </w:p>
    <w:p w14:paraId="7E3510F7" w14:textId="77777777" w:rsidR="008C02ED" w:rsidRPr="00E14CDC" w:rsidRDefault="002F36C0" w:rsidP="008C02ED">
      <w:pPr>
        <w:spacing w:line="480" w:lineRule="auto"/>
        <w:ind w:firstLine="720"/>
      </w:pPr>
      <w:r w:rsidRPr="00E14CDC">
        <w:t>To understand the developmental trajectory of non-reaching movements in the weeks surrounding the reach-onset, I analyzed the frequency, durations, and rate of non-reaching movement events across 11 weeks of observation around reach onset, the zones of object proximity, and types of movement events: face contacts, midline clasps, and mouth contacts.</w:t>
      </w:r>
      <w:r w:rsidR="008C02ED" w:rsidRPr="00E14CDC">
        <w:t xml:space="preserve"> </w:t>
      </w:r>
    </w:p>
    <w:p w14:paraId="18DC81F8" w14:textId="7AC216B4" w:rsidR="008C02ED" w:rsidRPr="00E14CDC" w:rsidRDefault="008C02ED" w:rsidP="008C02ED">
      <w:pPr>
        <w:spacing w:line="480" w:lineRule="auto"/>
        <w:ind w:firstLine="720"/>
      </w:pPr>
      <w:r w:rsidRPr="00E14CDC">
        <w:t xml:space="preserve">Following the findings of Von Hofsten </w:t>
      </w:r>
      <w:r w:rsidRPr="00E14CDC">
        <w:fldChar w:fldCharType="begin"/>
      </w:r>
      <w:r w:rsidR="00B33CB1" w:rsidRPr="00E14CDC">
        <w:instrText xml:space="preserve"> ADDIN ZOTERO_ITEM CSL_CITATION {"citationID":"w27yyHzt","properties":{"formattedCitation":"(1982; 1964)","plainCitation":"(1982; 1964)","dontUpdate":true,"noteIndex":0},"citationItems":[{"id":28,"uris":["http://zotero.org/users/local/uKe4C4Lg/items/CHMT43Y4"],"itemData":{"id":28,"type":"article-journal","abstract":"Examined in Exp I the number and distribution of arm–hand movements of 14 newborn infants when a slowly moving object was either present or absent. More of the movements performed while the infant fixated the object were forward extended than otherwise. However, there was no difference in the absolute frequency of forward extension between periods when the object was present and when it was absent. In Exp II, the forward extensions of 13 infants were analyzed by a technique that took into consideration the 3-dimensional properties of arm–hand movements. The movements performed while the neonate fixated the object were aimed closer at the object than other movements. The effect was not a function of changes in body posture or head direction accompanying changes in visual direction. It was further shown that fixated movements clustered closer around the object and that the hand slowed down near the object in the best aimed of the fixated movements. It is concluded that there exists in the newborn a rudimentary form of eye–hand coordination, the primary function of which is attentional rather than manipulative. (30 ref) (PsycINFO Database Record (c) 2016 APA, all rights reserved)","archive":"APA PsycArticles®","archive_location":"614290528; 1982-23347-001","container-title":"Developmental Psychology","DOI":"10.1037/0012-1649.18.3.450","ISSN":"0012-1649, 0012-1649","issue":"3","language":"English","note":"publisher-place: Washington\npublisher: American Psychological Association, American Psychological Association","page":"450-461","title":"Eye–hand coordination in the newborn","volume":"18","author":[{"family":"Hofsten","given":"Claes","non-dropping-particle":"von"}],"issued":{"date-parts":[["1982",5]]}},"label":"page","suppress-author":true},{"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L"},{"family":"Castle","given":"Peter"},{"family":"Held","given":"Richard"}],"issued":{"date-parts":[["1964"]]}},"label":"page","suppress-author":true}],"schema":"https://github.com/citation-style-language/schema/raw/master/csl-citation.json"} </w:instrText>
      </w:r>
      <w:r w:rsidRPr="00E14CDC">
        <w:fldChar w:fldCharType="separate"/>
      </w:r>
      <w:r w:rsidRPr="00E14CDC">
        <w:t>(1982) and White (1964)</w:t>
      </w:r>
      <w:r w:rsidRPr="00E14CDC">
        <w:fldChar w:fldCharType="end"/>
      </w:r>
      <w:r w:rsidRPr="00E14CDC">
        <w:t xml:space="preserve">There are motor similarities between midline clasping, which infants produce when a toy is in view but they cannot yet reach. Infants should produce more midline clasps than other events up to reach-onset. These similarities between midline clasping and reaching both rely on </w:t>
      </w:r>
      <w:r w:rsidR="00AB7D6A" w:rsidRPr="00E14CDC">
        <w:t>arms</w:t>
      </w:r>
      <w:r w:rsidRPr="00E14CDC">
        <w:t xml:space="preserve"> control and extension; I expect these behaviors to increase as infants approach reach-onset</w:t>
      </w:r>
      <w:r w:rsidR="00AB7D6A" w:rsidRPr="00E14CDC">
        <w:t>,</w:t>
      </w:r>
      <w:r w:rsidRPr="00E14CDC">
        <w:t xml:space="preserve"> giving way to reaching and followed by a decrease in the weeks following reach-onset. Mouth and face events should be more frequent in the earliest weeks when arm extensions require more muscular control in a seated position before decreasing following reach</w:t>
      </w:r>
      <w:r w:rsidR="00AB7D6A" w:rsidRPr="00E14CDC">
        <w:t>-</w:t>
      </w:r>
      <w:r w:rsidRPr="00E14CDC">
        <w:t>onset (Bakker et al.</w:t>
      </w:r>
      <w:r w:rsidR="00AB7D6A" w:rsidRPr="00E14CDC">
        <w:t>,</w:t>
      </w:r>
      <w:r w:rsidRPr="00E14CDC">
        <w:t xml:space="preserve"> 2010). These events will occur most when the object is outside of their reach and decrease initially in the toy-in-reach phase when infants tend to lock up before reach-onset (Thelen et al.</w:t>
      </w:r>
      <w:r w:rsidR="00AB7D6A" w:rsidRPr="00E14CDC">
        <w:t>,</w:t>
      </w:r>
      <w:r w:rsidRPr="00E14CDC">
        <w:t xml:space="preserve"> 1993). </w:t>
      </w:r>
    </w:p>
    <w:p w14:paraId="0B807243" w14:textId="77777777" w:rsidR="002B0501" w:rsidRPr="00E14CDC" w:rsidRDefault="002B0501" w:rsidP="008C02ED">
      <w:pPr>
        <w:spacing w:line="480" w:lineRule="auto"/>
        <w:ind w:firstLine="720"/>
      </w:pPr>
    </w:p>
    <w:p w14:paraId="5B50D130" w14:textId="77777777" w:rsidR="002F36C0" w:rsidRPr="00E14CDC" w:rsidRDefault="002F36C0" w:rsidP="004B228C">
      <w:pPr>
        <w:keepNext/>
        <w:spacing w:line="480" w:lineRule="auto"/>
        <w:outlineLvl w:val="2"/>
        <w:rPr>
          <w:i/>
        </w:rPr>
      </w:pPr>
      <w:bookmarkStart w:id="61" w:name="_Toc166576511"/>
      <w:bookmarkStart w:id="62" w:name="_Toc173185062"/>
      <w:r w:rsidRPr="00E14CDC">
        <w:rPr>
          <w:i/>
        </w:rPr>
        <w:t>Frequency</w:t>
      </w:r>
      <w:bookmarkEnd w:id="61"/>
      <w:bookmarkEnd w:id="62"/>
    </w:p>
    <w:p w14:paraId="38BC76B4" w14:textId="4311B1BD" w:rsidR="002F36C0" w:rsidRPr="00E14CDC" w:rsidRDefault="002F36C0" w:rsidP="004B228C">
      <w:pPr>
        <w:spacing w:line="480" w:lineRule="auto"/>
        <w:ind w:firstLine="720"/>
      </w:pPr>
      <w:r w:rsidRPr="00E14CDC">
        <w:t>The analysis of the event frequencies revealed statistically significant main effects for weeks (Wald χ2(10) = 24.597</w:t>
      </w:r>
      <w:r w:rsidRPr="00E14CDC">
        <w:rPr>
          <w:i/>
          <w:iCs/>
        </w:rPr>
        <w:t xml:space="preserve"> p =</w:t>
      </w:r>
      <w:r w:rsidRPr="00E14CDC">
        <w:t xml:space="preserve"> 0.006; see Figure 7 and Table 6 for means), movement event type (Wald χ2(2) = 26.284 </w:t>
      </w:r>
      <w:r w:rsidRPr="00E14CDC">
        <w:rPr>
          <w:i/>
          <w:iCs/>
        </w:rPr>
        <w:t>p</w:t>
      </w:r>
      <w:r w:rsidRPr="00E14CDC">
        <w:t xml:space="preserve"> &lt; 0.001, see Table 7 for means), and </w:t>
      </w:r>
      <w:r w:rsidRPr="00E14CDC">
        <w:lastRenderedPageBreak/>
        <w:t xml:space="preserve">proximity (Wald χ2(2) = 10.012 </w:t>
      </w:r>
      <w:r w:rsidRPr="00E14CDC">
        <w:rPr>
          <w:i/>
          <w:iCs/>
        </w:rPr>
        <w:t xml:space="preserve">p </w:t>
      </w:r>
      <w:r w:rsidRPr="00E14CDC">
        <w:t>= 0.007; see Table 8 for means). Pairwise comparisons revealed no significant differences between the individual weeks (</w:t>
      </w:r>
      <w:r w:rsidRPr="00E14CDC">
        <w:rPr>
          <w:i/>
          <w:iCs/>
        </w:rPr>
        <w:t>p</w:t>
      </w:r>
      <w:r w:rsidRPr="00E14CDC">
        <w:t>s &gt; 0.05). Mouth contacts occurred more frequently than either hand or face contacts (</w:t>
      </w:r>
      <w:r w:rsidRPr="00E14CDC">
        <w:rPr>
          <w:i/>
          <w:iCs/>
        </w:rPr>
        <w:t>p</w:t>
      </w:r>
      <w:r w:rsidRPr="00E14CDC">
        <w:t>s &lt;.001). The latter did not differ from one another (</w:t>
      </w:r>
      <w:r w:rsidRPr="00E14CDC">
        <w:rPr>
          <w:i/>
          <w:iCs/>
        </w:rPr>
        <w:t>p</w:t>
      </w:r>
      <w:r w:rsidRPr="00E14CDC">
        <w:t xml:space="preserve"> &gt; 0.05; see Figure 7)). Finally, pairwise comparisons revealed that events occurred more frequently during toy-out-of-reach than during toy-moving-into-reach (</w:t>
      </w:r>
      <w:r w:rsidRPr="00E14CDC">
        <w:rPr>
          <w:i/>
          <w:iCs/>
        </w:rPr>
        <w:t>p</w:t>
      </w:r>
      <w:r w:rsidRPr="00E14CDC">
        <w:t xml:space="preserve"> = 0.006). However, the frequency of toy-in-reach events did not differ from the other two proximities (</w:t>
      </w:r>
      <w:r w:rsidRPr="00E14CDC">
        <w:rPr>
          <w:i/>
          <w:iCs/>
        </w:rPr>
        <w:t>p</w:t>
      </w:r>
      <w:r w:rsidRPr="00E14CDC">
        <w:t>s &gt; 0.05; see Table 8 for mean estimates).</w:t>
      </w:r>
    </w:p>
    <w:p w14:paraId="3122B461" w14:textId="143003FA" w:rsidR="002F36C0" w:rsidRPr="00E14CDC" w:rsidRDefault="002F36C0" w:rsidP="004B228C">
      <w:pPr>
        <w:spacing w:line="480" w:lineRule="auto"/>
        <w:ind w:firstLine="720"/>
      </w:pPr>
      <w:bookmarkStart w:id="63" w:name="_Hlk166681886"/>
      <w:r w:rsidRPr="00E14CDC">
        <w:t xml:space="preserve">Statistically significant interactions between independent variables were identified across all </w:t>
      </w:r>
      <w:r w:rsidR="00AB7D6A" w:rsidRPr="00E14CDC">
        <w:t>four</w:t>
      </w:r>
      <w:r w:rsidRPr="00E14CDC">
        <w:t xml:space="preserve"> possible permutations: weeks by movement event type (Wald χ2(20) = 44.543 </w:t>
      </w:r>
      <w:r w:rsidRPr="00E14CDC">
        <w:rPr>
          <w:i/>
          <w:iCs/>
        </w:rPr>
        <w:t xml:space="preserve">p </w:t>
      </w:r>
      <w:r w:rsidRPr="00E14CDC">
        <w:t xml:space="preserve">= 0.001; see Figure 7 and Table 9 for estimated means), weeks by object proximity (Wald χ2(20) = 34.292 </w:t>
      </w:r>
      <w:r w:rsidRPr="00E14CDC">
        <w:rPr>
          <w:i/>
          <w:iCs/>
        </w:rPr>
        <w:t xml:space="preserve">p </w:t>
      </w:r>
      <w:r w:rsidRPr="00E14CDC">
        <w:t xml:space="preserve">= 0.024; See Table 10 for estimated means), movement event type by object proximity (Wald χ2(4) = 9.675 </w:t>
      </w:r>
      <w:r w:rsidRPr="00E14CDC">
        <w:rPr>
          <w:i/>
          <w:iCs/>
        </w:rPr>
        <w:t xml:space="preserve">p </w:t>
      </w:r>
      <w:r w:rsidRPr="00E14CDC">
        <w:t xml:space="preserve">= 0.046, see Figure 8 and  Table 11 for estimated means), and weeks by movement event type by proximity (Wald χ2(40) = 61.290 </w:t>
      </w:r>
      <w:r w:rsidRPr="00E14CDC">
        <w:rPr>
          <w:i/>
          <w:iCs/>
        </w:rPr>
        <w:t>p</w:t>
      </w:r>
      <w:r w:rsidRPr="00E14CDC">
        <w:t xml:space="preserve"> = 0.017, see Table 14 for mean estimates and Figure 10). </w:t>
      </w:r>
    </w:p>
    <w:bookmarkEnd w:id="63"/>
    <w:p w14:paraId="1B6EB0AD" w14:textId="77777777" w:rsidR="002F36C0" w:rsidRPr="00E14CDC" w:rsidRDefault="002F36C0" w:rsidP="004B228C">
      <w:pPr>
        <w:spacing w:line="480" w:lineRule="auto"/>
      </w:pPr>
    </w:p>
    <w:p w14:paraId="007CA29C" w14:textId="77777777" w:rsidR="002F36C0" w:rsidRPr="00E14CDC" w:rsidRDefault="002F36C0" w:rsidP="004B228C">
      <w:pPr>
        <w:spacing w:line="480" w:lineRule="auto"/>
      </w:pPr>
      <w:r w:rsidRPr="00E14CDC">
        <w:t>Week by event (Figure 7)</w:t>
      </w:r>
    </w:p>
    <w:p w14:paraId="1639125E" w14:textId="3F445B0F" w:rsidR="002F36C0" w:rsidRPr="00E14CDC" w:rsidRDefault="002F36C0" w:rsidP="00CC578B">
      <w:pPr>
        <w:spacing w:line="480" w:lineRule="auto"/>
        <w:ind w:firstLine="720"/>
      </w:pPr>
      <w:r w:rsidRPr="00E14CDC">
        <w:t>The frequency of mouth events increased from week -5 to week -3.  Mouth contact at this time was significantly higher than face or hand events. Mouth frequencies then decreased for the following weeks until peaking again at week 4, significantly higher than weeks 5 and -5 (</w:t>
      </w:r>
      <w:r w:rsidRPr="00E14CDC">
        <w:rPr>
          <w:i/>
          <w:iCs/>
        </w:rPr>
        <w:t>ps &lt; 0.05)</w:t>
      </w:r>
      <w:r w:rsidRPr="00E14CDC">
        <w:t xml:space="preserve">. There were no significant differences between hand and face contacts during the weeks of observation (see </w:t>
      </w:r>
      <w:r w:rsidR="00AB7D6A" w:rsidRPr="00E14CDC">
        <w:t>Table</w:t>
      </w:r>
      <w:r w:rsidRPr="00E14CDC">
        <w:t xml:space="preserve"> 9 for mean estimates).</w:t>
      </w:r>
      <w:r w:rsidR="00AB7D6A" w:rsidRPr="00E14CDC">
        <w:t xml:space="preserve"> </w:t>
      </w:r>
      <w:r w:rsidRPr="00E14CDC">
        <w:t xml:space="preserve">Overall, </w:t>
      </w:r>
      <w:r w:rsidRPr="00E14CDC">
        <w:lastRenderedPageBreak/>
        <w:t xml:space="preserve">infants produced more mouth events from week -4 to week </w:t>
      </w:r>
      <w:r w:rsidR="00AB7D6A" w:rsidRPr="00E14CDC">
        <w:t>four</w:t>
      </w:r>
      <w:r w:rsidRPr="00E14CDC">
        <w:t xml:space="preserve"> than either face or middle clasping. </w:t>
      </w:r>
    </w:p>
    <w:p w14:paraId="0EED0419" w14:textId="77777777" w:rsidR="00AF296E" w:rsidRPr="00E14CDC" w:rsidRDefault="00AF296E" w:rsidP="00CC578B">
      <w:pPr>
        <w:spacing w:line="480" w:lineRule="auto"/>
        <w:ind w:firstLine="720"/>
      </w:pPr>
    </w:p>
    <w:p w14:paraId="2682622A" w14:textId="77777777" w:rsidR="002F36C0" w:rsidRPr="00E14CDC" w:rsidRDefault="002F36C0" w:rsidP="004B228C">
      <w:pPr>
        <w:spacing w:line="480" w:lineRule="auto"/>
      </w:pPr>
      <w:r w:rsidRPr="00E14CDC">
        <w:t>Week by proximity</w:t>
      </w:r>
    </w:p>
    <w:p w14:paraId="72FC99B4" w14:textId="77777777" w:rsidR="002F36C0" w:rsidRPr="00E14CDC" w:rsidRDefault="002F36C0" w:rsidP="004B228C">
      <w:pPr>
        <w:spacing w:line="480" w:lineRule="auto"/>
        <w:ind w:firstLine="720"/>
      </w:pPr>
      <w:r w:rsidRPr="00E14CDC">
        <w:t>The frequency of movement events occurring while the object was within reach peaked at week -3 before decreasing through the remaining weeks. Further, non-reach activities occurring when the object was out of reach peaked at week 4, well into the infant's reaching experience (</w:t>
      </w:r>
      <w:r w:rsidRPr="00E14CDC">
        <w:rPr>
          <w:i/>
          <w:iCs/>
        </w:rPr>
        <w:t xml:space="preserve">p </w:t>
      </w:r>
      <w:r w:rsidRPr="00E14CDC">
        <w:t>&lt; 0.05). Infants shifted their non-reaching movements from when the object was within reach to when it was outside their reach.  Event frequency when the object was moving into its reaching space remained low across all observation weeks (see Table 10 for mean estimates).</w:t>
      </w:r>
    </w:p>
    <w:p w14:paraId="5FA19449" w14:textId="77777777" w:rsidR="002F36C0" w:rsidRPr="00E14CDC" w:rsidRDefault="002F36C0" w:rsidP="004B228C">
      <w:pPr>
        <w:spacing w:line="480" w:lineRule="auto"/>
      </w:pPr>
    </w:p>
    <w:p w14:paraId="54C2A523" w14:textId="77777777" w:rsidR="002F36C0" w:rsidRPr="00E14CDC" w:rsidRDefault="002F36C0" w:rsidP="004B228C">
      <w:pPr>
        <w:spacing w:line="480" w:lineRule="auto"/>
      </w:pPr>
      <w:r w:rsidRPr="00E14CDC">
        <w:t>Proximity by event</w:t>
      </w:r>
    </w:p>
    <w:p w14:paraId="4A4609C7" w14:textId="77777777" w:rsidR="002F36C0" w:rsidRPr="00E14CDC" w:rsidRDefault="002F36C0" w:rsidP="004B228C">
      <w:pPr>
        <w:spacing w:line="480" w:lineRule="auto"/>
        <w:ind w:firstLine="720"/>
      </w:pPr>
      <w:r w:rsidRPr="00E14CDC">
        <w:t>The frequency of mouth events was significantly higher when the toy was outside of their reach. Still, these contacts were consistently more frequent than midline clasping or face contacts (ps &lt; 0.05; see Table 11 for mean estimates).</w:t>
      </w:r>
    </w:p>
    <w:p w14:paraId="7BF1FDDE" w14:textId="77777777" w:rsidR="002F36C0" w:rsidRPr="00E14CDC" w:rsidRDefault="002F36C0" w:rsidP="004B228C">
      <w:pPr>
        <w:spacing w:line="480" w:lineRule="auto"/>
      </w:pPr>
    </w:p>
    <w:p w14:paraId="0DA5210B" w14:textId="77777777" w:rsidR="002F36C0" w:rsidRPr="00E14CDC" w:rsidRDefault="002F36C0" w:rsidP="004B228C">
      <w:pPr>
        <w:spacing w:line="480" w:lineRule="auto"/>
      </w:pPr>
      <w:r w:rsidRPr="00E14CDC">
        <w:t>Week by proximity by event</w:t>
      </w:r>
    </w:p>
    <w:p w14:paraId="12F14BFC" w14:textId="77777777" w:rsidR="002F36C0" w:rsidRPr="00E14CDC" w:rsidRDefault="002F36C0" w:rsidP="004B228C">
      <w:pPr>
        <w:spacing w:line="480" w:lineRule="auto"/>
        <w:ind w:firstLine="720"/>
      </w:pPr>
      <w:r w:rsidRPr="00E14CDC">
        <w:t xml:space="preserve">Both face and hand event frequencies remained low throughout the weeks around reach-onset and across the three proximity zones. Infants showed the most notable change in the frequency of mouth events. These events occurred most frequently before reach-onset when the object was within their reach. Following reach onset, these events </w:t>
      </w:r>
      <w:r w:rsidRPr="00E14CDC">
        <w:lastRenderedPageBreak/>
        <w:t>occur when the object is outside the infant’s reach. These frequencies were initially high in the toy-within-reach proximity for the first weeks of observation before subsequently decreasing in the latter weeks (</w:t>
      </w:r>
      <w:r w:rsidRPr="00E14CDC">
        <w:rPr>
          <w:i/>
          <w:iCs/>
        </w:rPr>
        <w:t>p</w:t>
      </w:r>
      <w:r w:rsidRPr="00E14CDC">
        <w:t>s &lt; 0.05; see Figure 8 and Table 12 for estimated means)</w:t>
      </w:r>
    </w:p>
    <w:p w14:paraId="4DFCC3BC" w14:textId="77777777" w:rsidR="002F36C0" w:rsidRPr="00E14CDC" w:rsidRDefault="002F36C0" w:rsidP="004B228C">
      <w:pPr>
        <w:spacing w:line="480" w:lineRule="auto"/>
        <w:rPr>
          <w:i/>
          <w:iCs/>
        </w:rPr>
      </w:pPr>
      <w:r w:rsidRPr="00E14CDC">
        <w:tab/>
        <w:t>Contrary to my hypotheses, infants did not produce a large amount of midline clasping but rather mouth contact.  They did show a transition from events occurring within reach to outside of reach. Furthermore, while they did display increased activity approaching reach onset, the decrease was not as significant as expected and slowly tapered off before peaking again in the fourth week of reaching.</w:t>
      </w:r>
    </w:p>
    <w:p w14:paraId="74EDDE2F" w14:textId="77777777" w:rsidR="002F36C0" w:rsidRPr="00E14CDC" w:rsidRDefault="002F36C0" w:rsidP="004B228C">
      <w:pPr>
        <w:spacing w:line="480" w:lineRule="auto"/>
      </w:pPr>
      <w:r w:rsidRPr="00E14CDC">
        <w:tab/>
      </w:r>
    </w:p>
    <w:p w14:paraId="64719793" w14:textId="77777777" w:rsidR="002F36C0" w:rsidRPr="00E14CDC" w:rsidRDefault="002F36C0" w:rsidP="004B228C">
      <w:pPr>
        <w:keepNext/>
        <w:numPr>
          <w:ilvl w:val="2"/>
          <w:numId w:val="0"/>
        </w:numPr>
        <w:spacing w:line="480" w:lineRule="auto"/>
        <w:outlineLvl w:val="2"/>
        <w:rPr>
          <w:i/>
        </w:rPr>
      </w:pPr>
      <w:bookmarkStart w:id="64" w:name="_Toc166576512"/>
      <w:bookmarkStart w:id="65" w:name="_Toc173185063"/>
      <w:r w:rsidRPr="00E14CDC">
        <w:rPr>
          <w:i/>
        </w:rPr>
        <w:t>Rate</w:t>
      </w:r>
      <w:bookmarkEnd w:id="64"/>
      <w:bookmarkEnd w:id="65"/>
    </w:p>
    <w:p w14:paraId="74D0CED2" w14:textId="7D029274" w:rsidR="002F36C0" w:rsidRPr="00E14CDC" w:rsidRDefault="002F36C0" w:rsidP="004B228C">
      <w:pPr>
        <w:spacing w:line="480" w:lineRule="auto"/>
        <w:ind w:firstLine="720"/>
      </w:pPr>
      <w:r w:rsidRPr="00E14CDC">
        <w:t xml:space="preserve">Like frequencies, event rates allow for a more detailed understanding of the behaviors infants are producing. Unlike frequencies, however, rates allow us to normalize the number of events controlling for individual differences in the number of trials performed each week and, subsequently, the number of events infants produce. Again, following the findings of Von Hofsten </w:t>
      </w:r>
      <w:r w:rsidRPr="00E14CDC">
        <w:fldChar w:fldCharType="begin"/>
      </w:r>
      <w:r w:rsidR="00B33CB1" w:rsidRPr="00E14CDC">
        <w:instrText xml:space="preserve"> ADDIN ZOTERO_ITEM CSL_CITATION {"citationID":"NocSAkzL","properties":{"formattedCitation":"(1982; 1964)","plainCitation":"(1982; 1964)","dontUpdate":true,"noteIndex":0},"citationItems":[{"id":28,"uris":["http://zotero.org/users/local/uKe4C4Lg/items/CHMT43Y4"],"itemData":{"id":28,"type":"article-journal","abstract":"Examined in Exp I the number and distribution of arm–hand movements of 14 newborn infants when a slowly moving object was either present or absent. More of the movements performed while the infant fixated the object were forward extended than otherwise. However, there was no difference in the absolute frequency of forward extension between periods when the object was present and when it was absent. In Exp II, the forward extensions of 13 infants were analyzed by a technique that took into consideration the 3-dimensional properties of arm–hand movements. The movements performed while the neonate fixated the object were aimed closer at the object than other movements. The effect was not a function of changes in body posture or head direction accompanying changes in visual direction. It was further shown that fixated movements clustered closer around the object and that the hand slowed down near the object in the best aimed of the fixated movements. It is concluded that there exists in the newborn a rudimentary form of eye–hand coordination, the primary function of which is attentional rather than manipulative. (30 ref) (PsycINFO Database Record (c) 2016 APA, all rights reserved)","archive":"APA PsycArticles®","archive_location":"614290528; 1982-23347-001","container-title":"Developmental Psychology","DOI":"10.1037/0012-1649.18.3.450","ISSN":"0012-1649, 0012-1649","issue":"3","language":"English","note":"publisher-place: Washington\npublisher: American Psychological Association, American Psychological Association","page":"450-461","title":"Eye–hand coordination in the newborn","volume":"18","author":[{"family":"Hofsten","given":"Claes","non-dropping-particle":"von"}],"issued":{"date-parts":[["1982",5]]}},"label":"page","suppress-author":true},{"id":82,"uris":["http://zotero.org/users/local/uKe4C4Lg/items/6Z6J7CTP"],"itemData":{"id":82,"type":"article-journal","container-title":"Child development","ISSN":"0009-3920","journalAbbreviation":"Child development","note":"publisher: JSTOR","page":"349-364","title":"Observations on the development of visually-directed reaching","author":[{"family":"White","given":"Burton L"},{"family":"Castle","given":"Peter"},{"family":"Held","given":"Richard"}],"issued":{"date-parts":[["1964"]]}},"label":"page","suppress-author":true}],"schema":"https://github.com/citation-style-language/schema/raw/master/csl-citation.json"} </w:instrText>
      </w:r>
      <w:r w:rsidRPr="00E14CDC">
        <w:fldChar w:fldCharType="separate"/>
      </w:r>
      <w:r w:rsidRPr="00E14CDC">
        <w:t>(1982) and White (1964)</w:t>
      </w:r>
      <w:r w:rsidRPr="00E14CDC">
        <w:fldChar w:fldCharType="end"/>
      </w:r>
      <w:r w:rsidRPr="00E14CDC">
        <w:t xml:space="preserve"> on midline clasping observations and the motor similarities between midline clasping, I expect these behaviors to increase as the infants approach reach-onset. Following the onset of reaching, I expect these to decrease as the reach experience decreases and infants begin to wait until the object is within reach before performing reaching movements. These events will occur most when the object is outside of their reach and decrease initially in the toy-in-reach before completely giving way to reaching for the object when it is within reach.</w:t>
      </w:r>
    </w:p>
    <w:p w14:paraId="099B4820" w14:textId="77777777" w:rsidR="002F36C0" w:rsidRPr="00E14CDC" w:rsidRDefault="002F36C0" w:rsidP="004B228C">
      <w:pPr>
        <w:spacing w:line="480" w:lineRule="auto"/>
        <w:ind w:firstLine="720"/>
      </w:pPr>
      <w:r w:rsidRPr="00E14CDC">
        <w:t xml:space="preserve"> </w:t>
      </w:r>
    </w:p>
    <w:p w14:paraId="725ECAD6" w14:textId="1E56180C" w:rsidR="002F36C0" w:rsidRPr="00E14CDC" w:rsidRDefault="002F36C0" w:rsidP="00AF296E">
      <w:pPr>
        <w:spacing w:line="480" w:lineRule="auto"/>
        <w:ind w:firstLine="720"/>
      </w:pPr>
      <w:r w:rsidRPr="00E14CDC">
        <w:lastRenderedPageBreak/>
        <w:t>Analyses of the event rates revealed that there was no main effect of weeks (Weeks Wald χ2(10) = 16.778</w:t>
      </w:r>
      <w:r w:rsidRPr="00E14CDC">
        <w:rPr>
          <w:i/>
          <w:iCs/>
        </w:rPr>
        <w:t xml:space="preserve"> p =</w:t>
      </w:r>
      <w:r w:rsidRPr="00E14CDC">
        <w:t xml:space="preserve"> 0.079; see Table 13 for estimated means). There was, however, an effect of movement event type (Wald χ2(2) = 50.589 </w:t>
      </w:r>
      <w:r w:rsidRPr="00E14CDC">
        <w:rPr>
          <w:i/>
          <w:iCs/>
        </w:rPr>
        <w:t>p</w:t>
      </w:r>
      <w:r w:rsidRPr="00E14CDC">
        <w:t xml:space="preserve"> &lt; 0.001; see Table 14 for estimated means) and proximity (Wald χ2(2) = 66.192 </w:t>
      </w:r>
      <w:r w:rsidRPr="00E14CDC">
        <w:rPr>
          <w:i/>
          <w:iCs/>
        </w:rPr>
        <w:t>p &lt;</w:t>
      </w:r>
      <w:r w:rsidRPr="00E14CDC">
        <w:t xml:space="preserve"> 0.001; see Table 15 for estimated means). Pairwise comparisons of the movement event types revealed that the rate of mouth events was significantly higher than either the hand or face event rates (</w:t>
      </w:r>
      <w:r w:rsidRPr="00E14CDC">
        <w:rPr>
          <w:i/>
          <w:iCs/>
        </w:rPr>
        <w:t>p</w:t>
      </w:r>
      <w:r w:rsidRPr="00E14CDC">
        <w:t>s &lt;.001</w:t>
      </w:r>
      <w:r w:rsidRPr="00E14CDC">
        <w:rPr>
          <w:u w:val="single"/>
        </w:rPr>
        <w:t>),</w:t>
      </w:r>
      <w:r w:rsidRPr="00E14CDC">
        <w:t xml:space="preserve"> the latter not differing from one another (</w:t>
      </w:r>
      <w:r w:rsidRPr="00E14CDC">
        <w:rPr>
          <w:i/>
          <w:iCs/>
        </w:rPr>
        <w:t>p</w:t>
      </w:r>
      <w:r w:rsidRPr="00E14CDC">
        <w:t xml:space="preserve"> &gt; 0.05; see Figure 9). Additionally, the rate of events during toy-out-of-reach was higher than during toy-moving-into-reach (</w:t>
      </w:r>
      <w:r w:rsidRPr="00E14CDC">
        <w:rPr>
          <w:i/>
          <w:iCs/>
        </w:rPr>
        <w:t>p</w:t>
      </w:r>
      <w:r w:rsidRPr="00E14CDC">
        <w:t xml:space="preserve"> &lt;0.001) and toy-in-reach (p &lt;0.01). The event rates during toy-in-reach were similar to those during toy-moving-into-reach (p &gt; 0.05; see Figure 10; see Table 15 for estimated means).</w:t>
      </w:r>
    </w:p>
    <w:p w14:paraId="3998669C" w14:textId="77777777" w:rsidR="002F36C0" w:rsidRPr="00E14CDC" w:rsidRDefault="002F36C0" w:rsidP="004B228C">
      <w:pPr>
        <w:spacing w:line="480" w:lineRule="auto"/>
        <w:ind w:firstLine="720"/>
      </w:pPr>
      <w:r w:rsidRPr="00E14CDC">
        <w:t xml:space="preserve">The GEE for event rates identified three significant interactions: weeks by proximity (Wald χ2(20) = 31.914 </w:t>
      </w:r>
      <w:r w:rsidRPr="00E14CDC">
        <w:rPr>
          <w:i/>
          <w:iCs/>
        </w:rPr>
        <w:t xml:space="preserve">p </w:t>
      </w:r>
      <w:r w:rsidRPr="00E14CDC">
        <w:t xml:space="preserve">= 0.044), movement event type by object proximity (Wald χ2(4) = 103.148 </w:t>
      </w:r>
      <w:r w:rsidRPr="00E14CDC">
        <w:rPr>
          <w:i/>
          <w:iCs/>
        </w:rPr>
        <w:t xml:space="preserve">p </w:t>
      </w:r>
      <w:r w:rsidRPr="00E14CDC">
        <w:t xml:space="preserve">&lt; 0.001), and weeks by movement event type by object proximity (Wald χ2(40) = 60.629 </w:t>
      </w:r>
      <w:r w:rsidRPr="00E14CDC">
        <w:rPr>
          <w:i/>
          <w:iCs/>
        </w:rPr>
        <w:t>p</w:t>
      </w:r>
      <w:r w:rsidRPr="00E14CDC">
        <w:t xml:space="preserve"> = 0.019). There was no significant difference for the weeks by event type (Wald χ2(20) = 27.480 </w:t>
      </w:r>
      <w:r w:rsidRPr="00E14CDC">
        <w:rPr>
          <w:i/>
          <w:iCs/>
        </w:rPr>
        <w:t xml:space="preserve">p </w:t>
      </w:r>
      <w:r w:rsidRPr="00E14CDC">
        <w:t>= 0.122; see table for mean estimates).</w:t>
      </w:r>
    </w:p>
    <w:p w14:paraId="26A533AF" w14:textId="77777777" w:rsidR="002F36C0" w:rsidRPr="00E14CDC" w:rsidRDefault="002F36C0" w:rsidP="004B228C">
      <w:pPr>
        <w:spacing w:line="480" w:lineRule="auto"/>
      </w:pPr>
    </w:p>
    <w:p w14:paraId="1C693521" w14:textId="67E53716" w:rsidR="002F36C0" w:rsidRPr="00E14CDC" w:rsidRDefault="002F36C0" w:rsidP="004B228C">
      <w:pPr>
        <w:spacing w:line="480" w:lineRule="auto"/>
      </w:pPr>
      <w:r w:rsidRPr="00E14CDC">
        <w:t>Week by movement type</w:t>
      </w:r>
    </w:p>
    <w:p w14:paraId="0B27E5CB" w14:textId="77777777" w:rsidR="002F36C0" w:rsidRPr="00E14CDC" w:rsidRDefault="002F36C0" w:rsidP="004B228C">
      <w:pPr>
        <w:spacing w:line="480" w:lineRule="auto"/>
        <w:ind w:firstLine="720"/>
      </w:pPr>
      <w:r w:rsidRPr="00E14CDC">
        <w:t>There was no significant interaction between week and event type for event rates (</w:t>
      </w:r>
      <w:r w:rsidRPr="00E14CDC">
        <w:rPr>
          <w:i/>
          <w:iCs/>
        </w:rPr>
        <w:t>p</w:t>
      </w:r>
      <w:r w:rsidRPr="00E14CDC">
        <w:t>s &gt; 0.05; see Table 16 for estimated means).</w:t>
      </w:r>
    </w:p>
    <w:p w14:paraId="14A75612" w14:textId="77777777" w:rsidR="002F36C0" w:rsidRPr="00E14CDC" w:rsidRDefault="002F36C0" w:rsidP="004B228C">
      <w:pPr>
        <w:spacing w:line="480" w:lineRule="auto"/>
      </w:pPr>
    </w:p>
    <w:p w14:paraId="729DA24A" w14:textId="77777777" w:rsidR="002F36C0" w:rsidRPr="00E14CDC" w:rsidRDefault="002F36C0" w:rsidP="004B228C">
      <w:pPr>
        <w:spacing w:line="480" w:lineRule="auto"/>
      </w:pPr>
      <w:r w:rsidRPr="00E14CDC">
        <w:t>Week by proximity</w:t>
      </w:r>
    </w:p>
    <w:p w14:paraId="2467E21A" w14:textId="77777777" w:rsidR="002F36C0" w:rsidRPr="00E14CDC" w:rsidRDefault="002F36C0" w:rsidP="004B228C">
      <w:pPr>
        <w:spacing w:line="480" w:lineRule="auto"/>
      </w:pPr>
    </w:p>
    <w:p w14:paraId="4059C49B" w14:textId="4B3283AB" w:rsidR="002F36C0" w:rsidRPr="00E14CDC" w:rsidRDefault="002F36C0" w:rsidP="004B228C">
      <w:pPr>
        <w:spacing w:line="480" w:lineRule="auto"/>
        <w:ind w:firstLine="720"/>
      </w:pPr>
      <w:r w:rsidRPr="00E14CDC">
        <w:t>The rate of events during toy-out-of-reach was significantly higher than in toy-in-reach and toy-moving-into-reach. Infants produced a higher rate of movement events when the object was outside their reaching space as opposed to moving into or within their reaching space. This increase continued to the week of reach onset, at which point it began to decline while still remaining higher than the other proximities (ps &lt; 0.01). There was no significant difference in event rates when the object was within reach or moving into reach (</w:t>
      </w:r>
      <w:r w:rsidRPr="00E14CDC">
        <w:rPr>
          <w:i/>
          <w:iCs/>
        </w:rPr>
        <w:t>p</w:t>
      </w:r>
      <w:r w:rsidRPr="00E14CDC">
        <w:t>s &gt; 0.05</w:t>
      </w:r>
      <w:r w:rsidR="00AB7D6A" w:rsidRPr="00E14CDC">
        <w:t>;</w:t>
      </w:r>
      <w:r w:rsidRPr="00E14CDC">
        <w:t xml:space="preserve"> see Table 17 for estimated means).</w:t>
      </w:r>
    </w:p>
    <w:p w14:paraId="4ED83AE2" w14:textId="77777777" w:rsidR="002F36C0" w:rsidRPr="00E14CDC" w:rsidRDefault="002F36C0" w:rsidP="004B228C">
      <w:pPr>
        <w:spacing w:line="480" w:lineRule="auto"/>
      </w:pPr>
    </w:p>
    <w:p w14:paraId="3E940A10" w14:textId="3C661D0D" w:rsidR="002F36C0" w:rsidRPr="00E14CDC" w:rsidRDefault="002F36C0" w:rsidP="004B228C">
      <w:pPr>
        <w:spacing w:line="480" w:lineRule="auto"/>
      </w:pPr>
      <w:r w:rsidRPr="00E14CDC">
        <w:t>Proximity by event</w:t>
      </w:r>
    </w:p>
    <w:p w14:paraId="5052E074" w14:textId="77777777" w:rsidR="002F36C0" w:rsidRPr="00E14CDC" w:rsidRDefault="002F36C0" w:rsidP="004B228C">
      <w:pPr>
        <w:spacing w:line="480" w:lineRule="auto"/>
        <w:ind w:firstLine="720"/>
      </w:pPr>
      <w:r w:rsidRPr="00E14CDC">
        <w:t>The average rate of mouth events during toy-out-of-reach was significantly higher than both hand and face event rates when the object was out of reach (</w:t>
      </w:r>
      <w:r w:rsidRPr="00E14CDC">
        <w:rPr>
          <w:i/>
          <w:iCs/>
        </w:rPr>
        <w:t>p</w:t>
      </w:r>
      <w:r w:rsidRPr="00E14CDC">
        <w:t>s &lt; 0.001). The rates for mouth contact were also higher in toy-out-of-reach than in the other two proximities (</w:t>
      </w:r>
      <w:r w:rsidRPr="00E14CDC">
        <w:rPr>
          <w:i/>
          <w:iCs/>
        </w:rPr>
        <w:t>p</w:t>
      </w:r>
      <w:r w:rsidRPr="00E14CDC">
        <w:t>s &lt; 0.001). Hand and face events were not significantly different from one another or across proximities (</w:t>
      </w:r>
      <w:r w:rsidRPr="00E14CDC">
        <w:rPr>
          <w:i/>
          <w:iCs/>
        </w:rPr>
        <w:t>p</w:t>
      </w:r>
      <w:r w:rsidRPr="00E14CDC">
        <w:t>s &gt; 0.05; see Table 18 for estimated means).</w:t>
      </w:r>
    </w:p>
    <w:p w14:paraId="16799769" w14:textId="77777777" w:rsidR="002F36C0" w:rsidRPr="00E14CDC" w:rsidRDefault="002F36C0" w:rsidP="004B228C">
      <w:pPr>
        <w:spacing w:line="480" w:lineRule="auto"/>
        <w:rPr>
          <w:color w:val="FF0000"/>
        </w:rPr>
      </w:pPr>
    </w:p>
    <w:p w14:paraId="43F6189E" w14:textId="347543F4" w:rsidR="002F36C0" w:rsidRPr="00E14CDC" w:rsidRDefault="002F36C0" w:rsidP="004B228C">
      <w:pPr>
        <w:spacing w:line="480" w:lineRule="auto"/>
      </w:pPr>
      <w:r w:rsidRPr="00E14CDC">
        <w:t>Week by proximity by event</w:t>
      </w:r>
    </w:p>
    <w:p w14:paraId="79B9BF14" w14:textId="5F7F2B35" w:rsidR="002F36C0" w:rsidRPr="00E14CDC" w:rsidRDefault="002F36C0" w:rsidP="00AF296E">
      <w:pPr>
        <w:spacing w:line="480" w:lineRule="auto"/>
        <w:ind w:firstLine="720"/>
      </w:pPr>
      <w:r w:rsidRPr="00E14CDC">
        <w:t>There was a significant interaction between week, area of object proximity, and event type for event rates. Overall, mouth contact events increased from week -5 to week -1, then decreased to week 5 in the toy-out-of-reach proximity (</w:t>
      </w:r>
      <w:r w:rsidRPr="00E14CDC">
        <w:rPr>
          <w:i/>
          <w:iCs/>
        </w:rPr>
        <w:t>p</w:t>
      </w:r>
      <w:r w:rsidRPr="00E14CDC">
        <w:t xml:space="preserve">s &lt; 0.01). There was no significant difference in rates by type in toy-moving-into-reach. While greater rates of face events were observed in the early weeks while the object was moving into reach, </w:t>
      </w:r>
      <w:r w:rsidRPr="00E14CDC">
        <w:lastRenderedPageBreak/>
        <w:t>they did not reach significance before dissipating in the later weeks following the reach-onset (ps &gt; 0.05, see Figure 10, see Table 19 for estimated means).</w:t>
      </w:r>
    </w:p>
    <w:p w14:paraId="65E46A55" w14:textId="6BF20711" w:rsidR="002F36C0" w:rsidRPr="00E14CDC" w:rsidRDefault="002F36C0" w:rsidP="004B228C">
      <w:pPr>
        <w:spacing w:line="480" w:lineRule="auto"/>
        <w:ind w:firstLine="720"/>
        <w:rPr>
          <w:i/>
          <w:iCs/>
        </w:rPr>
      </w:pPr>
      <w:r w:rsidRPr="00E14CDC">
        <w:t>Again, following the trend of frequencies, the results of the GEE do not align with my hypotheses. Infants did not produce a large amount of midline clasping but rather mouth contact.  They did show a transition from events occurring within reach to outside of reach. Furthermore, while they did display more mouth contact while the object was out of reach, this was true throughout the observation period. While frequency analyses revealed a transition of events from within reach to outside of their reaching space as infants began reaching, the rate did not reveal this trend. Rates occurred more so when the toy was outside of reach</w:t>
      </w:r>
      <w:r w:rsidR="00AB7D6A" w:rsidRPr="00E14CDC">
        <w:t>,</w:t>
      </w:r>
      <w:r w:rsidRPr="00E14CDC">
        <w:t xml:space="preserve"> regardless of the observation week.</w:t>
      </w:r>
    </w:p>
    <w:p w14:paraId="7D41E39C" w14:textId="77777777" w:rsidR="002F36C0" w:rsidRPr="00E14CDC" w:rsidRDefault="002F36C0" w:rsidP="004B228C">
      <w:pPr>
        <w:spacing w:line="480" w:lineRule="auto"/>
      </w:pPr>
    </w:p>
    <w:p w14:paraId="63C5CD3C" w14:textId="5B9E4A64" w:rsidR="002F36C0" w:rsidRPr="00E14CDC" w:rsidRDefault="002F36C0" w:rsidP="004B228C">
      <w:pPr>
        <w:keepNext/>
        <w:numPr>
          <w:ilvl w:val="2"/>
          <w:numId w:val="0"/>
        </w:numPr>
        <w:spacing w:line="480" w:lineRule="auto"/>
        <w:outlineLvl w:val="2"/>
        <w:rPr>
          <w:i/>
        </w:rPr>
      </w:pPr>
      <w:bookmarkStart w:id="66" w:name="_Toc166576513"/>
      <w:bookmarkStart w:id="67" w:name="_Toc173185064"/>
      <w:r w:rsidRPr="00E14CDC">
        <w:rPr>
          <w:i/>
        </w:rPr>
        <w:t>Summed Duration</w:t>
      </w:r>
      <w:bookmarkEnd w:id="66"/>
      <w:bookmarkEnd w:id="67"/>
    </w:p>
    <w:p w14:paraId="019F8F26" w14:textId="2CA97B1A" w:rsidR="002F36C0" w:rsidRPr="00E14CDC" w:rsidRDefault="002F36C0" w:rsidP="00AF296E">
      <w:pPr>
        <w:spacing w:line="480" w:lineRule="auto"/>
        <w:ind w:firstLine="720"/>
      </w:pPr>
      <w:bookmarkStart w:id="68" w:name="_Hlk166745675"/>
      <w:r w:rsidRPr="00E14CDC">
        <w:t xml:space="preserve">The frequency and rate of events are but one half of the coin in understanding the behavioral change occurring around reach onset. To fully appreciate the cascading relationship between non-reaching movements and the latter reaching, the duration of these events must be considered. Whenever an infant performs one of these events, they do not produce as much ambient movement; therefore, the longer the event lasts, the less overall activity we see. The summed duration reveals crucial information on the non-moving time in which infants have performed non-reaching movements that result in sustained contact with themselves via handclapping face and mouth contacts.  I hypothesize that as infants approach reach-onset, the duration of these events will </w:t>
      </w:r>
      <w:r w:rsidRPr="00E14CDC">
        <w:lastRenderedPageBreak/>
        <w:t>decrease as they continue to change their movements in an attempt -to reach before they become rigid in their movements, as described by Ester Thelen (1993).</w:t>
      </w:r>
    </w:p>
    <w:p w14:paraId="70C98660" w14:textId="7CE46F08" w:rsidR="002F36C0" w:rsidRPr="00E14CDC" w:rsidRDefault="002F36C0" w:rsidP="00AF296E">
      <w:pPr>
        <w:spacing w:line="480" w:lineRule="auto"/>
        <w:ind w:firstLine="720"/>
      </w:pPr>
      <w:r w:rsidRPr="00E14CDC">
        <w:t>Analyses of the summed event durations revealed statistically significant main effects for weeks (Wald χ2(10) = 135.248</w:t>
      </w:r>
      <w:r w:rsidRPr="00E14CDC">
        <w:rPr>
          <w:i/>
          <w:iCs/>
        </w:rPr>
        <w:t xml:space="preserve"> p &lt;</w:t>
      </w:r>
      <w:r w:rsidRPr="00E14CDC">
        <w:t xml:space="preserve"> 0.001; see Table 20 for estimated means), movement event type (Wald χ2(2) = 40.451 </w:t>
      </w:r>
      <w:r w:rsidRPr="00E14CDC">
        <w:rPr>
          <w:i/>
          <w:iCs/>
        </w:rPr>
        <w:t>p</w:t>
      </w:r>
      <w:r w:rsidRPr="00E14CDC">
        <w:t xml:space="preserve"> &lt; 0.001; see Table 21 for estimated means), and proximity (Wald χ2(2) = 15.414 </w:t>
      </w:r>
      <w:r w:rsidRPr="00E14CDC">
        <w:rPr>
          <w:i/>
          <w:iCs/>
        </w:rPr>
        <w:t>p</w:t>
      </w:r>
      <w:r w:rsidRPr="00E14CDC">
        <w:t xml:space="preserve"> &lt; 0.001; see Table 22 for estimated means). Pairwise comparisons revealed significant differences for weeks -3 and -1, with greater total durations than the other weeks (</w:t>
      </w:r>
      <w:r w:rsidRPr="00E14CDC">
        <w:rPr>
          <w:i/>
          <w:iCs/>
        </w:rPr>
        <w:t>p</w:t>
      </w:r>
      <w:r w:rsidRPr="00E14CDC">
        <w:t>s &lt;.001; see Figure 11). The summed duration of mouth contacts was significantly longer than either hand or face summed event durations (ps &lt;.001), and the latter did not differ from one another (</w:t>
      </w:r>
      <w:r w:rsidRPr="00E14CDC">
        <w:rPr>
          <w:i/>
          <w:iCs/>
        </w:rPr>
        <w:t>p</w:t>
      </w:r>
      <w:r w:rsidRPr="00E14CDC">
        <w:t xml:space="preserve"> &gt; 0.05). Finally, the overall summed duration of events occurring </w:t>
      </w:r>
      <w:r w:rsidR="00AB7D6A" w:rsidRPr="00E14CDC">
        <w:t>when the object was out of reach was significantly longer than when it was moving the infant's</w:t>
      </w:r>
      <w:r w:rsidRPr="00E14CDC">
        <w:t xml:space="preserve"> reaching space    (</w:t>
      </w:r>
      <w:r w:rsidRPr="00E14CDC">
        <w:rPr>
          <w:i/>
          <w:iCs/>
        </w:rPr>
        <w:t>p</w:t>
      </w:r>
      <w:r w:rsidRPr="00E14CDC">
        <w:t xml:space="preserve"> = 0.006). However, the duration of events during toy-in-reach was not statistically different from the other two proximities (</w:t>
      </w:r>
      <w:r w:rsidRPr="00E14CDC">
        <w:rPr>
          <w:i/>
          <w:iCs/>
        </w:rPr>
        <w:t>p</w:t>
      </w:r>
      <w:r w:rsidRPr="00E14CDC">
        <w:t>s &gt; 0.05; see Figure 12 and Table 22 for mean estimates).</w:t>
      </w:r>
    </w:p>
    <w:p w14:paraId="7E35157F" w14:textId="77777777" w:rsidR="002F36C0" w:rsidRPr="00E14CDC" w:rsidRDefault="002F36C0" w:rsidP="004B228C">
      <w:pPr>
        <w:spacing w:line="480" w:lineRule="auto"/>
        <w:ind w:firstLine="720"/>
      </w:pPr>
      <w:r w:rsidRPr="00E14CDC">
        <w:t xml:space="preserve">The GEE for summed duration identified two significant interactions: weeks by movement event type (Waldχ2(20) = 150.588 </w:t>
      </w:r>
      <w:r w:rsidRPr="00E14CDC">
        <w:rPr>
          <w:i/>
          <w:iCs/>
        </w:rPr>
        <w:t>p</w:t>
      </w:r>
      <w:r w:rsidRPr="00E14CDC">
        <w:t xml:space="preserve"> &lt; 0.001; see Table 23 for estimated means) and movement event type by object proximity (Wald χ2(4) = 27.219 </w:t>
      </w:r>
      <w:r w:rsidRPr="00E14CDC">
        <w:rPr>
          <w:i/>
          <w:iCs/>
        </w:rPr>
        <w:t xml:space="preserve">p </w:t>
      </w:r>
      <w:r w:rsidRPr="00E14CDC">
        <w:t xml:space="preserve">&lt; 0.001; see Table 24 for estimated means). There was no significant difference for the weeks by object proximity (Wald χ2(20) = 17.928 </w:t>
      </w:r>
      <w:r w:rsidRPr="00E14CDC">
        <w:rPr>
          <w:i/>
          <w:iCs/>
        </w:rPr>
        <w:t>p</w:t>
      </w:r>
      <w:r w:rsidRPr="00E14CDC">
        <w:t xml:space="preserve"> = 0.592; see Table 25 for estimated means) or weeks by movement event type by proximity (Wald χ2(40) = 44.618 </w:t>
      </w:r>
      <w:r w:rsidRPr="00E14CDC">
        <w:rPr>
          <w:i/>
          <w:iCs/>
        </w:rPr>
        <w:t>p</w:t>
      </w:r>
      <w:r w:rsidRPr="00E14CDC">
        <w:t xml:space="preserve"> = 0.284, see Table 26 for mean estimates) interactions.</w:t>
      </w:r>
    </w:p>
    <w:p w14:paraId="55869675" w14:textId="77777777" w:rsidR="002F36C0" w:rsidRPr="00E14CDC" w:rsidRDefault="002F36C0" w:rsidP="004B228C">
      <w:pPr>
        <w:spacing w:line="480" w:lineRule="auto"/>
      </w:pPr>
    </w:p>
    <w:p w14:paraId="2746E0F2" w14:textId="77777777" w:rsidR="002F36C0" w:rsidRPr="00E14CDC" w:rsidRDefault="002F36C0" w:rsidP="004B228C">
      <w:pPr>
        <w:spacing w:line="480" w:lineRule="auto"/>
      </w:pPr>
      <w:r w:rsidRPr="00E14CDC">
        <w:t>Week by Movement Type</w:t>
      </w:r>
    </w:p>
    <w:p w14:paraId="6530609B" w14:textId="4124E89C" w:rsidR="002F36C0" w:rsidRPr="00E14CDC" w:rsidRDefault="002F36C0" w:rsidP="004B228C">
      <w:pPr>
        <w:spacing w:line="480" w:lineRule="auto"/>
        <w:ind w:firstLine="720"/>
      </w:pPr>
      <w:r w:rsidRPr="00E14CDC">
        <w:t xml:space="preserve">The summed duration of mouth was greater across the weeks of observation and significantly higher for weeks -3 and -1. The total duration of mouth events then decreased and remained low until week </w:t>
      </w:r>
      <w:r w:rsidR="00AB7D6A" w:rsidRPr="00E14CDC">
        <w:t>four</w:t>
      </w:r>
      <w:r w:rsidRPr="00E14CDC">
        <w:t xml:space="preserve"> before dropping for week 5 (</w:t>
      </w:r>
      <w:r w:rsidRPr="00E14CDC">
        <w:rPr>
          <w:i/>
          <w:iCs/>
        </w:rPr>
        <w:t xml:space="preserve">ps &lt; 0.05; </w:t>
      </w:r>
      <w:r w:rsidRPr="00E14CDC">
        <w:t>see Figure 11). There were no significant differences between the total duration of face and hand events during the weeks of observation (see Table 23 for mean estimates).</w:t>
      </w:r>
    </w:p>
    <w:p w14:paraId="0BF6F919" w14:textId="77777777" w:rsidR="002F36C0" w:rsidRPr="00E14CDC" w:rsidRDefault="002F36C0" w:rsidP="004B228C">
      <w:pPr>
        <w:spacing w:line="480" w:lineRule="auto"/>
      </w:pPr>
    </w:p>
    <w:p w14:paraId="1CBEDEF2" w14:textId="77777777" w:rsidR="002F36C0" w:rsidRPr="00E14CDC" w:rsidRDefault="002F36C0" w:rsidP="004B228C">
      <w:pPr>
        <w:spacing w:line="480" w:lineRule="auto"/>
      </w:pPr>
      <w:r w:rsidRPr="00E14CDC">
        <w:t>Week by proximity</w:t>
      </w:r>
    </w:p>
    <w:p w14:paraId="617B997E" w14:textId="77777777" w:rsidR="002F36C0" w:rsidRPr="00E14CDC" w:rsidRDefault="002F36C0" w:rsidP="004B228C">
      <w:pPr>
        <w:spacing w:line="480" w:lineRule="auto"/>
        <w:ind w:firstLine="720"/>
      </w:pPr>
      <w:r w:rsidRPr="00E14CDC">
        <w:t>There was no significant interaction between the week and area of object proximity for the summed duration of events (ps &gt; 0.05; see Table 25 for estimated means).</w:t>
      </w:r>
    </w:p>
    <w:p w14:paraId="5DBC5DB9" w14:textId="77777777" w:rsidR="002F36C0" w:rsidRPr="00E14CDC" w:rsidRDefault="002F36C0" w:rsidP="004B228C">
      <w:pPr>
        <w:spacing w:line="480" w:lineRule="auto"/>
      </w:pPr>
    </w:p>
    <w:p w14:paraId="1E647214" w14:textId="77777777" w:rsidR="002F36C0" w:rsidRPr="00E14CDC" w:rsidRDefault="002F36C0" w:rsidP="004B228C">
      <w:pPr>
        <w:spacing w:line="480" w:lineRule="auto"/>
      </w:pPr>
      <w:r w:rsidRPr="00E14CDC">
        <w:t>Proximity by event</w:t>
      </w:r>
    </w:p>
    <w:p w14:paraId="0E792403" w14:textId="77777777" w:rsidR="002F36C0" w:rsidRPr="00E14CDC" w:rsidRDefault="002F36C0" w:rsidP="004B228C">
      <w:pPr>
        <w:spacing w:line="480" w:lineRule="auto"/>
        <w:ind w:firstLine="720"/>
      </w:pPr>
      <w:r w:rsidRPr="00E14CDC">
        <w:t>The summed duration of mouth events during toy-out-of-reach was significantly longer than both hand and face summed durations in toy-out-of-reach (</w:t>
      </w:r>
      <w:r w:rsidRPr="00E14CDC">
        <w:rPr>
          <w:i/>
          <w:iCs/>
        </w:rPr>
        <w:t>p</w:t>
      </w:r>
      <w:r w:rsidRPr="00E14CDC">
        <w:t>s &lt; 0.001) and mouth durations in toy-moving-into-reach and toy-in-reach (</w:t>
      </w:r>
      <w:r w:rsidRPr="00E14CDC">
        <w:rPr>
          <w:i/>
          <w:iCs/>
        </w:rPr>
        <w:t>p</w:t>
      </w:r>
      <w:r w:rsidRPr="00E14CDC">
        <w:t>s &lt; 0.01). Hand and face events were not significantly different from one another (</w:t>
      </w:r>
      <w:r w:rsidRPr="00E14CDC">
        <w:rPr>
          <w:i/>
          <w:iCs/>
        </w:rPr>
        <w:t>p</w:t>
      </w:r>
      <w:r w:rsidRPr="00E14CDC">
        <w:t>s &gt; 0.05; see Table 24 for estimated means).</w:t>
      </w:r>
    </w:p>
    <w:p w14:paraId="58674A26" w14:textId="77777777" w:rsidR="002F36C0" w:rsidRPr="00E14CDC" w:rsidRDefault="002F36C0" w:rsidP="004B228C">
      <w:pPr>
        <w:spacing w:line="480" w:lineRule="auto"/>
        <w:rPr>
          <w:color w:val="FF0000"/>
        </w:rPr>
      </w:pPr>
    </w:p>
    <w:p w14:paraId="0D948374" w14:textId="77777777" w:rsidR="002F36C0" w:rsidRPr="00E14CDC" w:rsidRDefault="002F36C0" w:rsidP="004B228C">
      <w:pPr>
        <w:spacing w:line="480" w:lineRule="auto"/>
      </w:pPr>
      <w:r w:rsidRPr="00E14CDC">
        <w:t>Week by proximity by event</w:t>
      </w:r>
    </w:p>
    <w:p w14:paraId="15839EFB" w14:textId="77777777" w:rsidR="002F36C0" w:rsidRPr="00E14CDC" w:rsidRDefault="002F36C0" w:rsidP="004B228C">
      <w:pPr>
        <w:spacing w:line="480" w:lineRule="auto"/>
        <w:ind w:firstLine="720"/>
      </w:pPr>
      <w:r w:rsidRPr="00E14CDC">
        <w:lastRenderedPageBreak/>
        <w:t>For the summed duration of events, there was no significant interaction between week, zone of proximity, and event type (ps &gt; 0.05; see Table 26 for estimated means).</w:t>
      </w:r>
    </w:p>
    <w:p w14:paraId="6CA37FE1" w14:textId="06439BA7" w:rsidR="00524BBA" w:rsidRPr="00E14CDC" w:rsidRDefault="00524BBA" w:rsidP="004B228C">
      <w:pPr>
        <w:spacing w:line="480" w:lineRule="auto"/>
        <w:ind w:firstLine="720"/>
      </w:pPr>
      <w:r w:rsidRPr="00E14CDC">
        <w:t>Infants initially produced an increased summed duration of events in the observation week. Specifically, this was true of mouth events, where infants produced long event durations peaking at over 30,000 milliseconds</w:t>
      </w:r>
      <w:r w:rsidR="00083B2B" w:rsidRPr="00E14CDC">
        <w:t xml:space="preserve"> regardless of</w:t>
      </w:r>
      <w:r w:rsidRPr="00E14CDC">
        <w:t xml:space="preserve"> </w:t>
      </w:r>
      <w:r w:rsidR="00083B2B" w:rsidRPr="00E14CDC">
        <w:t>whether</w:t>
      </w:r>
      <w:r w:rsidRPr="00E14CDC">
        <w:t xml:space="preserve"> the toy was outside </w:t>
      </w:r>
      <w:r w:rsidR="00083B2B" w:rsidRPr="00E14CDC">
        <w:t xml:space="preserve">or within </w:t>
      </w:r>
      <w:r w:rsidRPr="00E14CDC">
        <w:t xml:space="preserve">their reaching space. </w:t>
      </w:r>
      <w:r w:rsidR="00083B2B" w:rsidRPr="00E14CDC">
        <w:t>Hand and face event durations remained comparatively low. Following reach onset, the summed durations of mouth events remained high for objects outside the infant’s reaching space. Conversely, when the object was within its reaching space, the duration of events, though still occurring, was much shorter and not significantly different from face or hand event durations of around 2,000 milliseconds (see Figure 12)</w:t>
      </w:r>
      <w:r w:rsidRPr="00E14CDC">
        <w:t xml:space="preserve">. </w:t>
      </w:r>
      <w:r w:rsidR="00083B2B" w:rsidRPr="00E14CDC">
        <w:t>This partially aligns with our hypotheses in that there was a decrease in the summed duration of events, particularly in the mouth contacts and when the object was within the infant’s reaching space. There was not a significant difference in the hand and mouth events across weeks, and the infants continued to produce longer mouth events when they could not reach the object.</w:t>
      </w:r>
    </w:p>
    <w:bookmarkEnd w:id="68"/>
    <w:p w14:paraId="6A7A72D3" w14:textId="77777777" w:rsidR="002F36C0" w:rsidRPr="00E14CDC" w:rsidRDefault="002F36C0" w:rsidP="004B228C">
      <w:pPr>
        <w:spacing w:line="480" w:lineRule="auto"/>
      </w:pPr>
    </w:p>
    <w:p w14:paraId="769405DB" w14:textId="77777777" w:rsidR="002F36C0" w:rsidRPr="00E14CDC" w:rsidRDefault="002F36C0" w:rsidP="004B228C">
      <w:pPr>
        <w:keepNext/>
        <w:numPr>
          <w:ilvl w:val="2"/>
          <w:numId w:val="0"/>
        </w:numPr>
        <w:spacing w:line="480" w:lineRule="auto"/>
        <w:outlineLvl w:val="2"/>
        <w:rPr>
          <w:i/>
        </w:rPr>
      </w:pPr>
      <w:bookmarkStart w:id="69" w:name="_Toc166576514"/>
      <w:bookmarkStart w:id="70" w:name="_Toc173185065"/>
      <w:r w:rsidRPr="00E14CDC">
        <w:rPr>
          <w:i/>
        </w:rPr>
        <w:t>Average Duration</w:t>
      </w:r>
      <w:bookmarkEnd w:id="69"/>
      <w:bookmarkEnd w:id="70"/>
    </w:p>
    <w:p w14:paraId="6F0C3D1F" w14:textId="628476E5" w:rsidR="00DD07CC" w:rsidRPr="00E14CDC" w:rsidRDefault="008B299E" w:rsidP="00AF296E">
      <w:pPr>
        <w:spacing w:line="480" w:lineRule="auto"/>
        <w:ind w:firstLine="720"/>
      </w:pPr>
      <w:r w:rsidRPr="00E14CDC">
        <w:t>When infants produce non-reaching behaviors</w:t>
      </w:r>
      <w:r w:rsidR="00524BBA" w:rsidRPr="00E14CDC">
        <w:t xml:space="preserve">, how long do the events last? This analysis again focuses on the infants' overall activity and lends to a better understanding of the transition from non-reaching to reaching. I hypothesize that infants' event average duration will decrease as they approach the onset. While the frequency of the events </w:t>
      </w:r>
      <w:r w:rsidR="00524BBA" w:rsidRPr="00E14CDC">
        <w:lastRenderedPageBreak/>
        <w:t>increases,</w:t>
      </w:r>
      <w:r w:rsidRPr="00E14CDC">
        <w:t xml:space="preserve"> the duration of each of these events will decrease</w:t>
      </w:r>
      <w:r w:rsidR="00524BBA" w:rsidRPr="00E14CDC">
        <w:t xml:space="preserve"> as they attempt to reach and, through trial and error, move towards reaching movements.</w:t>
      </w:r>
    </w:p>
    <w:p w14:paraId="61FDA458" w14:textId="0ED22C1A" w:rsidR="002F36C0" w:rsidRPr="00E14CDC" w:rsidRDefault="002F36C0" w:rsidP="00AF296E">
      <w:pPr>
        <w:spacing w:line="480" w:lineRule="auto"/>
        <w:ind w:firstLine="720"/>
      </w:pPr>
      <w:r w:rsidRPr="00E14CDC">
        <w:t>Analyses of the average of the event duration revealed statistically significant main effects for weeks (Wald χ2(10) = 83.763 p &lt; 0.001</w:t>
      </w:r>
      <w:r w:rsidR="00C57515" w:rsidRPr="00E14CDC">
        <w:t>; see Table 27 for estimated means</w:t>
      </w:r>
      <w:r w:rsidRPr="00E14CDC">
        <w:t>), movement event type (Wald χ2(2) = 44.910 p &lt; 0.001</w:t>
      </w:r>
      <w:r w:rsidR="00C57515" w:rsidRPr="00E14CDC">
        <w:t>; see Table 28 for estimated means</w:t>
      </w:r>
      <w:r w:rsidRPr="00E14CDC">
        <w:t>), and proximity (Wald χ2(2) = 23.034 p &lt; 0.001</w:t>
      </w:r>
      <w:r w:rsidR="00C57515" w:rsidRPr="00E14CDC">
        <w:t>; see Table 29 for estimated means</w:t>
      </w:r>
      <w:r w:rsidRPr="00E14CDC">
        <w:t>). Pairwise comparisons of the weeks revealed a significant difference for week -1, which had a greater event average duration than at all other weeks except for weeks -3 and 1 (ps &lt;.001; see table for estimated means).</w:t>
      </w:r>
      <w:r w:rsidR="00C57515" w:rsidRPr="00E14CDC">
        <w:t xml:space="preserve"> Regarding event type, </w:t>
      </w:r>
      <w:r w:rsidR="002C3B7B" w:rsidRPr="00E14CDC">
        <w:t>the</w:t>
      </w:r>
      <w:r w:rsidR="00C57515" w:rsidRPr="00E14CDC">
        <w:t xml:space="preserve"> average duration of mouth events was significantly longer than either hand or face average event durations (ps &lt;.001), the latter two</w:t>
      </w:r>
      <w:r w:rsidRPr="00E14CDC">
        <w:t xml:space="preserve"> not differing from one another (p &gt; 0.05). Finally, the average duration of events during toy-out-of-reach was longer than that of toy-moving-into-reach (p &lt;0.001) and toy-in-reach (p &lt;0.01). The average duration of events during toy-in-reach was not different from those during toy-moving-into-reach (p &gt; 0.05; see </w:t>
      </w:r>
      <w:r w:rsidR="00C57515" w:rsidRPr="00E14CDC">
        <w:t>Table 29</w:t>
      </w:r>
      <w:r w:rsidRPr="00E14CDC">
        <w:t xml:space="preserve"> for main effect mean estimates).</w:t>
      </w:r>
    </w:p>
    <w:p w14:paraId="5A96B782" w14:textId="605AB63B" w:rsidR="002F36C0" w:rsidRPr="00E14CDC" w:rsidRDefault="002F36C0" w:rsidP="004B228C">
      <w:pPr>
        <w:spacing w:line="480" w:lineRule="auto"/>
        <w:ind w:firstLine="720"/>
      </w:pPr>
      <w:r w:rsidRPr="00E14CDC">
        <w:t>The GEE for average events duration identified two significant interactions: weeks by movement event type (Wald χ2(20) = 168.032 p &lt; 0.001</w:t>
      </w:r>
      <w:r w:rsidR="00C57515" w:rsidRPr="00E14CDC">
        <w:t>; see Table 30 for estimated means</w:t>
      </w:r>
      <w:r w:rsidRPr="00E14CDC">
        <w:t>) and movement event type by object proximity (Wald χ2(4) = 29.088 p &lt; 0.001</w:t>
      </w:r>
      <w:r w:rsidR="00C57515" w:rsidRPr="00E14CDC">
        <w:t>; see Table 31 for estimated means</w:t>
      </w:r>
      <w:r w:rsidRPr="00E14CDC">
        <w:t>). There were no significant differences for the weeks by object proximity (Wald χ2(20) = 14.533 p = 0.803</w:t>
      </w:r>
      <w:r w:rsidR="006C7206" w:rsidRPr="00E14CDC">
        <w:t>; see Table 32 for estimated means</w:t>
      </w:r>
      <w:r w:rsidRPr="00E14CDC">
        <w:t xml:space="preserve">) or weeks by movement event type by proximity (Wald χ2(40) = 47.673 p = 0.189, see </w:t>
      </w:r>
      <w:r w:rsidR="006C7206" w:rsidRPr="00E14CDC">
        <w:t>T</w:t>
      </w:r>
      <w:r w:rsidRPr="00E14CDC">
        <w:t>able</w:t>
      </w:r>
      <w:r w:rsidR="006C7206" w:rsidRPr="00E14CDC">
        <w:t xml:space="preserve"> 33</w:t>
      </w:r>
      <w:r w:rsidRPr="00E14CDC">
        <w:t xml:space="preserve"> for mean estimates) interactions.</w:t>
      </w:r>
    </w:p>
    <w:p w14:paraId="630AD383" w14:textId="77777777" w:rsidR="002F36C0" w:rsidRPr="00E14CDC" w:rsidRDefault="002F36C0" w:rsidP="004B228C">
      <w:pPr>
        <w:spacing w:line="480" w:lineRule="auto"/>
      </w:pPr>
    </w:p>
    <w:p w14:paraId="77447E30" w14:textId="5D8EB3C4" w:rsidR="002F36C0" w:rsidRPr="00E14CDC" w:rsidRDefault="002F36C0" w:rsidP="004B228C">
      <w:pPr>
        <w:spacing w:line="480" w:lineRule="auto"/>
      </w:pPr>
      <w:r w:rsidRPr="00E14CDC">
        <w:t>Week by movement event type</w:t>
      </w:r>
    </w:p>
    <w:p w14:paraId="19A9FD43" w14:textId="31F8168B" w:rsidR="002F36C0" w:rsidRPr="00E14CDC" w:rsidRDefault="002F36C0" w:rsidP="004B228C">
      <w:pPr>
        <w:spacing w:line="480" w:lineRule="auto"/>
        <w:ind w:firstLine="720"/>
      </w:pPr>
      <w:r w:rsidRPr="00E14CDC">
        <w:t>The average duration of mouth events</w:t>
      </w:r>
      <w:r w:rsidR="004C396F" w:rsidRPr="00E14CDC">
        <w:t xml:space="preserve"> was higher than face or hand events</w:t>
      </w:r>
      <w:r w:rsidR="0072245D" w:rsidRPr="00E14CDC">
        <w:t>, generally</w:t>
      </w:r>
      <w:r w:rsidR="004C396F" w:rsidRPr="00E14CDC">
        <w:t xml:space="preserve"> around 1,000 milliseconds. This average, however, spiked at week -1 when the average </w:t>
      </w:r>
      <w:r w:rsidR="0072245D" w:rsidRPr="00E14CDC">
        <w:t>was</w:t>
      </w:r>
      <w:r w:rsidR="004C396F" w:rsidRPr="00E14CDC">
        <w:t xml:space="preserve"> just under 3,000 milliseconds</w:t>
      </w:r>
      <w:r w:rsidR="0072245D" w:rsidRPr="00E14CDC">
        <w:t xml:space="preserve"> </w:t>
      </w:r>
      <w:r w:rsidRPr="00E14CDC">
        <w:t xml:space="preserve">(ps &lt; 0.001). Furthermore, week -1’s mouth durations were significantly longer than </w:t>
      </w:r>
      <w:r w:rsidR="0072245D" w:rsidRPr="00E14CDC">
        <w:t xml:space="preserve">mouth durations for other weeks </w:t>
      </w:r>
      <w:r w:rsidRPr="00E14CDC">
        <w:t xml:space="preserve">(ps &lt; 0.01). </w:t>
      </w:r>
      <w:r w:rsidR="0072245D" w:rsidRPr="00E14CDC">
        <w:t xml:space="preserve">In week 3, </w:t>
      </w:r>
      <w:r w:rsidR="00AB7D6A" w:rsidRPr="00E14CDC">
        <w:t xml:space="preserve">the average duration of mouth contact </w:t>
      </w:r>
      <w:r w:rsidR="0072245D" w:rsidRPr="00E14CDC">
        <w:t>was higher than in the other weeks</w:t>
      </w:r>
      <w:r w:rsidR="00AB7D6A" w:rsidRPr="00E14CDC">
        <w:t>; notwithstanding</w:t>
      </w:r>
      <w:r w:rsidR="0072245D" w:rsidRPr="00E14CDC">
        <w:t xml:space="preserve"> week 1, there was no significant difference between mouth and the other event types</w:t>
      </w:r>
      <w:r w:rsidRPr="00E14CDC">
        <w:t xml:space="preserve"> (ps &gt; 0.05)</w:t>
      </w:r>
      <w:r w:rsidR="0072245D" w:rsidRPr="00E14CDC">
        <w:t>. Overall, the average</w:t>
      </w:r>
      <w:r w:rsidRPr="00E14CDC">
        <w:t xml:space="preserve"> duration of mouth events increased up to week -1 and then decreased for the remaining weeks (see</w:t>
      </w:r>
      <w:r w:rsidR="0072245D" w:rsidRPr="00E14CDC">
        <w:t xml:space="preserve"> Figure 13 and</w:t>
      </w:r>
      <w:r w:rsidRPr="00E14CDC">
        <w:t xml:space="preserve"> </w:t>
      </w:r>
      <w:r w:rsidR="0072245D" w:rsidRPr="00E14CDC">
        <w:t>T</w:t>
      </w:r>
      <w:r w:rsidRPr="00E14CDC">
        <w:t>able</w:t>
      </w:r>
      <w:r w:rsidR="0072245D" w:rsidRPr="00E14CDC">
        <w:t xml:space="preserve"> 30</w:t>
      </w:r>
      <w:r w:rsidRPr="00E14CDC">
        <w:t xml:space="preserve"> for mean estimates).</w:t>
      </w:r>
    </w:p>
    <w:p w14:paraId="2965B6B4" w14:textId="77777777" w:rsidR="002F36C0" w:rsidRPr="00E14CDC" w:rsidRDefault="002F36C0" w:rsidP="004B228C">
      <w:pPr>
        <w:spacing w:line="480" w:lineRule="auto"/>
      </w:pPr>
    </w:p>
    <w:p w14:paraId="400B84CB" w14:textId="2D275752" w:rsidR="002F36C0" w:rsidRPr="00E14CDC" w:rsidRDefault="002F36C0" w:rsidP="004B228C">
      <w:pPr>
        <w:spacing w:line="480" w:lineRule="auto"/>
      </w:pPr>
      <w:r w:rsidRPr="00E14CDC">
        <w:t>Week by proximity</w:t>
      </w:r>
    </w:p>
    <w:p w14:paraId="14F230AC" w14:textId="270CD32D" w:rsidR="002F36C0" w:rsidRPr="00E14CDC" w:rsidRDefault="006000FB" w:rsidP="004B228C">
      <w:pPr>
        <w:spacing w:line="480" w:lineRule="auto"/>
        <w:ind w:firstLine="720"/>
      </w:pPr>
      <w:r w:rsidRPr="00E14CDC">
        <w:t xml:space="preserve">For average event durations, there was no significant interaction between week and zone of proximity </w:t>
      </w:r>
      <w:r w:rsidR="0072245D" w:rsidRPr="00E14CDC">
        <w:t>(</w:t>
      </w:r>
      <w:r w:rsidR="0072245D" w:rsidRPr="00E14CDC">
        <w:rPr>
          <w:i/>
          <w:iCs/>
        </w:rPr>
        <w:t>p</w:t>
      </w:r>
      <w:r w:rsidR="0072245D" w:rsidRPr="00E14CDC">
        <w:t>s &gt; 0.05;</w:t>
      </w:r>
      <w:r w:rsidR="002F36C0" w:rsidRPr="00E14CDC">
        <w:t xml:space="preserve"> see </w:t>
      </w:r>
      <w:r w:rsidR="0072245D" w:rsidRPr="00E14CDC">
        <w:t>T</w:t>
      </w:r>
      <w:r w:rsidR="002F36C0" w:rsidRPr="00E14CDC">
        <w:t>able</w:t>
      </w:r>
      <w:r w:rsidR="0072245D" w:rsidRPr="00E14CDC">
        <w:t xml:space="preserve"> 32</w:t>
      </w:r>
      <w:r w:rsidR="002F36C0" w:rsidRPr="00E14CDC">
        <w:t xml:space="preserve"> for estimated means).</w:t>
      </w:r>
    </w:p>
    <w:p w14:paraId="2A41F08E" w14:textId="77777777" w:rsidR="002F36C0" w:rsidRPr="00E14CDC" w:rsidRDefault="002F36C0" w:rsidP="004B228C">
      <w:pPr>
        <w:spacing w:line="480" w:lineRule="auto"/>
      </w:pPr>
    </w:p>
    <w:p w14:paraId="3EB648A9" w14:textId="77777777" w:rsidR="002F36C0" w:rsidRPr="00E14CDC" w:rsidRDefault="002F36C0" w:rsidP="004B228C">
      <w:pPr>
        <w:spacing w:line="480" w:lineRule="auto"/>
      </w:pPr>
      <w:r w:rsidRPr="00E14CDC">
        <w:t>Proximity by event</w:t>
      </w:r>
    </w:p>
    <w:p w14:paraId="283C8F40" w14:textId="2FF28D0E" w:rsidR="002F36C0" w:rsidRPr="00E14CDC" w:rsidRDefault="002F36C0" w:rsidP="00CC578B">
      <w:pPr>
        <w:spacing w:line="480" w:lineRule="auto"/>
        <w:ind w:firstLine="720"/>
      </w:pPr>
      <w:r w:rsidRPr="00E14CDC">
        <w:t xml:space="preserve">The average </w:t>
      </w:r>
      <w:r w:rsidR="0072245D" w:rsidRPr="00E14CDC">
        <w:t>duration of mouth events during toy-out-of-reach was significantly longer than those of either hand or face durations in toy-out-of-reach (ps &lt; 0.001)</w:t>
      </w:r>
      <w:r w:rsidR="00AB7D6A" w:rsidRPr="00E14CDC">
        <w:t>.</w:t>
      </w:r>
      <w:r w:rsidR="0072245D" w:rsidRPr="00E14CDC">
        <w:t xml:space="preserve"> These average durations were also longer than the </w:t>
      </w:r>
      <w:r w:rsidRPr="00E14CDC">
        <w:t xml:space="preserve">mouth durations in toy-moving-into-reach and toy-in-reach (ps &lt; 0.01). Hand and </w:t>
      </w:r>
      <w:r w:rsidR="0072245D" w:rsidRPr="00E14CDC">
        <w:t xml:space="preserve">face event average durations were not </w:t>
      </w:r>
      <w:r w:rsidR="0072245D" w:rsidRPr="00E14CDC">
        <w:lastRenderedPageBreak/>
        <w:t>significantly different from one another across the proximities (ps &gt; 0.05;</w:t>
      </w:r>
      <w:r w:rsidRPr="00E14CDC">
        <w:t xml:space="preserve"> see </w:t>
      </w:r>
      <w:r w:rsidR="006000FB" w:rsidRPr="00E14CDC">
        <w:t xml:space="preserve">Figure 14 and </w:t>
      </w:r>
      <w:r w:rsidR="0072245D" w:rsidRPr="00E14CDC">
        <w:t>T</w:t>
      </w:r>
      <w:r w:rsidRPr="00E14CDC">
        <w:t>able</w:t>
      </w:r>
      <w:r w:rsidR="0072245D" w:rsidRPr="00E14CDC">
        <w:t xml:space="preserve"> 30</w:t>
      </w:r>
      <w:r w:rsidRPr="00E14CDC">
        <w:t xml:space="preserve"> for estimated means).</w:t>
      </w:r>
    </w:p>
    <w:p w14:paraId="36505302" w14:textId="77777777" w:rsidR="002F36C0" w:rsidRPr="00E14CDC" w:rsidRDefault="002F36C0" w:rsidP="004B228C">
      <w:pPr>
        <w:spacing w:line="480" w:lineRule="auto"/>
      </w:pPr>
    </w:p>
    <w:p w14:paraId="3E4ACEDD" w14:textId="2D70DB02" w:rsidR="002F36C0" w:rsidRPr="00E14CDC" w:rsidRDefault="002F36C0" w:rsidP="004B228C">
      <w:pPr>
        <w:spacing w:line="480" w:lineRule="auto"/>
      </w:pPr>
      <w:r w:rsidRPr="00E14CDC">
        <w:t>Week by proximity by event</w:t>
      </w:r>
    </w:p>
    <w:p w14:paraId="033A495F" w14:textId="3B9A6527" w:rsidR="00DD07CC" w:rsidRPr="00E14CDC" w:rsidRDefault="006000FB" w:rsidP="00CC578B">
      <w:pPr>
        <w:spacing w:line="480" w:lineRule="auto"/>
        <w:ind w:firstLine="720"/>
      </w:pPr>
      <w:r w:rsidRPr="00E14CDC">
        <w:t>For the average duration of events, there was no significant interaction between week, zone of proximity, and event type (ps &gt; 0.05;</w:t>
      </w:r>
      <w:r w:rsidR="002F36C0" w:rsidRPr="00E14CDC">
        <w:t xml:space="preserve"> see </w:t>
      </w:r>
      <w:r w:rsidRPr="00E14CDC">
        <w:t>T</w:t>
      </w:r>
      <w:r w:rsidR="002F36C0" w:rsidRPr="00E14CDC">
        <w:t>able</w:t>
      </w:r>
      <w:r w:rsidRPr="00E14CDC">
        <w:t xml:space="preserve"> 33</w:t>
      </w:r>
      <w:r w:rsidR="002F36C0" w:rsidRPr="00E14CDC">
        <w:t xml:space="preserve"> for estimated means).</w:t>
      </w:r>
    </w:p>
    <w:p w14:paraId="6A3E08EE" w14:textId="136F3C81" w:rsidR="00DD07CC" w:rsidRPr="00E14CDC" w:rsidRDefault="00DD07CC" w:rsidP="00CC578B">
      <w:pPr>
        <w:spacing w:line="480" w:lineRule="auto"/>
        <w:ind w:firstLine="720"/>
      </w:pPr>
      <w:r w:rsidRPr="00E14CDC">
        <w:t>Once again</w:t>
      </w:r>
      <w:r w:rsidR="00AB7D6A" w:rsidRPr="00E14CDC">
        <w:t>, mouth events were the most significantly represented events. In contrast to my hypothesis, these events increased as infants approached the reach onset. There was also no drastic drop in average duration that was expected following the reach onset</w:t>
      </w:r>
      <w:r w:rsidRPr="00E14CDC">
        <w:t>. As with all dependent variables, the expected significance of the hands clasping at the midline was not evident</w:t>
      </w:r>
      <w:r w:rsidR="00AB7D6A" w:rsidRPr="00E14CDC">
        <w:t>, and there was</w:t>
      </w:r>
      <w:r w:rsidRPr="00E14CDC">
        <w:t xml:space="preserve"> no change in their average duration as infants began to reach.</w:t>
      </w:r>
    </w:p>
    <w:p w14:paraId="1F5B7659" w14:textId="77777777" w:rsidR="002F36C0" w:rsidRPr="00E14CDC" w:rsidRDefault="002F36C0" w:rsidP="004B228C">
      <w:pPr>
        <w:spacing w:line="480" w:lineRule="auto"/>
      </w:pPr>
    </w:p>
    <w:p w14:paraId="4122470C" w14:textId="6DA5534F" w:rsidR="00CB4778" w:rsidRPr="00E14CDC" w:rsidRDefault="002F36C0" w:rsidP="006C46B2">
      <w:pPr>
        <w:keepNext/>
        <w:numPr>
          <w:ilvl w:val="2"/>
          <w:numId w:val="0"/>
        </w:numPr>
        <w:spacing w:line="480" w:lineRule="auto"/>
        <w:outlineLvl w:val="2"/>
        <w:rPr>
          <w:i/>
        </w:rPr>
      </w:pPr>
      <w:bookmarkStart w:id="71" w:name="_Toc166576515"/>
      <w:bookmarkStart w:id="72" w:name="_Toc173185066"/>
      <w:r w:rsidRPr="00E14CDC">
        <w:rPr>
          <w:i/>
        </w:rPr>
        <w:t>Reaching Proportions</w:t>
      </w:r>
      <w:bookmarkEnd w:id="71"/>
      <w:bookmarkEnd w:id="72"/>
    </w:p>
    <w:p w14:paraId="00775B48" w14:textId="1ACF7F8E" w:rsidR="002F36C0" w:rsidRPr="00E14CDC" w:rsidRDefault="002F36C0" w:rsidP="004B228C">
      <w:pPr>
        <w:spacing w:line="480" w:lineRule="auto"/>
      </w:pPr>
      <w:r w:rsidRPr="00E14CDC">
        <w:t>The proportion of reaches produced each week was analyzed using a GEE, which revealed a main effect of the week (Wald χ2(5) = 14.215</w:t>
      </w:r>
      <w:r w:rsidRPr="00E14CDC">
        <w:rPr>
          <w:i/>
          <w:iCs/>
        </w:rPr>
        <w:t xml:space="preserve"> p &lt;</w:t>
      </w:r>
      <w:r w:rsidRPr="00E14CDC">
        <w:t xml:space="preserve"> 0.014</w:t>
      </w:r>
      <w:r w:rsidR="00CB4778" w:rsidRPr="00E14CDC">
        <w:t xml:space="preserve">; see Figure </w:t>
      </w:r>
      <w:r w:rsidR="00327776" w:rsidRPr="00E14CDC">
        <w:t>15</w:t>
      </w:r>
      <w:r w:rsidR="00CB4778" w:rsidRPr="00E14CDC">
        <w:t xml:space="preserve"> )</w:t>
      </w:r>
      <w:r w:rsidRPr="00E14CDC">
        <w:t xml:space="preserve">. Pairwise comparisons revealed no significant differences between weeks (see </w:t>
      </w:r>
      <w:r w:rsidR="00CB4778" w:rsidRPr="00E14CDC">
        <w:t>T</w:t>
      </w:r>
      <w:r w:rsidRPr="00E14CDC">
        <w:t>able</w:t>
      </w:r>
      <w:r w:rsidR="00CB4778" w:rsidRPr="00E14CDC">
        <w:t xml:space="preserve"> 34</w:t>
      </w:r>
      <w:r w:rsidRPr="00E14CDC">
        <w:t xml:space="preserve"> for estimated means). For the week of reach-onset, the proportion of reaches reached 60%. This quickly rose to 100% by </w:t>
      </w:r>
      <w:r w:rsidR="00CB4778" w:rsidRPr="00E14CDC">
        <w:t>the fifth week of r</w:t>
      </w:r>
      <w:r w:rsidRPr="00E14CDC">
        <w:t>each</w:t>
      </w:r>
      <w:r w:rsidR="00CB4778" w:rsidRPr="00E14CDC">
        <w:t>ing</w:t>
      </w:r>
      <w:r w:rsidRPr="00E14CDC">
        <w:t xml:space="preserve"> experience. As I hypothesized, infants quickly increased reaching proportion following reach onset very quickly. However, contrary to my hypothesis, they did not start with a low proportion of reaching at reach week 0 but an average proportion of 60%.</w:t>
      </w:r>
    </w:p>
    <w:p w14:paraId="7DF579D2" w14:textId="77777777" w:rsidR="002F36C0" w:rsidRPr="00E14CDC" w:rsidRDefault="002F36C0" w:rsidP="006C46B2"/>
    <w:p w14:paraId="4D4F74FC" w14:textId="77777777" w:rsidR="002F36C0" w:rsidRPr="00E14CDC" w:rsidRDefault="002F36C0" w:rsidP="004B228C">
      <w:pPr>
        <w:keepNext/>
        <w:numPr>
          <w:ilvl w:val="2"/>
          <w:numId w:val="0"/>
        </w:numPr>
        <w:spacing w:line="480" w:lineRule="auto"/>
        <w:outlineLvl w:val="2"/>
        <w:rPr>
          <w:i/>
        </w:rPr>
      </w:pPr>
      <w:bookmarkStart w:id="73" w:name="_Toc166576516"/>
      <w:bookmarkStart w:id="74" w:name="_Toc173185067"/>
      <w:r w:rsidRPr="00E14CDC">
        <w:rPr>
          <w:i/>
        </w:rPr>
        <w:t>Latency</w:t>
      </w:r>
      <w:bookmarkEnd w:id="73"/>
      <w:r w:rsidRPr="00E14CDC">
        <w:rPr>
          <w:i/>
        </w:rPr>
        <w:t xml:space="preserve"> to Reach</w:t>
      </w:r>
      <w:bookmarkEnd w:id="74"/>
    </w:p>
    <w:p w14:paraId="4282E6B5" w14:textId="0C628542" w:rsidR="002F36C0" w:rsidRPr="00E14CDC" w:rsidRDefault="002F36C0" w:rsidP="004B22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The analysis of the latency between the time the toy is within the infant’s reaching space and the initiation of the reach revealed a main effect of weeks (Wald χ2(5) = 278.879</w:t>
      </w:r>
      <w:r w:rsidRPr="00E14CDC">
        <w:rPr>
          <w:i/>
          <w:iCs/>
        </w:rPr>
        <w:t xml:space="preserve"> p &lt;</w:t>
      </w:r>
      <w:r w:rsidRPr="00E14CDC">
        <w:t xml:space="preserve"> 0.001</w:t>
      </w:r>
      <w:r w:rsidR="00CB4778" w:rsidRPr="00E14CDC">
        <w:t>; see Figure 15)</w:t>
      </w:r>
      <w:r w:rsidRPr="00E14CDC">
        <w:t xml:space="preserve">. A pairwise comparison of the weeks revealed that week 5 was significantly lower than all other week latencies. Overall latency began high for the week of reach onset and decreased gradually to week 5 (see </w:t>
      </w:r>
      <w:r w:rsidR="00CB4778" w:rsidRPr="00E14CDC">
        <w:t>T</w:t>
      </w:r>
      <w:r w:rsidRPr="00E14CDC">
        <w:t>able</w:t>
      </w:r>
      <w:r w:rsidR="00CB4778" w:rsidRPr="00E14CDC">
        <w:t xml:space="preserve"> 35</w:t>
      </w:r>
      <w:r w:rsidRPr="00E14CDC">
        <w:t xml:space="preserve"> for estimated means). As was </w:t>
      </w:r>
      <w:r w:rsidR="00CB4778" w:rsidRPr="00E14CDC">
        <w:t>expect</w:t>
      </w:r>
      <w:r w:rsidRPr="00E14CDC">
        <w:t xml:space="preserve">ed the infants displayed a decreasing </w:t>
      </w:r>
      <w:r w:rsidR="00CB4778" w:rsidRPr="00E14CDC">
        <w:t>latency trend</w:t>
      </w:r>
      <w:r w:rsidRPr="00E14CDC">
        <w:t xml:space="preserve"> as they gained reaching experience.</w:t>
      </w:r>
    </w:p>
    <w:p w14:paraId="32D9839F" w14:textId="77777777" w:rsidR="002F36C0" w:rsidRPr="00E14CDC" w:rsidRDefault="002F36C0" w:rsidP="004B228C">
      <w:pPr>
        <w:keepNext/>
        <w:spacing w:before="240" w:after="60" w:line="480" w:lineRule="auto"/>
        <w:jc w:val="center"/>
        <w:outlineLvl w:val="1"/>
        <w:rPr>
          <w:iCs/>
        </w:rPr>
      </w:pPr>
      <w:bookmarkStart w:id="75" w:name="_Toc166576517"/>
      <w:bookmarkStart w:id="76" w:name="_Toc173185068"/>
      <w:r w:rsidRPr="00E14CDC">
        <w:rPr>
          <w:iCs/>
        </w:rPr>
        <w:t>Kinematic</w:t>
      </w:r>
      <w:bookmarkEnd w:id="75"/>
      <w:r w:rsidRPr="00E14CDC">
        <w:rPr>
          <w:iCs/>
        </w:rPr>
        <w:t>s</w:t>
      </w:r>
      <w:bookmarkEnd w:id="76"/>
    </w:p>
    <w:p w14:paraId="298F4F04" w14:textId="4DC9F225" w:rsidR="002F36C0" w:rsidRPr="00E14CDC" w:rsidRDefault="002F36C0" w:rsidP="004F1ED0">
      <w:pPr>
        <w:spacing w:line="480" w:lineRule="auto"/>
        <w:ind w:firstLine="720"/>
      </w:pPr>
      <w:r w:rsidRPr="00E14CDC">
        <w:t xml:space="preserve">To further identify the change in overall activity as infants transition from non-reaching to reaching, we computed the average movement speed and the number of movement units. These variables were identified over the entire trial period </w:t>
      </w:r>
      <w:r w:rsidR="009172A2" w:rsidRPr="00E14CDC">
        <w:t>and</w:t>
      </w:r>
      <w:r w:rsidRPr="00E14CDC">
        <w:t xml:space="preserve"> the three zones of object proximity.</w:t>
      </w:r>
    </w:p>
    <w:p w14:paraId="67339559" w14:textId="77777777" w:rsidR="009172A2" w:rsidRPr="00E14CDC" w:rsidRDefault="009172A2" w:rsidP="004F1ED0">
      <w:pPr>
        <w:spacing w:line="480" w:lineRule="auto"/>
        <w:ind w:firstLine="720"/>
      </w:pPr>
    </w:p>
    <w:p w14:paraId="492D933C" w14:textId="77777777" w:rsidR="002F36C0" w:rsidRPr="00E14CDC" w:rsidRDefault="002F36C0" w:rsidP="004F1ED0">
      <w:pPr>
        <w:keepNext/>
        <w:numPr>
          <w:ilvl w:val="2"/>
          <w:numId w:val="0"/>
        </w:numPr>
        <w:spacing w:line="480" w:lineRule="auto"/>
        <w:outlineLvl w:val="2"/>
        <w:rPr>
          <w:i/>
        </w:rPr>
      </w:pPr>
      <w:bookmarkStart w:id="77" w:name="_Toc166576518"/>
      <w:bookmarkStart w:id="78" w:name="_Toc173185069"/>
      <w:r w:rsidRPr="00E14CDC">
        <w:rPr>
          <w:i/>
        </w:rPr>
        <w:t>Mean Movement Velocity</w:t>
      </w:r>
      <w:bookmarkEnd w:id="77"/>
      <w:bookmarkEnd w:id="78"/>
    </w:p>
    <w:p w14:paraId="747642D4" w14:textId="29F578C1" w:rsidR="002F36C0" w:rsidRPr="00E14CDC" w:rsidRDefault="002F36C0" w:rsidP="004F1ED0">
      <w:pPr>
        <w:spacing w:line="480" w:lineRule="auto"/>
        <w:ind w:firstLine="720"/>
      </w:pPr>
      <w:r w:rsidRPr="00E14CDC">
        <w:t>The statistical analyses of the mean movement velocity resulted in a significant main effect for the week (Wald χ2(10) = 29.562</w:t>
      </w:r>
      <w:r w:rsidRPr="00E14CDC">
        <w:rPr>
          <w:i/>
          <w:iCs/>
        </w:rPr>
        <w:t xml:space="preserve"> p </w:t>
      </w:r>
      <w:r w:rsidRPr="00E14CDC">
        <w:t>&lt; 0.001</w:t>
      </w:r>
      <w:r w:rsidR="009172A2" w:rsidRPr="00E14CDC">
        <w:t>; see Figure 16 and Table 36 for estimated means</w:t>
      </w:r>
      <w:r w:rsidRPr="00E14CDC">
        <w:t>). Pairwise comparisons indicated that the mean movement velocity for week 1 was significantly lower than for the week of reach-onset and week 2 (</w:t>
      </w:r>
      <w:r w:rsidRPr="00E14CDC">
        <w:rPr>
          <w:i/>
          <w:iCs/>
        </w:rPr>
        <w:t>p</w:t>
      </w:r>
      <w:r w:rsidRPr="00E14CDC">
        <w:t>s &lt; 0.05). There was, however, no main effect of mean movement velocity in relation to object proximity (Wald χ2(2) = 3.041 p &lt; 0.219</w:t>
      </w:r>
      <w:r w:rsidR="009172A2" w:rsidRPr="00E14CDC">
        <w:t>; see Table 37 for estimated means</w:t>
      </w:r>
      <w:r w:rsidRPr="00E14CDC">
        <w:t xml:space="preserve">) or </w:t>
      </w:r>
      <w:r w:rsidRPr="00E14CDC">
        <w:lastRenderedPageBreak/>
        <w:t xml:space="preserve">interaction between week and proximity (Wald χ2(20) = 13.449 p &lt; 0.857; see </w:t>
      </w:r>
      <w:r w:rsidR="009172A2" w:rsidRPr="00E14CDC">
        <w:t>T</w:t>
      </w:r>
      <w:r w:rsidRPr="00E14CDC">
        <w:t>able</w:t>
      </w:r>
      <w:r w:rsidR="009172A2" w:rsidRPr="00E14CDC">
        <w:t xml:space="preserve"> 38</w:t>
      </w:r>
      <w:r w:rsidRPr="00E14CDC">
        <w:t xml:space="preserve"> for estimated means</w:t>
      </w:r>
      <w:r w:rsidR="009172A2" w:rsidRPr="00E14CDC">
        <w:t xml:space="preserve"> and Figure 17</w:t>
      </w:r>
      <w:r w:rsidRPr="00E14CDC">
        <w:t>).</w:t>
      </w:r>
    </w:p>
    <w:p w14:paraId="5EF7F66F" w14:textId="77777777" w:rsidR="009172A2" w:rsidRPr="00E14CDC" w:rsidRDefault="009172A2" w:rsidP="004F1ED0">
      <w:pPr>
        <w:spacing w:line="480" w:lineRule="auto"/>
        <w:ind w:firstLine="720"/>
      </w:pPr>
    </w:p>
    <w:p w14:paraId="1CEE3BE2" w14:textId="77777777" w:rsidR="002F36C0" w:rsidRPr="00E14CDC" w:rsidRDefault="002F36C0" w:rsidP="004F1ED0">
      <w:pPr>
        <w:keepNext/>
        <w:numPr>
          <w:ilvl w:val="2"/>
          <w:numId w:val="0"/>
        </w:numPr>
        <w:spacing w:line="480" w:lineRule="auto"/>
        <w:outlineLvl w:val="2"/>
        <w:rPr>
          <w:i/>
        </w:rPr>
      </w:pPr>
      <w:bookmarkStart w:id="79" w:name="_Toc166576519"/>
      <w:bookmarkStart w:id="80" w:name="_Toc173185070"/>
      <w:r w:rsidRPr="00E14CDC">
        <w:rPr>
          <w:i/>
        </w:rPr>
        <w:t>Movement Units</w:t>
      </w:r>
      <w:bookmarkEnd w:id="79"/>
      <w:bookmarkEnd w:id="80"/>
    </w:p>
    <w:p w14:paraId="5EE0835E" w14:textId="071A20FD" w:rsidR="003F135C" w:rsidRPr="00E14CDC" w:rsidRDefault="002F36C0" w:rsidP="00AF296E">
      <w:pPr>
        <w:spacing w:line="480" w:lineRule="auto"/>
        <w:ind w:firstLine="720"/>
      </w:pPr>
      <w:r w:rsidRPr="00E14CDC">
        <w:t>A GEE statistical analysis of movement units indicated a main effect of weeks (Wald χ2(10) = 54.209</w:t>
      </w:r>
      <w:r w:rsidRPr="00E14CDC">
        <w:rPr>
          <w:i/>
          <w:iCs/>
        </w:rPr>
        <w:t xml:space="preserve"> p </w:t>
      </w:r>
      <w:r w:rsidRPr="00E14CDC">
        <w:t>&lt; 0.001</w:t>
      </w:r>
      <w:r w:rsidR="003F135C" w:rsidRPr="00E14CDC">
        <w:t>; see Figure 18 and Table 39 for estimated means</w:t>
      </w:r>
      <w:r w:rsidRPr="00E14CDC">
        <w:t>). Overall, infants produced fewer movement units in the earlier weeks of observation than in the final weeks following reach onset (see table for estimated means). There was additionally a main effect of proximity (Wald χ2(</w:t>
      </w:r>
      <w:r w:rsidR="0008434A" w:rsidRPr="00E14CDC">
        <w:t>2</w:t>
      </w:r>
      <w:r w:rsidRPr="00E14CDC">
        <w:t>) = 112.997</w:t>
      </w:r>
      <w:r w:rsidRPr="00E14CDC">
        <w:rPr>
          <w:i/>
          <w:iCs/>
        </w:rPr>
        <w:t xml:space="preserve"> p </w:t>
      </w:r>
      <w:r w:rsidRPr="00E14CDC">
        <w:t>&lt; 0.001</w:t>
      </w:r>
      <w:r w:rsidR="003F135C" w:rsidRPr="00E14CDC">
        <w:t>; see Table 40 for estimated means</w:t>
      </w:r>
      <w:r w:rsidRPr="00E14CDC">
        <w:t xml:space="preserve">) such that infants produced more movement units in toy-moving-into-reach than in either toy-in-reach or toy-out-of-reach. There was no significant difference in the number of movement units produced during </w:t>
      </w:r>
      <w:r w:rsidR="00AB7D6A" w:rsidRPr="00E14CDC">
        <w:t xml:space="preserve">the </w:t>
      </w:r>
      <w:r w:rsidRPr="00E14CDC">
        <w:t>toy-out-of-reach and the toy-in-reach (ps &gt; 0.05;</w:t>
      </w:r>
      <w:r w:rsidR="003F135C" w:rsidRPr="00E14CDC">
        <w:t xml:space="preserve"> Figure 19</w:t>
      </w:r>
      <w:r w:rsidRPr="00E14CDC">
        <w:t xml:space="preserve">). </w:t>
      </w:r>
    </w:p>
    <w:p w14:paraId="45DB531D" w14:textId="7B170C8D" w:rsidR="002F36C0" w:rsidRPr="00E14CDC" w:rsidRDefault="002F36C0" w:rsidP="004F1ED0">
      <w:pPr>
        <w:spacing w:line="480" w:lineRule="auto"/>
        <w:ind w:firstLine="720"/>
      </w:pPr>
      <w:r w:rsidRPr="00E14CDC">
        <w:t>The analyses further revealed an interaction between week and proximity (Wald χ2(20) = 65.973</w:t>
      </w:r>
      <w:r w:rsidRPr="00E14CDC">
        <w:rPr>
          <w:i/>
          <w:iCs/>
        </w:rPr>
        <w:t xml:space="preserve"> p </w:t>
      </w:r>
      <w:r w:rsidRPr="00E14CDC">
        <w:t>&lt; 0.001</w:t>
      </w:r>
      <w:r w:rsidR="003F135C" w:rsidRPr="00E14CDC">
        <w:t>; see Table 41 for estimated means</w:t>
      </w:r>
      <w:r w:rsidRPr="00E14CDC">
        <w:t>). Initially</w:t>
      </w:r>
      <w:r w:rsidR="003F135C" w:rsidRPr="00E14CDC">
        <w:t>, infants produced the most movement units in toy-moving-into-reach,</w:t>
      </w:r>
      <w:r w:rsidRPr="00E14CDC">
        <w:t xml:space="preserve"> with the average number remaining </w:t>
      </w:r>
      <w:r w:rsidR="003F135C" w:rsidRPr="00E14CDC">
        <w:t>constant</w:t>
      </w:r>
      <w:r w:rsidRPr="00E14CDC">
        <w:t xml:space="preserve"> throughout the observation period. The rate of movement units for toy-out-of-reach and toy-in-reach both started significantly lower than those during toy-moving-into-reach but increased steadily across the weeks of observation. In the final week, the rates of movement units in toy-in-reach were on par with those of the toy-moving-into-reach</w:t>
      </w:r>
      <w:r w:rsidR="003F135C" w:rsidRPr="00E14CDC">
        <w:t>,</w:t>
      </w:r>
      <w:r w:rsidRPr="00E14CDC">
        <w:t xml:space="preserve"> while </w:t>
      </w:r>
      <w:r w:rsidR="003F135C" w:rsidRPr="00E14CDC">
        <w:t>toy-out-of-reach</w:t>
      </w:r>
      <w:r w:rsidRPr="00E14CDC">
        <w:t xml:space="preserve"> produced slightly fewer units (</w:t>
      </w:r>
      <w:r w:rsidR="003F135C" w:rsidRPr="00E14CDC">
        <w:t>see Figure 19</w:t>
      </w:r>
      <w:r w:rsidRPr="00E14CDC">
        <w:t>).</w:t>
      </w:r>
    </w:p>
    <w:p w14:paraId="313D7E09" w14:textId="17146E3E" w:rsidR="004F1ED0" w:rsidRPr="00E14CDC" w:rsidRDefault="004F1ED0" w:rsidP="0081458D">
      <w:pPr>
        <w:keepNext/>
        <w:spacing w:before="240" w:after="60" w:line="480" w:lineRule="auto"/>
        <w:jc w:val="center"/>
        <w:outlineLvl w:val="1"/>
        <w:rPr>
          <w:iCs/>
        </w:rPr>
      </w:pPr>
      <w:bookmarkStart w:id="81" w:name="_Toc173185071"/>
      <w:r w:rsidRPr="00E14CDC">
        <w:rPr>
          <w:iCs/>
        </w:rPr>
        <w:lastRenderedPageBreak/>
        <w:t>Discussion</w:t>
      </w:r>
      <w:bookmarkEnd w:id="81"/>
    </w:p>
    <w:p w14:paraId="2ACE071C" w14:textId="310BD7E6" w:rsidR="00D9618C" w:rsidRPr="00E14CDC" w:rsidRDefault="00646F1C" w:rsidP="004F1ED0">
      <w:pPr>
        <w:spacing w:line="480" w:lineRule="auto"/>
        <w:ind w:firstLine="720"/>
      </w:pPr>
      <w:bookmarkStart w:id="82" w:name="_Hlk170212479"/>
      <w:r w:rsidRPr="00E14CDC">
        <w:t>Overall,</w:t>
      </w:r>
      <w:r w:rsidR="004F1ED0" w:rsidRPr="00E14CDC">
        <w:t xml:space="preserve"> infants </w:t>
      </w:r>
      <w:r w:rsidR="00495A2F" w:rsidRPr="00E14CDC">
        <w:t xml:space="preserve">consistently moved their hands towards their mouths and stayed there for longer in the weeks leading to reach-onset. These mouth behaviors occurred frequently and in contradiction to my expectations that infants would produce more midline extended arm movements. Given the excessive frequency of mouth movements, it can be inferred that these contacts occur </w:t>
      </w:r>
      <w:r w:rsidR="00D9618C" w:rsidRPr="00E14CDC">
        <w:t>because of</w:t>
      </w:r>
      <w:r w:rsidR="00495A2F" w:rsidRPr="00E14CDC">
        <w:t xml:space="preserve"> previous experiences.</w:t>
      </w:r>
      <w:r w:rsidR="004F1ED0" w:rsidRPr="00E14CDC">
        <w:t xml:space="preserve"> </w:t>
      </w:r>
      <w:r w:rsidR="00D9618C" w:rsidRPr="00E14CDC">
        <w:t xml:space="preserve">As newborns, infants have been observed making frequent hand-to-mouth contacts and distinguishing attention towards these movements between when their mouths are open or not </w:t>
      </w:r>
      <w:r w:rsidR="00D9618C" w:rsidRPr="00E14CDC">
        <w:fldChar w:fldCharType="begin"/>
      </w:r>
      <w:r w:rsidR="00D9618C" w:rsidRPr="00E14CDC">
        <w:instrText xml:space="preserve"> ADDIN ZOTERO_ITEM CSL_CITATION {"citationID":"pFQVfc7r","properties":{"formattedCitation":"(Addabbo et al., 2022)","plainCitation":"(Addabbo et al., 2022)","noteIndex":0},"citationItems":[{"id":101,"uris":["http://zotero.org/users/local/uKe4C4Lg/items/XRPFVMR9"],"itemData":{"id":101,"type":"article-journal","abstract":"Already inside the womb, fetuses frequently bring their hands to the mouth, anticipating hand-to-mouth contact by opening the mouth. Here, we explored  whether 2-day-old newborns discriminate between hand actions directed towards  different targets of the face-that is, a thumb that reaches the mouth and a thumb  that reaches the chin. Newborns looked longer towards the thumb-to-mouth compared  to the thumb-to-chin action only in the presence, and not absence, of  anticipatory mouth opening movements, preceding the thumb arrival. Overall, our  results show that newborns are sensitive to hand-to-face coordinated actions,  being capable to discriminate between body-related actions directed towards  different targets of the face, but only when a salient visual cue that  anticipates the target of the action is present. The role of newborns'  sensorimotor experience with hand-to-mouth gestures in driving this capacity is  discussed.","container-title":"Developmental science","DOI":"10.1111/desc.13162","ISSN":"1467-7687 1363-755X","issue":"2","journalAbbreviation":"Dev Sci","language":"eng","license":"© 2021 The Authors. Developmental Science published by John Wiley &amp; Sons Ltd.","note":"publisher-place: England\nPMID: 34291540 \nPMCID: PMC9286559","page":"e13162","title":"Newborns' early attuning to hand-to-mouth coordinated actions.","volume":"25","author":[{"family":"Addabbo","given":"Margaret"},{"family":"Roberti","given":"Elisa"},{"family":"Colombo","given":"Lorenzo"},{"family":"Picciolini","given":"Odoardo"},{"family":"Turati","given":"Chiara"}],"issued":{"date-parts":[["2022",3]]}}}],"schema":"https://github.com/citation-style-language/schema/raw/master/csl-citation.json"} </w:instrText>
      </w:r>
      <w:r w:rsidR="00D9618C" w:rsidRPr="00E14CDC">
        <w:fldChar w:fldCharType="separate"/>
      </w:r>
      <w:r w:rsidR="00D9618C" w:rsidRPr="00E14CDC">
        <w:t>(Addabbo et al., 2022)</w:t>
      </w:r>
      <w:r w:rsidR="00D9618C" w:rsidRPr="00E14CDC">
        <w:fldChar w:fldCharType="end"/>
      </w:r>
      <w:r w:rsidR="00AF296E" w:rsidRPr="00E14CDC">
        <w:t>. Then, as infants produce more of these movements over their lives, the motion of these behaviors becomes more motorically salient. Therefore, they</w:t>
      </w:r>
      <w:r w:rsidR="00D9618C" w:rsidRPr="00E14CDC">
        <w:t xml:space="preserve"> would find this behavioral movement more easily reproduced. </w:t>
      </w:r>
    </w:p>
    <w:p w14:paraId="6EBA9EF6" w14:textId="4BE0053B" w:rsidR="004F1ED0" w:rsidRPr="00E14CDC" w:rsidRDefault="004F1ED0" w:rsidP="004F1ED0">
      <w:pPr>
        <w:spacing w:line="480" w:lineRule="auto"/>
        <w:ind w:firstLine="720"/>
      </w:pPr>
      <w:r w:rsidRPr="00E14CDC">
        <w:t>The infants produce</w:t>
      </w:r>
      <w:r w:rsidR="008158CF" w:rsidRPr="00E14CDC">
        <w:t>d</w:t>
      </w:r>
      <w:r w:rsidRPr="00E14CDC">
        <w:t xml:space="preserve"> the weekly trend</w:t>
      </w:r>
      <w:r w:rsidR="008158CF" w:rsidRPr="00E14CDC">
        <w:t xml:space="preserve"> that</w:t>
      </w:r>
      <w:r w:rsidRPr="00E14CDC">
        <w:t xml:space="preserve"> I expected. </w:t>
      </w:r>
      <w:r w:rsidR="008158CF" w:rsidRPr="00E14CDC">
        <w:t>They</w:t>
      </w:r>
      <w:r w:rsidRPr="00E14CDC">
        <w:t xml:space="preserve"> </w:t>
      </w:r>
      <w:r w:rsidR="008A7BB4" w:rsidRPr="00E14CDC">
        <w:t>performed</w:t>
      </w:r>
      <w:r w:rsidRPr="00E14CDC">
        <w:t xml:space="preserve"> an increasing number of events as they approached reach-onset </w:t>
      </w:r>
      <w:r w:rsidR="008158CF" w:rsidRPr="00E14CDC">
        <w:t>that</w:t>
      </w:r>
      <w:r w:rsidRPr="00E14CDC">
        <w:t xml:space="preserve"> decreased following </w:t>
      </w:r>
      <w:r w:rsidR="008158CF" w:rsidRPr="00E14CDC">
        <w:t>the ability to reach was experienced. Fu</w:t>
      </w:r>
      <w:r w:rsidRPr="00E14CDC">
        <w:t>rther</w:t>
      </w:r>
      <w:r w:rsidR="008158CF" w:rsidRPr="00E14CDC">
        <w:t>more,</w:t>
      </w:r>
      <w:r w:rsidRPr="00E14CDC">
        <w:t xml:space="preserve"> the </w:t>
      </w:r>
      <w:r w:rsidR="008A7BB4" w:rsidRPr="00E14CDC">
        <w:t>behaviors</w:t>
      </w:r>
      <w:r w:rsidR="008158CF" w:rsidRPr="00E14CDC">
        <w:t xml:space="preserve"> </w:t>
      </w:r>
      <w:r w:rsidR="008A7BB4" w:rsidRPr="00E14CDC">
        <w:t>lasted</w:t>
      </w:r>
      <w:r w:rsidR="008158CF" w:rsidRPr="00E14CDC">
        <w:t xml:space="preserve"> longer in the weeks</w:t>
      </w:r>
      <w:r w:rsidRPr="00E14CDC">
        <w:t xml:space="preserve"> leading </w:t>
      </w:r>
      <w:r w:rsidR="008A7BB4" w:rsidRPr="00E14CDC">
        <w:t>as the weeks went on</w:t>
      </w:r>
      <w:r w:rsidR="008158CF" w:rsidRPr="00E14CDC">
        <w:t xml:space="preserve">. Because the frequency of these </w:t>
      </w:r>
      <w:r w:rsidR="008A7BB4" w:rsidRPr="00E14CDC">
        <w:t>behaviors</w:t>
      </w:r>
      <w:r w:rsidR="008158CF" w:rsidRPr="00E14CDC">
        <w:t xml:space="preserve"> increased as well as the duration of the events, the </w:t>
      </w:r>
      <w:r w:rsidRPr="00E14CDC">
        <w:t>accumulated time</w:t>
      </w:r>
      <w:r w:rsidR="008158CF" w:rsidRPr="00E14CDC">
        <w:t xml:space="preserve"> infants spent at these hand locations in</w:t>
      </w:r>
      <w:r w:rsidRPr="00E14CDC">
        <w:t>creased. Based on these data, infants produced more non-reaching activities as they approached reach-onset then decreased those activities following the onset of reaching.</w:t>
      </w:r>
      <w:r w:rsidR="003B27F1" w:rsidRPr="00E14CDC">
        <w:t xml:space="preserve"> Therefore, with these infants, the non-reaching behaviors were potentially an attempt at reaching that was overshadowed by the excessive experience of arm movements towards mouth contacts. </w:t>
      </w:r>
      <w:r w:rsidRPr="00E14CDC">
        <w:t xml:space="preserve"> </w:t>
      </w:r>
    </w:p>
    <w:p w14:paraId="08712766" w14:textId="5D33EB0F" w:rsidR="004F1ED0" w:rsidRPr="00E14CDC" w:rsidRDefault="003B27F1" w:rsidP="003B27F1">
      <w:pPr>
        <w:spacing w:line="480" w:lineRule="auto"/>
        <w:ind w:firstLine="720"/>
      </w:pPr>
      <w:r w:rsidRPr="00E14CDC">
        <w:lastRenderedPageBreak/>
        <w:t xml:space="preserve">Infants displayed an understanding of their peripersonal space by </w:t>
      </w:r>
      <w:r w:rsidR="00AF296E" w:rsidRPr="00E14CDC">
        <w:t>adapting and</w:t>
      </w:r>
      <w:r w:rsidRPr="00E14CDC">
        <w:t xml:space="preserve"> altering their behaviors in relation to the object’s proximity to themselves</w:t>
      </w:r>
      <w:r w:rsidR="00AF296E" w:rsidRPr="00E14CDC">
        <w:t xml:space="preserve">. </w:t>
      </w:r>
      <w:r w:rsidRPr="00E14CDC">
        <w:t>They performed</w:t>
      </w:r>
      <w:r w:rsidR="004F1ED0" w:rsidRPr="00E14CDC">
        <w:t xml:space="preserve"> more </w:t>
      </w:r>
      <w:r w:rsidRPr="00E14CDC">
        <w:t>object-elicited non-reaching behaviors</w:t>
      </w:r>
      <w:r w:rsidR="004F1ED0" w:rsidRPr="00E14CDC">
        <w:t xml:space="preserve"> movements, </w:t>
      </w:r>
      <w:r w:rsidRPr="00E14CDC">
        <w:t>again specifically</w:t>
      </w:r>
      <w:r w:rsidR="004F1ED0" w:rsidRPr="00E14CDC">
        <w:t xml:space="preserve"> mouth contact events</w:t>
      </w:r>
      <w:r w:rsidR="00AB7D6A" w:rsidRPr="00E14CDC">
        <w:t xml:space="preserve">, when the object was outside of </w:t>
      </w:r>
      <w:r w:rsidR="00FC02E5" w:rsidRPr="00E14CDC">
        <w:t xml:space="preserve">or </w:t>
      </w:r>
      <w:r w:rsidR="00AB7D6A" w:rsidRPr="00E14CDC">
        <w:t>within their reach</w:t>
      </w:r>
      <w:r w:rsidR="00FC02E5" w:rsidRPr="00E14CDC">
        <w:t>ing space as opposed to when it was moving into their reaching space</w:t>
      </w:r>
      <w:r w:rsidR="004F1ED0" w:rsidRPr="00E14CDC">
        <w:t xml:space="preserve">. Of the 341 events originating when the toy was out of reach, </w:t>
      </w:r>
      <w:r w:rsidR="00FC02E5" w:rsidRPr="00E14CDC">
        <w:t>thirty-nine</w:t>
      </w:r>
      <w:r w:rsidR="004F1ED0" w:rsidRPr="00E14CDC">
        <w:t xml:space="preserve"> events</w:t>
      </w:r>
      <w:r w:rsidR="00AB7D6A" w:rsidRPr="00E14CDC">
        <w:t xml:space="preserve"> (14%)</w:t>
      </w:r>
      <w:r w:rsidR="004F1ED0" w:rsidRPr="00E14CDC">
        <w:t xml:space="preserve"> continued into the transition from out of reach to in reach. Another 21</w:t>
      </w:r>
      <w:r w:rsidR="00AB7D6A" w:rsidRPr="00E14CDC">
        <w:t xml:space="preserve"> (7%)</w:t>
      </w:r>
      <w:r w:rsidR="004F1ED0" w:rsidRPr="00E14CDC">
        <w:t xml:space="preserve"> continued until the object was within the infants’ reaching space. </w:t>
      </w:r>
      <w:r w:rsidR="00FC02E5" w:rsidRPr="00E14CDC">
        <w:t>Therefore</w:t>
      </w:r>
      <w:r w:rsidR="00AF296E" w:rsidRPr="00E14CDC">
        <w:t>,</w:t>
      </w:r>
      <w:r w:rsidR="00FC02E5" w:rsidRPr="00E14CDC">
        <w:t xml:space="preserve"> 280 events </w:t>
      </w:r>
      <w:r w:rsidR="00AF296E" w:rsidRPr="00E14CDC">
        <w:t>occurred</w:t>
      </w:r>
      <w:r w:rsidR="00FC02E5" w:rsidRPr="00E14CDC">
        <w:t xml:space="preserve"> when the infants could not obtain the object </w:t>
      </w:r>
      <w:r w:rsidR="00AF296E" w:rsidRPr="00E14CDC">
        <w:t xml:space="preserve">and </w:t>
      </w:r>
      <w:r w:rsidR="00FC02E5" w:rsidRPr="00E14CDC">
        <w:t>stopped when the object was moving into their peripersonal space. The infants then did not produce events again until the object was stable and within their reaching space. The duration of events was likewise the longest when the object was in stable positions outside of reach and within their reaching space. In contrast, t</w:t>
      </w:r>
      <w:r w:rsidR="004F1ED0" w:rsidRPr="00E14CDC">
        <w:t xml:space="preserve">he rate of the </w:t>
      </w:r>
      <w:r w:rsidR="00FC02E5" w:rsidRPr="00E14CDC">
        <w:t>events</w:t>
      </w:r>
      <w:r w:rsidR="004F1ED0" w:rsidRPr="00E14CDC">
        <w:t xml:space="preserve"> occurred the most when the object was outside their reach. </w:t>
      </w:r>
      <w:r w:rsidR="00FC02E5" w:rsidRPr="00E14CDC">
        <w:t>When controlling for the duration of time</w:t>
      </w:r>
      <w:r w:rsidR="00AF296E" w:rsidRPr="00E14CDC">
        <w:t>, the object was outside of the reaching space and the duration within their reaching space; the</w:t>
      </w:r>
      <w:r w:rsidR="00FC02E5" w:rsidRPr="00E14CDC">
        <w:t xml:space="preserve"> infants produced the highest rate of these behavioral events when the object was outside their reaching and peripersonal space. With </w:t>
      </w:r>
      <w:r w:rsidR="00AF296E" w:rsidRPr="00E14CDC">
        <w:t>this</w:t>
      </w:r>
      <w:r w:rsidR="00FC02E5" w:rsidRPr="00E14CDC">
        <w:t xml:space="preserve"> information alone, one could argue that this was some form of anticipatory behavior in response to the object being outside their reaching space. However, the infants </w:t>
      </w:r>
      <w:r w:rsidR="00AF296E" w:rsidRPr="00E14CDC">
        <w:t xml:space="preserve">produced very few behaviors once again </w:t>
      </w:r>
      <w:r w:rsidR="00FC02E5" w:rsidRPr="00E14CDC">
        <w:t xml:space="preserve">when the object </w:t>
      </w:r>
      <w:r w:rsidR="00AF296E" w:rsidRPr="00E14CDC">
        <w:t>moved</w:t>
      </w:r>
      <w:r w:rsidR="00FC02E5" w:rsidRPr="00E14CDC">
        <w:t xml:space="preserve"> into their reaching space. If infants were producing these behaviors through anticipation, </w:t>
      </w:r>
      <w:r w:rsidR="00AF296E" w:rsidRPr="00E14CDC">
        <w:t>they would be assumed to</w:t>
      </w:r>
      <w:r w:rsidR="00FC02E5" w:rsidRPr="00E14CDC">
        <w:t xml:space="preserve"> produce them when the object was in transit. They did not</w:t>
      </w:r>
      <w:r w:rsidR="00AF296E" w:rsidRPr="00E14CDC">
        <w:t>. Therefore, it is likely that, again,</w:t>
      </w:r>
      <w:r w:rsidR="00FC02E5" w:rsidRPr="00E14CDC">
        <w:t xml:space="preserve"> they </w:t>
      </w:r>
      <w:r w:rsidR="00FC02E5" w:rsidRPr="00E14CDC">
        <w:lastRenderedPageBreak/>
        <w:t xml:space="preserve">are attempts at reaching that are following an incorrect yet </w:t>
      </w:r>
      <w:r w:rsidR="007F4098" w:rsidRPr="00E14CDC">
        <w:t xml:space="preserve">repeatedly experienced movement behavior. </w:t>
      </w:r>
    </w:p>
    <w:p w14:paraId="645AC5C7" w14:textId="00F566B7" w:rsidR="000851AF" w:rsidRPr="00E14CDC" w:rsidRDefault="0099282D" w:rsidP="000851AF">
      <w:pPr>
        <w:spacing w:line="480" w:lineRule="auto"/>
        <w:ind w:firstLine="720"/>
      </w:pPr>
      <w:r w:rsidRPr="00E14CDC">
        <w:t>Regarding</w:t>
      </w:r>
      <w:r w:rsidR="007F4098" w:rsidRPr="00E14CDC">
        <w:t xml:space="preserve"> their reaches performed following reach-onset,</w:t>
      </w:r>
      <w:r w:rsidR="004F1ED0" w:rsidRPr="00E14CDC">
        <w:t xml:space="preserve"> infants produced </w:t>
      </w:r>
      <w:r w:rsidR="007F4098" w:rsidRPr="00E14CDC">
        <w:t xml:space="preserve">a </w:t>
      </w:r>
      <w:r w:rsidR="004F1ED0" w:rsidRPr="00E14CDC">
        <w:t>decreasing</w:t>
      </w:r>
      <w:r w:rsidR="007F4098" w:rsidRPr="00E14CDC">
        <w:t xml:space="preserve"> </w:t>
      </w:r>
      <w:r w:rsidRPr="00E14CDC">
        <w:t>number</w:t>
      </w:r>
      <w:r w:rsidR="007F4098" w:rsidRPr="00E14CDC">
        <w:t xml:space="preserve"> of</w:t>
      </w:r>
      <w:r w:rsidR="004F1ED0" w:rsidRPr="00E14CDC">
        <w:t xml:space="preserve"> </w:t>
      </w:r>
      <w:r w:rsidR="007F4098" w:rsidRPr="00E14CDC">
        <w:t>non-reaching behaviors while their</w:t>
      </w:r>
      <w:r w:rsidR="004F1ED0" w:rsidRPr="00E14CDC">
        <w:t xml:space="preserve"> reach proportions increased. </w:t>
      </w:r>
      <w:r w:rsidR="000851AF" w:rsidRPr="00E14CDC">
        <w:t xml:space="preserve">Displaying a developmental change as </w:t>
      </w:r>
      <w:r w:rsidR="004F1ED0" w:rsidRPr="00E14CDC">
        <w:t xml:space="preserve">the weeks passed, they successfully reached for the object for more trials each week. This proportion was over ninety percent by </w:t>
      </w:r>
      <w:r w:rsidR="000851AF" w:rsidRPr="00E14CDC">
        <w:t xml:space="preserve">the third week of reaching experience. Concurrent </w:t>
      </w:r>
      <w:r w:rsidR="00AF296E" w:rsidRPr="00E14CDC">
        <w:t>with</w:t>
      </w:r>
      <w:r w:rsidR="000851AF" w:rsidRPr="00E14CDC">
        <w:t xml:space="preserve"> the </w:t>
      </w:r>
      <w:r w:rsidR="004F1ED0" w:rsidRPr="00E14CDC">
        <w:t xml:space="preserve">successful reaches, the </w:t>
      </w:r>
      <w:r w:rsidR="00AB7D6A" w:rsidRPr="00E14CDC">
        <w:t>latency duration</w:t>
      </w:r>
      <w:r w:rsidR="004F1ED0" w:rsidRPr="00E14CDC">
        <w:t xml:space="preserve"> to reach decreased. As infants gained more experience, they reached for the object sooner and sooner</w:t>
      </w:r>
      <w:r w:rsidR="00AB7D6A" w:rsidRPr="00E14CDC">
        <w:t>, including reaching before it was within their reaching space,</w:t>
      </w:r>
      <w:r w:rsidR="004F1ED0" w:rsidRPr="00E14CDC">
        <w:t xml:space="preserve"> demonstrating anticipation of the object entering their reaching space. </w:t>
      </w:r>
      <w:r w:rsidR="000851AF" w:rsidRPr="00E14CDC">
        <w:t>Therefore, infants begin to exhibit anticipatory reaching behaviors, demonstrating an ability to initiate reaches before the object enters their immediate grasp range.</w:t>
      </w:r>
    </w:p>
    <w:p w14:paraId="323FE7C7" w14:textId="5FD2B027" w:rsidR="0081458D" w:rsidRPr="00E14CDC" w:rsidRDefault="000851AF" w:rsidP="0081458D">
      <w:pPr>
        <w:spacing w:line="480" w:lineRule="auto"/>
        <w:ind w:firstLine="720"/>
      </w:pPr>
      <w:r w:rsidRPr="00E14CDC">
        <w:t>The infants also exhibited kinematic differences</w:t>
      </w:r>
      <w:r w:rsidR="00AF296E" w:rsidRPr="00E14CDC">
        <w:t>, while their average velocity remained the same. Across the observation weeks, the infants</w:t>
      </w:r>
      <w:r w:rsidR="0081458D" w:rsidRPr="00E14CDC">
        <w:t xml:space="preserve"> </w:t>
      </w:r>
      <w:r w:rsidR="00AB7D6A" w:rsidRPr="00E14CDC">
        <w:t xml:space="preserve">moved their arms, </w:t>
      </w:r>
      <w:r w:rsidR="00AF296E" w:rsidRPr="00E14CDC">
        <w:t>performing non-reaching behaviors, accompanying arm movements,</w:t>
      </w:r>
      <w:r w:rsidR="00AB7D6A" w:rsidRPr="00E14CDC">
        <w:t xml:space="preserve"> and waving their arms at a similar speed regardless of the week of observation. Following </w:t>
      </w:r>
      <w:r w:rsidR="00AF296E" w:rsidRPr="00E14CDC">
        <w:t>the reach-onset, infants continued to produce the same speed on average even though</w:t>
      </w:r>
      <w:r w:rsidR="002F1008" w:rsidRPr="00E14CDC">
        <w:t xml:space="preserve"> they were reaching </w:t>
      </w:r>
      <w:r w:rsidR="00AF296E" w:rsidRPr="00E14CDC">
        <w:t>and</w:t>
      </w:r>
      <w:r w:rsidR="002F1008" w:rsidRPr="00E14CDC">
        <w:t xml:space="preserve"> producing </w:t>
      </w:r>
      <w:r w:rsidR="00AF296E" w:rsidRPr="00E14CDC">
        <w:t>object</w:t>
      </w:r>
      <w:r w:rsidR="002F1008" w:rsidRPr="00E14CDC">
        <w:t>-elicited non-reaching behaviors.</w:t>
      </w:r>
      <w:r w:rsidR="0081458D" w:rsidRPr="00E14CDC">
        <w:t xml:space="preserve"> </w:t>
      </w:r>
    </w:p>
    <w:p w14:paraId="77049BEF" w14:textId="79E9A95B" w:rsidR="00DD47EE" w:rsidRPr="00E14CDC" w:rsidRDefault="00AB7D6A" w:rsidP="004F1ED0">
      <w:pPr>
        <w:spacing w:line="480" w:lineRule="auto"/>
        <w:ind w:firstLine="720"/>
      </w:pPr>
      <w:r w:rsidRPr="00E14CDC">
        <w:t xml:space="preserve">However, </w:t>
      </w:r>
      <w:r w:rsidR="00AF296E" w:rsidRPr="00E14CDC">
        <w:t>their changes</w:t>
      </w:r>
      <w:r w:rsidRPr="00E14CDC">
        <w:t xml:space="preserve"> while moving their arms</w:t>
      </w:r>
      <w:r w:rsidR="0081458D" w:rsidRPr="00E14CDC">
        <w:t xml:space="preserve"> tell a different story. Firstly, they produced more movement units as the weeks moved from non-</w:t>
      </w:r>
      <w:r w:rsidR="00DD47EE" w:rsidRPr="00E14CDC">
        <w:t>reaching weeks</w:t>
      </w:r>
      <w:r w:rsidR="0081458D" w:rsidRPr="00E14CDC">
        <w:t xml:space="preserve"> to reaching weeks. </w:t>
      </w:r>
      <w:r w:rsidR="00AF296E" w:rsidRPr="00E14CDC">
        <w:t>They</w:t>
      </w:r>
      <w:r w:rsidR="002F1008" w:rsidRPr="00E14CDC">
        <w:t xml:space="preserve"> produced increases</w:t>
      </w:r>
      <w:r w:rsidR="00CC578B" w:rsidRPr="00E14CDC">
        <w:t xml:space="preserve"> </w:t>
      </w:r>
      <w:r w:rsidR="0081458D" w:rsidRPr="00E14CDC">
        <w:t xml:space="preserve">I expected </w:t>
      </w:r>
      <w:r w:rsidRPr="00E14CDC">
        <w:t>that the infants would now reach, constituting more movement units as they made</w:t>
      </w:r>
      <w:r w:rsidR="0081458D" w:rsidRPr="00E14CDC">
        <w:t xml:space="preserve"> reaching corrections in their attempts to </w:t>
      </w:r>
      <w:r w:rsidR="0081458D" w:rsidRPr="00E14CDC">
        <w:lastRenderedPageBreak/>
        <w:t xml:space="preserve">contact the object. However, the </w:t>
      </w:r>
      <w:r w:rsidRPr="00E14CDC">
        <w:t>most significant</w:t>
      </w:r>
      <w:r w:rsidR="0081458D" w:rsidRPr="00E14CDC">
        <w:t xml:space="preserve"> movement changes occurred in the transition phase from out of reach to </w:t>
      </w:r>
      <w:r w:rsidR="00DD47EE" w:rsidRPr="00E14CDC">
        <w:t>within</w:t>
      </w:r>
      <w:r w:rsidR="0081458D" w:rsidRPr="00E14CDC">
        <w:t xml:space="preserve"> reach</w:t>
      </w:r>
      <w:r w:rsidR="00DD47EE" w:rsidRPr="00E14CDC">
        <w:t xml:space="preserve"> while the object was in motion</w:t>
      </w:r>
      <w:r w:rsidR="0081458D" w:rsidRPr="00E14CDC">
        <w:t xml:space="preserve">. </w:t>
      </w:r>
      <w:r w:rsidRPr="00E14CDC">
        <w:t>This</w:t>
      </w:r>
      <w:r w:rsidR="0081458D" w:rsidRPr="00E14CDC">
        <w:t xml:space="preserve"> high frequency </w:t>
      </w:r>
      <w:r w:rsidR="00DD47EE" w:rsidRPr="00E14CDC">
        <w:t xml:space="preserve">of movement units </w:t>
      </w:r>
      <w:r w:rsidR="0081458D" w:rsidRPr="00E14CDC">
        <w:t xml:space="preserve">remained </w:t>
      </w:r>
      <w:r w:rsidR="00DD47EE" w:rsidRPr="00E14CDC">
        <w:t xml:space="preserve">high </w:t>
      </w:r>
      <w:r w:rsidR="0081458D" w:rsidRPr="00E14CDC">
        <w:t>throughout. Alternatively, infants increased their movement</w:t>
      </w:r>
      <w:r w:rsidR="00DD47EE" w:rsidRPr="00E14CDC">
        <w:t xml:space="preserve"> units </w:t>
      </w:r>
      <w:r w:rsidR="0081458D" w:rsidRPr="00E14CDC">
        <w:t xml:space="preserve">in the presence of an object both in and out of reach. This increase occurred as they began to reach and beyond </w:t>
      </w:r>
      <w:r w:rsidR="00DD47EE" w:rsidRPr="00E14CDC">
        <w:t>into</w:t>
      </w:r>
      <w:r w:rsidR="0081458D" w:rsidRPr="00E14CDC">
        <w:t xml:space="preserve"> the reaching weeks. </w:t>
      </w:r>
      <w:r w:rsidR="00DD47EE" w:rsidRPr="00E14CDC">
        <w:t>Again,</w:t>
      </w:r>
      <w:r w:rsidR="0081458D" w:rsidRPr="00E14CDC">
        <w:t xml:space="preserve"> while </w:t>
      </w:r>
      <w:r w:rsidR="00DD47EE" w:rsidRPr="00E14CDC">
        <w:t xml:space="preserve">the </w:t>
      </w:r>
      <w:r w:rsidR="0081458D" w:rsidRPr="00E14CDC">
        <w:t xml:space="preserve">increase </w:t>
      </w:r>
      <w:r w:rsidR="00DD47EE" w:rsidRPr="00E14CDC">
        <w:t xml:space="preserve">when the object is in reach is expected </w:t>
      </w:r>
      <w:r w:rsidR="0081458D" w:rsidRPr="00E14CDC">
        <w:t>due to the reaching</w:t>
      </w:r>
      <w:r w:rsidR="00DD47EE" w:rsidRPr="00E14CDC">
        <w:t>, this is not true when the object is outside of their reach.</w:t>
      </w:r>
    </w:p>
    <w:p w14:paraId="622ABD7C" w14:textId="54A7BE76" w:rsidR="004F1ED0" w:rsidRPr="00E14CDC" w:rsidRDefault="00AF296E" w:rsidP="004F1ED0">
      <w:pPr>
        <w:spacing w:line="480" w:lineRule="auto"/>
        <w:ind w:firstLine="720"/>
      </w:pPr>
      <w:r w:rsidRPr="00E14CDC">
        <w:t>However, the changes in frequency, duration, speed, and movement units</w:t>
      </w:r>
      <w:r w:rsidR="00AB7D6A" w:rsidRPr="00E14CDC">
        <w:t xml:space="preserve"> are not the entire story</w:t>
      </w:r>
      <w:r w:rsidR="00F97F50" w:rsidRPr="00E14CDC">
        <w:t>. The infants had one significant difference among themselves: the age at which they attained the onset. Grouping the children by their reach onset may result in a better understanding of the factors that go into their transition from non-reaching to</w:t>
      </w:r>
      <w:r w:rsidR="004F1ED0" w:rsidRPr="00E14CDC">
        <w:t xml:space="preserve"> reaching. </w:t>
      </w:r>
    </w:p>
    <w:bookmarkEnd w:id="82"/>
    <w:p w14:paraId="02FEE397" w14:textId="77777777" w:rsidR="004F1ED0" w:rsidRPr="00E14CDC" w:rsidRDefault="004F1ED0" w:rsidP="003F135C">
      <w:pPr>
        <w:ind w:firstLine="720"/>
      </w:pPr>
    </w:p>
    <w:p w14:paraId="044AF1C2" w14:textId="77777777" w:rsidR="003F135C" w:rsidRPr="00E14CDC" w:rsidRDefault="003F135C" w:rsidP="003F135C">
      <w:pPr>
        <w:ind w:firstLine="720"/>
      </w:pPr>
    </w:p>
    <w:p w14:paraId="6DD55EC3" w14:textId="77777777" w:rsidR="0081458D" w:rsidRPr="00E14CDC" w:rsidRDefault="0081458D">
      <w:pPr>
        <w:rPr>
          <w:b/>
          <w:bCs/>
          <w:caps/>
          <w:color w:val="000000" w:themeColor="text1"/>
        </w:rPr>
      </w:pPr>
      <w:r w:rsidRPr="00E14CDC">
        <w:br w:type="page"/>
      </w:r>
    </w:p>
    <w:p w14:paraId="263FF327" w14:textId="487EACE3" w:rsidR="00C82918" w:rsidRPr="00E14CDC" w:rsidRDefault="00C82918" w:rsidP="006C46B2">
      <w:pPr>
        <w:numPr>
          <w:ilvl w:val="0"/>
          <w:numId w:val="4"/>
        </w:numPr>
        <w:autoSpaceDE w:val="0"/>
        <w:autoSpaceDN w:val="0"/>
        <w:adjustRightInd w:val="0"/>
        <w:spacing w:before="120" w:after="120" w:line="480" w:lineRule="auto"/>
        <w:ind w:left="0"/>
        <w:jc w:val="center"/>
        <w:outlineLvl w:val="0"/>
        <w:rPr>
          <w:b/>
          <w:bCs/>
          <w:caps/>
          <w:color w:val="000000"/>
        </w:rPr>
      </w:pPr>
      <w:bookmarkStart w:id="83" w:name="_Toc420995911"/>
      <w:bookmarkStart w:id="84" w:name="_Toc422997498"/>
      <w:bookmarkStart w:id="85" w:name="_Toc427156483"/>
      <w:r w:rsidRPr="00E14CDC">
        <w:rPr>
          <w:b/>
          <w:bCs/>
          <w:caps/>
          <w:color w:val="000000"/>
        </w:rPr>
        <w:lastRenderedPageBreak/>
        <w:br/>
      </w:r>
      <w:bookmarkStart w:id="86" w:name="_Toc173185072"/>
      <w:r w:rsidRPr="00E14CDC">
        <w:rPr>
          <w:b/>
          <w:bCs/>
          <w:caps/>
          <w:color w:val="000000"/>
        </w:rPr>
        <w:t>Results and Discussion: REACHing GROUPs</w:t>
      </w:r>
      <w:bookmarkEnd w:id="86"/>
    </w:p>
    <w:p w14:paraId="7E5FE9A5" w14:textId="6D5ACBFC" w:rsidR="00C82918" w:rsidRPr="00E14CDC" w:rsidRDefault="00C82918" w:rsidP="00C8291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ab/>
        <w:t xml:space="preserve">The infants in this study consisted of two distinguished reach onset groups. One group attained reach-onset at 15 and 16 weeks, while the other at 19 and 21. Following Thelen’s 1993 longitudinal study of the activity levels and the onset of Gabrial, Nathan, Justin, and Hannah, I further analyzed the data by grouping these individuals into early and late-reaching groups (see Table 1). I conducted the same analyses as the previous section, focusing again on behavioral events and overall kinematics to understand these groups' developmental changes around reach-onset. For consistency, I ran an initial analysis of the proximity durations to again allow for proper comparison between the different proximity and the reach groups. As with the </w:t>
      </w:r>
      <w:r w:rsidR="00AF296E" w:rsidRPr="00E14CDC">
        <w:t>entire</w:t>
      </w:r>
      <w:r w:rsidRPr="00E14CDC">
        <w:t xml:space="preserve"> sample, the toy-out-of-reach proximity duration relied on the infant's accumulated looking to determine its end time. Likewise, the </w:t>
      </w:r>
      <w:r w:rsidR="00AF296E" w:rsidRPr="00E14CDC">
        <w:t xml:space="preserve">duration of the toy-in-reach </w:t>
      </w:r>
      <w:r w:rsidRPr="00E14CDC">
        <w:t xml:space="preserve">relied on the object being removed. </w:t>
      </w:r>
      <w:r w:rsidR="00AF296E" w:rsidRPr="00E14CDC">
        <w:t xml:space="preserve">One group could accumulate faster looking times and end these proximities sooner or </w:t>
      </w:r>
      <w:r w:rsidRPr="00E14CDC">
        <w:t>reach more consistently sooner</w:t>
      </w:r>
      <w:r w:rsidR="000D3228" w:rsidRPr="00E14CDC">
        <w:t>,</w:t>
      </w:r>
      <w:r w:rsidRPr="00E14CDC">
        <w:t xml:space="preserve"> resulting in shorter toy-in-reach durations. I conducted a GEE with pairwise comparisons that revealed no interaction of proximity zone and group, Wald χ2(2) = 1.859, </w:t>
      </w:r>
      <w:r w:rsidRPr="00E14CDC">
        <w:rPr>
          <w:i/>
          <w:iCs/>
        </w:rPr>
        <w:t>p</w:t>
      </w:r>
      <w:r w:rsidRPr="00E14CDC">
        <w:t xml:space="preserve"> &gt; 0.05 (see Figure 20 and Table 42 for mean estimates). </w:t>
      </w:r>
      <w:r w:rsidR="00AF296E" w:rsidRPr="00E14CDC">
        <w:t>Each zone of object proximity, toy-out-of-reach, toy-moving-into-reach, and toy-in-reach</w:t>
      </w:r>
      <w:r w:rsidRPr="00E14CDC">
        <w:t xml:space="preserve"> was the same between the late and the early reaching group.</w:t>
      </w:r>
    </w:p>
    <w:p w14:paraId="40934DE9" w14:textId="77777777" w:rsidR="00C82918" w:rsidRPr="00E14CDC" w:rsidRDefault="00C82918" w:rsidP="00C82918">
      <w:pPr>
        <w:keepNext/>
        <w:spacing w:before="240" w:after="60" w:line="480" w:lineRule="auto"/>
        <w:jc w:val="center"/>
        <w:outlineLvl w:val="1"/>
        <w:rPr>
          <w:iCs/>
        </w:rPr>
      </w:pPr>
      <w:bookmarkStart w:id="87" w:name="_Toc173185073"/>
      <w:r w:rsidRPr="00E14CDC">
        <w:rPr>
          <w:iCs/>
        </w:rPr>
        <w:t>Movement events</w:t>
      </w:r>
      <w:bookmarkEnd w:id="87"/>
    </w:p>
    <w:p w14:paraId="6E20BDEE" w14:textId="3C1CCCCB" w:rsidR="00C82918" w:rsidRPr="00E14CDC" w:rsidRDefault="00C82918" w:rsidP="00C82918">
      <w:pPr>
        <w:spacing w:line="480" w:lineRule="auto"/>
        <w:ind w:firstLine="720"/>
      </w:pPr>
      <w:r w:rsidRPr="00E14CDC">
        <w:t>To understand the developmental changes between early</w:t>
      </w:r>
      <w:r w:rsidR="00AF296E" w:rsidRPr="00E14CDC">
        <w:t>-</w:t>
      </w:r>
      <w:r w:rsidRPr="00E14CDC">
        <w:t xml:space="preserve"> and </w:t>
      </w:r>
      <w:r w:rsidR="00AF296E" w:rsidRPr="00E14CDC">
        <w:t>late-reaching</w:t>
      </w:r>
      <w:r w:rsidRPr="00E14CDC">
        <w:t xml:space="preserve"> groups’ behavioral events, I conducted a GEE. The analysis model was like the previous </w:t>
      </w:r>
      <w:r w:rsidRPr="00E14CDC">
        <w:lastRenderedPageBreak/>
        <w:t xml:space="preserve">model, with the same variables as previously discussed, with the addition of the group variable as an independent variable. I ran only comparisons involving the </w:t>
      </w:r>
      <w:r w:rsidRPr="00E14CDC">
        <w:rPr>
          <w:i/>
          <w:iCs/>
        </w:rPr>
        <w:t>group</w:t>
      </w:r>
      <w:r w:rsidRPr="00E14CDC">
        <w:t xml:space="preserve"> variable and reported those results in this chapter.</w:t>
      </w:r>
    </w:p>
    <w:p w14:paraId="79234EF1" w14:textId="77777777" w:rsidR="00C82918" w:rsidRPr="00E14CDC" w:rsidRDefault="00C82918" w:rsidP="00C82918">
      <w:pPr>
        <w:spacing w:line="480" w:lineRule="auto"/>
      </w:pPr>
    </w:p>
    <w:p w14:paraId="5A985A93" w14:textId="77777777" w:rsidR="00C82918" w:rsidRPr="00E14CDC" w:rsidRDefault="00C82918" w:rsidP="00C82918">
      <w:pPr>
        <w:keepNext/>
        <w:spacing w:line="480" w:lineRule="auto"/>
        <w:outlineLvl w:val="2"/>
        <w:rPr>
          <w:i/>
        </w:rPr>
      </w:pPr>
      <w:bookmarkStart w:id="88" w:name="_Toc173185074"/>
      <w:r w:rsidRPr="00E14CDC">
        <w:rPr>
          <w:i/>
        </w:rPr>
        <w:t>Frequency</w:t>
      </w:r>
      <w:bookmarkEnd w:id="88"/>
    </w:p>
    <w:p w14:paraId="21D7B051" w14:textId="77777777" w:rsidR="00C82918" w:rsidRPr="00E14CDC" w:rsidRDefault="00C82918" w:rsidP="00C82918">
      <w:pPr>
        <w:spacing w:line="480" w:lineRule="auto"/>
        <w:ind w:firstLine="720"/>
      </w:pPr>
      <w:r w:rsidRPr="00E14CDC">
        <w:t>The analysis of the event frequencies revealed a statistically significant main effect for groups (Wald χ2(1) = 19.274</w:t>
      </w:r>
      <w:r w:rsidRPr="00E14CDC">
        <w:rPr>
          <w:i/>
          <w:iCs/>
        </w:rPr>
        <w:t xml:space="preserve"> p &lt;</w:t>
      </w:r>
      <w:r w:rsidRPr="00E14CDC">
        <w:t xml:space="preserve"> 0.003; see Figure 21). Overall, the early reaching group produced more events than their late-reaching peers (see Table 43 for estimated means). Further, there were statistically significant differences between the groups and their respective frequencies, rates of events, durations, summed durations, velocity means, movement units, proportion of reaches and latency to reach (</w:t>
      </w:r>
      <w:r w:rsidRPr="00E14CDC">
        <w:rPr>
          <w:i/>
          <w:iCs/>
        </w:rPr>
        <w:t>ps</w:t>
      </w:r>
      <w:r w:rsidRPr="00E14CDC">
        <w:t xml:space="preserve"> &lt; 0.001). </w:t>
      </w:r>
    </w:p>
    <w:p w14:paraId="6A93D104" w14:textId="77777777" w:rsidR="00C82918" w:rsidRPr="00E14CDC" w:rsidRDefault="00C82918" w:rsidP="00C82918">
      <w:pPr>
        <w:spacing w:line="480" w:lineRule="auto"/>
        <w:ind w:firstLine="720"/>
      </w:pPr>
    </w:p>
    <w:p w14:paraId="43C66C22" w14:textId="77777777" w:rsidR="00C82918" w:rsidRPr="00E14CDC" w:rsidRDefault="00C82918" w:rsidP="00C82918">
      <w:pPr>
        <w:spacing w:line="480" w:lineRule="auto"/>
      </w:pPr>
      <w:r w:rsidRPr="00E14CDC">
        <w:t>Group by week</w:t>
      </w:r>
    </w:p>
    <w:p w14:paraId="2E2F1A7C" w14:textId="77777777" w:rsidR="00C82918" w:rsidRPr="00E14CDC" w:rsidRDefault="00C82918" w:rsidP="00C82918">
      <w:pPr>
        <w:spacing w:line="480" w:lineRule="auto"/>
      </w:pPr>
      <w:r w:rsidRPr="00E14CDC">
        <w:tab/>
        <w:t xml:space="preserve">The GEE revealed a significant difference in the groups’ frequency of events across the weeks of observation (Wald χ2(7) = </w:t>
      </w:r>
      <w:r w:rsidRPr="00E14CDC">
        <w:rPr>
          <w:color w:val="000000"/>
          <w:sz w:val="22"/>
          <w:szCs w:val="22"/>
        </w:rPr>
        <w:t xml:space="preserve">1.36209E+12 </w:t>
      </w:r>
      <w:r w:rsidRPr="00E14CDC">
        <w:rPr>
          <w:i/>
          <w:iCs/>
        </w:rPr>
        <w:t>p &lt;</w:t>
      </w:r>
      <w:r w:rsidRPr="00E14CDC">
        <w:t xml:space="preserve"> 0.001; see Figure 21 and Table 44 for estimated means). Infants in the early reaching group produced more events in the weeks before reach onset with significantly higher event frequencies in the weeks just before reaching onset (weeks -2 and -1), before decreasing in event frequency following reach-onset till the last week of observation. Alternatively, the late reaching group produced minimal event frequencies that dropped to close to zero the week before reaching onset (week -1) before increasing following reach onset. While the early group exhibited a decreasing trend in their frequencies across weeks and the late group an </w:t>
      </w:r>
      <w:r w:rsidRPr="00E14CDC">
        <w:lastRenderedPageBreak/>
        <w:t xml:space="preserve">increasing trend, Both groups frequencies were remarkably similar for the weeks after reach onset (see weeks 1 to 5 of Figure 21). </w:t>
      </w:r>
    </w:p>
    <w:p w14:paraId="6017E17C" w14:textId="77777777" w:rsidR="00C82918" w:rsidRPr="00E14CDC" w:rsidRDefault="00C82918" w:rsidP="00C82918">
      <w:pPr>
        <w:spacing w:line="480" w:lineRule="auto"/>
      </w:pPr>
    </w:p>
    <w:p w14:paraId="0F32351B" w14:textId="77777777" w:rsidR="00C82918" w:rsidRPr="00E14CDC" w:rsidRDefault="00C82918" w:rsidP="00C82918">
      <w:pPr>
        <w:spacing w:line="480" w:lineRule="auto"/>
      </w:pPr>
      <w:r w:rsidRPr="00E14CDC">
        <w:t>Group by event type</w:t>
      </w:r>
    </w:p>
    <w:p w14:paraId="142C053C" w14:textId="13ABA7E1" w:rsidR="00C82918" w:rsidRPr="00E14CDC" w:rsidRDefault="00C82918" w:rsidP="00C82918">
      <w:pPr>
        <w:spacing w:line="480" w:lineRule="auto"/>
      </w:pPr>
      <w:r w:rsidRPr="00E14CDC">
        <w:tab/>
        <w:t xml:space="preserve">Both groups showed a similar trend for event-type frequencies. Early and </w:t>
      </w:r>
      <w:r w:rsidR="00A92505" w:rsidRPr="00E14CDC">
        <w:t>L</w:t>
      </w:r>
      <w:r w:rsidRPr="00E14CDC">
        <w:t xml:space="preserve">ate reaching groups both produced more mouth contact events than face contacts or midline clasps events (Wald χ2(4) = 220.046 </w:t>
      </w:r>
      <w:r w:rsidRPr="00E14CDC">
        <w:rPr>
          <w:i/>
          <w:iCs/>
        </w:rPr>
        <w:t>p &lt;</w:t>
      </w:r>
      <w:r w:rsidRPr="00E14CDC">
        <w:t xml:space="preserve"> 0.001; see Table 45 for estimated means). While</w:t>
      </w:r>
      <w:r w:rsidR="00A92505" w:rsidRPr="00E14CDC">
        <w:t xml:space="preserve"> the early-reaching group produced more contacts in each behavior type than their late reaching group peers,</w:t>
      </w:r>
      <w:r w:rsidRPr="00E14CDC">
        <w:t xml:space="preserve"> the only significantly different event was face contacts between the groups (p &lt; 0.001), while mouth contacts and midline clasping were not different between groups (</w:t>
      </w:r>
      <w:r w:rsidRPr="00E14CDC">
        <w:rPr>
          <w:i/>
          <w:iCs/>
        </w:rPr>
        <w:t xml:space="preserve">ps </w:t>
      </w:r>
      <w:r w:rsidRPr="00E14CDC">
        <w:t>&gt; 0.05). Regardless of the reach onset group, producing more mouth contact events remained constant.</w:t>
      </w:r>
    </w:p>
    <w:p w14:paraId="77D179A7" w14:textId="77777777" w:rsidR="00C82918" w:rsidRPr="00E14CDC" w:rsidRDefault="00C82918" w:rsidP="00C82918">
      <w:pPr>
        <w:spacing w:line="480" w:lineRule="auto"/>
      </w:pPr>
      <w:r w:rsidRPr="00E14CDC">
        <w:t xml:space="preserve"> </w:t>
      </w:r>
    </w:p>
    <w:p w14:paraId="3A34F7FA" w14:textId="77777777" w:rsidR="00C82918" w:rsidRPr="00E14CDC" w:rsidRDefault="00C82918" w:rsidP="00C82918">
      <w:pPr>
        <w:spacing w:line="480" w:lineRule="auto"/>
      </w:pPr>
      <w:r w:rsidRPr="00E14CDC">
        <w:t>Group by proximity</w:t>
      </w:r>
    </w:p>
    <w:p w14:paraId="07784F86" w14:textId="1C823B59" w:rsidR="00C82918" w:rsidRPr="00E14CDC" w:rsidRDefault="00C82918" w:rsidP="00C82918">
      <w:pPr>
        <w:spacing w:line="480" w:lineRule="auto"/>
      </w:pPr>
      <w:r w:rsidRPr="00E14CDC">
        <w:tab/>
        <w:t>The groups displayed differences in referent to frequency of events based on objects location (Wald χ2(4) = 58.538</w:t>
      </w:r>
      <w:r w:rsidRPr="00E14CDC">
        <w:rPr>
          <w:i/>
          <w:iCs/>
        </w:rPr>
        <w:t xml:space="preserve"> p &lt;</w:t>
      </w:r>
      <w:r w:rsidRPr="00E14CDC">
        <w:t xml:space="preserve"> 0.001; see Figure 22 and Table 46 for estimated means). The early reaching group produced more events in toy-out-of-reach and toy-in-reach than in toy-moving-into-reach. Conversely, the late reaching group produced more events in the toy-out-of-reach zone than the toy-moving-into-reach and toy-in-reach. Again, the early reachers produced more events. However, the two groups displayed different trends from one another</w:t>
      </w:r>
      <w:r w:rsidR="00A92505" w:rsidRPr="00E14CDC">
        <w:t>, with the late group producing fewer events than their peers only</w:t>
      </w:r>
      <w:r w:rsidRPr="00E14CDC">
        <w:t xml:space="preserve"> for the toy-out-of-reach proximity (see Figure 22). </w:t>
      </w:r>
    </w:p>
    <w:p w14:paraId="2D8F7E4E" w14:textId="77777777" w:rsidR="00C82918" w:rsidRPr="00E14CDC" w:rsidRDefault="00C82918" w:rsidP="00C82918">
      <w:pPr>
        <w:spacing w:line="480" w:lineRule="auto"/>
      </w:pPr>
      <w:r w:rsidRPr="00E14CDC">
        <w:lastRenderedPageBreak/>
        <w:t>Group by week by event type</w:t>
      </w:r>
      <w:r w:rsidRPr="00E14CDC">
        <w:tab/>
      </w:r>
    </w:p>
    <w:p w14:paraId="74ED39C5" w14:textId="77777777" w:rsidR="00C82918" w:rsidRPr="00E14CDC" w:rsidRDefault="00C82918" w:rsidP="00C82918">
      <w:pPr>
        <w:spacing w:line="480" w:lineRule="auto"/>
        <w:ind w:firstLine="720"/>
      </w:pPr>
      <w:r w:rsidRPr="00E14CDC">
        <w:t xml:space="preserve">Both groups again produced more mouth contact events than midline clasps or face contacts (Wald χ2(6) = 1.94967E+14 </w:t>
      </w:r>
      <w:r w:rsidRPr="00E14CDC">
        <w:rPr>
          <w:i/>
          <w:iCs/>
        </w:rPr>
        <w:t>p &lt;</w:t>
      </w:r>
      <w:r w:rsidRPr="00E14CDC">
        <w:t xml:space="preserve"> 0.001; see Figure 21 and Table 47 for estimated means). However, their developmental trends once again differed. Early reachers produced mostly face contact in their first week before producing more mouth contact for the remainder of the observation weeks. The frequency of these events, consisting of mostly mouth events, followed their weekly trend of increasing to reach onset before decreasing the remainder of the weeks. The late group produced very few mouth events that did not differ from the other event types before increasing from week-2 through reach onset and to the final weeks of observation. Again, while the early reaching group decreased in the frequency of events following reach onset, the late reaching group increased their event frequency.</w:t>
      </w:r>
    </w:p>
    <w:p w14:paraId="4BCE26B0" w14:textId="77777777" w:rsidR="00C82918" w:rsidRPr="00E14CDC" w:rsidRDefault="00C82918" w:rsidP="00C82918">
      <w:pPr>
        <w:spacing w:line="480" w:lineRule="auto"/>
      </w:pPr>
    </w:p>
    <w:p w14:paraId="3EAF0BF9" w14:textId="77777777" w:rsidR="00C82918" w:rsidRPr="00E14CDC" w:rsidRDefault="00C82918" w:rsidP="00C82918">
      <w:pPr>
        <w:spacing w:line="480" w:lineRule="auto"/>
      </w:pPr>
      <w:r w:rsidRPr="00E14CDC">
        <w:t>Group by week by proximity</w:t>
      </w:r>
    </w:p>
    <w:p w14:paraId="5C6B27B9" w14:textId="21FF5260" w:rsidR="00C82918" w:rsidRPr="00E14CDC" w:rsidRDefault="00C82918" w:rsidP="00C82918">
      <w:pPr>
        <w:spacing w:line="480" w:lineRule="auto"/>
        <w:ind w:firstLine="720"/>
      </w:pPr>
      <w:r w:rsidRPr="00E14CDC">
        <w:t xml:space="preserve">There was once again a significant difference between the groups following the proximity group interaction (Wald χ2(6) = </w:t>
      </w:r>
      <w:r w:rsidRPr="00E14CDC">
        <w:rPr>
          <w:color w:val="000000"/>
          <w:sz w:val="22"/>
          <w:szCs w:val="22"/>
        </w:rPr>
        <w:t xml:space="preserve">1.94967E+14 </w:t>
      </w:r>
      <w:r w:rsidRPr="00E14CDC">
        <w:rPr>
          <w:i/>
          <w:iCs/>
        </w:rPr>
        <w:t>p &lt;</w:t>
      </w:r>
      <w:r w:rsidRPr="00E14CDC">
        <w:t xml:space="preserve"> 0.001; see Figure 22 and Table 48 for estimated means). Both groups had extremely low events in the toy-moving-into-reach proximity that remained constant. While there was a constant number of events occurring during toy-out-of-reach before reach-onset for the early group, this number decreased in week 1 and rose again until week </w:t>
      </w:r>
      <w:r w:rsidR="00AF296E" w:rsidRPr="00E14CDC">
        <w:t>5,</w:t>
      </w:r>
      <w:r w:rsidRPr="00E14CDC">
        <w:t xml:space="preserve"> when it dropped again. The early </w:t>
      </w:r>
      <w:r w:rsidR="00AF296E" w:rsidRPr="00E14CDC">
        <w:t>group's toy-in-reach events increased until they reached onset (week -5 to 0)</w:t>
      </w:r>
      <w:r w:rsidRPr="00E14CDC">
        <w:t xml:space="preserve"> when they decreased through the remaining weeks (week 1 to 5). For the late reach group, they </w:t>
      </w:r>
      <w:r w:rsidRPr="00E14CDC">
        <w:lastRenderedPageBreak/>
        <w:t xml:space="preserve">produced very few events in the toy-out-of-reach which increased across the weeks of observation (week -5 to 4) until week 5 when they also decreased significantly. They further produce very few events when the toy was in-reach, and this remained constant throughout. </w:t>
      </w:r>
    </w:p>
    <w:p w14:paraId="15DFBD00" w14:textId="77777777" w:rsidR="00C82918" w:rsidRPr="00E14CDC" w:rsidRDefault="00C82918" w:rsidP="00C82918">
      <w:pPr>
        <w:spacing w:line="480" w:lineRule="auto"/>
        <w:ind w:firstLine="720"/>
        <w:rPr>
          <w:color w:val="000000"/>
          <w:sz w:val="22"/>
          <w:szCs w:val="22"/>
        </w:rPr>
      </w:pPr>
    </w:p>
    <w:p w14:paraId="436265D8" w14:textId="77777777" w:rsidR="00C82918" w:rsidRPr="00E14CDC" w:rsidRDefault="00C82918" w:rsidP="00C82918">
      <w:pPr>
        <w:spacing w:line="480" w:lineRule="auto"/>
      </w:pPr>
      <w:r w:rsidRPr="00E14CDC">
        <w:t>Group by event by proximity</w:t>
      </w:r>
    </w:p>
    <w:p w14:paraId="30E9D5D4" w14:textId="77777777" w:rsidR="00C82918" w:rsidRPr="00E14CDC" w:rsidRDefault="00C82918" w:rsidP="00C82918">
      <w:pPr>
        <w:spacing w:line="480" w:lineRule="auto"/>
        <w:ind w:firstLine="720"/>
      </w:pPr>
      <w:r w:rsidRPr="00E14CDC">
        <w:t xml:space="preserve">The groups again showed significant difference in their trends of events across proximities (Wald χ2(5) = </w:t>
      </w:r>
      <w:r w:rsidRPr="00E14CDC">
        <w:rPr>
          <w:color w:val="000000"/>
          <w:sz w:val="22"/>
          <w:szCs w:val="22"/>
        </w:rPr>
        <w:t xml:space="preserve">8928580241 </w:t>
      </w:r>
      <w:r w:rsidRPr="00E14CDC">
        <w:rPr>
          <w:i/>
          <w:iCs/>
        </w:rPr>
        <w:t>p &lt;</w:t>
      </w:r>
      <w:r w:rsidRPr="00E14CDC">
        <w:t xml:space="preserve"> 0.001; see Figure 22 and Table 49 for estimated means). For both groups, there were significantly more Mouth events than face or midline clasping. However, for early reachers, there was similar amount occurring in the toy-out-of-reach and toy-in -reach proximity. Conversely, the mouth events exhibited by the late group occurred only in the toy-out-of-reach proximity. </w:t>
      </w:r>
    </w:p>
    <w:p w14:paraId="15BCEF00" w14:textId="77777777" w:rsidR="00C82918" w:rsidRPr="00E14CDC" w:rsidRDefault="00C82918" w:rsidP="00C82918">
      <w:pPr>
        <w:spacing w:line="480" w:lineRule="auto"/>
        <w:ind w:firstLine="720"/>
        <w:rPr>
          <w:color w:val="000000"/>
          <w:sz w:val="22"/>
          <w:szCs w:val="22"/>
        </w:rPr>
      </w:pPr>
    </w:p>
    <w:p w14:paraId="0C298355" w14:textId="77777777" w:rsidR="00C82918" w:rsidRPr="00E14CDC" w:rsidRDefault="00C82918" w:rsidP="00C82918">
      <w:pPr>
        <w:spacing w:line="480" w:lineRule="auto"/>
      </w:pPr>
      <w:r w:rsidRPr="00E14CDC">
        <w:t>Group by week by event type by proximity</w:t>
      </w:r>
    </w:p>
    <w:p w14:paraId="2FA00D6D" w14:textId="56D493B0" w:rsidR="00C82918" w:rsidRPr="00E14CDC" w:rsidRDefault="00C82918" w:rsidP="00C82918">
      <w:pPr>
        <w:spacing w:line="480" w:lineRule="auto"/>
        <w:ind w:firstLine="720"/>
      </w:pPr>
      <w:r w:rsidRPr="00E14CDC">
        <w:t xml:space="preserve">There was a significant four-way interaction between the groups, events, proximities across weeks (Wald χ2(4) = </w:t>
      </w:r>
      <w:r w:rsidRPr="00E14CDC">
        <w:rPr>
          <w:color w:val="000000"/>
          <w:sz w:val="22"/>
          <w:szCs w:val="22"/>
        </w:rPr>
        <w:t>116.019</w:t>
      </w:r>
      <w:r w:rsidRPr="00E14CDC">
        <w:rPr>
          <w:i/>
          <w:iCs/>
        </w:rPr>
        <w:t xml:space="preserve"> p &lt;</w:t>
      </w:r>
      <w:r w:rsidRPr="00E14CDC">
        <w:t xml:space="preserve"> 0.001; see Figure 22 and Tables 50 and 51 for estimated means). Following the trends seen across the previous 3-way interactions, the infants produced significantly more mouth contact over midline clasping and face contacts</w:t>
      </w:r>
      <w:r w:rsidR="00AF296E" w:rsidRPr="00E14CDC">
        <w:t>,</w:t>
      </w:r>
      <w:r w:rsidRPr="00E14CDC">
        <w:t xml:space="preserve"> with the only notable exception being the early </w:t>
      </w:r>
      <w:r w:rsidR="00AF296E" w:rsidRPr="00E14CDC">
        <w:t>groups'</w:t>
      </w:r>
      <w:r w:rsidRPr="00E14CDC">
        <w:t xml:space="preserve"> increased face contacts for week -5. For toy-out-of-reach, </w:t>
      </w:r>
      <w:r w:rsidR="00AF296E" w:rsidRPr="00E14CDC">
        <w:t>early-reach infants produced more mouth contacts during the pre-reaching weeks,</w:t>
      </w:r>
      <w:r w:rsidRPr="00E14CDC">
        <w:t xml:space="preserve"> while the late group produced more in the post-reach onset weeks.</w:t>
      </w:r>
    </w:p>
    <w:p w14:paraId="2A2FD542" w14:textId="41CFDDE2" w:rsidR="00C82918" w:rsidRPr="00E14CDC" w:rsidRDefault="00C82918" w:rsidP="00C82918">
      <w:pPr>
        <w:spacing w:line="480" w:lineRule="auto"/>
      </w:pPr>
      <w:r w:rsidRPr="00E14CDC">
        <w:lastRenderedPageBreak/>
        <w:tab/>
        <w:t>Contrary to my hypotheses, infants did not produce a large amount of midline clasping but rather mouth contact. They did show a transition from events occurring within reach to outside of reach</w:t>
      </w:r>
      <w:r w:rsidR="00AF296E" w:rsidRPr="00E14CDC">
        <w:t>; however, this was observed only in the early-reaching infants. Furthermore, while they did display increased activity approaching reach onset, this again was the early-reaching</w:t>
      </w:r>
      <w:r w:rsidRPr="00E14CDC">
        <w:t xml:space="preserve"> group.</w:t>
      </w:r>
    </w:p>
    <w:p w14:paraId="08150378" w14:textId="77777777" w:rsidR="00C82918" w:rsidRPr="00E14CDC" w:rsidRDefault="00C82918" w:rsidP="00C82918">
      <w:pPr>
        <w:spacing w:line="480" w:lineRule="auto"/>
      </w:pPr>
      <w:r w:rsidRPr="00E14CDC">
        <w:tab/>
      </w:r>
    </w:p>
    <w:p w14:paraId="2932D8CE" w14:textId="77777777" w:rsidR="00C82918" w:rsidRPr="00E14CDC" w:rsidRDefault="00C82918" w:rsidP="00C82918">
      <w:pPr>
        <w:keepNext/>
        <w:numPr>
          <w:ilvl w:val="2"/>
          <w:numId w:val="0"/>
        </w:numPr>
        <w:spacing w:line="480" w:lineRule="auto"/>
        <w:outlineLvl w:val="2"/>
        <w:rPr>
          <w:i/>
        </w:rPr>
      </w:pPr>
      <w:bookmarkStart w:id="89" w:name="_Toc173185075"/>
      <w:r w:rsidRPr="00E14CDC">
        <w:rPr>
          <w:i/>
        </w:rPr>
        <w:t>Rate</w:t>
      </w:r>
      <w:bookmarkEnd w:id="89"/>
    </w:p>
    <w:p w14:paraId="1EB411E2" w14:textId="28E01508" w:rsidR="00C82918" w:rsidRPr="00E14CDC" w:rsidRDefault="00C82918" w:rsidP="00C82918">
      <w:pPr>
        <w:spacing w:line="480" w:lineRule="auto"/>
        <w:ind w:firstLine="720"/>
      </w:pPr>
      <w:r w:rsidRPr="00E14CDC">
        <w:t>The analysis of the trial rate of events revealed statistically significant main effects for groups (Wald χ2(1) = 19.204</w:t>
      </w:r>
      <w:r w:rsidRPr="00E14CDC">
        <w:rPr>
          <w:i/>
          <w:iCs/>
        </w:rPr>
        <w:t xml:space="preserve"> p &lt;</w:t>
      </w:r>
      <w:r w:rsidRPr="00E14CDC">
        <w:t xml:space="preserve"> 0.001; see Figure 23).</w:t>
      </w:r>
      <w:r w:rsidR="00AF296E" w:rsidRPr="00E14CDC">
        <w:t xml:space="preserve"> </w:t>
      </w:r>
      <w:r w:rsidRPr="00E14CDC">
        <w:t xml:space="preserve">The </w:t>
      </w:r>
      <w:r w:rsidR="00AF296E" w:rsidRPr="00E14CDC">
        <w:t>early-reach</w:t>
      </w:r>
      <w:r w:rsidRPr="00E14CDC">
        <w:t xml:space="preserve"> group displayed a greater </w:t>
      </w:r>
      <w:r w:rsidR="00AF296E" w:rsidRPr="00E14CDC">
        <w:t>event rate than</w:t>
      </w:r>
      <w:r w:rsidRPr="00E14CDC">
        <w:t xml:space="preserve"> the late group (see Table 52 for estimated means).</w:t>
      </w:r>
      <w:r w:rsidR="00AF296E" w:rsidRPr="00E14CDC">
        <w:t xml:space="preserve"> </w:t>
      </w:r>
      <w:r w:rsidRPr="00E14CDC">
        <w:t xml:space="preserve">Additionally, the GEE revealed statistically significant interactions between </w:t>
      </w:r>
      <w:r w:rsidR="00AF296E" w:rsidRPr="00E14CDC">
        <w:t xml:space="preserve">the </w:t>
      </w:r>
      <w:r w:rsidRPr="00E14CDC">
        <w:t xml:space="preserve">group and the other independent variables </w:t>
      </w:r>
      <w:r w:rsidR="00AF296E" w:rsidRPr="00E14CDC">
        <w:t xml:space="preserve">that </w:t>
      </w:r>
      <w:r w:rsidRPr="00E14CDC">
        <w:t>were identified across all 7 permutations (</w:t>
      </w:r>
      <w:r w:rsidRPr="00E14CDC">
        <w:rPr>
          <w:i/>
          <w:iCs/>
        </w:rPr>
        <w:t>ps</w:t>
      </w:r>
      <w:r w:rsidRPr="00E14CDC">
        <w:t xml:space="preserve"> &lt; 0.001). </w:t>
      </w:r>
    </w:p>
    <w:p w14:paraId="7D1EC3AB" w14:textId="77777777" w:rsidR="00C82918" w:rsidRPr="00E14CDC" w:rsidRDefault="00C82918" w:rsidP="00C82918">
      <w:pPr>
        <w:spacing w:line="480" w:lineRule="auto"/>
        <w:ind w:firstLine="720"/>
      </w:pPr>
    </w:p>
    <w:p w14:paraId="20457CA5" w14:textId="77777777" w:rsidR="00C82918" w:rsidRPr="00E14CDC" w:rsidRDefault="00C82918" w:rsidP="00C82918">
      <w:pPr>
        <w:spacing w:line="480" w:lineRule="auto"/>
      </w:pPr>
      <w:r w:rsidRPr="00E14CDC">
        <w:t>Group by week</w:t>
      </w:r>
    </w:p>
    <w:p w14:paraId="24CB93CB" w14:textId="77777777" w:rsidR="00C82918" w:rsidRPr="00E14CDC" w:rsidRDefault="00C82918" w:rsidP="00C82918">
      <w:pPr>
        <w:spacing w:line="480" w:lineRule="auto"/>
      </w:pPr>
      <w:r w:rsidRPr="00E14CDC">
        <w:tab/>
        <w:t xml:space="preserve">When looking at the group performance by week, infants in the early group exhibited larger rates of events and a decree in the events over time while the late group showed lower rates but an increase over the pre-reaching weeks. The trend of early group increasing while the late group increased continued into the reaching weeks. By week 2 of reaching, the late group produced a greater rate of events than the early reaching group and this continued though the remaining observation weeks (Wald χ2(7) = </w:t>
      </w:r>
      <w:r w:rsidRPr="00E14CDC">
        <w:rPr>
          <w:color w:val="000000"/>
          <w:sz w:val="22"/>
          <w:szCs w:val="22"/>
        </w:rPr>
        <w:t xml:space="preserve">7.5803E+13 </w:t>
      </w:r>
      <w:r w:rsidRPr="00E14CDC">
        <w:rPr>
          <w:i/>
          <w:iCs/>
        </w:rPr>
        <w:t>p &lt;</w:t>
      </w:r>
      <w:r w:rsidRPr="00E14CDC">
        <w:t xml:space="preserve"> 0.001; see Figure 23 and Table 53 for estimated means). </w:t>
      </w:r>
    </w:p>
    <w:p w14:paraId="30F1A205" w14:textId="77777777" w:rsidR="00C82918" w:rsidRPr="00E14CDC" w:rsidRDefault="00C82918" w:rsidP="00C82918">
      <w:pPr>
        <w:spacing w:line="480" w:lineRule="auto"/>
        <w:rPr>
          <w:color w:val="000000"/>
          <w:sz w:val="22"/>
          <w:szCs w:val="22"/>
        </w:rPr>
      </w:pPr>
    </w:p>
    <w:p w14:paraId="40E17A66" w14:textId="77777777" w:rsidR="00C82918" w:rsidRPr="00E14CDC" w:rsidRDefault="00C82918" w:rsidP="00C82918">
      <w:pPr>
        <w:spacing w:line="480" w:lineRule="auto"/>
      </w:pPr>
      <w:r w:rsidRPr="00E14CDC">
        <w:lastRenderedPageBreak/>
        <w:t>Group by event type</w:t>
      </w:r>
    </w:p>
    <w:p w14:paraId="25217A11" w14:textId="79B39B25" w:rsidR="00C82918" w:rsidRPr="00E14CDC" w:rsidRDefault="00C82918" w:rsidP="00C82918">
      <w:pPr>
        <w:spacing w:line="480" w:lineRule="auto"/>
        <w:ind w:firstLine="720"/>
        <w:rPr>
          <w:color w:val="000000"/>
          <w:sz w:val="22"/>
          <w:szCs w:val="22"/>
        </w:rPr>
      </w:pPr>
      <w:r w:rsidRPr="00E14CDC">
        <w:t>The groups showed the same overall trend for rates as they did for frequencies in regard to events by type. Early and late groups both produced more mouth contact events than face contacts or midline clasps (Wald χ2(4) =</w:t>
      </w:r>
      <w:r w:rsidRPr="00E14CDC">
        <w:rPr>
          <w:color w:val="000000"/>
          <w:sz w:val="22"/>
          <w:szCs w:val="22"/>
        </w:rPr>
        <w:t xml:space="preserve"> 7892.76 </w:t>
      </w:r>
      <w:r w:rsidRPr="00E14CDC">
        <w:rPr>
          <w:i/>
          <w:iCs/>
        </w:rPr>
        <w:t>p &lt;</w:t>
      </w:r>
      <w:r w:rsidRPr="00E14CDC">
        <w:t xml:space="preserve"> 0.001; see Table 54 for estimated means</w:t>
      </w:r>
      <w:r w:rsidR="000B5C72" w:rsidRPr="00E14CDC">
        <w:t>). The</w:t>
      </w:r>
      <w:r w:rsidRPr="00E14CDC">
        <w:t xml:space="preserve"> two groups produced similar rates of events</w:t>
      </w:r>
      <w:r w:rsidR="00AF296E" w:rsidRPr="00E14CDC">
        <w:t>,</w:t>
      </w:r>
      <w:r w:rsidRPr="00E14CDC">
        <w:t xml:space="preserve"> though the early group did have a higher rate of face events than the late group (</w:t>
      </w:r>
      <w:r w:rsidRPr="00E14CDC">
        <w:rPr>
          <w:i/>
          <w:iCs/>
        </w:rPr>
        <w:t xml:space="preserve">p </w:t>
      </w:r>
      <w:r w:rsidRPr="00E14CDC">
        <w:t>&lt; 0.001). Alternatively, the mouth rates were not significantly different between the two groups (</w:t>
      </w:r>
      <w:r w:rsidRPr="00E14CDC">
        <w:rPr>
          <w:i/>
          <w:iCs/>
        </w:rPr>
        <w:t>p</w:t>
      </w:r>
      <w:r w:rsidRPr="00E14CDC">
        <w:t xml:space="preserve"> &gt; 0.05)</w:t>
      </w:r>
      <w:r w:rsidR="00AF296E" w:rsidRPr="00E14CDC">
        <w:t>,</w:t>
      </w:r>
      <w:r w:rsidRPr="00E14CDC">
        <w:t xml:space="preserve"> while mouth contacts were greater than the other event types (</w:t>
      </w:r>
      <w:r w:rsidRPr="00E14CDC">
        <w:rPr>
          <w:i/>
          <w:iCs/>
        </w:rPr>
        <w:t>ps &lt;0.001)</w:t>
      </w:r>
      <w:r w:rsidRPr="00E14CDC">
        <w:t>. Once again, regardless of the reach onset group, the trend of producing more mouth contact event rates remained.</w:t>
      </w:r>
    </w:p>
    <w:p w14:paraId="10549DF1" w14:textId="77777777" w:rsidR="00C82918" w:rsidRPr="00E14CDC" w:rsidRDefault="00C82918" w:rsidP="00C82918">
      <w:pPr>
        <w:spacing w:line="480" w:lineRule="auto"/>
      </w:pPr>
    </w:p>
    <w:p w14:paraId="193BF022" w14:textId="77777777" w:rsidR="00C82918" w:rsidRPr="00E14CDC" w:rsidRDefault="00C82918" w:rsidP="00C82918">
      <w:pPr>
        <w:spacing w:line="480" w:lineRule="auto"/>
      </w:pPr>
      <w:r w:rsidRPr="00E14CDC">
        <w:t>Group by proximity</w:t>
      </w:r>
    </w:p>
    <w:p w14:paraId="2B780A11" w14:textId="77777777" w:rsidR="00C82918" w:rsidRPr="00E14CDC" w:rsidRDefault="00C82918" w:rsidP="00C82918">
      <w:pPr>
        <w:spacing w:line="480" w:lineRule="auto"/>
        <w:ind w:firstLine="720"/>
      </w:pPr>
      <w:r w:rsidRPr="00E14CDC">
        <w:t>There was a significant difference in the interaction between proximity rates and group (Wald χ2(4) = 121.122</w:t>
      </w:r>
      <w:r w:rsidRPr="00E14CDC">
        <w:rPr>
          <w:i/>
          <w:iCs/>
        </w:rPr>
        <w:t xml:space="preserve"> p &lt;</w:t>
      </w:r>
      <w:r w:rsidRPr="00E14CDC">
        <w:t xml:space="preserve"> 0.001; see Figure 24 and Table 55 for estimated means). The rates of the early group were significantly higher in the toy-out-of-reach and toy-in-reach than in the toy-moving-into-reach proximity (</w:t>
      </w:r>
      <w:r w:rsidRPr="00E14CDC">
        <w:rPr>
          <w:i/>
          <w:iCs/>
        </w:rPr>
        <w:t xml:space="preserve">p </w:t>
      </w:r>
      <w:r w:rsidRPr="00E14CDC">
        <w:t>&gt; 0.05). The two proximities were not significantly different from one another (</w:t>
      </w:r>
      <w:r w:rsidRPr="00E14CDC">
        <w:rPr>
          <w:i/>
          <w:iCs/>
        </w:rPr>
        <w:t>ps</w:t>
      </w:r>
      <w:r w:rsidRPr="00E14CDC">
        <w:t xml:space="preserve"> &lt; 0.001). Their late peers, however, showed a differing trend again. The late group had a significantly higher toy-out-of-reach rate of events (</w:t>
      </w:r>
      <w:r w:rsidRPr="00E14CDC">
        <w:rPr>
          <w:i/>
          <w:iCs/>
        </w:rPr>
        <w:t>p</w:t>
      </w:r>
      <w:r w:rsidRPr="00E14CDC">
        <w:t>s &gt;0.001) over the toy-in-reach and the toy-moving-into-reach proximities, the latter two not differing from one another (</w:t>
      </w:r>
      <w:r w:rsidRPr="00E14CDC">
        <w:rPr>
          <w:i/>
          <w:iCs/>
        </w:rPr>
        <w:t>p</w:t>
      </w:r>
      <w:r w:rsidRPr="00E14CDC">
        <w:t xml:space="preserve"> &gt; 0.05).</w:t>
      </w:r>
    </w:p>
    <w:p w14:paraId="3726ED1E" w14:textId="77777777" w:rsidR="00C82918" w:rsidRPr="00E14CDC" w:rsidRDefault="00C82918" w:rsidP="00C82918">
      <w:pPr>
        <w:spacing w:line="480" w:lineRule="auto"/>
        <w:ind w:firstLine="720"/>
      </w:pPr>
    </w:p>
    <w:p w14:paraId="606FB038" w14:textId="77777777" w:rsidR="00CC578B" w:rsidRPr="00E14CDC" w:rsidRDefault="00CC578B" w:rsidP="00C82918">
      <w:pPr>
        <w:spacing w:line="480" w:lineRule="auto"/>
        <w:ind w:firstLine="720"/>
      </w:pPr>
    </w:p>
    <w:p w14:paraId="6B63618D" w14:textId="77777777" w:rsidR="00C82918" w:rsidRPr="00E14CDC" w:rsidRDefault="00C82918" w:rsidP="00C82918">
      <w:pPr>
        <w:spacing w:line="480" w:lineRule="auto"/>
      </w:pPr>
      <w:r w:rsidRPr="00E14CDC">
        <w:lastRenderedPageBreak/>
        <w:t>Group by week by event type</w:t>
      </w:r>
    </w:p>
    <w:p w14:paraId="5EA24D44" w14:textId="77777777" w:rsidR="00C82918" w:rsidRPr="00E14CDC" w:rsidRDefault="00C82918" w:rsidP="00C82918">
      <w:pPr>
        <w:spacing w:line="480" w:lineRule="auto"/>
        <w:ind w:firstLine="720"/>
      </w:pPr>
      <w:r w:rsidRPr="00E14CDC">
        <w:t xml:space="preserve">Both groups again produced more mouth contact events than midline clasp or face contacts (Wald χ2(6) = 7.07638E+14 </w:t>
      </w:r>
      <w:r w:rsidRPr="00E14CDC">
        <w:rPr>
          <w:i/>
          <w:iCs/>
        </w:rPr>
        <w:t>p &lt;</w:t>
      </w:r>
      <w:r w:rsidRPr="00E14CDC">
        <w:t xml:space="preserve"> 0.001; see Figure 23and Table 56 for estimated means). However, their trends once again differed. Early reachers produced mostly face contact in their first week before producing more mouth contact for the remainder of the observation weeks. The rates of these events, consisting of mostly mouth events, followed their weekly trend of increasing to reach onset before decreasing the remainder of the weeks. The late reach group likewise followed the trend seen in the frequency data. They produced very few mouth events that did not differ from the other event types before increasing from week-1 through reach onset and to the final weeks of observation. Again, while the early group decreased in the rate of events following reach onset, the late group increased their event rate.</w:t>
      </w:r>
    </w:p>
    <w:p w14:paraId="137B0B0A" w14:textId="77777777" w:rsidR="00C82918" w:rsidRPr="00E14CDC" w:rsidRDefault="00C82918" w:rsidP="00C82918">
      <w:pPr>
        <w:spacing w:line="480" w:lineRule="auto"/>
        <w:ind w:firstLine="720"/>
      </w:pPr>
    </w:p>
    <w:p w14:paraId="7263303C" w14:textId="77777777" w:rsidR="00C82918" w:rsidRPr="00E14CDC" w:rsidRDefault="00C82918" w:rsidP="00C82918">
      <w:pPr>
        <w:spacing w:line="480" w:lineRule="auto"/>
      </w:pPr>
      <w:r w:rsidRPr="00E14CDC">
        <w:t>Group by week by proximity</w:t>
      </w:r>
    </w:p>
    <w:p w14:paraId="623E5113" w14:textId="77777777" w:rsidR="00C82918" w:rsidRPr="00E14CDC" w:rsidRDefault="00C82918" w:rsidP="00C82918">
      <w:pPr>
        <w:spacing w:line="480" w:lineRule="auto"/>
        <w:ind w:firstLine="720"/>
      </w:pPr>
      <w:r w:rsidRPr="00E14CDC">
        <w:t xml:space="preserve">There was once again a significant difference between the groups following the proximity group interaction (Wald χ2(6) = </w:t>
      </w:r>
      <w:r w:rsidRPr="00E14CDC">
        <w:rPr>
          <w:color w:val="000000"/>
          <w:sz w:val="22"/>
          <w:szCs w:val="22"/>
        </w:rPr>
        <w:t>1.68014E+14</w:t>
      </w:r>
      <w:r w:rsidRPr="00E14CDC">
        <w:rPr>
          <w:i/>
          <w:iCs/>
        </w:rPr>
        <w:t>p &lt;</w:t>
      </w:r>
      <w:r w:rsidRPr="00E14CDC">
        <w:t xml:space="preserve"> 0.001; see Figure 24 and Table 57 for estimated means). Both groups had extremely low rates of events in the toy-moving-into-reach proximity that remained constant except for the week of reach onset and week 1 when the early group displayed a small increase in the rate of events. The early groups rate of events for the toy-out-of-reach proximity remained high but oscillated from high to low throughout the observation week while also producing a decreasing trend. For the toy-out-of-reach proximity of the late group, there was a low </w:t>
      </w:r>
      <w:r w:rsidRPr="00E14CDC">
        <w:lastRenderedPageBreak/>
        <w:t xml:space="preserve">rate of events, near 0 events, until the week before reach onset (week -1). Following week -1 the rates showed an increasing trend while oscillating between high and low (high weeks at 2 and 4). For the toy-in-reach proximity, the early group oscillating rates between high and low until week 2 when they dissipated. For the late reach group, they produced very few events in the toy-in-reach throughout (see figure 24). </w:t>
      </w:r>
    </w:p>
    <w:p w14:paraId="0BB939AC" w14:textId="77777777" w:rsidR="00C82918" w:rsidRPr="00E14CDC" w:rsidRDefault="00C82918" w:rsidP="00C82918">
      <w:pPr>
        <w:spacing w:line="480" w:lineRule="auto"/>
        <w:rPr>
          <w:color w:val="000000"/>
          <w:sz w:val="22"/>
          <w:szCs w:val="22"/>
        </w:rPr>
      </w:pPr>
    </w:p>
    <w:p w14:paraId="5BE620F2" w14:textId="77777777" w:rsidR="00C82918" w:rsidRPr="00E14CDC" w:rsidRDefault="00C82918" w:rsidP="00C82918">
      <w:pPr>
        <w:spacing w:line="480" w:lineRule="auto"/>
      </w:pPr>
      <w:r w:rsidRPr="00E14CDC">
        <w:t>Group by event by proximity</w:t>
      </w:r>
    </w:p>
    <w:p w14:paraId="268ADD3A" w14:textId="77777777" w:rsidR="00C82918" w:rsidRPr="00E14CDC" w:rsidRDefault="00C82918" w:rsidP="00C82918">
      <w:pPr>
        <w:spacing w:line="480" w:lineRule="auto"/>
        <w:ind w:firstLine="720"/>
      </w:pPr>
      <w:r w:rsidRPr="00E14CDC">
        <w:t xml:space="preserve">The groups again showed significant difference in their trends of events across proximities (Wald χ2(5) = </w:t>
      </w:r>
      <w:r w:rsidRPr="00E14CDC">
        <w:rPr>
          <w:color w:val="000000"/>
          <w:sz w:val="22"/>
          <w:szCs w:val="22"/>
        </w:rPr>
        <w:t xml:space="preserve">3.83531E+11 </w:t>
      </w:r>
      <w:r w:rsidRPr="00E14CDC">
        <w:rPr>
          <w:i/>
          <w:iCs/>
        </w:rPr>
        <w:t>p &lt;</w:t>
      </w:r>
      <w:r w:rsidRPr="00E14CDC">
        <w:t xml:space="preserve"> 0.001; see Figure 24 and Table 58 for estimated means). For both groups, there were significantly more Mouth events than face or midline clasping. However, unlike with frequency, both early and late reach group produced increased rates for toy-out-of-reach only. </w:t>
      </w:r>
    </w:p>
    <w:p w14:paraId="3855B078" w14:textId="77777777" w:rsidR="00C82918" w:rsidRPr="00E14CDC" w:rsidRDefault="00C82918" w:rsidP="00C82918">
      <w:pPr>
        <w:spacing w:line="480" w:lineRule="auto"/>
        <w:rPr>
          <w:color w:val="000000"/>
          <w:sz w:val="22"/>
          <w:szCs w:val="22"/>
        </w:rPr>
      </w:pPr>
    </w:p>
    <w:p w14:paraId="4A5FC07D" w14:textId="77777777" w:rsidR="00C82918" w:rsidRPr="00E14CDC" w:rsidRDefault="00C82918" w:rsidP="00C82918">
      <w:pPr>
        <w:spacing w:line="480" w:lineRule="auto"/>
      </w:pPr>
      <w:r w:rsidRPr="00E14CDC">
        <w:t>Group by week by event type by proximity</w:t>
      </w:r>
    </w:p>
    <w:p w14:paraId="56684D88" w14:textId="77777777" w:rsidR="00C82918" w:rsidRPr="00E14CDC" w:rsidRDefault="00C82918" w:rsidP="00C82918">
      <w:pPr>
        <w:spacing w:line="480" w:lineRule="auto"/>
        <w:ind w:firstLine="720"/>
      </w:pPr>
      <w:r w:rsidRPr="00E14CDC">
        <w:t xml:space="preserve">There was a significant four-way interaction between the groups, events, proximities across weeks (Wald χ2(4) = </w:t>
      </w:r>
      <w:r w:rsidRPr="00E14CDC">
        <w:rPr>
          <w:color w:val="000000"/>
          <w:sz w:val="22"/>
          <w:szCs w:val="22"/>
        </w:rPr>
        <w:t xml:space="preserve">6.26332E+13 </w:t>
      </w:r>
      <w:r w:rsidRPr="00E14CDC">
        <w:rPr>
          <w:i/>
          <w:iCs/>
        </w:rPr>
        <w:t>p &lt;</w:t>
      </w:r>
      <w:r w:rsidRPr="00E14CDC">
        <w:t xml:space="preserve"> 0.001; see Figure 24 and Tables 59 and 60 for estimated means). Following the trends seen across the previous 3-way interactions, the infants produced significantly more mouth contact over midline clasping and face contacts with the only notable exception being the early groups increased face contacts for week -5 once again. For toy-out-of-reach, the early reach group produced more mouth contacts during the pre-reaching weeks while the late group produced more in the post-reach weeks.</w:t>
      </w:r>
    </w:p>
    <w:p w14:paraId="7A73373D" w14:textId="77777777" w:rsidR="00C82918" w:rsidRPr="00E14CDC" w:rsidRDefault="00C82918" w:rsidP="00C82918">
      <w:pPr>
        <w:spacing w:line="480" w:lineRule="auto"/>
      </w:pPr>
      <w:r w:rsidRPr="00E14CDC">
        <w:tab/>
      </w:r>
    </w:p>
    <w:p w14:paraId="311B2163" w14:textId="77777777" w:rsidR="00C82918" w:rsidRPr="00E14CDC" w:rsidRDefault="00C82918" w:rsidP="00C82918">
      <w:pPr>
        <w:keepNext/>
        <w:numPr>
          <w:ilvl w:val="2"/>
          <w:numId w:val="0"/>
        </w:numPr>
        <w:spacing w:line="480" w:lineRule="auto"/>
        <w:outlineLvl w:val="2"/>
        <w:rPr>
          <w:i/>
        </w:rPr>
      </w:pPr>
      <w:bookmarkStart w:id="90" w:name="_Toc173185076"/>
      <w:r w:rsidRPr="00E14CDC">
        <w:rPr>
          <w:i/>
        </w:rPr>
        <w:lastRenderedPageBreak/>
        <w:t>Summed Duration</w:t>
      </w:r>
      <w:bookmarkEnd w:id="90"/>
    </w:p>
    <w:p w14:paraId="78DCA11D" w14:textId="77777777" w:rsidR="00C82918" w:rsidRPr="00E14CDC" w:rsidRDefault="00C82918" w:rsidP="00C82918">
      <w:pPr>
        <w:spacing w:line="480" w:lineRule="auto"/>
        <w:ind w:firstLine="720"/>
      </w:pPr>
      <w:r w:rsidRPr="00E14CDC">
        <w:t>The analysis of the event summed duration revealed statistically significant main effects for groups (Wald χ2(1) = 7.74</w:t>
      </w:r>
      <w:r w:rsidRPr="00E14CDC">
        <w:rPr>
          <w:i/>
          <w:iCs/>
        </w:rPr>
        <w:t xml:space="preserve"> p &lt;</w:t>
      </w:r>
      <w:r w:rsidRPr="00E14CDC">
        <w:t xml:space="preserve"> 0.005; see Figure 25). Overall infants in the early reach group produced longer durations of events than their late group peers (see Table 61 for estimated means). In addition to the main effect of group, analyses revealed statistically significant interactions between Group and the other independent variables were identified across all 7 permutations (</w:t>
      </w:r>
      <w:r w:rsidRPr="00E14CDC">
        <w:rPr>
          <w:i/>
          <w:iCs/>
        </w:rPr>
        <w:t>ps</w:t>
      </w:r>
      <w:r w:rsidRPr="00E14CDC">
        <w:t xml:space="preserve"> &lt; 0.001): </w:t>
      </w:r>
    </w:p>
    <w:p w14:paraId="431DC0AF" w14:textId="77777777" w:rsidR="00C82918" w:rsidRPr="00E14CDC" w:rsidRDefault="00C82918" w:rsidP="00C82918">
      <w:pPr>
        <w:spacing w:line="480" w:lineRule="auto"/>
        <w:ind w:firstLine="720"/>
      </w:pPr>
    </w:p>
    <w:p w14:paraId="6775C9D2" w14:textId="77777777" w:rsidR="00C82918" w:rsidRPr="00E14CDC" w:rsidRDefault="00C82918" w:rsidP="00C82918">
      <w:pPr>
        <w:spacing w:line="480" w:lineRule="auto"/>
      </w:pPr>
      <w:r w:rsidRPr="00E14CDC">
        <w:t>Group by week</w:t>
      </w:r>
    </w:p>
    <w:p w14:paraId="2CCC6BBC" w14:textId="77777777" w:rsidR="00C82918" w:rsidRPr="00E14CDC" w:rsidRDefault="00C82918" w:rsidP="00C82918">
      <w:pPr>
        <w:spacing w:line="480" w:lineRule="auto"/>
        <w:ind w:firstLine="720"/>
      </w:pPr>
      <w:r w:rsidRPr="00E14CDC">
        <w:t xml:space="preserve">Analyses of the summed duration revealed a significant group by week effect (Wald χ2(7) = </w:t>
      </w:r>
      <w:r w:rsidRPr="00E14CDC">
        <w:rPr>
          <w:color w:val="000000"/>
          <w:sz w:val="22"/>
          <w:szCs w:val="22"/>
        </w:rPr>
        <w:t xml:space="preserve">1.80929E+12 </w:t>
      </w:r>
      <w:r w:rsidRPr="00E14CDC">
        <w:rPr>
          <w:i/>
          <w:iCs/>
        </w:rPr>
        <w:t>p &lt;</w:t>
      </w:r>
      <w:r w:rsidRPr="00E14CDC">
        <w:t xml:space="preserve"> 0.001; see Figure 25 and Table 62 for estimated means). Overall trends showed the early group once more decreasing in their summed durations over the course of the observations. This trend was true for week -5 to week 5 with the exception of week -1 when the summed duration was significantly higher (see table 62 for estimated means). Alternatively, the late group exhibited a trend of increasing summed durations across the weeks. This was not true however for week 5 which was lower than the previous post-reach weeks.</w:t>
      </w:r>
    </w:p>
    <w:p w14:paraId="394DDB19" w14:textId="77777777" w:rsidR="00C82918" w:rsidRPr="00E14CDC" w:rsidRDefault="00C82918" w:rsidP="00C82918">
      <w:pPr>
        <w:spacing w:line="480" w:lineRule="auto"/>
        <w:rPr>
          <w:color w:val="000000"/>
          <w:sz w:val="22"/>
          <w:szCs w:val="22"/>
        </w:rPr>
      </w:pPr>
    </w:p>
    <w:p w14:paraId="7ADB12B7" w14:textId="77777777" w:rsidR="00C82918" w:rsidRPr="00E14CDC" w:rsidRDefault="00C82918" w:rsidP="00C82918">
      <w:pPr>
        <w:spacing w:line="480" w:lineRule="auto"/>
      </w:pPr>
      <w:r w:rsidRPr="00E14CDC">
        <w:t>Group by event type</w:t>
      </w:r>
    </w:p>
    <w:p w14:paraId="4169DF01" w14:textId="77777777" w:rsidR="00C82918" w:rsidRPr="00E14CDC" w:rsidRDefault="00C82918" w:rsidP="00C82918">
      <w:pPr>
        <w:spacing w:line="480" w:lineRule="auto"/>
        <w:ind w:firstLine="720"/>
        <w:rPr>
          <w:color w:val="000000"/>
          <w:sz w:val="22"/>
          <w:szCs w:val="22"/>
        </w:rPr>
      </w:pPr>
      <w:r w:rsidRPr="00E14CDC">
        <w:t xml:space="preserve">The groups showed the same overall trend for summed duration as they did for frequencies and rates in regard to events by type. Early and late groups both produced more mouth contact events than face contacts or midline clasps (Wald χ2(4) = </w:t>
      </w:r>
      <w:r w:rsidRPr="00E14CDC">
        <w:rPr>
          <w:color w:val="000000"/>
          <w:sz w:val="22"/>
          <w:szCs w:val="22"/>
        </w:rPr>
        <w:t xml:space="preserve">2077.309 </w:t>
      </w:r>
      <w:r w:rsidRPr="00E14CDC">
        <w:rPr>
          <w:i/>
          <w:iCs/>
        </w:rPr>
        <w:t>p &lt;</w:t>
      </w:r>
      <w:r w:rsidRPr="00E14CDC">
        <w:t xml:space="preserve"> 0.001; see Table 63 for estimated means). The two groups produced similar rates of </w:t>
      </w:r>
      <w:r w:rsidRPr="00E14CDC">
        <w:lastRenderedPageBreak/>
        <w:t>events though the early group did have a higher rate of face events than the late group (</w:t>
      </w:r>
      <w:r w:rsidRPr="00E14CDC">
        <w:rPr>
          <w:i/>
          <w:iCs/>
        </w:rPr>
        <w:t xml:space="preserve">p </w:t>
      </w:r>
      <w:r w:rsidRPr="00E14CDC">
        <w:t>&lt; 0.001). The mouth event rates for the early reach group was also significantly higher than those of the late group (</w:t>
      </w:r>
      <w:r w:rsidRPr="00E14CDC">
        <w:rPr>
          <w:i/>
          <w:iCs/>
        </w:rPr>
        <w:t>p</w:t>
      </w:r>
      <w:r w:rsidRPr="00E14CDC">
        <w:t xml:space="preserve"> &lt; 0.001). Both groups mouth contacts were significantly midline clasping or face contact events (</w:t>
      </w:r>
      <w:r w:rsidRPr="00E14CDC">
        <w:rPr>
          <w:i/>
          <w:iCs/>
        </w:rPr>
        <w:t>ps &lt;0.001)</w:t>
      </w:r>
      <w:r w:rsidRPr="00E14CDC">
        <w:t>. Once again, regardless of the reach onset group, the trend of producing more mouth contact event rates remained the same.</w:t>
      </w:r>
    </w:p>
    <w:p w14:paraId="159D1231" w14:textId="77777777" w:rsidR="00C82918" w:rsidRPr="00E14CDC" w:rsidRDefault="00C82918" w:rsidP="00C82918">
      <w:pPr>
        <w:spacing w:line="480" w:lineRule="auto"/>
      </w:pPr>
    </w:p>
    <w:p w14:paraId="45CF99B2" w14:textId="77777777" w:rsidR="00C82918" w:rsidRPr="00E14CDC" w:rsidRDefault="00C82918" w:rsidP="00C82918">
      <w:pPr>
        <w:spacing w:line="480" w:lineRule="auto"/>
      </w:pPr>
      <w:r w:rsidRPr="00E14CDC">
        <w:t>Group by proximity</w:t>
      </w:r>
    </w:p>
    <w:p w14:paraId="48482ED6" w14:textId="77777777" w:rsidR="00C82918" w:rsidRPr="00E14CDC" w:rsidRDefault="00C82918" w:rsidP="00C82918">
      <w:pPr>
        <w:spacing w:line="480" w:lineRule="auto"/>
        <w:ind w:firstLine="720"/>
      </w:pPr>
      <w:r w:rsidRPr="00E14CDC">
        <w:t xml:space="preserve">There was a significant difference in the interaction between proximity rates and group (Wald χ2(4) = </w:t>
      </w:r>
      <w:r w:rsidRPr="00E14CDC">
        <w:rPr>
          <w:color w:val="000000"/>
          <w:sz w:val="22"/>
          <w:szCs w:val="22"/>
        </w:rPr>
        <w:t xml:space="preserve">1720532.332 </w:t>
      </w:r>
      <w:r w:rsidRPr="00E14CDC">
        <w:rPr>
          <w:i/>
          <w:iCs/>
        </w:rPr>
        <w:t>p &lt;</w:t>
      </w:r>
      <w:r w:rsidRPr="00E14CDC">
        <w:t xml:space="preserve"> 0.001; see Figure 26 and Table 64 for estimated means). The summed duration of the early group was significantly higher in the toy-out-of-reach and toy-in-reach than in the toy-moving-into-reach proximity (</w:t>
      </w:r>
      <w:r w:rsidRPr="00E14CDC">
        <w:rPr>
          <w:i/>
          <w:iCs/>
        </w:rPr>
        <w:t>ps &lt;</w:t>
      </w:r>
      <w:r w:rsidRPr="00E14CDC">
        <w:t xml:space="preserve"> 0.05). The two proximities were not significantly different from one another (</w:t>
      </w:r>
      <w:r w:rsidRPr="00E14CDC">
        <w:rPr>
          <w:i/>
          <w:iCs/>
        </w:rPr>
        <w:t>ps</w:t>
      </w:r>
      <w:r w:rsidRPr="00E14CDC">
        <w:t xml:space="preserve"> &gt; 0.05). The late group showed a differing trend again. They showed a significantly higher toy-out-of-reach summed duration of events (</w:t>
      </w:r>
      <w:r w:rsidRPr="00E14CDC">
        <w:rPr>
          <w:i/>
          <w:iCs/>
        </w:rPr>
        <w:t>p</w:t>
      </w:r>
      <w:r w:rsidRPr="00E14CDC">
        <w:t>s &lt; 0.001) over the toy-in-reach and the toy-moving-into-reach proximities, the latter two not differing from one another (</w:t>
      </w:r>
      <w:r w:rsidRPr="00E14CDC">
        <w:rPr>
          <w:i/>
          <w:iCs/>
        </w:rPr>
        <w:t>p</w:t>
      </w:r>
      <w:r w:rsidRPr="00E14CDC">
        <w:t xml:space="preserve"> &gt; 0.05).</w:t>
      </w:r>
    </w:p>
    <w:p w14:paraId="1439942C" w14:textId="77777777" w:rsidR="00C82918" w:rsidRPr="00E14CDC" w:rsidRDefault="00C82918" w:rsidP="00C82918">
      <w:pPr>
        <w:spacing w:line="480" w:lineRule="auto"/>
        <w:rPr>
          <w:color w:val="000000"/>
          <w:sz w:val="22"/>
          <w:szCs w:val="22"/>
        </w:rPr>
      </w:pPr>
    </w:p>
    <w:p w14:paraId="7FF619F2" w14:textId="77777777" w:rsidR="00C82918" w:rsidRPr="00E14CDC" w:rsidRDefault="00C82918" w:rsidP="00C82918">
      <w:pPr>
        <w:spacing w:line="480" w:lineRule="auto"/>
      </w:pPr>
      <w:r w:rsidRPr="00E14CDC">
        <w:t>Group by week by event type</w:t>
      </w:r>
    </w:p>
    <w:p w14:paraId="1F4E6170" w14:textId="77777777" w:rsidR="00C82918" w:rsidRPr="00E14CDC" w:rsidRDefault="00C82918" w:rsidP="00C82918">
      <w:pPr>
        <w:spacing w:line="480" w:lineRule="auto"/>
        <w:ind w:firstLine="720"/>
      </w:pPr>
      <w:r w:rsidRPr="00E14CDC">
        <w:t xml:space="preserve">Both groups again produced more mouth contact summed durations than midline clasp or face contacts (Wald χ2(6) = </w:t>
      </w:r>
      <w:r w:rsidRPr="00E14CDC">
        <w:rPr>
          <w:color w:val="000000"/>
          <w:sz w:val="22"/>
          <w:szCs w:val="22"/>
        </w:rPr>
        <w:t>2.72836E+12</w:t>
      </w:r>
      <w:r w:rsidRPr="00E14CDC">
        <w:t xml:space="preserve"> </w:t>
      </w:r>
      <w:r w:rsidRPr="00E14CDC">
        <w:rPr>
          <w:i/>
          <w:iCs/>
        </w:rPr>
        <w:t>p &lt;</w:t>
      </w:r>
      <w:r w:rsidRPr="00E14CDC">
        <w:t xml:space="preserve"> 0.001; see Figure 26 and Table 65 for estimated means). However, their trends once again differed. Early reachers produced greater sums of face contacts in their first week before producing more mouth contact durations for the remainder of the observation weeks. The summed durations of these events, consisting of mostly mouth events, followed their weekly trend of increasing to </w:t>
      </w:r>
      <w:r w:rsidRPr="00E14CDC">
        <w:lastRenderedPageBreak/>
        <w:t>reach onset before decreasing the remainder of the weeks, however the amount of the summed durations oscillated from higher to lower once again. The late reach group likewise followed the trend seen in the previous findings. They produced very few mouth events that did not significantly differ from the midline clasps or face contacts until week -3 and again at week -1 before continuing to increase for the remainder of the observed weeks. Again, while the early group decreased in the rate of events following reach onset, the late group increased their summed duration.</w:t>
      </w:r>
    </w:p>
    <w:p w14:paraId="1CFCB75E" w14:textId="77777777" w:rsidR="00C82918" w:rsidRPr="00E14CDC" w:rsidRDefault="00C82918" w:rsidP="00C82918">
      <w:pPr>
        <w:spacing w:line="480" w:lineRule="auto"/>
        <w:rPr>
          <w:color w:val="000000"/>
          <w:sz w:val="22"/>
          <w:szCs w:val="22"/>
        </w:rPr>
      </w:pPr>
    </w:p>
    <w:p w14:paraId="26135509" w14:textId="77777777" w:rsidR="00C82918" w:rsidRPr="00E14CDC" w:rsidRDefault="00C82918" w:rsidP="00C82918">
      <w:pPr>
        <w:spacing w:line="480" w:lineRule="auto"/>
      </w:pPr>
      <w:r w:rsidRPr="00E14CDC">
        <w:t>Group by week by proximity</w:t>
      </w:r>
    </w:p>
    <w:p w14:paraId="4EB20379" w14:textId="77777777" w:rsidR="00C82918" w:rsidRPr="00E14CDC" w:rsidRDefault="00C82918" w:rsidP="00C82918">
      <w:pPr>
        <w:spacing w:line="480" w:lineRule="auto"/>
        <w:ind w:firstLine="720"/>
      </w:pPr>
      <w:r w:rsidRPr="00E14CDC">
        <w:t xml:space="preserve">There was once again a significant difference between the groups following the proximity group interaction (Wald χ2(6) = </w:t>
      </w:r>
      <w:r w:rsidRPr="00E14CDC">
        <w:rPr>
          <w:color w:val="000000"/>
          <w:sz w:val="22"/>
          <w:szCs w:val="22"/>
        </w:rPr>
        <w:t xml:space="preserve">5.36938E+13 </w:t>
      </w:r>
      <w:r w:rsidRPr="00E14CDC">
        <w:rPr>
          <w:i/>
          <w:iCs/>
        </w:rPr>
        <w:t>p &lt;</w:t>
      </w:r>
      <w:r w:rsidRPr="00E14CDC">
        <w:t xml:space="preserve"> 0.001; see Figure 26 and Table 66 for estimated means). The early group once more exhibited a decrease in events occurring across the weeks of observation. The summed duration of events in toy-out-of-reach started high at week -5 but decreased overall throughout the weeks ending in near 0 duration in week 5. As before, the late group exhibited an increase from pre-reach weeks to post-reach weeks. The longest summed duration for pre-reaching in the late group was near five thousand milliseconds however the longest for post-reach was over 20,000. </w:t>
      </w:r>
    </w:p>
    <w:p w14:paraId="1E3C248E" w14:textId="77777777" w:rsidR="00C82918" w:rsidRPr="00E14CDC" w:rsidRDefault="00C82918" w:rsidP="00C82918">
      <w:pPr>
        <w:spacing w:line="480" w:lineRule="auto"/>
        <w:ind w:firstLine="720"/>
      </w:pPr>
      <w:r w:rsidRPr="00E14CDC">
        <w:t xml:space="preserve">Unlike previous analyses, the early group produced summed durations in the toy-moving-forward proximity. The summed duration occurred only in the pre-reaching weeks for the early group. While the late group did produce events during the toy-moving-into-reach proximity, they were significantly lower than the early reach group. </w:t>
      </w:r>
    </w:p>
    <w:p w14:paraId="04532F23" w14:textId="77777777" w:rsidR="00C82918" w:rsidRPr="00E14CDC" w:rsidRDefault="00C82918" w:rsidP="00C82918">
      <w:pPr>
        <w:spacing w:line="480" w:lineRule="auto"/>
        <w:ind w:firstLine="720"/>
      </w:pPr>
      <w:r w:rsidRPr="00E14CDC">
        <w:t xml:space="preserve">The groups again exhibited differences in the toy-in-reach proximity (see figure 26). The early group displayed an increase in summed durations of events as they </w:t>
      </w:r>
      <w:r w:rsidRPr="00E14CDC">
        <w:lastRenderedPageBreak/>
        <w:t xml:space="preserve">approached reach onset. These durations then quickly dissipated following reaching onset and were near zero by week 2. Alternatively, the late reach group did not display any notable movement events during the toy-in-reach. The summed duration of each week was around one thousand milliseconds except for week 4 which approached three thousand milliseconds.  </w:t>
      </w:r>
    </w:p>
    <w:p w14:paraId="0643F323" w14:textId="77777777" w:rsidR="00C82918" w:rsidRPr="00E14CDC" w:rsidRDefault="00C82918" w:rsidP="00C82918">
      <w:pPr>
        <w:spacing w:line="480" w:lineRule="auto"/>
        <w:rPr>
          <w:color w:val="000000"/>
          <w:sz w:val="22"/>
          <w:szCs w:val="22"/>
        </w:rPr>
      </w:pPr>
    </w:p>
    <w:p w14:paraId="77D339A3" w14:textId="77777777" w:rsidR="00C82918" w:rsidRPr="00E14CDC" w:rsidRDefault="00C82918" w:rsidP="00C82918">
      <w:pPr>
        <w:spacing w:line="480" w:lineRule="auto"/>
      </w:pPr>
      <w:r w:rsidRPr="00E14CDC">
        <w:t>Group by event by proximity</w:t>
      </w:r>
    </w:p>
    <w:p w14:paraId="7D571DB1" w14:textId="77777777" w:rsidR="00C82918" w:rsidRPr="00E14CDC" w:rsidRDefault="00C82918" w:rsidP="00C82918">
      <w:pPr>
        <w:spacing w:line="480" w:lineRule="auto"/>
        <w:ind w:firstLine="720"/>
      </w:pPr>
      <w:r w:rsidRPr="00E14CDC">
        <w:t xml:space="preserve">The groups again showed significant difference in their trends of events across proximities (Wald χ2(5) = </w:t>
      </w:r>
      <w:r w:rsidRPr="00E14CDC">
        <w:rPr>
          <w:color w:val="000000"/>
          <w:sz w:val="22"/>
          <w:szCs w:val="22"/>
        </w:rPr>
        <w:t xml:space="preserve">1.94761E+12 </w:t>
      </w:r>
      <w:r w:rsidRPr="00E14CDC">
        <w:rPr>
          <w:i/>
          <w:iCs/>
        </w:rPr>
        <w:t>p &lt;</w:t>
      </w:r>
      <w:r w:rsidRPr="00E14CDC">
        <w:t xml:space="preserve"> 0.001; see Figure 26 and Table 67 for estimated means). For both groups, there were significantly more Mouth events than face or midline clasping. However, for early reachers, there was a similar amount occurring in the toy-out-of-reach and toy-in -reach proximity. Conversely, the mouth events exhibited by the late group occurred only in the toy-out-of-reach proximity.</w:t>
      </w:r>
    </w:p>
    <w:p w14:paraId="121B1CB2" w14:textId="77777777" w:rsidR="00C82918" w:rsidRPr="00E14CDC" w:rsidRDefault="00C82918" w:rsidP="00C82918">
      <w:pPr>
        <w:spacing w:line="480" w:lineRule="auto"/>
        <w:ind w:firstLine="720"/>
      </w:pPr>
    </w:p>
    <w:p w14:paraId="352882DA" w14:textId="77777777" w:rsidR="00C82918" w:rsidRPr="00E14CDC" w:rsidRDefault="00C82918" w:rsidP="00C82918">
      <w:pPr>
        <w:spacing w:line="480" w:lineRule="auto"/>
      </w:pPr>
      <w:r w:rsidRPr="00E14CDC">
        <w:t>Group by week by event type by proximity</w:t>
      </w:r>
    </w:p>
    <w:p w14:paraId="6E30A2C9" w14:textId="77777777" w:rsidR="00C82918" w:rsidRPr="00E14CDC" w:rsidRDefault="00C82918" w:rsidP="00C82918">
      <w:pPr>
        <w:spacing w:line="480" w:lineRule="auto"/>
        <w:ind w:firstLine="720"/>
      </w:pPr>
      <w:r w:rsidRPr="00E14CDC">
        <w:t xml:space="preserve">There was a significant four-way interaction between the groups, events, proximities across weeks (Wald χ2(4) = </w:t>
      </w:r>
      <w:r w:rsidRPr="00E14CDC">
        <w:rPr>
          <w:color w:val="000000"/>
          <w:sz w:val="22"/>
          <w:szCs w:val="22"/>
        </w:rPr>
        <w:t xml:space="preserve">1.94275E+13 </w:t>
      </w:r>
      <w:r w:rsidRPr="00E14CDC">
        <w:rPr>
          <w:i/>
          <w:iCs/>
        </w:rPr>
        <w:t>p &lt;</w:t>
      </w:r>
      <w:r w:rsidRPr="00E14CDC">
        <w:t xml:space="preserve"> 0.001; see Figure 26 and Tables 68 and 69 for estimated means). Following the trends seen across the previous 3-way interactions, the infants produced significantly more mouth contacts than midline clasping or face contacts with the only notable exception being the early groups increased face contacts for week -5 once again. For toy-out-of-reach, the early reach group produced more mouth contact during the pre-reach weeks with one increase duration </w:t>
      </w:r>
      <w:r w:rsidRPr="00E14CDC">
        <w:lastRenderedPageBreak/>
        <w:t xml:space="preserve">occurring at week 4 in the pos-reach weeks. The late reach group produced summed durations in the post-reach weeks with the greatest durations being week 1 and week 4. </w:t>
      </w:r>
    </w:p>
    <w:p w14:paraId="5AE1DEB2" w14:textId="77777777" w:rsidR="00C82918" w:rsidRPr="00E14CDC" w:rsidRDefault="00C82918" w:rsidP="00C82918">
      <w:pPr>
        <w:spacing w:line="480" w:lineRule="auto"/>
      </w:pPr>
      <w:r w:rsidRPr="00E14CDC">
        <w:tab/>
        <w:t xml:space="preserve">While both groups produced minimal durations of events in the toy-moving-into-reach proximity, the early reach group had increased durations in weeks -5, -3, -1, and week 3. The late group’s summed duration remained low for the entire observation. </w:t>
      </w:r>
    </w:p>
    <w:p w14:paraId="26293F3D" w14:textId="77777777" w:rsidR="00C82918" w:rsidRPr="00E14CDC" w:rsidRDefault="00C82918" w:rsidP="00C82918">
      <w:pPr>
        <w:spacing w:line="480" w:lineRule="auto"/>
      </w:pPr>
      <w:r w:rsidRPr="00E14CDC">
        <w:tab/>
        <w:t>As mentioned in the event by proximity analyses results, the summed duration of note in the toy-in-reach was from the early group. The late group did not produce significant summed durations. To reiterate again these summer durations occurred from mouth contacts that occurred mostly in the toy-out-of-reach proximity.</w:t>
      </w:r>
    </w:p>
    <w:p w14:paraId="176BC235" w14:textId="77777777" w:rsidR="00C82918" w:rsidRPr="00E14CDC" w:rsidRDefault="00C82918" w:rsidP="00C82918">
      <w:pPr>
        <w:spacing w:line="480" w:lineRule="auto"/>
      </w:pPr>
      <w:r w:rsidRPr="00E14CDC">
        <w:tab/>
      </w:r>
    </w:p>
    <w:p w14:paraId="1C0623D4" w14:textId="77777777" w:rsidR="00C82918" w:rsidRPr="00E14CDC" w:rsidRDefault="00C82918" w:rsidP="00C82918">
      <w:pPr>
        <w:keepNext/>
        <w:numPr>
          <w:ilvl w:val="2"/>
          <w:numId w:val="0"/>
        </w:numPr>
        <w:spacing w:line="480" w:lineRule="auto"/>
        <w:outlineLvl w:val="2"/>
        <w:rPr>
          <w:i/>
        </w:rPr>
      </w:pPr>
      <w:bookmarkStart w:id="91" w:name="_Toc173185077"/>
      <w:r w:rsidRPr="00E14CDC">
        <w:rPr>
          <w:i/>
        </w:rPr>
        <w:t>Average Duration</w:t>
      </w:r>
      <w:bookmarkEnd w:id="91"/>
    </w:p>
    <w:p w14:paraId="329934D0" w14:textId="77777777" w:rsidR="00C82918" w:rsidRPr="00E14CDC" w:rsidRDefault="00C82918" w:rsidP="00C82918">
      <w:pPr>
        <w:spacing w:line="480" w:lineRule="auto"/>
        <w:ind w:firstLine="720"/>
      </w:pPr>
      <w:r w:rsidRPr="00E14CDC">
        <w:t>The analysis of the average event duration revealed statistically significant main effects for groups (Wald χ2(1) = 18.217</w:t>
      </w:r>
      <w:r w:rsidRPr="00E14CDC">
        <w:rPr>
          <w:i/>
          <w:iCs/>
        </w:rPr>
        <w:t xml:space="preserve"> p &lt;</w:t>
      </w:r>
      <w:r w:rsidRPr="00E14CDC">
        <w:t xml:space="preserve"> 0.001; see Figure 27 and Table 70 for estimated means), Overall infants in the early reach group produced longer durations of events than their late group peers (see Table 70 for estimated means). In addition to the main effect of group, analyses revealed statistically significant interactions between Group and the other independent variables for all 7 interactions (</w:t>
      </w:r>
      <w:r w:rsidRPr="00E14CDC">
        <w:rPr>
          <w:i/>
          <w:iCs/>
        </w:rPr>
        <w:t>ps</w:t>
      </w:r>
      <w:r w:rsidRPr="00E14CDC">
        <w:t xml:space="preserve"> &lt; 0.001): </w:t>
      </w:r>
    </w:p>
    <w:p w14:paraId="3A8BDD44" w14:textId="77777777" w:rsidR="00C82918" w:rsidRPr="00E14CDC" w:rsidRDefault="00C82918" w:rsidP="00C82918">
      <w:pPr>
        <w:spacing w:line="480" w:lineRule="auto"/>
        <w:ind w:firstLine="720"/>
      </w:pPr>
    </w:p>
    <w:p w14:paraId="22B43B0B" w14:textId="77777777" w:rsidR="00C82918" w:rsidRPr="00E14CDC" w:rsidRDefault="00C82918" w:rsidP="00C82918">
      <w:pPr>
        <w:spacing w:line="480" w:lineRule="auto"/>
      </w:pPr>
      <w:r w:rsidRPr="00E14CDC">
        <w:t>Group by week</w:t>
      </w:r>
    </w:p>
    <w:p w14:paraId="7749D774" w14:textId="77777777" w:rsidR="00C82918" w:rsidRPr="00E14CDC" w:rsidRDefault="00C82918" w:rsidP="00C82918">
      <w:pPr>
        <w:spacing w:line="480" w:lineRule="auto"/>
      </w:pPr>
      <w:r w:rsidRPr="00E14CDC">
        <w:tab/>
        <w:t xml:space="preserve">Analyses of the average duration revealed a significant group by week interaction (Wald χ2(7) = </w:t>
      </w:r>
      <w:r w:rsidRPr="00E14CDC">
        <w:rPr>
          <w:color w:val="000000"/>
        </w:rPr>
        <w:t xml:space="preserve">1.33685E+12 </w:t>
      </w:r>
      <w:r w:rsidRPr="00E14CDC">
        <w:rPr>
          <w:i/>
          <w:iCs/>
        </w:rPr>
        <w:t>p &lt;</w:t>
      </w:r>
      <w:r w:rsidRPr="00E14CDC">
        <w:t xml:space="preserve"> 0.001; see Figure 27 and Table 71 for estimated means). Overall trends showed the early group increased the average duration of events from </w:t>
      </w:r>
      <w:r w:rsidRPr="00E14CDC">
        <w:lastRenderedPageBreak/>
        <w:t xml:space="preserve">week -5 to week -1 before decreasing for the remaining weeks. Likewise, the late group exhibited a trend of increasing average duration across the weeks, however the duration of these events was significantly lower than the early reach group. </w:t>
      </w:r>
    </w:p>
    <w:p w14:paraId="66DB81C3" w14:textId="77777777" w:rsidR="00C82918" w:rsidRPr="00E14CDC" w:rsidRDefault="00C82918" w:rsidP="00C82918">
      <w:pPr>
        <w:spacing w:line="480" w:lineRule="auto"/>
        <w:rPr>
          <w:color w:val="000000"/>
        </w:rPr>
      </w:pPr>
    </w:p>
    <w:p w14:paraId="0E0E032A" w14:textId="77777777" w:rsidR="00C82918" w:rsidRPr="00E14CDC" w:rsidRDefault="00C82918" w:rsidP="00C82918">
      <w:pPr>
        <w:spacing w:line="480" w:lineRule="auto"/>
      </w:pPr>
      <w:r w:rsidRPr="00E14CDC">
        <w:t>Group by event type</w:t>
      </w:r>
    </w:p>
    <w:p w14:paraId="4A9C1642" w14:textId="77777777" w:rsidR="00C82918" w:rsidRPr="00E14CDC" w:rsidRDefault="00C82918" w:rsidP="00C82918">
      <w:pPr>
        <w:spacing w:line="480" w:lineRule="auto"/>
        <w:ind w:firstLine="720"/>
      </w:pPr>
      <w:r w:rsidRPr="00E14CDC">
        <w:t>The average duration of events followed the same trend as all other analyses. Early and late groups both produced longer mouth contact events on average than face contacts or midline clasps average durations (Wald χ2(4) =</w:t>
      </w:r>
      <w:r w:rsidRPr="00E14CDC">
        <w:rPr>
          <w:color w:val="000000"/>
        </w:rPr>
        <w:t xml:space="preserve"> 468.206 </w:t>
      </w:r>
      <w:r w:rsidRPr="00E14CDC">
        <w:rPr>
          <w:i/>
          <w:iCs/>
        </w:rPr>
        <w:t>p &lt;</w:t>
      </w:r>
      <w:r w:rsidRPr="00E14CDC">
        <w:t xml:space="preserve"> 0.003; see Table 72 for estimated means). The two groups produced similar trend for average durations of events though the early group did have a higher average duration of face  events than the late group (</w:t>
      </w:r>
      <w:r w:rsidRPr="00E14CDC">
        <w:rPr>
          <w:i/>
          <w:iCs/>
        </w:rPr>
        <w:t xml:space="preserve">p </w:t>
      </w:r>
      <w:r w:rsidRPr="00E14CDC">
        <w:t>&lt; 0.001). The mouth event rates for the early reach group were also significantly higher than those of the late group (</w:t>
      </w:r>
      <w:r w:rsidRPr="00E14CDC">
        <w:rPr>
          <w:i/>
          <w:iCs/>
        </w:rPr>
        <w:t>p</w:t>
      </w:r>
      <w:r w:rsidRPr="00E14CDC">
        <w:t xml:space="preserve"> &lt; 0.001). Both groups mouth contacts were significantly longer than midline clasping or face contact events (</w:t>
      </w:r>
      <w:r w:rsidRPr="00E14CDC">
        <w:rPr>
          <w:i/>
          <w:iCs/>
        </w:rPr>
        <w:t>ps &lt;0.001)</w:t>
      </w:r>
      <w:r w:rsidRPr="00E14CDC">
        <w:t>. Once again, regardless of the reach onset group, the trend of producing more mouth contact event rates remained the same.</w:t>
      </w:r>
    </w:p>
    <w:p w14:paraId="610EBE10" w14:textId="77777777" w:rsidR="00C82918" w:rsidRPr="00E14CDC" w:rsidRDefault="00C82918" w:rsidP="00C82918">
      <w:pPr>
        <w:spacing w:line="480" w:lineRule="auto"/>
        <w:ind w:firstLine="720"/>
        <w:rPr>
          <w:color w:val="000000"/>
        </w:rPr>
      </w:pPr>
    </w:p>
    <w:p w14:paraId="0D9E4EB9" w14:textId="77777777" w:rsidR="00C82918" w:rsidRPr="00E14CDC" w:rsidRDefault="00C82918" w:rsidP="00C82918">
      <w:pPr>
        <w:spacing w:line="480" w:lineRule="auto"/>
      </w:pPr>
      <w:r w:rsidRPr="00E14CDC">
        <w:t>Group by proximity</w:t>
      </w:r>
    </w:p>
    <w:p w14:paraId="0D3EB9B2" w14:textId="77777777" w:rsidR="00C82918" w:rsidRPr="00E14CDC" w:rsidRDefault="00C82918" w:rsidP="00C82918">
      <w:pPr>
        <w:spacing w:line="480" w:lineRule="auto"/>
        <w:ind w:firstLine="720"/>
      </w:pPr>
      <w:r w:rsidRPr="00E14CDC">
        <w:t>There was a significant difference in the interaction between proximity rates and group (Wald χ2(4) =</w:t>
      </w:r>
      <w:r w:rsidRPr="00E14CDC">
        <w:rPr>
          <w:color w:val="000000"/>
        </w:rPr>
        <w:t xml:space="preserve"> 325.955 </w:t>
      </w:r>
      <w:r w:rsidRPr="00E14CDC">
        <w:rPr>
          <w:i/>
          <w:iCs/>
        </w:rPr>
        <w:t>p &lt;</w:t>
      </w:r>
      <w:r w:rsidRPr="00E14CDC">
        <w:t xml:space="preserve"> 0.003; see Figure 28 and Table 73 for estimated means). The average duration of the early group was significantly higher in the toy-out-of-reach than both the toy-in-reach and toy-moving-into-reach proximity (</w:t>
      </w:r>
      <w:r w:rsidRPr="00E14CDC">
        <w:rPr>
          <w:i/>
          <w:iCs/>
        </w:rPr>
        <w:t>ps &gt;</w:t>
      </w:r>
      <w:r w:rsidRPr="00E14CDC">
        <w:t xml:space="preserve"> 0.05). The two proximities were not significantly different from one another (</w:t>
      </w:r>
      <w:r w:rsidRPr="00E14CDC">
        <w:rPr>
          <w:i/>
          <w:iCs/>
        </w:rPr>
        <w:t>ps</w:t>
      </w:r>
      <w:r w:rsidRPr="00E14CDC">
        <w:t xml:space="preserve"> &gt; 0.05). The late </w:t>
      </w:r>
      <w:r w:rsidRPr="00E14CDC">
        <w:lastRenderedPageBreak/>
        <w:t>group showed a similar trend with significantly higher toy-out-of-reach average duration of events over the toy-in-reach and the toy-moving-into-reach proximities (</w:t>
      </w:r>
      <w:r w:rsidRPr="00E14CDC">
        <w:rPr>
          <w:i/>
          <w:iCs/>
        </w:rPr>
        <w:t>p</w:t>
      </w:r>
      <w:r w:rsidRPr="00E14CDC">
        <w:t>s &lt; 0.001), the latter two did not differ from one another (</w:t>
      </w:r>
      <w:r w:rsidRPr="00E14CDC">
        <w:rPr>
          <w:i/>
          <w:iCs/>
        </w:rPr>
        <w:t>p</w:t>
      </w:r>
      <w:r w:rsidRPr="00E14CDC">
        <w:t xml:space="preserve"> &gt; 0.05). Once more the Early group produced greater average durations over the late groups for the toy-out-of-reach and toy-in-reach (</w:t>
      </w:r>
      <w:r w:rsidRPr="00E14CDC">
        <w:rPr>
          <w:i/>
          <w:iCs/>
        </w:rPr>
        <w:t>p</w:t>
      </w:r>
      <w:r w:rsidRPr="00E14CDC">
        <w:t>s &lt; 0.05).</w:t>
      </w:r>
    </w:p>
    <w:p w14:paraId="3A6694C4" w14:textId="77777777" w:rsidR="00C82918" w:rsidRPr="00E14CDC" w:rsidRDefault="00C82918" w:rsidP="00C82918">
      <w:pPr>
        <w:spacing w:line="480" w:lineRule="auto"/>
      </w:pPr>
    </w:p>
    <w:p w14:paraId="0C65F866" w14:textId="77777777" w:rsidR="00C82918" w:rsidRPr="00E14CDC" w:rsidRDefault="00C82918" w:rsidP="00C82918">
      <w:pPr>
        <w:spacing w:line="480" w:lineRule="auto"/>
      </w:pPr>
      <w:r w:rsidRPr="00E14CDC">
        <w:t>Group by week by event type</w:t>
      </w:r>
    </w:p>
    <w:p w14:paraId="3EF728B0" w14:textId="77777777" w:rsidR="00C82918" w:rsidRPr="00E14CDC" w:rsidRDefault="00C82918" w:rsidP="00C82918">
      <w:pPr>
        <w:spacing w:line="480" w:lineRule="auto"/>
        <w:ind w:firstLine="720"/>
      </w:pPr>
      <w:r w:rsidRPr="00E14CDC">
        <w:t xml:space="preserve">Both groups again produced more mouth contact summed durations than midline clasp or face contacts (Wald χ2(6) = </w:t>
      </w:r>
      <w:r w:rsidRPr="00E14CDC">
        <w:rPr>
          <w:color w:val="000000"/>
        </w:rPr>
        <w:t xml:space="preserve">6.04681E+13 </w:t>
      </w:r>
      <w:r w:rsidRPr="00E14CDC">
        <w:rPr>
          <w:i/>
          <w:iCs/>
        </w:rPr>
        <w:t>p &lt;</w:t>
      </w:r>
      <w:r w:rsidRPr="00E14CDC">
        <w:t xml:space="preserve"> 0.003; see Figure 27 and Table 74 for estimated means). However, their trends once again differed. Early reachers produced similar average durations of face and mouth contacts in their first week before producing more mouth contact durations for the remainder of the observation weeks. The average duration of these events, consisting of mostly mouth events, followed their weekly trend of increasing to reach onset before decreasing the remainder of the weeks, however the amount of the summed durations oscillated from higher to lower once again during the pre-reaching weeks. The late reach group likewise followed the trend seen in the previous findings. They produced very few mouth events that did not significantly differ from the midline clasps or face contacts until week -1 before continuing to increase for the remainder of the observed weeks. Again, while the early group decreased in the average duration of events following reach onset, the late group increased their event rate.</w:t>
      </w:r>
    </w:p>
    <w:p w14:paraId="2AE0B44B" w14:textId="77777777" w:rsidR="00C82918" w:rsidRPr="00E14CDC" w:rsidRDefault="00C82918" w:rsidP="00C82918">
      <w:pPr>
        <w:spacing w:line="480" w:lineRule="auto"/>
        <w:ind w:firstLine="720"/>
      </w:pPr>
    </w:p>
    <w:p w14:paraId="0971583F" w14:textId="77777777" w:rsidR="00C82918" w:rsidRPr="00E14CDC" w:rsidRDefault="00C82918" w:rsidP="00C82918">
      <w:pPr>
        <w:spacing w:line="480" w:lineRule="auto"/>
        <w:ind w:firstLine="720"/>
        <w:rPr>
          <w:color w:val="000000"/>
        </w:rPr>
      </w:pPr>
    </w:p>
    <w:p w14:paraId="5C5328CD" w14:textId="77777777" w:rsidR="00C82918" w:rsidRPr="00E14CDC" w:rsidRDefault="00C82918" w:rsidP="00C82918">
      <w:pPr>
        <w:spacing w:line="480" w:lineRule="auto"/>
      </w:pPr>
      <w:r w:rsidRPr="00E14CDC">
        <w:lastRenderedPageBreak/>
        <w:t>Group by week by proximity</w:t>
      </w:r>
    </w:p>
    <w:p w14:paraId="7D5117FC" w14:textId="6D453B72" w:rsidR="00C82918" w:rsidRPr="00E14CDC" w:rsidRDefault="00C82918" w:rsidP="00C82918">
      <w:pPr>
        <w:spacing w:line="480" w:lineRule="auto"/>
        <w:ind w:firstLine="720"/>
      </w:pPr>
      <w:r w:rsidRPr="00E14CDC">
        <w:t xml:space="preserve">The groups again showed significant </w:t>
      </w:r>
      <w:r w:rsidR="00C02F9A" w:rsidRPr="00E14CDC">
        <w:t>differences</w:t>
      </w:r>
      <w:r w:rsidRPr="00E14CDC">
        <w:t xml:space="preserve"> in their trends of events across proximities (Wald χ2(6) = </w:t>
      </w:r>
      <w:r w:rsidRPr="00E14CDC">
        <w:rPr>
          <w:color w:val="000000"/>
        </w:rPr>
        <w:t xml:space="preserve">1.12604E+14 </w:t>
      </w:r>
      <w:r w:rsidRPr="00E14CDC">
        <w:rPr>
          <w:i/>
          <w:iCs/>
        </w:rPr>
        <w:t>p &lt;</w:t>
      </w:r>
      <w:r w:rsidRPr="00E14CDC">
        <w:t xml:space="preserve"> 0.003; see Figure 28 and Table 75 for estimated means). For early reachers, there was a </w:t>
      </w:r>
      <w:r w:rsidR="001A01C1" w:rsidRPr="00E14CDC">
        <w:t>similar average</w:t>
      </w:r>
      <w:r w:rsidRPr="00E14CDC">
        <w:t xml:space="preserve"> occurring in the toy-out-of-reach and toy-in-reach proximity during the pre-reach weeks but minimum average durations of all three proximity in the post reach weeks. Conversely, the mouth events exhibited by the late group occurred only in the toy-out-of-reach proximity during the post-reach weeks. </w:t>
      </w:r>
      <w:r w:rsidR="001A01C1" w:rsidRPr="00E14CDC">
        <w:t>Overall,</w:t>
      </w:r>
      <w:r w:rsidRPr="00E14CDC">
        <w:t xml:space="preserve"> the early reachers once again demonstrated decreasing average duration</w:t>
      </w:r>
      <w:r w:rsidR="00C02F9A" w:rsidRPr="00E14CDC">
        <w:t>,</w:t>
      </w:r>
      <w:r w:rsidRPr="00E14CDC">
        <w:t xml:space="preserve"> while late reachers produced an increase in average durations.</w:t>
      </w:r>
    </w:p>
    <w:p w14:paraId="2B1224BF" w14:textId="77777777" w:rsidR="00C82918" w:rsidRPr="00E14CDC" w:rsidRDefault="00C82918" w:rsidP="00C82918">
      <w:pPr>
        <w:spacing w:line="480" w:lineRule="auto"/>
        <w:ind w:firstLine="720"/>
        <w:rPr>
          <w:color w:val="000000"/>
        </w:rPr>
      </w:pPr>
    </w:p>
    <w:p w14:paraId="72187326" w14:textId="77777777" w:rsidR="00C82918" w:rsidRPr="00E14CDC" w:rsidRDefault="00C82918" w:rsidP="00C82918">
      <w:pPr>
        <w:spacing w:line="480" w:lineRule="auto"/>
      </w:pPr>
      <w:r w:rsidRPr="00E14CDC">
        <w:t>Group by event by proximity</w:t>
      </w:r>
    </w:p>
    <w:p w14:paraId="2F0668C0" w14:textId="581D7E86" w:rsidR="00C82918" w:rsidRPr="00E14CDC" w:rsidRDefault="00C82918" w:rsidP="00C82918">
      <w:pPr>
        <w:spacing w:line="480" w:lineRule="auto"/>
        <w:ind w:firstLine="720"/>
      </w:pPr>
      <w:r w:rsidRPr="00E14CDC">
        <w:t xml:space="preserve">The groups showed significant </w:t>
      </w:r>
      <w:r w:rsidR="00C02F9A" w:rsidRPr="00E14CDC">
        <w:t>differences</w:t>
      </w:r>
      <w:r w:rsidRPr="00E14CDC">
        <w:t xml:space="preserve"> in their trends of events across proximities (Wald χ2(5) = </w:t>
      </w:r>
      <w:r w:rsidRPr="00E14CDC">
        <w:rPr>
          <w:color w:val="000000"/>
        </w:rPr>
        <w:t xml:space="preserve">5246.17 </w:t>
      </w:r>
      <w:r w:rsidRPr="00E14CDC">
        <w:rPr>
          <w:i/>
          <w:iCs/>
        </w:rPr>
        <w:t>p &lt;</w:t>
      </w:r>
      <w:r w:rsidRPr="00E14CDC">
        <w:t xml:space="preserve"> 0.003; see Figure 28 and Table 76 for estimated means). For both groups, there were significantly more Mouth events than face or midline clasping. However, for early reachers, there was a similar amount occurring in the toy-out-of-reach and toy-in -reach proximity. Conversely, the mouth events exhibited by the late group occurred only in the toy-out-of-reach proximity.</w:t>
      </w:r>
    </w:p>
    <w:p w14:paraId="4F599341" w14:textId="77777777" w:rsidR="001A01C1" w:rsidRPr="00E14CDC" w:rsidRDefault="001A01C1" w:rsidP="00C82918">
      <w:pPr>
        <w:spacing w:line="480" w:lineRule="auto"/>
      </w:pPr>
    </w:p>
    <w:p w14:paraId="17266BE6" w14:textId="6C1DD3F7" w:rsidR="00C82918" w:rsidRPr="00E14CDC" w:rsidRDefault="00C82918" w:rsidP="00C82918">
      <w:pPr>
        <w:spacing w:line="480" w:lineRule="auto"/>
      </w:pPr>
      <w:r w:rsidRPr="00E14CDC">
        <w:t>Group by week by event type by proximity</w:t>
      </w:r>
    </w:p>
    <w:p w14:paraId="38061DBD" w14:textId="40534D8A" w:rsidR="00C82918" w:rsidRPr="00E14CDC" w:rsidRDefault="00C82918" w:rsidP="00C82918">
      <w:pPr>
        <w:spacing w:line="480" w:lineRule="auto"/>
        <w:ind w:firstLine="720"/>
        <w:rPr>
          <w:color w:val="000000"/>
        </w:rPr>
      </w:pPr>
      <w:r w:rsidRPr="00E14CDC">
        <w:t xml:space="preserve">There was a significant four-way interaction between the groups, events, proximities across weeks (Wald χ2(4) = </w:t>
      </w:r>
      <w:r w:rsidRPr="00E14CDC">
        <w:rPr>
          <w:color w:val="000000"/>
        </w:rPr>
        <w:t>5.39914E+13</w:t>
      </w:r>
      <w:r w:rsidRPr="00E14CDC">
        <w:rPr>
          <w:i/>
          <w:iCs/>
        </w:rPr>
        <w:t xml:space="preserve"> p &lt;</w:t>
      </w:r>
      <w:r w:rsidRPr="00E14CDC">
        <w:t xml:space="preserve"> 0.003; see Figure 28 and Tables 77 and 78 for estimated means). Following the trends seen across the previous 3-</w:t>
      </w:r>
      <w:r w:rsidRPr="00E14CDC">
        <w:lastRenderedPageBreak/>
        <w:t>way interactions, the infants produced significantly more mouth contacts than midline clasping or face contacts</w:t>
      </w:r>
      <w:r w:rsidR="00AF296E" w:rsidRPr="00E14CDC">
        <w:t>. The only notable exception was</w:t>
      </w:r>
      <w:r w:rsidRPr="00E14CDC">
        <w:t xml:space="preserve"> the early groups increased face contacts for week -5 once again. For toy-out-of-reach, the early reach group produced more mouth contact during the pre-reach weeks</w:t>
      </w:r>
      <w:r w:rsidR="00AF296E" w:rsidRPr="00E14CDC">
        <w:t>, with one increased duration occurring at week 4 in the post-reach</w:t>
      </w:r>
      <w:r w:rsidRPr="00E14CDC">
        <w:t xml:space="preserve"> weeks. The late reach group produced average durations in the post-reach weeks with the greatest durations being week 1 and week 4. </w:t>
      </w:r>
    </w:p>
    <w:p w14:paraId="5DAFA490" w14:textId="77777777" w:rsidR="00C82918" w:rsidRPr="00E14CDC" w:rsidRDefault="00C82918" w:rsidP="00C82918">
      <w:pPr>
        <w:spacing w:line="480" w:lineRule="auto"/>
      </w:pPr>
      <w:r w:rsidRPr="00E14CDC">
        <w:tab/>
        <w:t xml:space="preserve">While both groups produced minimal durations of events in the toy-moving-into-reach proximity, the early reach group had increased average durations in weeks -5, -3, -1, and week 3. The late group’s average duration remained low for the entire observation. </w:t>
      </w:r>
    </w:p>
    <w:p w14:paraId="36491E67" w14:textId="77777777" w:rsidR="00C82918" w:rsidRPr="00E14CDC" w:rsidRDefault="00C82918" w:rsidP="00C82918">
      <w:pPr>
        <w:spacing w:line="480" w:lineRule="auto"/>
      </w:pPr>
      <w:r w:rsidRPr="00E14CDC">
        <w:tab/>
        <w:t xml:space="preserve">As mentioned in the event by proximity analyses results, the average duration of note in the toy-in-reach was from the early group. They produced higher average durations of face events during week -5 and -2, and mouth average durations for week -3 and -1. The late group did not produce significant summed durations. </w:t>
      </w:r>
    </w:p>
    <w:p w14:paraId="2E201316" w14:textId="77777777" w:rsidR="00C82918" w:rsidRPr="00E14CDC" w:rsidRDefault="00C82918" w:rsidP="00C82918">
      <w:pPr>
        <w:spacing w:line="480" w:lineRule="auto"/>
      </w:pPr>
      <w:r w:rsidRPr="00E14CDC">
        <w:tab/>
      </w:r>
    </w:p>
    <w:p w14:paraId="1F88F947" w14:textId="77777777" w:rsidR="00C82918" w:rsidRPr="00E14CDC" w:rsidRDefault="00C82918" w:rsidP="00C82918">
      <w:pPr>
        <w:keepNext/>
        <w:numPr>
          <w:ilvl w:val="2"/>
          <w:numId w:val="0"/>
        </w:numPr>
        <w:spacing w:line="480" w:lineRule="auto"/>
        <w:outlineLvl w:val="2"/>
        <w:rPr>
          <w:i/>
        </w:rPr>
      </w:pPr>
      <w:bookmarkStart w:id="92" w:name="_Toc173185078"/>
      <w:r w:rsidRPr="00E14CDC">
        <w:rPr>
          <w:i/>
        </w:rPr>
        <w:t>Reaching Proportions</w:t>
      </w:r>
      <w:bookmarkEnd w:id="92"/>
    </w:p>
    <w:p w14:paraId="64CFDACE" w14:textId="18EEE9D2" w:rsidR="00C82918" w:rsidRPr="00E14CDC" w:rsidRDefault="00C82918" w:rsidP="00C82918">
      <w:pPr>
        <w:spacing w:line="480" w:lineRule="auto"/>
      </w:pPr>
      <w:r w:rsidRPr="00E14CDC">
        <w:t>The proportion of reaches produced each week was analyzed using a GEE, which revealed no main effect of group (Wald χ2(5) = 0.269</w:t>
      </w:r>
      <w:r w:rsidRPr="00E14CDC">
        <w:rPr>
          <w:i/>
          <w:iCs/>
        </w:rPr>
        <w:t xml:space="preserve"> p &gt;</w:t>
      </w:r>
      <w:r w:rsidRPr="00E14CDC">
        <w:t xml:space="preserve"> 0.05; see Figure 29 and Table 79 for estimated means). There was, however, an interaction between </w:t>
      </w:r>
      <w:r w:rsidR="00AF296E" w:rsidRPr="00E14CDC">
        <w:t xml:space="preserve">the </w:t>
      </w:r>
      <w:r w:rsidRPr="00E14CDC">
        <w:t>group and weeks (Wald χ2(5) = 661.245</w:t>
      </w:r>
      <w:r w:rsidRPr="00E14CDC">
        <w:rPr>
          <w:i/>
          <w:iCs/>
        </w:rPr>
        <w:t xml:space="preserve"> p &lt;</w:t>
      </w:r>
      <w:r w:rsidRPr="00E14CDC">
        <w:t xml:space="preserve"> 0.001; see Table 80 for estimated means). For the week of reach-onset, the proportion of reaches reached 60%. This quickly rose to 100% by the fifth week of reaching experience. As I hypothesized, infants quickly increased reaching proportion following reach onset very quickly. However, contrary to my </w:t>
      </w:r>
      <w:r w:rsidRPr="00E14CDC">
        <w:lastRenderedPageBreak/>
        <w:t>hypothesis, they did not start with a low proportion of reaching at reach week 0 but an average proportion of 60%.</w:t>
      </w:r>
    </w:p>
    <w:p w14:paraId="1509EBA7" w14:textId="77777777" w:rsidR="00C82918" w:rsidRPr="00E14CDC" w:rsidRDefault="00C82918" w:rsidP="00C82918">
      <w:pPr>
        <w:spacing w:line="480" w:lineRule="auto"/>
      </w:pPr>
    </w:p>
    <w:p w14:paraId="38A21ED7" w14:textId="77777777" w:rsidR="00C82918" w:rsidRPr="00E14CDC" w:rsidRDefault="00C82918" w:rsidP="00C82918">
      <w:pPr>
        <w:keepNext/>
        <w:numPr>
          <w:ilvl w:val="2"/>
          <w:numId w:val="0"/>
        </w:numPr>
        <w:spacing w:line="480" w:lineRule="auto"/>
        <w:outlineLvl w:val="2"/>
        <w:rPr>
          <w:i/>
        </w:rPr>
      </w:pPr>
      <w:bookmarkStart w:id="93" w:name="_Toc173185079"/>
      <w:r w:rsidRPr="00E14CDC">
        <w:rPr>
          <w:i/>
        </w:rPr>
        <w:t>Latency to Reach</w:t>
      </w:r>
      <w:bookmarkEnd w:id="93"/>
    </w:p>
    <w:p w14:paraId="3E85E849" w14:textId="77777777" w:rsidR="00C82918" w:rsidRPr="00E14CDC" w:rsidRDefault="00C82918" w:rsidP="00C8291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E14CDC">
        <w:t>The analysis of the latency between the time the toy is within the infant’s reaching space and the initiation of the reach revealed a main effect of weeks (Wald χ2(5) = 0.008</w:t>
      </w:r>
      <w:r w:rsidRPr="00E14CDC">
        <w:rPr>
          <w:i/>
          <w:iCs/>
        </w:rPr>
        <w:t xml:space="preserve"> p &gt;</w:t>
      </w:r>
      <w:r w:rsidRPr="00E14CDC">
        <w:t xml:space="preserve"> 0.05; Table 81 for estimated means). There was also no significant interaction between Group and Weeks following reach-onset (Wald χ2(5) = 8.31</w:t>
      </w:r>
      <w:r w:rsidRPr="00E14CDC">
        <w:rPr>
          <w:i/>
          <w:iCs/>
        </w:rPr>
        <w:t xml:space="preserve"> p &gt; 0.05</w:t>
      </w:r>
      <w:r w:rsidRPr="00E14CDC">
        <w:t>; see Table 82 for estimated means). Overall latency began high for the week of reach onset and decreased gradually to week 5 (see Table 29 for estimated means). As was expected the infants displayed a decreasing latency trend as they gained reaching experience.</w:t>
      </w:r>
    </w:p>
    <w:p w14:paraId="322D0B9E" w14:textId="77777777" w:rsidR="00C82918" w:rsidRPr="00E14CDC" w:rsidRDefault="00C82918" w:rsidP="00C82918">
      <w:pPr>
        <w:spacing w:line="480" w:lineRule="auto"/>
      </w:pPr>
    </w:p>
    <w:p w14:paraId="3BA8A8F3" w14:textId="37C8427D" w:rsidR="00C82918" w:rsidRPr="00E14CDC" w:rsidRDefault="00C82918" w:rsidP="00CC578B">
      <w:pPr>
        <w:keepNext/>
        <w:spacing w:before="240" w:after="60" w:line="480" w:lineRule="auto"/>
        <w:jc w:val="center"/>
        <w:outlineLvl w:val="1"/>
        <w:rPr>
          <w:iCs/>
        </w:rPr>
      </w:pPr>
      <w:bookmarkStart w:id="94" w:name="_Toc173185080"/>
      <w:r w:rsidRPr="00E14CDC">
        <w:rPr>
          <w:iCs/>
        </w:rPr>
        <w:t>Kinematics</w:t>
      </w:r>
      <w:bookmarkEnd w:id="94"/>
    </w:p>
    <w:p w14:paraId="50664526" w14:textId="77777777" w:rsidR="00C82918" w:rsidRPr="00E14CDC" w:rsidRDefault="00C82918" w:rsidP="00C82918">
      <w:pPr>
        <w:spacing w:line="480" w:lineRule="auto"/>
        <w:ind w:firstLine="720"/>
      </w:pPr>
      <w:r w:rsidRPr="00E14CDC">
        <w:t>To further identify the change in overall activity as infants transition from non-reaching to reaching, I computed the average movement velocity and the frequency of movement units. These variables were identified over the entire trial and the three zones of object proximity.</w:t>
      </w:r>
    </w:p>
    <w:p w14:paraId="7E779898" w14:textId="77777777" w:rsidR="00C82918" w:rsidRPr="00E14CDC" w:rsidRDefault="00C82918" w:rsidP="00C82918">
      <w:pPr>
        <w:spacing w:line="480" w:lineRule="auto"/>
        <w:ind w:firstLine="720"/>
      </w:pPr>
    </w:p>
    <w:p w14:paraId="4D25FE99" w14:textId="77777777" w:rsidR="00C82918" w:rsidRPr="00E14CDC" w:rsidRDefault="00C82918" w:rsidP="00C82918">
      <w:pPr>
        <w:keepNext/>
        <w:numPr>
          <w:ilvl w:val="2"/>
          <w:numId w:val="0"/>
        </w:numPr>
        <w:spacing w:line="480" w:lineRule="auto"/>
        <w:outlineLvl w:val="2"/>
        <w:rPr>
          <w:i/>
        </w:rPr>
      </w:pPr>
      <w:bookmarkStart w:id="95" w:name="_Toc173185081"/>
      <w:r w:rsidRPr="00E14CDC">
        <w:rPr>
          <w:i/>
        </w:rPr>
        <w:t>Mean Movement Velocity</w:t>
      </w:r>
      <w:bookmarkEnd w:id="95"/>
    </w:p>
    <w:p w14:paraId="45A50554" w14:textId="6714FE20" w:rsidR="00C82918" w:rsidRPr="00E14CDC" w:rsidRDefault="00C82918" w:rsidP="00C82918">
      <w:pPr>
        <w:spacing w:line="480" w:lineRule="auto"/>
        <w:ind w:firstLine="720"/>
      </w:pPr>
      <w:r w:rsidRPr="00E14CDC">
        <w:t xml:space="preserve">The statistical analyses of the mean movement velocity revealed a significant main effect for Group (Wald χ2(1) = </w:t>
      </w:r>
      <w:r w:rsidRPr="00E14CDC">
        <w:rPr>
          <w:color w:val="000000"/>
        </w:rPr>
        <w:t xml:space="preserve">9.446 </w:t>
      </w:r>
      <w:r w:rsidRPr="00E14CDC">
        <w:rPr>
          <w:i/>
          <w:iCs/>
        </w:rPr>
        <w:t xml:space="preserve">p </w:t>
      </w:r>
      <w:r w:rsidRPr="00E14CDC">
        <w:t>&lt; 0.002; see Figure 30 and Table 83 for estimated means).</w:t>
      </w:r>
      <w:r w:rsidR="00067856" w:rsidRPr="00E14CDC">
        <w:t xml:space="preserve"> </w:t>
      </w:r>
      <w:r w:rsidRPr="00E14CDC">
        <w:t xml:space="preserve">The early group produced slower mean movement velocities as </w:t>
      </w:r>
      <w:r w:rsidRPr="00E14CDC">
        <w:lastRenderedPageBreak/>
        <w:t xml:space="preserve">opposed to their </w:t>
      </w:r>
      <w:r w:rsidR="00AF296E" w:rsidRPr="00E14CDC">
        <w:t>late-reaching</w:t>
      </w:r>
      <w:r w:rsidRPr="00E14CDC">
        <w:t xml:space="preserve"> </w:t>
      </w:r>
      <w:r w:rsidR="00AF296E" w:rsidRPr="00E14CDC">
        <w:t>counterparts</w:t>
      </w:r>
      <w:r w:rsidRPr="00E14CDC">
        <w:t xml:space="preserve">. Statistically significant interactions between </w:t>
      </w:r>
      <w:r w:rsidR="00AF296E" w:rsidRPr="00E14CDC">
        <w:t>the g</w:t>
      </w:r>
      <w:r w:rsidRPr="00E14CDC">
        <w:t>roup and the other independent variables were identified across all 3 interactions (</w:t>
      </w:r>
      <w:r w:rsidRPr="00E14CDC">
        <w:rPr>
          <w:i/>
          <w:iCs/>
        </w:rPr>
        <w:t>ps</w:t>
      </w:r>
      <w:r w:rsidRPr="00E14CDC">
        <w:t xml:space="preserve"> &lt; 0.01).</w:t>
      </w:r>
    </w:p>
    <w:p w14:paraId="66CA47DF" w14:textId="77777777" w:rsidR="00C82918" w:rsidRPr="00E14CDC" w:rsidRDefault="00C82918" w:rsidP="00C82918">
      <w:pPr>
        <w:spacing w:line="480" w:lineRule="auto"/>
        <w:ind w:firstLine="720"/>
      </w:pPr>
    </w:p>
    <w:p w14:paraId="7934267A" w14:textId="77777777" w:rsidR="00C82918" w:rsidRPr="00E14CDC" w:rsidRDefault="00C82918" w:rsidP="00C82918">
      <w:pPr>
        <w:keepNext/>
        <w:numPr>
          <w:ilvl w:val="2"/>
          <w:numId w:val="0"/>
        </w:numPr>
        <w:spacing w:line="480" w:lineRule="auto"/>
        <w:outlineLvl w:val="2"/>
        <w:rPr>
          <w:i/>
        </w:rPr>
      </w:pPr>
      <w:bookmarkStart w:id="96" w:name="_Toc173185082"/>
      <w:r w:rsidRPr="00E14CDC">
        <w:rPr>
          <w:i/>
        </w:rPr>
        <w:t>Group by Week</w:t>
      </w:r>
      <w:bookmarkEnd w:id="96"/>
    </w:p>
    <w:p w14:paraId="60B508CF" w14:textId="29B92A21" w:rsidR="00C82918" w:rsidRPr="00E14CDC" w:rsidRDefault="00C82918" w:rsidP="00C82918">
      <w:pPr>
        <w:spacing w:line="480" w:lineRule="auto"/>
        <w:ind w:firstLine="720"/>
      </w:pPr>
      <w:r w:rsidRPr="00E14CDC">
        <w:t xml:space="preserve">The GEE revealed an interaction between groups and weeks for average velocity (Wald χ2(1) = </w:t>
      </w:r>
      <w:r w:rsidRPr="00E14CDC">
        <w:rPr>
          <w:color w:val="000000"/>
        </w:rPr>
        <w:t xml:space="preserve">60554522761 </w:t>
      </w:r>
      <w:r w:rsidRPr="00E14CDC">
        <w:rPr>
          <w:i/>
          <w:iCs/>
        </w:rPr>
        <w:t xml:space="preserve">p </w:t>
      </w:r>
      <w:r w:rsidRPr="00E14CDC">
        <w:t xml:space="preserve">&lt; 0.002; see Figure 30 and Table 84 for estimated means). The early group produced slower average velocity </w:t>
      </w:r>
      <w:r w:rsidR="00AF296E" w:rsidRPr="00E14CDC">
        <w:t>than</w:t>
      </w:r>
      <w:r w:rsidRPr="00E14CDC">
        <w:t xml:space="preserve"> the late group and remained similar throughout the observation weeks. The late group alternatively produce</w:t>
      </w:r>
      <w:r w:rsidR="00AF296E" w:rsidRPr="00E14CDC">
        <w:t>d</w:t>
      </w:r>
      <w:r w:rsidRPr="00E14CDC">
        <w:t xml:space="preserve"> increasing average velocities up to the reach of week onset before </w:t>
      </w:r>
      <w:r w:rsidR="00AF296E" w:rsidRPr="00E14CDC">
        <w:t>decreasing</w:t>
      </w:r>
      <w:r w:rsidRPr="00E14CDC">
        <w:t xml:space="preserve"> over the following weeks to week 5. </w:t>
      </w:r>
    </w:p>
    <w:p w14:paraId="1C1FDC05" w14:textId="77777777" w:rsidR="00C82918" w:rsidRPr="00E14CDC" w:rsidRDefault="00C82918" w:rsidP="00C82918">
      <w:pPr>
        <w:spacing w:line="480" w:lineRule="auto"/>
        <w:ind w:firstLine="720"/>
        <w:rPr>
          <w:i/>
        </w:rPr>
      </w:pPr>
    </w:p>
    <w:p w14:paraId="0D487819" w14:textId="77777777" w:rsidR="00C82918" w:rsidRPr="00E14CDC" w:rsidRDefault="00C82918" w:rsidP="00C82918">
      <w:pPr>
        <w:keepNext/>
        <w:numPr>
          <w:ilvl w:val="2"/>
          <w:numId w:val="0"/>
        </w:numPr>
        <w:spacing w:line="480" w:lineRule="auto"/>
        <w:outlineLvl w:val="2"/>
        <w:rPr>
          <w:i/>
        </w:rPr>
      </w:pPr>
      <w:bookmarkStart w:id="97" w:name="_Toc173185083"/>
      <w:r w:rsidRPr="00E14CDC">
        <w:rPr>
          <w:i/>
        </w:rPr>
        <w:t>Group by Proximity</w:t>
      </w:r>
      <w:bookmarkEnd w:id="97"/>
      <w:r w:rsidRPr="00E14CDC">
        <w:rPr>
          <w:i/>
        </w:rPr>
        <w:tab/>
      </w:r>
    </w:p>
    <w:p w14:paraId="5701A792" w14:textId="388FE269" w:rsidR="00C82918" w:rsidRPr="00E14CDC" w:rsidRDefault="00C82918" w:rsidP="00705359">
      <w:pPr>
        <w:spacing w:line="480" w:lineRule="auto"/>
        <w:ind w:firstLine="720"/>
      </w:pPr>
      <w:r w:rsidRPr="00E14CDC">
        <w:t xml:space="preserve">There was a significant interaction between proximities and </w:t>
      </w:r>
      <w:r w:rsidR="00AF296E" w:rsidRPr="00E14CDC">
        <w:t xml:space="preserve">the </w:t>
      </w:r>
      <w:r w:rsidRPr="00E14CDC">
        <w:t xml:space="preserve">reach group (Wald χ2(1) = 78.809 p &lt; 0.002; see Table 85 for estimated means). The early group </w:t>
      </w:r>
      <w:r w:rsidR="00AF296E" w:rsidRPr="00E14CDC">
        <w:t>produced</w:t>
      </w:r>
      <w:r w:rsidRPr="00E14CDC">
        <w:t xml:space="preserve"> a smaller average duration than their late peers and did not significantly differ between toy-out-of-reach, toy-moving-into-reach, and toy-in-reach. The late group produced higher average durations that displayed significant differences between the toy-moving-into-reach having significantly higher averages (</w:t>
      </w:r>
      <w:r w:rsidRPr="00E14CDC">
        <w:rPr>
          <w:i/>
          <w:iCs/>
        </w:rPr>
        <w:t>p</w:t>
      </w:r>
      <w:r w:rsidRPr="00E14CDC">
        <w:t xml:space="preserve">s &lt;0.05). </w:t>
      </w:r>
    </w:p>
    <w:p w14:paraId="5CCF7137" w14:textId="77777777" w:rsidR="00705359" w:rsidRPr="00E14CDC" w:rsidRDefault="00705359" w:rsidP="00705359">
      <w:pPr>
        <w:spacing w:line="480" w:lineRule="auto"/>
        <w:ind w:firstLine="720"/>
      </w:pPr>
    </w:p>
    <w:p w14:paraId="7586632D" w14:textId="77777777" w:rsidR="00C82918" w:rsidRPr="00E14CDC" w:rsidRDefault="00C82918" w:rsidP="00C82918">
      <w:pPr>
        <w:keepNext/>
        <w:numPr>
          <w:ilvl w:val="2"/>
          <w:numId w:val="0"/>
        </w:numPr>
        <w:spacing w:line="480" w:lineRule="auto"/>
        <w:outlineLvl w:val="2"/>
        <w:rPr>
          <w:i/>
        </w:rPr>
      </w:pPr>
      <w:bookmarkStart w:id="98" w:name="_Toc173185084"/>
      <w:r w:rsidRPr="00E14CDC">
        <w:rPr>
          <w:i/>
        </w:rPr>
        <w:lastRenderedPageBreak/>
        <w:t>Group by Week and Proximity</w:t>
      </w:r>
      <w:bookmarkEnd w:id="98"/>
    </w:p>
    <w:p w14:paraId="10417728" w14:textId="0F133A8D" w:rsidR="00705359" w:rsidRPr="00E14CDC" w:rsidRDefault="00C82918" w:rsidP="00C82918">
      <w:pPr>
        <w:spacing w:line="480" w:lineRule="auto"/>
      </w:pPr>
      <w:r w:rsidRPr="00E14CDC">
        <w:tab/>
        <w:t xml:space="preserve">There was a significant interaction between proximities and reach group and week (Wald χ2(1) = 182.684p &lt; 0.002; see Figure 31 and Table 86 for estimated means). The early group again did not produce significant </w:t>
      </w:r>
      <w:r w:rsidR="00AF296E" w:rsidRPr="00E14CDC">
        <w:t>differences across the weeks except for week 5 and the object proximity while producing lower average durations than their late-reaching</w:t>
      </w:r>
      <w:r w:rsidRPr="00E14CDC">
        <w:t xml:space="preserve"> peers. The </w:t>
      </w:r>
      <w:r w:rsidR="00AF296E" w:rsidRPr="00E14CDC">
        <w:t>late-reaching</w:t>
      </w:r>
      <w:r w:rsidRPr="00E14CDC">
        <w:t xml:space="preserve"> group </w:t>
      </w:r>
      <w:r w:rsidR="00AF296E" w:rsidRPr="00E14CDC">
        <w:t>produced</w:t>
      </w:r>
      <w:r w:rsidRPr="00E14CDC">
        <w:t xml:space="preserve"> sporadic average durations that were significantly higher than the early group. For toy-out-of-reach</w:t>
      </w:r>
      <w:r w:rsidR="00AF296E" w:rsidRPr="00E14CDC">
        <w:t>, the late group, the average durations were higher from weeks -4 to the week of reach onset and again at weeks</w:t>
      </w:r>
      <w:r w:rsidRPr="00E14CDC">
        <w:t xml:space="preserve"> 2 and 3.  The average </w:t>
      </w:r>
      <w:r w:rsidR="00AF296E" w:rsidRPr="00E14CDC">
        <w:t>duration of toy-moving-into-reach followed the same trend of higher durations for the pre-reaching weeks (specifically weeks 4 to reach onset) and again peaking at weeks</w:t>
      </w:r>
      <w:r w:rsidRPr="00E14CDC">
        <w:t xml:space="preserve"> 2 and 3. For toy-in-reach, the averages oscillated between high and low averages with peaks of activity at weeks -3, reach onset, and week 3.</w:t>
      </w:r>
    </w:p>
    <w:p w14:paraId="1765C455" w14:textId="77777777" w:rsidR="00705359" w:rsidRPr="00E14CDC" w:rsidRDefault="00705359" w:rsidP="00C82918">
      <w:pPr>
        <w:spacing w:line="480" w:lineRule="auto"/>
      </w:pPr>
    </w:p>
    <w:p w14:paraId="3629C061" w14:textId="46A61B32" w:rsidR="00705359" w:rsidRPr="00E14CDC" w:rsidRDefault="00705359" w:rsidP="00705359">
      <w:pPr>
        <w:keepNext/>
        <w:numPr>
          <w:ilvl w:val="2"/>
          <w:numId w:val="0"/>
        </w:numPr>
        <w:spacing w:line="480" w:lineRule="auto"/>
        <w:outlineLvl w:val="2"/>
        <w:rPr>
          <w:i/>
        </w:rPr>
      </w:pPr>
      <w:bookmarkStart w:id="99" w:name="_Toc173185085"/>
      <w:r w:rsidRPr="00E14CDC">
        <w:rPr>
          <w:i/>
        </w:rPr>
        <w:t>Movement Units</w:t>
      </w:r>
      <w:bookmarkEnd w:id="99"/>
    </w:p>
    <w:p w14:paraId="50F57465" w14:textId="11D8DBF6" w:rsidR="00C82918" w:rsidRPr="00E14CDC" w:rsidRDefault="00C82918" w:rsidP="00C82918">
      <w:pPr>
        <w:spacing w:line="480" w:lineRule="auto"/>
        <w:ind w:firstLine="720"/>
      </w:pPr>
      <w:r w:rsidRPr="00E14CDC">
        <w:t>A GEE statistical analysis of movement units indicated a main effect of Group (Wald χ2(1) = 4.824</w:t>
      </w:r>
      <w:r w:rsidRPr="00E14CDC">
        <w:rPr>
          <w:i/>
          <w:iCs/>
        </w:rPr>
        <w:t xml:space="preserve"> p =</w:t>
      </w:r>
      <w:r w:rsidRPr="00E14CDC">
        <w:t xml:space="preserve"> 0.03; see Figure 32 and Table 87 for estimated means). The early group produced fewer movement units than the late group. Statistically significant interactions between </w:t>
      </w:r>
      <w:r w:rsidR="00AF296E" w:rsidRPr="00E14CDC">
        <w:t>the g</w:t>
      </w:r>
      <w:r w:rsidRPr="00E14CDC">
        <w:t>roup and the other independent variables were identified across all 3 interactions (</w:t>
      </w:r>
      <w:r w:rsidRPr="00E14CDC">
        <w:rPr>
          <w:i/>
          <w:iCs/>
        </w:rPr>
        <w:t>ps</w:t>
      </w:r>
      <w:r w:rsidRPr="00E14CDC">
        <w:t xml:space="preserve"> &lt; 0.01)</w:t>
      </w:r>
    </w:p>
    <w:p w14:paraId="737F2C71" w14:textId="77777777" w:rsidR="00C82918" w:rsidRPr="00E14CDC" w:rsidRDefault="00C82918" w:rsidP="00C82918">
      <w:pPr>
        <w:spacing w:line="480" w:lineRule="auto"/>
      </w:pPr>
    </w:p>
    <w:p w14:paraId="70D8DE83" w14:textId="77777777" w:rsidR="00C82918" w:rsidRPr="00E14CDC" w:rsidRDefault="00C82918" w:rsidP="00C82918">
      <w:pPr>
        <w:keepNext/>
        <w:numPr>
          <w:ilvl w:val="2"/>
          <w:numId w:val="0"/>
        </w:numPr>
        <w:spacing w:line="480" w:lineRule="auto"/>
        <w:outlineLvl w:val="2"/>
        <w:rPr>
          <w:i/>
        </w:rPr>
      </w:pPr>
      <w:bookmarkStart w:id="100" w:name="_Toc173185086"/>
      <w:r w:rsidRPr="00E14CDC">
        <w:rPr>
          <w:i/>
        </w:rPr>
        <w:lastRenderedPageBreak/>
        <w:t>Group by Week</w:t>
      </w:r>
      <w:bookmarkEnd w:id="100"/>
    </w:p>
    <w:p w14:paraId="4ADD4458" w14:textId="77777777" w:rsidR="00C82918" w:rsidRPr="00E14CDC" w:rsidRDefault="00C82918" w:rsidP="00C82918">
      <w:pPr>
        <w:spacing w:line="480" w:lineRule="auto"/>
      </w:pPr>
      <w:r w:rsidRPr="00E14CDC">
        <w:tab/>
        <w:t>There was a significant interaction between groups and week of observation(Wald χ2(1) = 7.27252E+13 p &lt; 0.001; see Figure 32) Overall, infants of both groups showed an increasing trend of movement units across the weeks of observation while the late group producing more for each week (see Table 88 for estimated means).</w:t>
      </w:r>
    </w:p>
    <w:p w14:paraId="2593CE72" w14:textId="77777777" w:rsidR="00C82918" w:rsidRPr="00E14CDC" w:rsidRDefault="00C82918" w:rsidP="00C82918">
      <w:pPr>
        <w:spacing w:line="480" w:lineRule="auto"/>
      </w:pPr>
    </w:p>
    <w:p w14:paraId="3263A329" w14:textId="77777777" w:rsidR="00C82918" w:rsidRPr="00E14CDC" w:rsidRDefault="00C82918" w:rsidP="00C82918">
      <w:pPr>
        <w:keepNext/>
        <w:numPr>
          <w:ilvl w:val="2"/>
          <w:numId w:val="0"/>
        </w:numPr>
        <w:spacing w:line="480" w:lineRule="auto"/>
        <w:outlineLvl w:val="2"/>
        <w:rPr>
          <w:i/>
        </w:rPr>
      </w:pPr>
      <w:bookmarkStart w:id="101" w:name="_Toc173185087"/>
      <w:r w:rsidRPr="00E14CDC">
        <w:rPr>
          <w:i/>
        </w:rPr>
        <w:t>Group by Proximity</w:t>
      </w:r>
      <w:bookmarkEnd w:id="101"/>
    </w:p>
    <w:p w14:paraId="33773B21" w14:textId="77777777" w:rsidR="00C82918" w:rsidRPr="00E14CDC" w:rsidRDefault="00C82918" w:rsidP="00C82918">
      <w:pPr>
        <w:spacing w:line="480" w:lineRule="auto"/>
      </w:pPr>
      <w:r w:rsidRPr="00E14CDC">
        <w:tab/>
        <w:t>The infants displayed a significant difference in their movement units based on the different zones of proximity (Wald χ2(1) = 3634.223 p &lt; 0.001; see Table 89 for estimated means). Late reachers produced more movement units for each of the three proximities however only the toy-out-of-reach was significantly different. Both groups produced more movement units for the toy-moving-into-reach proximity with the other proximities being similar to one another (</w:t>
      </w:r>
      <w:r w:rsidRPr="00E14CDC">
        <w:rPr>
          <w:i/>
          <w:iCs/>
        </w:rPr>
        <w:t>ps</w:t>
      </w:r>
      <w:r w:rsidRPr="00E14CDC">
        <w:t xml:space="preserve"> &gt;.05). </w:t>
      </w:r>
    </w:p>
    <w:p w14:paraId="002435A9" w14:textId="77777777" w:rsidR="00C82918" w:rsidRPr="00E14CDC" w:rsidRDefault="00C82918" w:rsidP="00C82918">
      <w:pPr>
        <w:spacing w:line="480" w:lineRule="auto"/>
      </w:pPr>
    </w:p>
    <w:p w14:paraId="082B519D" w14:textId="77777777" w:rsidR="00C82918" w:rsidRPr="00E14CDC" w:rsidRDefault="00C82918" w:rsidP="00C82918">
      <w:pPr>
        <w:keepNext/>
        <w:numPr>
          <w:ilvl w:val="2"/>
          <w:numId w:val="0"/>
        </w:numPr>
        <w:spacing w:line="480" w:lineRule="auto"/>
        <w:outlineLvl w:val="2"/>
        <w:rPr>
          <w:i/>
        </w:rPr>
      </w:pPr>
      <w:bookmarkStart w:id="102" w:name="_Toc173185088"/>
      <w:r w:rsidRPr="00E14CDC">
        <w:rPr>
          <w:i/>
        </w:rPr>
        <w:t>Group by Week and Proximity</w:t>
      </w:r>
      <w:bookmarkEnd w:id="102"/>
    </w:p>
    <w:p w14:paraId="00E6B6E0" w14:textId="6319CDED" w:rsidR="00C82918" w:rsidRPr="00E14CDC" w:rsidRDefault="00C82918" w:rsidP="00C82918">
      <w:pPr>
        <w:spacing w:line="480" w:lineRule="auto"/>
      </w:pPr>
      <w:r w:rsidRPr="00E14CDC">
        <w:tab/>
        <w:t>There was a significant interaction between the weeks of observation, zones of proximity</w:t>
      </w:r>
      <w:r w:rsidR="00AF296E" w:rsidRPr="00E14CDC">
        <w:t xml:space="preserve">, and groups (Wald χ2(1) = 9.97851E+14 p &lt; 0.001; see Figure 31 and </w:t>
      </w:r>
      <w:r w:rsidRPr="00E14CDC">
        <w:t>Table 90 for estimated means). For toy-out-of-reach</w:t>
      </w:r>
      <w:r w:rsidR="00AF296E" w:rsidRPr="00E14CDC">
        <w:t>,</w:t>
      </w:r>
      <w:r w:rsidRPr="00E14CDC">
        <w:t xml:space="preserve"> the early group produced the fewest of their movement units. The prereaching weeks remained low except for week 2 before increasing through the post-reach-weeks.  The Late group for this proximity was generally higher than the early group. They produced a peak of activity in the pre-reach-weeks at week -3 followed by stability in the activity until week 5 when it peaked again. </w:t>
      </w:r>
    </w:p>
    <w:p w14:paraId="2E027221" w14:textId="77777777" w:rsidR="00C82918" w:rsidRPr="00E14CDC" w:rsidRDefault="00C82918" w:rsidP="00C82918">
      <w:pPr>
        <w:spacing w:line="480" w:lineRule="auto"/>
        <w:ind w:firstLine="720"/>
      </w:pPr>
      <w:r w:rsidRPr="00E14CDC">
        <w:lastRenderedPageBreak/>
        <w:t>For the toy-moving-into-reach proximity, the early group produced lower average mean durations than the late group and peaked at week 5 while the remaining weeks remained uniform in the mean movement units. For the late group, there was a uniform number of movement units that remained higher than the other proximities and the early reach group.</w:t>
      </w:r>
    </w:p>
    <w:p w14:paraId="2EE12081" w14:textId="5B787C82" w:rsidR="00C82918" w:rsidRPr="00E14CDC" w:rsidRDefault="00C82918" w:rsidP="00C82918">
      <w:pPr>
        <w:spacing w:line="480" w:lineRule="auto"/>
        <w:ind w:firstLine="720"/>
      </w:pPr>
      <w:r w:rsidRPr="00E14CDC">
        <w:t>Finally</w:t>
      </w:r>
      <w:r w:rsidR="00AF296E" w:rsidRPr="00E14CDC">
        <w:t>, for the toy-in-reach proximity, both early and late reachers produced an increasing trend in movement units through the weeks of observation,</w:t>
      </w:r>
      <w:r w:rsidRPr="00E14CDC">
        <w:t xml:space="preserve"> peaking at week 5. Overall, again, the late group produced more movement units than the early group.</w:t>
      </w:r>
    </w:p>
    <w:p w14:paraId="0DA8BC03" w14:textId="77777777" w:rsidR="00C82918" w:rsidRPr="00E14CDC" w:rsidRDefault="00C82918" w:rsidP="00C82918"/>
    <w:p w14:paraId="1D417155" w14:textId="77777777" w:rsidR="00C82918" w:rsidRPr="00E14CDC" w:rsidRDefault="00C82918" w:rsidP="00C82918">
      <w:pPr>
        <w:keepNext/>
        <w:spacing w:before="240" w:after="60" w:line="480" w:lineRule="auto"/>
        <w:jc w:val="center"/>
        <w:outlineLvl w:val="1"/>
        <w:rPr>
          <w:iCs/>
        </w:rPr>
      </w:pPr>
      <w:bookmarkStart w:id="103" w:name="_Toc173185089"/>
      <w:r w:rsidRPr="00E14CDC">
        <w:rPr>
          <w:iCs/>
        </w:rPr>
        <w:t>Discussion</w:t>
      </w:r>
      <w:bookmarkEnd w:id="103"/>
    </w:p>
    <w:p w14:paraId="72A5887B" w14:textId="0830DD9D" w:rsidR="00C82918" w:rsidRPr="00E14CDC" w:rsidRDefault="00C82918" w:rsidP="00C82918">
      <w:pPr>
        <w:spacing w:line="480" w:lineRule="auto"/>
        <w:ind w:firstLine="720"/>
      </w:pPr>
      <w:bookmarkStart w:id="104" w:name="_Hlk170212426"/>
      <w:r w:rsidRPr="00E14CDC">
        <w:t>Overall</w:t>
      </w:r>
      <w:r w:rsidR="00D87963" w:rsidRPr="00E14CDC">
        <w:t>, both groups produced more mouth contacts with greater average durations and summed duration</w:t>
      </w:r>
      <w:r w:rsidRPr="00E14CDC">
        <w:t xml:space="preserve"> rates. The </w:t>
      </w:r>
      <w:r w:rsidR="00AF296E" w:rsidRPr="00E14CDC">
        <w:t>early-reaching</w:t>
      </w:r>
      <w:r w:rsidRPr="00E14CDC">
        <w:t xml:space="preserve"> group produced the expected trend seen in the overall infants’ results. They produced an increasing number of events as they approached reach-onset and decreased following this trend. Further, these infants produced longer events and more accumulated and average duration as they approached reach-onset. Finally, infants produced more events per trial as the onset of the reach-onset drew near. Based on these data, the </w:t>
      </w:r>
      <w:r w:rsidR="00AF296E" w:rsidRPr="00E14CDC">
        <w:t>early-reaching group of infants align with the more energetic infants described by Thelen et al. (1993, 1996), Gabriel and Nathan, both of whom had earlier reached</w:t>
      </w:r>
      <w:r w:rsidRPr="00E14CDC">
        <w:t xml:space="preserve"> onset. Therefore, the decrease of movement units is comparable to the dampening down of activity seen in the Thelen infants Gabriel and Nathen, who needed to decrease their activities to perform successful and accurate </w:t>
      </w:r>
      <w:r w:rsidRPr="00E14CDC">
        <w:lastRenderedPageBreak/>
        <w:t>reaches. The early group infants showed decreased velocity</w:t>
      </w:r>
      <w:r w:rsidR="00B45587" w:rsidRPr="00E14CDC">
        <w:t>, and decreased movement units, signifying</w:t>
      </w:r>
      <w:r w:rsidRPr="00E14CDC">
        <w:t xml:space="preserve"> a decrease in overall activity.</w:t>
      </w:r>
    </w:p>
    <w:p w14:paraId="5371BA86" w14:textId="77777777" w:rsidR="00C82918" w:rsidRPr="00E14CDC" w:rsidRDefault="00C82918" w:rsidP="00C82918">
      <w:pPr>
        <w:keepNext/>
        <w:numPr>
          <w:ilvl w:val="2"/>
          <w:numId w:val="0"/>
        </w:numPr>
        <w:spacing w:line="480" w:lineRule="auto"/>
        <w:outlineLvl w:val="2"/>
        <w:rPr>
          <w:i/>
        </w:rPr>
      </w:pPr>
      <w:bookmarkStart w:id="105" w:name="_Toc173185090"/>
      <w:r w:rsidRPr="00E14CDC">
        <w:rPr>
          <w:i/>
        </w:rPr>
        <w:t>Early reachers</w:t>
      </w:r>
      <w:bookmarkEnd w:id="105"/>
    </w:p>
    <w:p w14:paraId="4D0D9533" w14:textId="6CAF2AAB" w:rsidR="00C82918" w:rsidRPr="00E14CDC" w:rsidRDefault="00C82918" w:rsidP="00C82918">
      <w:pPr>
        <w:spacing w:line="480" w:lineRule="auto"/>
        <w:ind w:firstLine="720"/>
      </w:pPr>
      <w:r w:rsidRPr="00E14CDC">
        <w:t>The early reachers’ activities across the event types</w:t>
      </w:r>
      <w:r w:rsidR="00B45587" w:rsidRPr="00E14CDC">
        <w:t xml:space="preserve"> and proximity</w:t>
      </w:r>
      <w:r w:rsidRPr="00E14CDC">
        <w:t xml:space="preserve"> showed the same trend as the overall infants’ trend. Infants performed more mouth contact events when the object was outside of and within their reach. Alternatively, when the object was in transport from out of reach to in reach, they did not produce the non-reaching activities. Finally, much as with the overall infant trends, the rate of the events revealed that infants produced mouth events most at the highest react when the object was outside their reach. </w:t>
      </w:r>
    </w:p>
    <w:p w14:paraId="1D219C4C" w14:textId="405B2732" w:rsidR="00C82918" w:rsidRPr="00E14CDC" w:rsidRDefault="00C82918" w:rsidP="00C82918">
      <w:pPr>
        <w:spacing w:line="480" w:lineRule="auto"/>
        <w:ind w:firstLine="720"/>
      </w:pPr>
      <w:r w:rsidRPr="00E14CDC">
        <w:t xml:space="preserve">Regarding the </w:t>
      </w:r>
      <w:r w:rsidR="00B45587" w:rsidRPr="00E14CDC">
        <w:t>infants'</w:t>
      </w:r>
      <w:r w:rsidRPr="00E14CDC">
        <w:t xml:space="preserve"> reaching, while the early reach group produced decreasing non-reaching activities, their reach proportions increased. As the weeks passed, they successfully reached for the object for more trials each week. This proportion was over 90 percent by week three of reaching experience. In addition to the successful reaches, the duration of latency to reach decreased significantly with reaching experience. As the early group gained more experience, they reached for the object sooner and sooner to include reaching before </w:t>
      </w:r>
      <w:r w:rsidR="00B45587" w:rsidRPr="00E14CDC">
        <w:t>it</w:t>
      </w:r>
      <w:r w:rsidRPr="00E14CDC">
        <w:t xml:space="preserve"> was within their reaching space for the final weeks of observation. This negative reach start latency demonstrates a level of anticipation of the object entering their reaching space. </w:t>
      </w:r>
    </w:p>
    <w:p w14:paraId="2D75D020" w14:textId="258FA3ED" w:rsidR="00C82918" w:rsidRPr="00E14CDC" w:rsidRDefault="00C82918" w:rsidP="00C82918">
      <w:pPr>
        <w:spacing w:line="480" w:lineRule="auto"/>
        <w:ind w:firstLine="720"/>
      </w:pPr>
      <w:r w:rsidRPr="00E14CDC">
        <w:t xml:space="preserve">Continuing to the kinematic differences, the </w:t>
      </w:r>
      <w:r w:rsidR="00B45587" w:rsidRPr="00E14CDC">
        <w:t>early-reaching infants produce lower average velocities than their late-reaching</w:t>
      </w:r>
      <w:r w:rsidRPr="00E14CDC">
        <w:t xml:space="preserve"> peers. Their movement units likewise remained constant across the transition from non-reaching to reaching. While their velocity </w:t>
      </w:r>
      <w:r w:rsidRPr="00E14CDC">
        <w:lastRenderedPageBreak/>
        <w:t xml:space="preserve">remained the same, the movement units told a different story. The early reachers produced an increase of movement units across the weeks of change from non-reaching to reaching. Following reach-onset, though reaching was included in their activities along with the mouth contacts that continued, albeit to a lesser degree, their velocity remained constant. </w:t>
      </w:r>
    </w:p>
    <w:p w14:paraId="1BBE1E2A" w14:textId="5B903FDD" w:rsidR="00C82918" w:rsidRPr="00E14CDC" w:rsidRDefault="00C82918" w:rsidP="00C82918">
      <w:pPr>
        <w:spacing w:line="480" w:lineRule="auto"/>
        <w:ind w:firstLine="720"/>
      </w:pPr>
      <w:r w:rsidRPr="00E14CDC">
        <w:t xml:space="preserve">I expected that as the infants reached (when the object was in reach), which constitutes more movement units as they make reach corrections, the number of movement units would increase the most. However, the greatest number </w:t>
      </w:r>
      <w:r w:rsidR="00B45587" w:rsidRPr="00E14CDC">
        <w:t xml:space="preserve">of </w:t>
      </w:r>
      <w:r w:rsidRPr="00E14CDC">
        <w:t xml:space="preserve">movement units occurred in the transition phase from out-of-reach to within-reach while the object was in motion. In fact, this high frequency of movement units remained high throughout. Alternatively, infants increased their movement units in the presence of an object both in and out of reach. This increase occurred as they began to reach and beyond into the reaching weeks. Again, while the increase when the object is in reach is expected due to the reaching, this is not true when the object is outside of their reach when I expected non-reaching movements to decrease. While the overall activity of the early groups indicates that the early reachers </w:t>
      </w:r>
      <w:r w:rsidR="00B45587" w:rsidRPr="00E14CDC">
        <w:t>were</w:t>
      </w:r>
      <w:r w:rsidRPr="00E14CDC">
        <w:t xml:space="preserve"> more active, they were not faster movers. This may be in part </w:t>
      </w:r>
      <w:r w:rsidR="00B45587" w:rsidRPr="00E14CDC">
        <w:t xml:space="preserve">due to the fact that while they made several movements, the average speed </w:t>
      </w:r>
      <w:r w:rsidRPr="00E14CDC">
        <w:t xml:space="preserve">decreased as early infants spent longer periods of time in stationary mouth events during which infants did not move. </w:t>
      </w:r>
    </w:p>
    <w:p w14:paraId="6797F01F" w14:textId="77777777" w:rsidR="00C82918" w:rsidRPr="00E14CDC" w:rsidRDefault="00C82918" w:rsidP="00C82918">
      <w:pPr>
        <w:keepNext/>
        <w:numPr>
          <w:ilvl w:val="2"/>
          <w:numId w:val="0"/>
        </w:numPr>
        <w:spacing w:line="480" w:lineRule="auto"/>
        <w:outlineLvl w:val="2"/>
        <w:rPr>
          <w:i/>
        </w:rPr>
      </w:pPr>
      <w:bookmarkStart w:id="106" w:name="_Toc173185091"/>
      <w:r w:rsidRPr="00E14CDC">
        <w:rPr>
          <w:i/>
        </w:rPr>
        <w:t>Late reachers</w:t>
      </w:r>
      <w:bookmarkEnd w:id="106"/>
    </w:p>
    <w:p w14:paraId="4AE3BE50" w14:textId="7B7D908B" w:rsidR="00C82918" w:rsidRPr="00E14CDC" w:rsidRDefault="00C82918" w:rsidP="00C82918">
      <w:pPr>
        <w:spacing w:line="480" w:lineRule="auto"/>
        <w:ind w:firstLine="720"/>
      </w:pPr>
      <w:r w:rsidRPr="00E14CDC">
        <w:rPr>
          <w:i/>
        </w:rPr>
        <w:tab/>
      </w:r>
      <w:r w:rsidRPr="00E14CDC">
        <w:t xml:space="preserve">The </w:t>
      </w:r>
      <w:r w:rsidR="00D87963" w:rsidRPr="00E14CDC">
        <w:t>late-reaching group produced the expected trend of increasing events. However,</w:t>
      </w:r>
      <w:r w:rsidRPr="00E14CDC">
        <w:t xml:space="preserve"> this occurred after </w:t>
      </w:r>
      <w:r w:rsidR="00B45587" w:rsidRPr="00E14CDC">
        <w:t>reach-</w:t>
      </w:r>
      <w:r w:rsidRPr="00E14CDC">
        <w:t xml:space="preserve">onset. Infants in this group produced an increasing </w:t>
      </w:r>
      <w:r w:rsidRPr="00E14CDC">
        <w:lastRenderedPageBreak/>
        <w:t xml:space="preserve">number of events following the reach-onset. As expected, the event durations were shorter </w:t>
      </w:r>
      <w:r w:rsidR="00B45587" w:rsidRPr="00E14CDC">
        <w:t>than</w:t>
      </w:r>
      <w:r w:rsidRPr="00E14CDC">
        <w:t xml:space="preserve"> the rate, summed, and average durations. Finally, infants produced increased events per trial but only after the reach-onset. Based on these data, the </w:t>
      </w:r>
      <w:r w:rsidR="00B45587" w:rsidRPr="00E14CDC">
        <w:t>late-reaching group of infants aligned with the less energetic infants described by Thelen et al. (1993, 1996), Justin and Hannah, both of whom had later reach-</w:t>
      </w:r>
      <w:r w:rsidRPr="00E14CDC">
        <w:t xml:space="preserve">onset. The late group </w:t>
      </w:r>
      <w:r w:rsidR="00B45587" w:rsidRPr="00E14CDC">
        <w:t>with</w:t>
      </w:r>
      <w:r w:rsidRPr="00E14CDC">
        <w:t xml:space="preserve"> </w:t>
      </w:r>
      <w:r w:rsidR="00B45587" w:rsidRPr="00E14CDC">
        <w:t xml:space="preserve">a </w:t>
      </w:r>
      <w:r w:rsidRPr="00E14CDC">
        <w:t>similar reach onset as the less active group produced increasingly more movement units and velocity as the weeks went on. Given the increase in these kinematic components</w:t>
      </w:r>
      <w:r w:rsidR="00B45587" w:rsidRPr="00E14CDC">
        <w:t>, it can be inferred that the late group increased in activity as they approached and followed</w:t>
      </w:r>
      <w:r w:rsidRPr="00E14CDC">
        <w:t xml:space="preserve"> </w:t>
      </w:r>
      <w:r w:rsidR="00B45587" w:rsidRPr="00E14CDC">
        <w:t xml:space="preserve">the </w:t>
      </w:r>
      <w:r w:rsidRPr="00E14CDC">
        <w:t>reach</w:t>
      </w:r>
      <w:r w:rsidR="00B45587" w:rsidRPr="00E14CDC">
        <w:t>-</w:t>
      </w:r>
      <w:r w:rsidRPr="00E14CDC">
        <w:t xml:space="preserve">onset. </w:t>
      </w:r>
    </w:p>
    <w:p w14:paraId="1E08CFDE" w14:textId="11A22023" w:rsidR="00C82918" w:rsidRPr="00E14CDC" w:rsidRDefault="00C82918" w:rsidP="00C82918">
      <w:pPr>
        <w:spacing w:line="480" w:lineRule="auto"/>
        <w:ind w:firstLine="720"/>
      </w:pPr>
      <w:r w:rsidRPr="00E14CDC">
        <w:t xml:space="preserve">Late reachers’ activities across the different event types </w:t>
      </w:r>
      <w:r w:rsidR="00B45587" w:rsidRPr="00E14CDC">
        <w:t>were the same</w:t>
      </w:r>
      <w:r w:rsidRPr="00E14CDC">
        <w:t xml:space="preserve"> as the overall infants’ trend. Infants performed more mouth contact events but only when the object was outside of their reach. Additionally, much as with the overall infants’ trend, the rate of the </w:t>
      </w:r>
      <w:r w:rsidR="00B45587" w:rsidRPr="00E14CDC">
        <w:t>events</w:t>
      </w:r>
      <w:r w:rsidRPr="00E14CDC">
        <w:t xml:space="preserve"> revealed that infants produced most mouth events at the highest rate when the object was outside their reach. Further, the late reachers, unlike the early reachers or the </w:t>
      </w:r>
      <w:r w:rsidR="00B45587" w:rsidRPr="00E14CDC">
        <w:t>infants, produced</w:t>
      </w:r>
      <w:r w:rsidRPr="00E14CDC">
        <w:t xml:space="preserve"> fewer events until the weeks after reach</w:t>
      </w:r>
      <w:r w:rsidR="00B45587" w:rsidRPr="00E14CDC">
        <w:t>-</w:t>
      </w:r>
      <w:r w:rsidRPr="00E14CDC">
        <w:t>onset when they increased over time. This increase in activities</w:t>
      </w:r>
      <w:r w:rsidR="00B45587" w:rsidRPr="00E14CDC">
        <w:t>, however,</w:t>
      </w:r>
      <w:r w:rsidRPr="00E14CDC">
        <w:t xml:space="preserve"> was restricted to when the object was out of reach. </w:t>
      </w:r>
    </w:p>
    <w:p w14:paraId="531B3217" w14:textId="543D7867" w:rsidR="00C82918" w:rsidRPr="00E14CDC" w:rsidRDefault="00B45587" w:rsidP="00C82918">
      <w:pPr>
        <w:spacing w:line="480" w:lineRule="auto"/>
        <w:ind w:firstLine="720"/>
      </w:pPr>
      <w:r w:rsidRPr="00E14CDC">
        <w:t>Regarding their reaching</w:t>
      </w:r>
      <w:r w:rsidR="00C82918" w:rsidRPr="00E14CDC">
        <w:t xml:space="preserve">, as the late reach group produced increasing non-reaching activities, their reach proportions likewise increased. As the weeks passed, they successfully reached for the object for more trials each week. This proportion was over ninety percent by the first week of reaching experience. In addition to the successful reaches, the duration of latency decreased significantly and very early </w:t>
      </w:r>
      <w:r w:rsidRPr="00E14CDC">
        <w:t>in</w:t>
      </w:r>
      <w:r w:rsidR="00C82918" w:rsidRPr="00E14CDC">
        <w:t xml:space="preserve"> week three. As </w:t>
      </w:r>
      <w:r w:rsidR="00C82918" w:rsidRPr="00E14CDC">
        <w:lastRenderedPageBreak/>
        <w:t xml:space="preserve">the late group gained more experience, they reached for the object sooner and sooner to include reaching before the object was within their reaching space for the final weeks of observation. This negative reach start latency demonstrates a level of anticipation of the object entering their reaching space. </w:t>
      </w:r>
    </w:p>
    <w:p w14:paraId="555D9045" w14:textId="63327B2A" w:rsidR="00C82918" w:rsidRPr="00E14CDC" w:rsidRDefault="00C82918" w:rsidP="00C82918">
      <w:pPr>
        <w:spacing w:line="480" w:lineRule="auto"/>
        <w:ind w:firstLine="720"/>
      </w:pPr>
      <w:r w:rsidRPr="00E14CDC">
        <w:t xml:space="preserve">Continuing to the kinematic differences, the </w:t>
      </w:r>
      <w:r w:rsidR="00B45587" w:rsidRPr="00E14CDC">
        <w:t xml:space="preserve">late-reach infants reached faster than their early-reaching peers as well as </w:t>
      </w:r>
      <w:r w:rsidRPr="00E14CDC">
        <w:t xml:space="preserve">quicker as they approached reach-onset before reaching slower for the remaining weeks.  Their movement units increased across the weeks from non-reaching to reaching. </w:t>
      </w:r>
      <w:r w:rsidR="00B45587" w:rsidRPr="00E14CDC">
        <w:t xml:space="preserve">As with the early reachers, the late reachers </w:t>
      </w:r>
      <w:r w:rsidRPr="00E14CDC">
        <w:t xml:space="preserve">produced </w:t>
      </w:r>
      <w:r w:rsidR="00B45587" w:rsidRPr="00E14CDC">
        <w:t>increased</w:t>
      </w:r>
      <w:r w:rsidRPr="00E14CDC">
        <w:t xml:space="preserve"> movement units across the weeks of change from non-reaching to reaching. Following reach-onset, though reaching activities </w:t>
      </w:r>
      <w:r w:rsidR="00B45587" w:rsidRPr="00E14CDC">
        <w:t>were included in their movements units and average velocity combined with their mouth events, albeit to a lesser degree, however,</w:t>
      </w:r>
      <w:r w:rsidRPr="00E14CDC">
        <w:t xml:space="preserve"> their velocity still decreased with time. </w:t>
      </w:r>
    </w:p>
    <w:p w14:paraId="444AA124" w14:textId="45F005F5" w:rsidR="00C82918" w:rsidRPr="00E14CDC" w:rsidRDefault="00C82918" w:rsidP="00F904F2">
      <w:pPr>
        <w:spacing w:line="480" w:lineRule="auto"/>
        <w:ind w:firstLine="720"/>
        <w:rPr>
          <w:b/>
          <w:bCs/>
          <w:caps/>
          <w:color w:val="000000"/>
        </w:rPr>
      </w:pPr>
      <w:r w:rsidRPr="00E14CDC">
        <w:t xml:space="preserve">I expected that as the infants reached (when the object was in reach), which constitutes more movement units as they make reach corrections, the number of movement units would increase the most. However, the greatest number </w:t>
      </w:r>
      <w:r w:rsidR="00B45587" w:rsidRPr="00E14CDC">
        <w:t xml:space="preserve">of </w:t>
      </w:r>
      <w:r w:rsidRPr="00E14CDC">
        <w:t xml:space="preserve">movement units occurred in the transition phase from out-of-reach to within-reach while the object was in motion. In fact, this high frequency of movement units remained high throughout. Alternatively, infants increased their movement units in the presence of an object both in and out of reach. This increase occurred as they began to reach and beyond into the reaching weeks. While the </w:t>
      </w:r>
      <w:r w:rsidR="00B45587" w:rsidRPr="00E14CDC">
        <w:t xml:space="preserve">late groups' overall activity and movement event </w:t>
      </w:r>
      <w:r w:rsidRPr="00E14CDC">
        <w:t xml:space="preserve">indicates that they are less active, they were the faster movers with more active movement units. This is </w:t>
      </w:r>
      <w:r w:rsidRPr="00E14CDC">
        <w:lastRenderedPageBreak/>
        <w:t xml:space="preserve">because, while they made fewer movement events, the stable mouth contacts did not decrease the average speed with the early reach group. </w:t>
      </w:r>
      <w:bookmarkStart w:id="107" w:name="_Toc420995910"/>
      <w:bookmarkStart w:id="108" w:name="_Toc422997497"/>
      <w:r w:rsidRPr="00E14CDC">
        <w:br w:type="page"/>
      </w:r>
    </w:p>
    <w:p w14:paraId="7E14BB77" w14:textId="77777777" w:rsidR="00C82918" w:rsidRPr="00E14CDC" w:rsidRDefault="00C82918" w:rsidP="00C82918">
      <w:pPr>
        <w:autoSpaceDE w:val="0"/>
        <w:autoSpaceDN w:val="0"/>
        <w:adjustRightInd w:val="0"/>
        <w:spacing w:before="120" w:after="120" w:line="480" w:lineRule="auto"/>
        <w:jc w:val="center"/>
        <w:outlineLvl w:val="0"/>
        <w:rPr>
          <w:b/>
          <w:bCs/>
          <w:caps/>
          <w:color w:val="000000"/>
        </w:rPr>
      </w:pPr>
      <w:bookmarkStart w:id="109" w:name="_Toc173185092"/>
      <w:bookmarkEnd w:id="104"/>
      <w:r w:rsidRPr="00E14CDC">
        <w:rPr>
          <w:b/>
          <w:bCs/>
          <w:caps/>
          <w:color w:val="000000"/>
        </w:rPr>
        <w:lastRenderedPageBreak/>
        <w:t>Chapter Six</w:t>
      </w:r>
      <w:r w:rsidRPr="00E14CDC">
        <w:rPr>
          <w:b/>
          <w:bCs/>
          <w:caps/>
          <w:color w:val="000000"/>
        </w:rPr>
        <w:br/>
      </w:r>
      <w:bookmarkStart w:id="110" w:name="_Toc427156482"/>
      <w:r w:rsidRPr="00E14CDC">
        <w:rPr>
          <w:b/>
          <w:bCs/>
          <w:caps/>
          <w:color w:val="000000"/>
        </w:rPr>
        <w:t xml:space="preserve">Conclusions, </w:t>
      </w:r>
      <w:bookmarkEnd w:id="107"/>
      <w:bookmarkEnd w:id="108"/>
      <w:bookmarkEnd w:id="110"/>
      <w:r w:rsidRPr="00E14CDC">
        <w:rPr>
          <w:b/>
          <w:bCs/>
          <w:caps/>
          <w:color w:val="000000"/>
        </w:rPr>
        <w:t>LIMITATIONS AND Future DIRECTIONS</w:t>
      </w:r>
      <w:bookmarkEnd w:id="109"/>
    </w:p>
    <w:p w14:paraId="67720CBF" w14:textId="24B4C87E" w:rsidR="00AF53AF" w:rsidRPr="00E14CDC" w:rsidRDefault="00C82918" w:rsidP="00AF53AF">
      <w:pPr>
        <w:spacing w:before="100" w:beforeAutospacing="1" w:after="100" w:afterAutospacing="1" w:line="480" w:lineRule="auto"/>
        <w:ind w:firstLine="720"/>
      </w:pPr>
      <w:r w:rsidRPr="00E14CDC">
        <w:t xml:space="preserve">My study primarily focused on the </w:t>
      </w:r>
      <w:r w:rsidR="00F43931" w:rsidRPr="00E14CDC">
        <w:t xml:space="preserve">precursor movement events </w:t>
      </w:r>
      <w:r w:rsidRPr="00E14CDC">
        <w:t>leading to reach-onset</w:t>
      </w:r>
      <w:r w:rsidR="00F43931" w:rsidRPr="00E14CDC">
        <w:t xml:space="preserve"> and subsequent reaching behaviors</w:t>
      </w:r>
      <w:r w:rsidRPr="00E14CDC">
        <w:t>. Specifically, I focused on group differences between early reachers and late reachers. Before reaching onset, infants are limited to vocalizations, visual exploration, and tactile experiences within their peripersonal space when interacting with their environment. However, upon crossing the threshold milestone of reaching, infants gain autonomy and begin actively influencing their surroundings, learning about their actions via cause and effect through the perception-action loop. The study of infant motor development, specifically the onset of reaching, represents a pivotal moment in an infant’s life as they transition from passive to active agents. This study’s findings revealed several key trends and differences between the reaching groups while cementing the findings of Thelen et al.’s 1993 foundational work.</w:t>
      </w:r>
    </w:p>
    <w:p w14:paraId="58871C0A" w14:textId="68535B5D" w:rsidR="00C82918" w:rsidRPr="00E14CDC" w:rsidRDefault="009F23FB" w:rsidP="00AF53AF">
      <w:pPr>
        <w:spacing w:before="100" w:beforeAutospacing="1" w:after="100" w:afterAutospacing="1" w:line="480" w:lineRule="auto"/>
        <w:ind w:firstLine="720"/>
      </w:pPr>
      <w:r w:rsidRPr="00E14CDC">
        <w:t xml:space="preserve">The hypothesis </w:t>
      </w:r>
      <w:r w:rsidR="00325FF1" w:rsidRPr="00E14CDC">
        <w:t>initially</w:t>
      </w:r>
      <w:r w:rsidRPr="00E14CDC">
        <w:t xml:space="preserve"> put forward was that infants would exhib</w:t>
      </w:r>
      <w:r w:rsidR="00C82918" w:rsidRPr="00E14CDC">
        <w:t xml:space="preserve">it more midline clasping than mouth </w:t>
      </w:r>
      <w:r w:rsidR="007328EE" w:rsidRPr="00E14CDC">
        <w:t xml:space="preserve">or face </w:t>
      </w:r>
      <w:r w:rsidR="00C82918" w:rsidRPr="00E14CDC">
        <w:t>contact</w:t>
      </w:r>
      <w:r w:rsidR="007328EE" w:rsidRPr="00E14CDC">
        <w:t>s</w:t>
      </w:r>
      <w:r w:rsidR="00C15367" w:rsidRPr="00E14CDC">
        <w:t>. Contrary</w:t>
      </w:r>
      <w:r w:rsidR="00C82918" w:rsidRPr="00E14CDC">
        <w:t xml:space="preserve"> to my </w:t>
      </w:r>
      <w:r w:rsidR="0089103D" w:rsidRPr="00E14CDC">
        <w:t>expectations</w:t>
      </w:r>
      <w:r w:rsidR="00C82918" w:rsidRPr="00E14CDC">
        <w:t xml:space="preserve">, infants </w:t>
      </w:r>
      <w:r w:rsidR="00A926F7" w:rsidRPr="00E14CDC">
        <w:t>engage</w:t>
      </w:r>
      <w:r w:rsidR="00C82918" w:rsidRPr="00E14CDC">
        <w:t xml:space="preserve"> </w:t>
      </w:r>
      <w:r w:rsidR="00325FF1" w:rsidRPr="00E14CDC">
        <w:t>mainly</w:t>
      </w:r>
      <w:r w:rsidR="00C82918" w:rsidRPr="00E14CDC">
        <w:t xml:space="preserve"> in mouth contact events. As infants approached </w:t>
      </w:r>
      <w:r w:rsidR="00C15367" w:rsidRPr="00E14CDC">
        <w:t>the</w:t>
      </w:r>
      <w:r w:rsidR="00C82918" w:rsidRPr="00E14CDC">
        <w:t xml:space="preserve"> onset, these events increased in frequency and duration. This increase peaked just before reaching onset and decreased afterward, indicating that they gave way to successful reaching.</w:t>
      </w:r>
    </w:p>
    <w:p w14:paraId="524B9E0C" w14:textId="3485BAA4" w:rsidR="00C82918" w:rsidRPr="00E14CDC" w:rsidRDefault="002535F7" w:rsidP="00C82918">
      <w:pPr>
        <w:spacing w:before="100" w:beforeAutospacing="1" w:after="100" w:afterAutospacing="1" w:line="480" w:lineRule="auto"/>
        <w:ind w:firstLine="720"/>
      </w:pPr>
      <w:r w:rsidRPr="00E14CDC">
        <w:t>During trials</w:t>
      </w:r>
      <w:r w:rsidR="000E3AAC" w:rsidRPr="00E14CDC">
        <w:t>, infants engaged in fewer events when the object was in motion, moving</w:t>
      </w:r>
      <w:r w:rsidR="00C741E6" w:rsidRPr="00E14CDC">
        <w:t xml:space="preserve"> from out of reach to in reach. </w:t>
      </w:r>
      <w:r w:rsidR="009C4C00" w:rsidRPr="00E14CDC">
        <w:t xml:space="preserve">While they did not </w:t>
      </w:r>
      <w:r w:rsidR="00830A43" w:rsidRPr="00E14CDC">
        <w:t>produce</w:t>
      </w:r>
      <w:r w:rsidR="000E3AAC" w:rsidRPr="00E14CDC">
        <w:t xml:space="preserve"> many contacts of midline clasp</w:t>
      </w:r>
      <w:r w:rsidR="009C4C00" w:rsidRPr="00E14CDC">
        <w:t xml:space="preserve"> events, they were not idle but rather active, producing</w:t>
      </w:r>
      <w:r w:rsidR="000E3AAC" w:rsidRPr="00E14CDC">
        <w:t xml:space="preserve"> the largest number of </w:t>
      </w:r>
      <w:r w:rsidR="000E3AAC" w:rsidRPr="00E14CDC">
        <w:lastRenderedPageBreak/>
        <w:t>movement events.</w:t>
      </w:r>
      <w:r w:rsidR="00C82918" w:rsidRPr="00E14CDC">
        <w:t xml:space="preserve"> This finding suggests that infants were anticipating the </w:t>
      </w:r>
      <w:r w:rsidR="00830A43" w:rsidRPr="00E14CDC">
        <w:t>object's movement</w:t>
      </w:r>
      <w:r w:rsidR="00C82918" w:rsidRPr="00E14CDC">
        <w:t xml:space="preserve"> into their reaching space before they </w:t>
      </w:r>
      <w:r w:rsidR="00830A43" w:rsidRPr="00E14CDC">
        <w:t>could</w:t>
      </w:r>
      <w:r w:rsidR="00C82918" w:rsidRPr="00E14CDC">
        <w:t xml:space="preserve"> reach for it.</w:t>
      </w:r>
    </w:p>
    <w:p w14:paraId="39FB1A36" w14:textId="4A88DDE1" w:rsidR="00C82918" w:rsidRPr="00E14CDC" w:rsidRDefault="00C82918" w:rsidP="00C82918">
      <w:pPr>
        <w:spacing w:before="100" w:beforeAutospacing="1" w:after="100" w:afterAutospacing="1" w:line="480" w:lineRule="auto"/>
        <w:ind w:firstLine="720"/>
      </w:pPr>
      <w:r w:rsidRPr="00E14CDC">
        <w:t xml:space="preserve">Regarding the successful reaches, both early and late reachers showed an increase in successful reach proportions very quickly in the first few weeks of reaching experience. </w:t>
      </w:r>
      <w:r w:rsidR="00830A43" w:rsidRPr="00E14CDC">
        <w:t>The early reach group</w:t>
      </w:r>
      <w:r w:rsidRPr="00E14CDC">
        <w:t xml:space="preserve">, who </w:t>
      </w:r>
      <w:r w:rsidR="00830A43" w:rsidRPr="00E14CDC">
        <w:t>reached sooner at around 15 weeks old</w:t>
      </w:r>
      <w:r w:rsidRPr="00E14CDC">
        <w:t xml:space="preserve">, exhibited </w:t>
      </w:r>
      <w:r w:rsidR="00830A43" w:rsidRPr="00E14CDC">
        <w:t xml:space="preserve">a </w:t>
      </w:r>
      <w:r w:rsidRPr="00E14CDC">
        <w:t>decrease in reach latency in the first few weeks</w:t>
      </w:r>
      <w:r w:rsidR="008E259F" w:rsidRPr="00E14CDC">
        <w:t xml:space="preserve"> of reaching experience. This group began to reach for the objects outside of their peripersonal space</w:t>
      </w:r>
      <w:r w:rsidR="00F44466" w:rsidRPr="00E14CDC">
        <w:t xml:space="preserve">, underscoring their ability to learn and anticipate the </w:t>
      </w:r>
      <w:r w:rsidR="009B529D" w:rsidRPr="00E14CDC">
        <w:t>objects'</w:t>
      </w:r>
      <w:r w:rsidR="00F44466" w:rsidRPr="00E14CDC">
        <w:t xml:space="preserve"> movement</w:t>
      </w:r>
      <w:r w:rsidR="008E259F" w:rsidRPr="00E14CDC">
        <w:t xml:space="preserve"> into their reaching space. This </w:t>
      </w:r>
      <w:r w:rsidR="00F44466" w:rsidRPr="00E14CDC">
        <w:t xml:space="preserve">anticipatory reaching </w:t>
      </w:r>
      <w:r w:rsidR="00325FF1" w:rsidRPr="00E14CDC">
        <w:t>is</w:t>
      </w:r>
      <w:r w:rsidR="00B82937" w:rsidRPr="00E14CDC">
        <w:t xml:space="preserve"> </w:t>
      </w:r>
      <w:r w:rsidR="00F44466" w:rsidRPr="00E14CDC">
        <w:t>seen in Robin et al. (1996)</w:t>
      </w:r>
      <w:r w:rsidR="009B529D" w:rsidRPr="00E14CDC">
        <w:t xml:space="preserve">; however, in the current study, infants tracked objects moving </w:t>
      </w:r>
      <w:r w:rsidR="00465F29" w:rsidRPr="00E14CDC">
        <w:t xml:space="preserve">directly toward </w:t>
      </w:r>
      <w:r w:rsidR="00BA7A21" w:rsidRPr="00E14CDC">
        <w:t xml:space="preserve">them entering their </w:t>
      </w:r>
      <w:r w:rsidR="00C9321C" w:rsidRPr="00E14CDC">
        <w:t>peripersonal space instead of</w:t>
      </w:r>
      <w:r w:rsidR="009B529D" w:rsidRPr="00E14CDC">
        <w:t xml:space="preserve"> moving perpendicular to their reaching space.</w:t>
      </w:r>
      <w:r w:rsidR="008E259F" w:rsidRPr="00E14CDC">
        <w:t xml:space="preserve"> </w:t>
      </w:r>
      <w:r w:rsidRPr="00E14CDC">
        <w:t xml:space="preserve">In addition to the increase </w:t>
      </w:r>
      <w:r w:rsidR="00465F29" w:rsidRPr="00E14CDC">
        <w:t>in</w:t>
      </w:r>
      <w:r w:rsidRPr="00E14CDC">
        <w:t xml:space="preserve"> reach proportions, </w:t>
      </w:r>
      <w:r w:rsidR="00C9321C" w:rsidRPr="00E14CDC">
        <w:t>these infants</w:t>
      </w:r>
      <w:r w:rsidRPr="00E14CDC">
        <w:t xml:space="preserve"> exhibited decreased non-reaching behavior indicative of damping down their overall</w:t>
      </w:r>
      <w:r w:rsidR="001D4751" w:rsidRPr="00E14CDC">
        <w:t xml:space="preserve"> non-reaching events</w:t>
      </w:r>
      <w:r w:rsidRPr="00E14CDC">
        <w:t xml:space="preserve"> to perform successful reaches.</w:t>
      </w:r>
      <w:r w:rsidR="00465F29" w:rsidRPr="00E14CDC">
        <w:t xml:space="preserve"> </w:t>
      </w:r>
    </w:p>
    <w:p w14:paraId="71295A03" w14:textId="30F84243" w:rsidR="00C82918" w:rsidRPr="00E14CDC" w:rsidRDefault="00764727" w:rsidP="00C82918">
      <w:pPr>
        <w:spacing w:before="100" w:beforeAutospacing="1" w:after="100" w:afterAutospacing="1" w:line="480" w:lineRule="auto"/>
        <w:ind w:firstLine="720"/>
      </w:pPr>
      <w:r w:rsidRPr="00E14CDC">
        <w:t>On the other hand,</w:t>
      </w:r>
      <w:r w:rsidR="00050E18" w:rsidRPr="00E14CDC">
        <w:t xml:space="preserve"> the</w:t>
      </w:r>
      <w:r w:rsidRPr="00E14CDC">
        <w:t xml:space="preserve"> late </w:t>
      </w:r>
      <w:r w:rsidR="00050E18" w:rsidRPr="00E14CDC">
        <w:t>group</w:t>
      </w:r>
      <w:r w:rsidR="004932D3" w:rsidRPr="00E14CDC">
        <w:t>, which reached around 20 weeks old, showed a quicker reaching proportion that increased in their first week of reaching experience. Again, they anticipated</w:t>
      </w:r>
      <w:r w:rsidR="00221AE0" w:rsidRPr="00E14CDC">
        <w:t xml:space="preserve"> the object by reaching</w:t>
      </w:r>
      <w:r w:rsidR="00B45587" w:rsidRPr="00E14CDC">
        <w:t xml:space="preserve"> towards it</w:t>
      </w:r>
      <w:r w:rsidR="00221AE0" w:rsidRPr="00E14CDC">
        <w:t xml:space="preserve"> while it was in motion. This was also accompanied by </w:t>
      </w:r>
      <w:r w:rsidRPr="00E14CDC">
        <w:t>increased</w:t>
      </w:r>
      <w:r w:rsidR="00221AE0" w:rsidRPr="00E14CDC">
        <w:t xml:space="preserve"> non-reaching events,</w:t>
      </w:r>
      <w:r w:rsidR="00C82918" w:rsidRPr="00E14CDC">
        <w:t xml:space="preserve"> signifying </w:t>
      </w:r>
      <w:r w:rsidR="00255BFA" w:rsidRPr="00E14CDC">
        <w:t>activities ramping up</w:t>
      </w:r>
      <w:r w:rsidR="004932D3" w:rsidRPr="00E14CDC">
        <w:t xml:space="preserve"> to produce successful reaching</w:t>
      </w:r>
      <w:r w:rsidR="00C82918" w:rsidRPr="00E14CDC">
        <w:t>.</w:t>
      </w:r>
    </w:p>
    <w:p w14:paraId="203860D7" w14:textId="4F0B1D1A" w:rsidR="005238CA" w:rsidRPr="00E14CDC" w:rsidRDefault="004932D3" w:rsidP="00C82918">
      <w:pPr>
        <w:spacing w:before="100" w:beforeAutospacing="1" w:after="100" w:afterAutospacing="1" w:line="480" w:lineRule="auto"/>
        <w:ind w:firstLine="720"/>
      </w:pPr>
      <w:r w:rsidRPr="00E14CDC">
        <w:t>Kinematically</w:t>
      </w:r>
      <w:r w:rsidR="007638B0" w:rsidRPr="00E14CDC">
        <w:t>,</w:t>
      </w:r>
      <w:r w:rsidRPr="00E14CDC">
        <w:t xml:space="preserve"> these differences continued</w:t>
      </w:r>
      <w:r w:rsidR="007638B0" w:rsidRPr="00E14CDC">
        <w:t>. Analyses</w:t>
      </w:r>
      <w:r w:rsidR="00C82918" w:rsidRPr="00E14CDC">
        <w:t xml:space="preserve"> revealed notable differences between early </w:t>
      </w:r>
      <w:r w:rsidR="00B45587" w:rsidRPr="00E14CDC">
        <w:t>and late reachers. Early reachers moved slower, with lower overall velocity</w:t>
      </w:r>
      <w:r w:rsidR="007638B0" w:rsidRPr="00E14CDC">
        <w:t xml:space="preserve"> than the late reachers. In contrast, they increased the </w:t>
      </w:r>
      <w:r w:rsidR="00B75811" w:rsidRPr="00E14CDC">
        <w:t xml:space="preserve">number of movement units they </w:t>
      </w:r>
      <w:r w:rsidR="00B75811" w:rsidRPr="00E14CDC">
        <w:lastRenderedPageBreak/>
        <w:t>performed across the weeks with a steady increase from before reach onset to after. However</w:t>
      </w:r>
      <w:r w:rsidR="005238CA" w:rsidRPr="00E14CDC">
        <w:t>, this increase did not surpass the movements of the late teachers</w:t>
      </w:r>
      <w:r w:rsidR="00C82918" w:rsidRPr="00E14CDC">
        <w:t>.</w:t>
      </w:r>
    </w:p>
    <w:p w14:paraId="5A6F2178" w14:textId="28C708EE" w:rsidR="00C82918" w:rsidRPr="00E14CDC" w:rsidRDefault="00C82918" w:rsidP="00C82918">
      <w:pPr>
        <w:spacing w:before="100" w:beforeAutospacing="1" w:after="100" w:afterAutospacing="1" w:line="480" w:lineRule="auto"/>
        <w:ind w:firstLine="720"/>
      </w:pPr>
      <w:r w:rsidRPr="00E14CDC">
        <w:t xml:space="preserve">Late reachers showed faster movements and </w:t>
      </w:r>
      <w:r w:rsidR="005238CA" w:rsidRPr="00E14CDC">
        <w:t>increased</w:t>
      </w:r>
      <w:r w:rsidRPr="00E14CDC">
        <w:t xml:space="preserve"> movement units as they adapted to reaching behaviors post-reach onset. Their </w:t>
      </w:r>
      <w:r w:rsidR="005238CA" w:rsidRPr="00E14CDC">
        <w:t>overall velocity</w:t>
      </w:r>
      <w:r w:rsidRPr="00E14CDC">
        <w:t xml:space="preserve"> increased to reach onset</w:t>
      </w:r>
      <w:r w:rsidR="002D73E5" w:rsidRPr="00E14CDC">
        <w:t>, then dropped following reach onset, and slowly increased again.</w:t>
      </w:r>
      <w:r w:rsidRPr="00E14CDC">
        <w:t xml:space="preserve"> This suggests that while late reachers may have produced fewer non-reaching events, they produced </w:t>
      </w:r>
      <w:r w:rsidR="00A57BD3" w:rsidRPr="00E14CDC">
        <w:t>more significant</w:t>
      </w:r>
      <w:r w:rsidRPr="00E14CDC">
        <w:t xml:space="preserve"> overall movement and </w:t>
      </w:r>
      <w:r w:rsidR="002D73E5" w:rsidRPr="00E14CDC">
        <w:t>increased</w:t>
      </w:r>
      <w:r w:rsidRPr="00E14CDC">
        <w:t xml:space="preserve"> activity towards reach onset</w:t>
      </w:r>
      <w:r w:rsidR="002D73E5" w:rsidRPr="00E14CDC">
        <w:t>,</w:t>
      </w:r>
      <w:r w:rsidRPr="00E14CDC">
        <w:t xml:space="preserve"> indicating a </w:t>
      </w:r>
      <w:r w:rsidR="00A57BD3" w:rsidRPr="00E14CDC">
        <w:t>ramping-up</w:t>
      </w:r>
      <w:r w:rsidRPr="00E14CDC">
        <w:t xml:space="preserve"> activity.</w:t>
      </w:r>
      <w:r w:rsidR="002D73E5" w:rsidRPr="00E14CDC">
        <w:t xml:space="preserve"> Interestingly</w:t>
      </w:r>
      <w:r w:rsidR="00A57BD3" w:rsidRPr="00E14CDC">
        <w:t xml:space="preserve">, they dropped after reaching onset and began to climb again, indicating some overcompensation in speed reduction to successful reaching before becoming more active again. </w:t>
      </w:r>
    </w:p>
    <w:p w14:paraId="7463E683" w14:textId="3729D82E" w:rsidR="00C82918" w:rsidRPr="00E14CDC" w:rsidRDefault="0027121F" w:rsidP="00C82918">
      <w:pPr>
        <w:spacing w:before="100" w:beforeAutospacing="1" w:after="100" w:afterAutospacing="1" w:line="480" w:lineRule="auto"/>
        <w:ind w:firstLine="720"/>
      </w:pPr>
      <w:r w:rsidRPr="00E14CDC">
        <w:t>The</w:t>
      </w:r>
      <w:r w:rsidR="00C82918" w:rsidRPr="00E14CDC">
        <w:t xml:space="preserve"> study underscores the importance of </w:t>
      </w:r>
      <w:r w:rsidRPr="00E14CDC">
        <w:t>group</w:t>
      </w:r>
      <w:r w:rsidR="00A57BD3" w:rsidRPr="00E14CDC">
        <w:t xml:space="preserve"> differences</w:t>
      </w:r>
      <w:r w:rsidR="00C82918" w:rsidRPr="00E14CDC">
        <w:t xml:space="preserve"> in activity levels in </w:t>
      </w:r>
      <w:r w:rsidRPr="00E14CDC">
        <w:t>infant motor skill milestone acquisition, particularly in reaching and reaching onset</w:t>
      </w:r>
      <w:r w:rsidR="00C82918" w:rsidRPr="00E14CDC">
        <w:t>. Early reachers demonstrated a pattern of earlier and more gradual motor skill acquisition, whereas late reachers showed a delayed but accelerated catch-up phase post-reach onset. These findings contribute to our understanding of how infants develop and refine their motor skills, highlighting variability in developmental trajectories that may influence future cognitive and physical abilities.</w:t>
      </w:r>
    </w:p>
    <w:p w14:paraId="378F1B56" w14:textId="77777777" w:rsidR="00C82918" w:rsidRPr="00E14CDC" w:rsidRDefault="00C82918" w:rsidP="00C82918">
      <w:pPr>
        <w:keepNext/>
        <w:spacing w:before="240" w:after="60" w:line="480" w:lineRule="auto"/>
        <w:jc w:val="center"/>
        <w:outlineLvl w:val="1"/>
        <w:rPr>
          <w:iCs/>
        </w:rPr>
      </w:pPr>
      <w:bookmarkStart w:id="111" w:name="_Toc173185093"/>
      <w:r w:rsidRPr="00E14CDC">
        <w:rPr>
          <w:iCs/>
        </w:rPr>
        <w:t>Limitations and Future Directions</w:t>
      </w:r>
      <w:bookmarkEnd w:id="111"/>
    </w:p>
    <w:p w14:paraId="081893E1" w14:textId="5595EF55" w:rsidR="00C82918" w:rsidRPr="00E14CDC" w:rsidRDefault="00C82918" w:rsidP="00C82918">
      <w:pPr>
        <w:spacing w:line="480" w:lineRule="auto"/>
        <w:ind w:firstLine="720"/>
      </w:pPr>
      <w:r w:rsidRPr="00E14CDC">
        <w:t xml:space="preserve">There were significant differences found that also identified potential limitations in the study. </w:t>
      </w:r>
      <w:r w:rsidR="00B45587" w:rsidRPr="00E14CDC">
        <w:t>These</w:t>
      </w:r>
      <w:r w:rsidRPr="00E14CDC">
        <w:t xml:space="preserve"> limitations apply to the sample as a whole and can be applied to the secondary group analyses. </w:t>
      </w:r>
    </w:p>
    <w:p w14:paraId="31EDC5DA" w14:textId="236E9323" w:rsidR="00C82918" w:rsidRPr="00E14CDC" w:rsidRDefault="00C82918" w:rsidP="00C82918">
      <w:pPr>
        <w:spacing w:line="480" w:lineRule="auto"/>
      </w:pPr>
      <w:r w:rsidRPr="00E14CDC">
        <w:lastRenderedPageBreak/>
        <w:tab/>
        <w:t xml:space="preserve">With regards to the behavioral analyses, better operationalization and expansion of the behavioral definitions coding could result in </w:t>
      </w:r>
      <w:r w:rsidR="00B45587" w:rsidRPr="00E14CDC">
        <w:t>a better more microscopic analysis and a better understanding of the non-reach-to-reach</w:t>
      </w:r>
      <w:r w:rsidRPr="00E14CDC">
        <w:t xml:space="preserve"> transition. Specifically, while the study focused on mouth, face, and midline clasping, further refinement can include flapping motions of the arms, the movements leading to behavioral events, i.e.</w:t>
      </w:r>
      <w:r w:rsidR="00B45587" w:rsidRPr="00E14CDC">
        <w:t>, duration of movement to an event</w:t>
      </w:r>
      <w:r w:rsidRPr="00E14CDC">
        <w:t>, and definitions of stable non-moving times. As with Hannah, the late group did not produce many movement events in the early weeks of observation</w:t>
      </w:r>
      <w:r w:rsidR="00B45587" w:rsidRPr="00E14CDC">
        <w:t>; there may have been flapping and, most surely,</w:t>
      </w:r>
      <w:r w:rsidRPr="00E14CDC">
        <w:t xml:space="preserve"> times of nonmovement stability. These durations can better help us understand the ramping up or dampening down of movement activity as infants approach reach-onset. A final limitation that was not significant was the separation of face and mouth events</w:t>
      </w:r>
      <w:r w:rsidR="002F40B4" w:rsidRPr="00E14CDC">
        <w:t>. While</w:t>
      </w:r>
      <w:r w:rsidRPr="00E14CDC">
        <w:t xml:space="preserve"> </w:t>
      </w:r>
      <w:r w:rsidR="00B45587" w:rsidRPr="00E14CDC">
        <w:t>face events seldom occur</w:t>
      </w:r>
      <w:r w:rsidRPr="00E14CDC">
        <w:t xml:space="preserve">, it is worthwhile to determine if these are better combined with mouth contacts rather than a separate category. </w:t>
      </w:r>
    </w:p>
    <w:p w14:paraId="09CC0EFF" w14:textId="5A3036DF" w:rsidR="00C82918" w:rsidRPr="00E14CDC" w:rsidRDefault="00C82918" w:rsidP="00C82918">
      <w:pPr>
        <w:spacing w:line="480" w:lineRule="auto"/>
      </w:pPr>
      <w:r w:rsidRPr="00E14CDC">
        <w:tab/>
        <w:t>The kinematics showed promising results</w:t>
      </w:r>
      <w:r w:rsidR="00B45587" w:rsidRPr="00E14CDC">
        <w:t>. However, the focus on overall activity can now give way to more refined and micro-focused</w:t>
      </w:r>
      <w:r w:rsidRPr="00E14CDC">
        <w:t xml:space="preserve"> analyses. Using the newly defined variables, movement to events</w:t>
      </w:r>
      <w:r w:rsidR="00B45587" w:rsidRPr="00E14CDC">
        <w:t>,</w:t>
      </w:r>
      <w:r w:rsidRPr="00E14CDC">
        <w:t xml:space="preserve"> and stable vs nonstable times, we need to do further analyses. Specifically, identifying the average velocity and movement units for the events themselves against the non-event times and the overall velocity without </w:t>
      </w:r>
      <w:r w:rsidR="00B45587" w:rsidRPr="00E14CDC">
        <w:t>including</w:t>
      </w:r>
      <w:r w:rsidRPr="00E14CDC">
        <w:t xml:space="preserve"> stable non-moving events, mouth and face contacts</w:t>
      </w:r>
      <w:r w:rsidR="00B45587" w:rsidRPr="00E14CDC">
        <w:t>,</w:t>
      </w:r>
      <w:r w:rsidRPr="00E14CDC">
        <w:t xml:space="preserve"> and midline clasping.</w:t>
      </w:r>
    </w:p>
    <w:p w14:paraId="7467F518" w14:textId="3D4B6103" w:rsidR="00C82918" w:rsidRPr="00E14CDC" w:rsidRDefault="00C82918" w:rsidP="00B45587">
      <w:pPr>
        <w:spacing w:line="480" w:lineRule="auto"/>
        <w:ind w:firstLine="720"/>
      </w:pPr>
      <w:r w:rsidRPr="00E14CDC">
        <w:t>Another aspect to investigate is the kinematic signature, straightness, velocity</w:t>
      </w:r>
      <w:r w:rsidR="00B45587" w:rsidRPr="00E14CDC">
        <w:t>, and movement units</w:t>
      </w:r>
      <w:r w:rsidRPr="00E14CDC">
        <w:t xml:space="preserve"> of the movements towards events and the reaching movements.  Finally, given that the hand midline clasping movements were linked to one another, the </w:t>
      </w:r>
      <w:r w:rsidRPr="00E14CDC">
        <w:lastRenderedPageBreak/>
        <w:t xml:space="preserve">individual hand kinematics were averaged together. Assuming </w:t>
      </w:r>
      <w:r w:rsidR="00B45587" w:rsidRPr="00E14CDC">
        <w:t>differences in nonlinked movements, i.e.,</w:t>
      </w:r>
      <w:r w:rsidRPr="00E14CDC">
        <w:t xml:space="preserve"> flapping and arm stability, the kinematics of the two should be analyzed together. Further</w:t>
      </w:r>
      <w:r w:rsidR="00B45587" w:rsidRPr="00E14CDC">
        <w:t>, by analyzing the overall activity regarding movement in space,</w:t>
      </w:r>
      <w:r w:rsidRPr="00E14CDC">
        <w:t xml:space="preserve"> we can further identify our infants as active and passive infants in alignment with Thelen et al. 1993.</w:t>
      </w:r>
    </w:p>
    <w:p w14:paraId="53329D38" w14:textId="4BCF5BE3" w:rsidR="00C82918" w:rsidRPr="00E14CDC" w:rsidRDefault="00C82918" w:rsidP="00C82918">
      <w:pPr>
        <w:spacing w:line="480" w:lineRule="auto"/>
      </w:pPr>
      <w:r w:rsidRPr="00E14CDC">
        <w:tab/>
        <w:t>Regarding reaches themselves</w:t>
      </w:r>
      <w:r w:rsidR="00B45587" w:rsidRPr="00E14CDC">
        <w:t>,</w:t>
      </w:r>
      <w:r w:rsidRPr="00E14CDC">
        <w:t xml:space="preserve"> the “onset of reaching” of reaching was identified as the first week of successful contact with the object. By this definition, it could be possible that there were “reach attempts</w:t>
      </w:r>
      <w:r w:rsidR="008A18ED" w:rsidRPr="00E14CDC">
        <w:t>,</w:t>
      </w:r>
      <w:r w:rsidRPr="00E14CDC">
        <w:t xml:space="preserve">” per von Hofsten’s (1989) definition of </w:t>
      </w:r>
      <w:r w:rsidR="00784C54" w:rsidRPr="00E14CDC">
        <w:t xml:space="preserve">the </w:t>
      </w:r>
      <w:r w:rsidRPr="00E14CDC">
        <w:t>extension of the arm forward, that were excluded. The exclusion of such movements</w:t>
      </w:r>
      <w:r w:rsidR="008A18ED" w:rsidRPr="00E14CDC">
        <w:t xml:space="preserve">, which were not a focus </w:t>
      </w:r>
      <w:r w:rsidR="00B45587" w:rsidRPr="00E14CDC">
        <w:t>of this study, may explain the drastic jump in reach proportions from non-reaching week -1 to reaching</w:t>
      </w:r>
      <w:r w:rsidRPr="00E14CDC">
        <w:t xml:space="preserve"> onset week 0.</w:t>
      </w:r>
    </w:p>
    <w:p w14:paraId="634E7D2C" w14:textId="3301CE77" w:rsidR="00C82918" w:rsidRPr="00E14CDC" w:rsidRDefault="00C82918" w:rsidP="00C82918">
      <w:pPr>
        <w:spacing w:line="480" w:lineRule="auto"/>
        <w:ind w:firstLine="720"/>
      </w:pPr>
      <w:r w:rsidRPr="00E14CDC">
        <w:t xml:space="preserve">The final component is to compile the </w:t>
      </w:r>
      <w:r w:rsidR="00B45587" w:rsidRPr="00E14CDC">
        <w:t>data collected, though not used in the study,</w:t>
      </w:r>
      <w:r w:rsidRPr="00E14CDC">
        <w:t xml:space="preserve"> and analyze it in conjunction with the behavioral coding. Given the different visual saliencies of the objects presented, there could be a moderating effect on the developmental changes we observed in this study. Specifically in the reach and latency to reach.</w:t>
      </w:r>
    </w:p>
    <w:p w14:paraId="03DFCBD3" w14:textId="77777777" w:rsidR="00C82918" w:rsidRPr="00E14CDC" w:rsidRDefault="00C82918">
      <w:r w:rsidRPr="00E14CDC">
        <w:rPr>
          <w:b/>
          <w:caps/>
        </w:rPr>
        <w:br w:type="page"/>
      </w:r>
    </w:p>
    <w:p w14:paraId="6B88CC78" w14:textId="5524E7DC" w:rsidR="00236E6D" w:rsidRPr="00E14CDC" w:rsidRDefault="00E91931" w:rsidP="00CC578B">
      <w:pPr>
        <w:pStyle w:val="AltHeading1"/>
        <w:numPr>
          <w:ilvl w:val="0"/>
          <w:numId w:val="0"/>
        </w:numPr>
      </w:pPr>
      <w:bookmarkStart w:id="112" w:name="_Toc173185094"/>
      <w:r w:rsidRPr="00E14CDC">
        <w:lastRenderedPageBreak/>
        <w:t>References</w:t>
      </w:r>
      <w:bookmarkEnd w:id="83"/>
      <w:bookmarkEnd w:id="84"/>
      <w:bookmarkEnd w:id="85"/>
      <w:bookmarkEnd w:id="112"/>
    </w:p>
    <w:p w14:paraId="24BAEDE2" w14:textId="77777777" w:rsidR="00D9618C" w:rsidRPr="00E14CDC" w:rsidRDefault="00717D9F" w:rsidP="00D9618C">
      <w:pPr>
        <w:pStyle w:val="Bibliography"/>
        <w:rPr>
          <w:rFonts w:ascii="Times New Roman" w:hAnsi="Times New Roman" w:cs="Times New Roman"/>
        </w:rPr>
      </w:pPr>
      <w:r w:rsidRPr="00E14CDC">
        <w:rPr>
          <w:rFonts w:ascii="Times New Roman" w:hAnsi="Times New Roman" w:cs="Times New Roman"/>
        </w:rPr>
        <w:fldChar w:fldCharType="begin"/>
      </w:r>
      <w:r w:rsidRPr="00E14CDC">
        <w:rPr>
          <w:rFonts w:ascii="Times New Roman" w:hAnsi="Times New Roman" w:cs="Times New Roman"/>
        </w:rPr>
        <w:instrText xml:space="preserve"> ADDIN ZOTERO_BIBL {"uncited":[],"omitted":[],"custom":[]} CSL_BIBLIOGRAPHY </w:instrText>
      </w:r>
      <w:r w:rsidRPr="00E14CDC">
        <w:rPr>
          <w:rFonts w:ascii="Times New Roman" w:hAnsi="Times New Roman" w:cs="Times New Roman"/>
        </w:rPr>
        <w:fldChar w:fldCharType="separate"/>
      </w:r>
      <w:r w:rsidR="00D9618C" w:rsidRPr="00E14CDC">
        <w:rPr>
          <w:rFonts w:ascii="Times New Roman" w:hAnsi="Times New Roman" w:cs="Times New Roman"/>
        </w:rPr>
        <w:t xml:space="preserve">Abney, D. H., Jerry, C. M., Smith, L. B., &amp; Yu, C. (2024). Look before you reach: Fixation‐reach latencies predict reaching kinematics in toddlers. </w:t>
      </w:r>
      <w:r w:rsidR="00D9618C" w:rsidRPr="00E14CDC">
        <w:rPr>
          <w:rFonts w:ascii="Times New Roman" w:hAnsi="Times New Roman" w:cs="Times New Roman"/>
          <w:i/>
          <w:iCs/>
        </w:rPr>
        <w:t>Infancy</w:t>
      </w:r>
      <w:r w:rsidR="00D9618C" w:rsidRPr="00E14CDC">
        <w:rPr>
          <w:rFonts w:ascii="Times New Roman" w:hAnsi="Times New Roman" w:cs="Times New Roman"/>
        </w:rPr>
        <w:t xml:space="preserve">, </w:t>
      </w:r>
      <w:r w:rsidR="00D9618C" w:rsidRPr="00E14CDC">
        <w:rPr>
          <w:rFonts w:ascii="Times New Roman" w:hAnsi="Times New Roman" w:cs="Times New Roman"/>
          <w:i/>
          <w:iCs/>
        </w:rPr>
        <w:t>29</w:t>
      </w:r>
      <w:r w:rsidR="00D9618C" w:rsidRPr="00E14CDC">
        <w:rPr>
          <w:rFonts w:ascii="Times New Roman" w:hAnsi="Times New Roman" w:cs="Times New Roman"/>
        </w:rPr>
        <w:t>(1), 6–21.</w:t>
      </w:r>
    </w:p>
    <w:p w14:paraId="3244B1EC"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Addabbo, M., Roberti, E., Colombo, L., Picciolini, O., &amp; Turati, C. (2022). Newborns’ early attuning to hand-to-mouth coordinated actions. </w:t>
      </w:r>
      <w:r w:rsidRPr="00E14CDC">
        <w:rPr>
          <w:rFonts w:ascii="Times New Roman" w:hAnsi="Times New Roman" w:cs="Times New Roman"/>
          <w:i/>
          <w:iCs/>
        </w:rPr>
        <w:t>Developmental Science</w:t>
      </w:r>
      <w:r w:rsidRPr="00E14CDC">
        <w:rPr>
          <w:rFonts w:ascii="Times New Roman" w:hAnsi="Times New Roman" w:cs="Times New Roman"/>
        </w:rPr>
        <w:t xml:space="preserve">, </w:t>
      </w:r>
      <w:r w:rsidRPr="00E14CDC">
        <w:rPr>
          <w:rFonts w:ascii="Times New Roman" w:hAnsi="Times New Roman" w:cs="Times New Roman"/>
          <w:i/>
          <w:iCs/>
        </w:rPr>
        <w:t>25</w:t>
      </w:r>
      <w:r w:rsidRPr="00E14CDC">
        <w:rPr>
          <w:rFonts w:ascii="Times New Roman" w:hAnsi="Times New Roman" w:cs="Times New Roman"/>
        </w:rPr>
        <w:t>(2), e13162. https://doi.org/10.1111/desc.13162</w:t>
      </w:r>
    </w:p>
    <w:p w14:paraId="106A74C4"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Bakker, H., de Graaf-Peters, V. B., van Eykern, L. A., Otten, B., &amp; Hadders-Algra, M. (2010). Development of proximal arm muscle control during reaching in young infants: From variation to selection. </w:t>
      </w:r>
      <w:r w:rsidRPr="00E14CDC">
        <w:rPr>
          <w:rFonts w:ascii="Times New Roman" w:hAnsi="Times New Roman" w:cs="Times New Roman"/>
          <w:i/>
          <w:iCs/>
        </w:rPr>
        <w:t>Infant Behavior and Development</w:t>
      </w:r>
      <w:r w:rsidRPr="00E14CDC">
        <w:rPr>
          <w:rFonts w:ascii="Times New Roman" w:hAnsi="Times New Roman" w:cs="Times New Roman"/>
        </w:rPr>
        <w:t xml:space="preserve">, </w:t>
      </w:r>
      <w:r w:rsidRPr="00E14CDC">
        <w:rPr>
          <w:rFonts w:ascii="Times New Roman" w:hAnsi="Times New Roman" w:cs="Times New Roman"/>
          <w:i/>
          <w:iCs/>
        </w:rPr>
        <w:t>33</w:t>
      </w:r>
      <w:r w:rsidRPr="00E14CDC">
        <w:rPr>
          <w:rFonts w:ascii="Times New Roman" w:hAnsi="Times New Roman" w:cs="Times New Roman"/>
        </w:rPr>
        <w:t>(1), 30–38.</w:t>
      </w:r>
    </w:p>
    <w:p w14:paraId="5F0E485C"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Berthier, N. E., Clifton, R. K., Gullapalli, V., McCall, D. D., &amp; Robin, D. J. (1996). Visual Information and Object Size in the Control of Reaching. </w:t>
      </w:r>
      <w:r w:rsidRPr="00E14CDC">
        <w:rPr>
          <w:rFonts w:ascii="Times New Roman" w:hAnsi="Times New Roman" w:cs="Times New Roman"/>
          <w:i/>
          <w:iCs/>
        </w:rPr>
        <w:t>Journal of Motor Behavior</w:t>
      </w:r>
      <w:r w:rsidRPr="00E14CDC">
        <w:rPr>
          <w:rFonts w:ascii="Times New Roman" w:hAnsi="Times New Roman" w:cs="Times New Roman"/>
        </w:rPr>
        <w:t xml:space="preserve">, </w:t>
      </w:r>
      <w:r w:rsidRPr="00E14CDC">
        <w:rPr>
          <w:rFonts w:ascii="Times New Roman" w:hAnsi="Times New Roman" w:cs="Times New Roman"/>
          <w:i/>
          <w:iCs/>
        </w:rPr>
        <w:t>28</w:t>
      </w:r>
      <w:r w:rsidRPr="00E14CDC">
        <w:rPr>
          <w:rFonts w:ascii="Times New Roman" w:hAnsi="Times New Roman" w:cs="Times New Roman"/>
        </w:rPr>
        <w:t>(3), 187–197. https://doi.org/10.1080/00222895.1996.9941744</w:t>
      </w:r>
    </w:p>
    <w:p w14:paraId="41FAE45D"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Bhat, A. N., &amp; Galloway, J. C. (2006). Toy-oriented changes during early arm movements: Hand kinematics. </w:t>
      </w:r>
      <w:r w:rsidRPr="00E14CDC">
        <w:rPr>
          <w:rFonts w:ascii="Times New Roman" w:hAnsi="Times New Roman" w:cs="Times New Roman"/>
          <w:i/>
          <w:iCs/>
        </w:rPr>
        <w:t>Infant Behavior and Development</w:t>
      </w:r>
      <w:r w:rsidRPr="00E14CDC">
        <w:rPr>
          <w:rFonts w:ascii="Times New Roman" w:hAnsi="Times New Roman" w:cs="Times New Roman"/>
        </w:rPr>
        <w:t xml:space="preserve">, </w:t>
      </w:r>
      <w:r w:rsidRPr="00E14CDC">
        <w:rPr>
          <w:rFonts w:ascii="Times New Roman" w:hAnsi="Times New Roman" w:cs="Times New Roman"/>
          <w:i/>
          <w:iCs/>
        </w:rPr>
        <w:t>29</w:t>
      </w:r>
      <w:r w:rsidRPr="00E14CDC">
        <w:rPr>
          <w:rFonts w:ascii="Times New Roman" w:hAnsi="Times New Roman" w:cs="Times New Roman"/>
        </w:rPr>
        <w:t>(3), 358–372.</w:t>
      </w:r>
    </w:p>
    <w:p w14:paraId="51178FB0"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Bojczyk, K. E., &amp; Corbetta, D. (2004). Object retrieval in the 1st year of life: Learning effects of task exposure and box transparency. </w:t>
      </w:r>
      <w:r w:rsidRPr="00E14CDC">
        <w:rPr>
          <w:rFonts w:ascii="Times New Roman" w:hAnsi="Times New Roman" w:cs="Times New Roman"/>
          <w:i/>
          <w:iCs/>
        </w:rPr>
        <w:t>Developmental Psychology</w:t>
      </w:r>
      <w:r w:rsidRPr="00E14CDC">
        <w:rPr>
          <w:rFonts w:ascii="Times New Roman" w:hAnsi="Times New Roman" w:cs="Times New Roman"/>
        </w:rPr>
        <w:t xml:space="preserve">, </w:t>
      </w:r>
      <w:r w:rsidRPr="00E14CDC">
        <w:rPr>
          <w:rFonts w:ascii="Times New Roman" w:hAnsi="Times New Roman" w:cs="Times New Roman"/>
          <w:i/>
          <w:iCs/>
        </w:rPr>
        <w:t>40</w:t>
      </w:r>
      <w:r w:rsidRPr="00E14CDC">
        <w:rPr>
          <w:rFonts w:ascii="Times New Roman" w:hAnsi="Times New Roman" w:cs="Times New Roman"/>
        </w:rPr>
        <w:t>(1), 54.</w:t>
      </w:r>
    </w:p>
    <w:p w14:paraId="0FF02CDB"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Bower, T. (1976). Repetitive processes in child development. </w:t>
      </w:r>
      <w:r w:rsidRPr="00E14CDC">
        <w:rPr>
          <w:rFonts w:ascii="Times New Roman" w:hAnsi="Times New Roman" w:cs="Times New Roman"/>
          <w:i/>
          <w:iCs/>
        </w:rPr>
        <w:t>Scientific American</w:t>
      </w:r>
      <w:r w:rsidRPr="00E14CDC">
        <w:rPr>
          <w:rFonts w:ascii="Times New Roman" w:hAnsi="Times New Roman" w:cs="Times New Roman"/>
        </w:rPr>
        <w:t xml:space="preserve">, </w:t>
      </w:r>
      <w:r w:rsidRPr="00E14CDC">
        <w:rPr>
          <w:rFonts w:ascii="Times New Roman" w:hAnsi="Times New Roman" w:cs="Times New Roman"/>
          <w:i/>
          <w:iCs/>
        </w:rPr>
        <w:t>235</w:t>
      </w:r>
      <w:r w:rsidRPr="00E14CDC">
        <w:rPr>
          <w:rFonts w:ascii="Times New Roman" w:hAnsi="Times New Roman" w:cs="Times New Roman"/>
        </w:rPr>
        <w:t>(5), 38–47.</w:t>
      </w:r>
    </w:p>
    <w:p w14:paraId="0BF57FD7"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lastRenderedPageBreak/>
        <w:t xml:space="preserve">Bower, T., &amp; Wishart, J. G. (1972). The effects of motor skill on object permanence. </w:t>
      </w:r>
      <w:r w:rsidRPr="00E14CDC">
        <w:rPr>
          <w:rFonts w:ascii="Times New Roman" w:hAnsi="Times New Roman" w:cs="Times New Roman"/>
          <w:i/>
          <w:iCs/>
        </w:rPr>
        <w:t>Cognition</w:t>
      </w:r>
      <w:r w:rsidRPr="00E14CDC">
        <w:rPr>
          <w:rFonts w:ascii="Times New Roman" w:hAnsi="Times New Roman" w:cs="Times New Roman"/>
        </w:rPr>
        <w:t xml:space="preserve">, </w:t>
      </w:r>
      <w:r w:rsidRPr="00E14CDC">
        <w:rPr>
          <w:rFonts w:ascii="Times New Roman" w:hAnsi="Times New Roman" w:cs="Times New Roman"/>
          <w:i/>
          <w:iCs/>
        </w:rPr>
        <w:t>1</w:t>
      </w:r>
      <w:r w:rsidRPr="00E14CDC">
        <w:rPr>
          <w:rFonts w:ascii="Times New Roman" w:hAnsi="Times New Roman" w:cs="Times New Roman"/>
        </w:rPr>
        <w:t>(2–3), 165–172.</w:t>
      </w:r>
    </w:p>
    <w:p w14:paraId="64360A02"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Bushnell, E. W. (1985). The decline of visually guided reaching during infancy. </w:t>
      </w:r>
      <w:r w:rsidRPr="00E14CDC">
        <w:rPr>
          <w:rFonts w:ascii="Times New Roman" w:hAnsi="Times New Roman" w:cs="Times New Roman"/>
          <w:i/>
          <w:iCs/>
        </w:rPr>
        <w:t>Infant Behavior and Development</w:t>
      </w:r>
      <w:r w:rsidRPr="00E14CDC">
        <w:rPr>
          <w:rFonts w:ascii="Times New Roman" w:hAnsi="Times New Roman" w:cs="Times New Roman"/>
        </w:rPr>
        <w:t xml:space="preserve">, </w:t>
      </w:r>
      <w:r w:rsidRPr="00E14CDC">
        <w:rPr>
          <w:rFonts w:ascii="Times New Roman" w:hAnsi="Times New Roman" w:cs="Times New Roman"/>
          <w:i/>
          <w:iCs/>
        </w:rPr>
        <w:t>8</w:t>
      </w:r>
      <w:r w:rsidRPr="00E14CDC">
        <w:rPr>
          <w:rFonts w:ascii="Times New Roman" w:hAnsi="Times New Roman" w:cs="Times New Roman"/>
        </w:rPr>
        <w:t>(2), 139–155.</w:t>
      </w:r>
    </w:p>
    <w:p w14:paraId="082AE3B1"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Claxton, L. J., Keen, R., &amp; McCarty, M. E. (2003). Evidence of motor planning in infant reaching behavior. </w:t>
      </w:r>
      <w:r w:rsidRPr="00E14CDC">
        <w:rPr>
          <w:rFonts w:ascii="Times New Roman" w:hAnsi="Times New Roman" w:cs="Times New Roman"/>
          <w:i/>
          <w:iCs/>
        </w:rPr>
        <w:t>Psychological Science</w:t>
      </w:r>
      <w:r w:rsidRPr="00E14CDC">
        <w:rPr>
          <w:rFonts w:ascii="Times New Roman" w:hAnsi="Times New Roman" w:cs="Times New Roman"/>
        </w:rPr>
        <w:t xml:space="preserve">, </w:t>
      </w:r>
      <w:r w:rsidRPr="00E14CDC">
        <w:rPr>
          <w:rFonts w:ascii="Times New Roman" w:hAnsi="Times New Roman" w:cs="Times New Roman"/>
          <w:i/>
          <w:iCs/>
        </w:rPr>
        <w:t>14</w:t>
      </w:r>
      <w:r w:rsidRPr="00E14CDC">
        <w:rPr>
          <w:rFonts w:ascii="Times New Roman" w:hAnsi="Times New Roman" w:cs="Times New Roman"/>
        </w:rPr>
        <w:t>(4), 354–356.</w:t>
      </w:r>
    </w:p>
    <w:p w14:paraId="706DC587"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Clifton, R. K., Muir, D. W., Ashmead, D. H., &amp; Clarkson, M. G. (1993). Is Visually Guided Reaching in Early Infancy a Myth? </w:t>
      </w:r>
      <w:r w:rsidRPr="00E14CDC">
        <w:rPr>
          <w:rFonts w:ascii="Times New Roman" w:hAnsi="Times New Roman" w:cs="Times New Roman"/>
          <w:i/>
          <w:iCs/>
        </w:rPr>
        <w:t>Child Development</w:t>
      </w:r>
      <w:r w:rsidRPr="00E14CDC">
        <w:rPr>
          <w:rFonts w:ascii="Times New Roman" w:hAnsi="Times New Roman" w:cs="Times New Roman"/>
        </w:rPr>
        <w:t xml:space="preserve">, </w:t>
      </w:r>
      <w:r w:rsidRPr="00E14CDC">
        <w:rPr>
          <w:rFonts w:ascii="Times New Roman" w:hAnsi="Times New Roman" w:cs="Times New Roman"/>
          <w:i/>
          <w:iCs/>
        </w:rPr>
        <w:t>64</w:t>
      </w:r>
      <w:r w:rsidRPr="00E14CDC">
        <w:rPr>
          <w:rFonts w:ascii="Times New Roman" w:hAnsi="Times New Roman" w:cs="Times New Roman"/>
        </w:rPr>
        <w:t>(4), 1099–1110. https://doi.org/10.2307/1131328</w:t>
      </w:r>
    </w:p>
    <w:p w14:paraId="3E3FD024"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Connell, J., DiMercurio, A., Corbetta, D., Vonk, J., &amp; Shackelford, T. (2017). Dynamic systems theory. </w:t>
      </w:r>
      <w:r w:rsidRPr="00E14CDC">
        <w:rPr>
          <w:rFonts w:ascii="Times New Roman" w:hAnsi="Times New Roman" w:cs="Times New Roman"/>
          <w:i/>
          <w:iCs/>
        </w:rPr>
        <w:t>Encyclopedia of Animal Cognition and Behavior</w:t>
      </w:r>
      <w:r w:rsidRPr="00E14CDC">
        <w:rPr>
          <w:rFonts w:ascii="Times New Roman" w:hAnsi="Times New Roman" w:cs="Times New Roman"/>
        </w:rPr>
        <w:t>, 1–8.</w:t>
      </w:r>
    </w:p>
    <w:p w14:paraId="3120D7E9"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Connell, J. P. (2020). </w:t>
      </w:r>
      <w:r w:rsidRPr="00E14CDC">
        <w:rPr>
          <w:rFonts w:ascii="Times New Roman" w:hAnsi="Times New Roman" w:cs="Times New Roman"/>
          <w:i/>
          <w:iCs/>
        </w:rPr>
        <w:t>The Impact of Objects’ Visual Properties on Infant Reaching Strategies</w:t>
      </w:r>
      <w:r w:rsidRPr="00E14CDC">
        <w:rPr>
          <w:rFonts w:ascii="Times New Roman" w:hAnsi="Times New Roman" w:cs="Times New Roman"/>
        </w:rPr>
        <w:t xml:space="preserve"> [University of Tennessee]. https://trace.tennessee.edu/utk_gradthes/5586</w:t>
      </w:r>
    </w:p>
    <w:p w14:paraId="5407CF86"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Corbetta, D. (2021). Perception, Action, and Intrinsic Motivation in Infants’ Motor-Skill Development. </w:t>
      </w:r>
      <w:r w:rsidRPr="00E14CDC">
        <w:rPr>
          <w:rFonts w:ascii="Times New Roman" w:hAnsi="Times New Roman" w:cs="Times New Roman"/>
          <w:i/>
          <w:iCs/>
        </w:rPr>
        <w:t>Current Directions in Psychological Science</w:t>
      </w:r>
      <w:r w:rsidRPr="00E14CDC">
        <w:rPr>
          <w:rFonts w:ascii="Times New Roman" w:hAnsi="Times New Roman" w:cs="Times New Roman"/>
        </w:rPr>
        <w:t xml:space="preserve">, </w:t>
      </w:r>
      <w:r w:rsidRPr="00E14CDC">
        <w:rPr>
          <w:rFonts w:ascii="Times New Roman" w:hAnsi="Times New Roman" w:cs="Times New Roman"/>
          <w:i/>
          <w:iCs/>
        </w:rPr>
        <w:t>30</w:t>
      </w:r>
      <w:r w:rsidRPr="00E14CDC">
        <w:rPr>
          <w:rFonts w:ascii="Times New Roman" w:hAnsi="Times New Roman" w:cs="Times New Roman"/>
        </w:rPr>
        <w:t>(5), 418–424. https://doi.org/10.1177/09637214211031939</w:t>
      </w:r>
    </w:p>
    <w:p w14:paraId="4AB12544"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Corbetta, D., DiMercurio, A., Wiener, R. F., Connell, J. P., &amp; Clark, M. (2018). How perception and action fosters exploration and selection in infant skill acquisition. </w:t>
      </w:r>
      <w:r w:rsidRPr="00E14CDC">
        <w:rPr>
          <w:rFonts w:ascii="Times New Roman" w:hAnsi="Times New Roman" w:cs="Times New Roman"/>
          <w:i/>
          <w:iCs/>
        </w:rPr>
        <w:t>Advances in Child Development and Behavior</w:t>
      </w:r>
      <w:r w:rsidRPr="00E14CDC">
        <w:rPr>
          <w:rFonts w:ascii="Times New Roman" w:hAnsi="Times New Roman" w:cs="Times New Roman"/>
        </w:rPr>
        <w:t xml:space="preserve">, </w:t>
      </w:r>
      <w:r w:rsidRPr="00E14CDC">
        <w:rPr>
          <w:rFonts w:ascii="Times New Roman" w:hAnsi="Times New Roman" w:cs="Times New Roman"/>
          <w:i/>
          <w:iCs/>
        </w:rPr>
        <w:t>55</w:t>
      </w:r>
      <w:r w:rsidRPr="00E14CDC">
        <w:rPr>
          <w:rFonts w:ascii="Times New Roman" w:hAnsi="Times New Roman" w:cs="Times New Roman"/>
        </w:rPr>
        <w:t>, 1–29.</w:t>
      </w:r>
    </w:p>
    <w:p w14:paraId="08EF7687"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lastRenderedPageBreak/>
        <w:t xml:space="preserve">Corbetta, D., Thelen, E., &amp; Johnson, K. (2000). Motor constraints on the development of perception-action matching in infant reaching. </w:t>
      </w:r>
      <w:r w:rsidRPr="00E14CDC">
        <w:rPr>
          <w:rFonts w:ascii="Times New Roman" w:hAnsi="Times New Roman" w:cs="Times New Roman"/>
          <w:i/>
          <w:iCs/>
        </w:rPr>
        <w:t>Infant Behavior and Development</w:t>
      </w:r>
      <w:r w:rsidRPr="00E14CDC">
        <w:rPr>
          <w:rFonts w:ascii="Times New Roman" w:hAnsi="Times New Roman" w:cs="Times New Roman"/>
        </w:rPr>
        <w:t xml:space="preserve">, </w:t>
      </w:r>
      <w:r w:rsidRPr="00E14CDC">
        <w:rPr>
          <w:rFonts w:ascii="Times New Roman" w:hAnsi="Times New Roman" w:cs="Times New Roman"/>
          <w:i/>
          <w:iCs/>
        </w:rPr>
        <w:t>23</w:t>
      </w:r>
      <w:r w:rsidRPr="00E14CDC">
        <w:rPr>
          <w:rFonts w:ascii="Times New Roman" w:hAnsi="Times New Roman" w:cs="Times New Roman"/>
        </w:rPr>
        <w:t>(3–4), 351–374.</w:t>
      </w:r>
    </w:p>
    <w:p w14:paraId="65A2BDD5"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Corbetta, D., Thurman, S. L., Wiener, R. F., Guan, Y., &amp; Williams, J. L. (2014). Mapping the feel of the arm with the sight of the object: On the embodied origins of infant reaching. </w:t>
      </w:r>
      <w:r w:rsidRPr="00E14CDC">
        <w:rPr>
          <w:rFonts w:ascii="Times New Roman" w:hAnsi="Times New Roman" w:cs="Times New Roman"/>
          <w:i/>
          <w:iCs/>
        </w:rPr>
        <w:t>Frontiers in Psychology</w:t>
      </w:r>
      <w:r w:rsidRPr="00E14CDC">
        <w:rPr>
          <w:rFonts w:ascii="Times New Roman" w:hAnsi="Times New Roman" w:cs="Times New Roman"/>
        </w:rPr>
        <w:t xml:space="preserve">, </w:t>
      </w:r>
      <w:r w:rsidRPr="00E14CDC">
        <w:rPr>
          <w:rFonts w:ascii="Times New Roman" w:hAnsi="Times New Roman" w:cs="Times New Roman"/>
          <w:i/>
          <w:iCs/>
        </w:rPr>
        <w:t>5</w:t>
      </w:r>
      <w:r w:rsidRPr="00E14CDC">
        <w:rPr>
          <w:rFonts w:ascii="Times New Roman" w:hAnsi="Times New Roman" w:cs="Times New Roman"/>
        </w:rPr>
        <w:t>, 93269.</w:t>
      </w:r>
    </w:p>
    <w:p w14:paraId="2F597556"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Corbetta, D., Wiener, R. F., Thurman, S. L., &amp; McMahon, E. (2018). The embodied origins of infant reaching: Implications for the emergence of eye-hand coordination. </w:t>
      </w:r>
      <w:r w:rsidRPr="00E14CDC">
        <w:rPr>
          <w:rFonts w:ascii="Times New Roman" w:hAnsi="Times New Roman" w:cs="Times New Roman"/>
          <w:i/>
          <w:iCs/>
        </w:rPr>
        <w:t>Kinesiology Review</w:t>
      </w:r>
      <w:r w:rsidRPr="00E14CDC">
        <w:rPr>
          <w:rFonts w:ascii="Times New Roman" w:hAnsi="Times New Roman" w:cs="Times New Roman"/>
        </w:rPr>
        <w:t xml:space="preserve">, </w:t>
      </w:r>
      <w:r w:rsidRPr="00E14CDC">
        <w:rPr>
          <w:rFonts w:ascii="Times New Roman" w:hAnsi="Times New Roman" w:cs="Times New Roman"/>
          <w:i/>
          <w:iCs/>
        </w:rPr>
        <w:t>7</w:t>
      </w:r>
      <w:r w:rsidRPr="00E14CDC">
        <w:rPr>
          <w:rFonts w:ascii="Times New Roman" w:hAnsi="Times New Roman" w:cs="Times New Roman"/>
        </w:rPr>
        <w:t>(1), 10–17.</w:t>
      </w:r>
    </w:p>
    <w:p w14:paraId="15F73FBC"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de Graaf-Peters, V. B., Bakker, H., van Eykern, L. A., Otten, B., &amp; Hadders-Algra, M. (2007). Postural adjustments and reaching in 4-and 6-month-old infants: An EMG and kinematical study. </w:t>
      </w:r>
      <w:r w:rsidRPr="00E14CDC">
        <w:rPr>
          <w:rFonts w:ascii="Times New Roman" w:hAnsi="Times New Roman" w:cs="Times New Roman"/>
          <w:i/>
          <w:iCs/>
        </w:rPr>
        <w:t>Experimental Brain Research</w:t>
      </w:r>
      <w:r w:rsidRPr="00E14CDC">
        <w:rPr>
          <w:rFonts w:ascii="Times New Roman" w:hAnsi="Times New Roman" w:cs="Times New Roman"/>
        </w:rPr>
        <w:t xml:space="preserve">, </w:t>
      </w:r>
      <w:r w:rsidRPr="00E14CDC">
        <w:rPr>
          <w:rFonts w:ascii="Times New Roman" w:hAnsi="Times New Roman" w:cs="Times New Roman"/>
          <w:i/>
          <w:iCs/>
        </w:rPr>
        <w:t>181</w:t>
      </w:r>
      <w:r w:rsidRPr="00E14CDC">
        <w:rPr>
          <w:rFonts w:ascii="Times New Roman" w:hAnsi="Times New Roman" w:cs="Times New Roman"/>
        </w:rPr>
        <w:t>, 647–656.</w:t>
      </w:r>
    </w:p>
    <w:p w14:paraId="4954BA75"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DiMercurio, A., Connell, J. P., Clark, M., &amp; Corbetta, D. (2018). A Naturalistic Observation of Spontaneous Touches to the Body and Environment in the First 2 Months of Life. </w:t>
      </w:r>
      <w:r w:rsidRPr="00E14CDC">
        <w:rPr>
          <w:rFonts w:ascii="Times New Roman" w:hAnsi="Times New Roman" w:cs="Times New Roman"/>
          <w:i/>
          <w:iCs/>
        </w:rPr>
        <w:t>Frontiers in Psychology</w:t>
      </w:r>
      <w:r w:rsidRPr="00E14CDC">
        <w:rPr>
          <w:rFonts w:ascii="Times New Roman" w:hAnsi="Times New Roman" w:cs="Times New Roman"/>
        </w:rPr>
        <w:t xml:space="preserve">, </w:t>
      </w:r>
      <w:r w:rsidRPr="00E14CDC">
        <w:rPr>
          <w:rFonts w:ascii="Times New Roman" w:hAnsi="Times New Roman" w:cs="Times New Roman"/>
          <w:i/>
          <w:iCs/>
        </w:rPr>
        <w:t>9</w:t>
      </w:r>
      <w:r w:rsidRPr="00E14CDC">
        <w:rPr>
          <w:rFonts w:ascii="Times New Roman" w:hAnsi="Times New Roman" w:cs="Times New Roman"/>
        </w:rPr>
        <w:t>. https://www.frontiersin.org/journals/psychology/articles/10.3389/fpsyg.2018.02613</w:t>
      </w:r>
    </w:p>
    <w:p w14:paraId="5281E5F5"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Guan, Y., &amp; Corbetta, D. (2012). What Grasps and Holds 8-Month-Old Infants′ Looking Attention? The Effects of Object Size and Depth Cues. </w:t>
      </w:r>
      <w:r w:rsidRPr="00E14CDC">
        <w:rPr>
          <w:rFonts w:ascii="Times New Roman" w:hAnsi="Times New Roman" w:cs="Times New Roman"/>
          <w:i/>
          <w:iCs/>
        </w:rPr>
        <w:t>Child Development Research</w:t>
      </w:r>
      <w:r w:rsidRPr="00E14CDC">
        <w:rPr>
          <w:rFonts w:ascii="Times New Roman" w:hAnsi="Times New Roman" w:cs="Times New Roman"/>
        </w:rPr>
        <w:t xml:space="preserve">, </w:t>
      </w:r>
      <w:r w:rsidRPr="00E14CDC">
        <w:rPr>
          <w:rFonts w:ascii="Times New Roman" w:hAnsi="Times New Roman" w:cs="Times New Roman"/>
          <w:i/>
          <w:iCs/>
        </w:rPr>
        <w:t>2012</w:t>
      </w:r>
      <w:r w:rsidRPr="00E14CDC">
        <w:rPr>
          <w:rFonts w:ascii="Times New Roman" w:hAnsi="Times New Roman" w:cs="Times New Roman"/>
        </w:rPr>
        <w:t>(1), 439618. https://doi.org/10.1155/2012/439618</w:t>
      </w:r>
    </w:p>
    <w:p w14:paraId="5C5FBE78"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Jordan, M. I. (2018). Motor learning and the degrees of freedom problem. In </w:t>
      </w:r>
      <w:r w:rsidRPr="00E14CDC">
        <w:rPr>
          <w:rFonts w:ascii="Times New Roman" w:hAnsi="Times New Roman" w:cs="Times New Roman"/>
          <w:i/>
          <w:iCs/>
        </w:rPr>
        <w:t>Attention and performance XIII</w:t>
      </w:r>
      <w:r w:rsidRPr="00E14CDC">
        <w:rPr>
          <w:rFonts w:ascii="Times New Roman" w:hAnsi="Times New Roman" w:cs="Times New Roman"/>
        </w:rPr>
        <w:t xml:space="preserve"> (pp. 796–836). Psychology Press.</w:t>
      </w:r>
    </w:p>
    <w:p w14:paraId="601AF2F5"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lastRenderedPageBreak/>
        <w:t xml:space="preserve">Lasky, R. E. (1977). The Effect of Visual Feedback of the Hand on the Reaching and Retrieval Behavior of Young Infants. </w:t>
      </w:r>
      <w:r w:rsidRPr="00E14CDC">
        <w:rPr>
          <w:rFonts w:ascii="Times New Roman" w:hAnsi="Times New Roman" w:cs="Times New Roman"/>
          <w:i/>
          <w:iCs/>
        </w:rPr>
        <w:t>Child Development</w:t>
      </w:r>
      <w:r w:rsidRPr="00E14CDC">
        <w:rPr>
          <w:rFonts w:ascii="Times New Roman" w:hAnsi="Times New Roman" w:cs="Times New Roman"/>
        </w:rPr>
        <w:t xml:space="preserve">, </w:t>
      </w:r>
      <w:r w:rsidRPr="00E14CDC">
        <w:rPr>
          <w:rFonts w:ascii="Times New Roman" w:hAnsi="Times New Roman" w:cs="Times New Roman"/>
          <w:i/>
          <w:iCs/>
        </w:rPr>
        <w:t>48</w:t>
      </w:r>
      <w:r w:rsidRPr="00E14CDC">
        <w:rPr>
          <w:rFonts w:ascii="Times New Roman" w:hAnsi="Times New Roman" w:cs="Times New Roman"/>
        </w:rPr>
        <w:t>(1), 112–117. https://doi.org/10.2307/1128888</w:t>
      </w:r>
    </w:p>
    <w:p w14:paraId="04E79A64"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Lee, M., Ranganathan, R., &amp; Newell, K. M. (2011). Changes in object‐oriented arm movements that precede the transition to goal‐directed reaching in infancy. </w:t>
      </w:r>
      <w:r w:rsidRPr="00E14CDC">
        <w:rPr>
          <w:rFonts w:ascii="Times New Roman" w:hAnsi="Times New Roman" w:cs="Times New Roman"/>
          <w:i/>
          <w:iCs/>
        </w:rPr>
        <w:t>Developmental Psychobiology</w:t>
      </w:r>
      <w:r w:rsidRPr="00E14CDC">
        <w:rPr>
          <w:rFonts w:ascii="Times New Roman" w:hAnsi="Times New Roman" w:cs="Times New Roman"/>
        </w:rPr>
        <w:t xml:space="preserve">, </w:t>
      </w:r>
      <w:r w:rsidRPr="00E14CDC">
        <w:rPr>
          <w:rFonts w:ascii="Times New Roman" w:hAnsi="Times New Roman" w:cs="Times New Roman"/>
          <w:i/>
          <w:iCs/>
        </w:rPr>
        <w:t>53</w:t>
      </w:r>
      <w:r w:rsidRPr="00E14CDC">
        <w:rPr>
          <w:rFonts w:ascii="Times New Roman" w:hAnsi="Times New Roman" w:cs="Times New Roman"/>
        </w:rPr>
        <w:t>(7), 685–693.</w:t>
      </w:r>
    </w:p>
    <w:p w14:paraId="441AABB2"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Lockman, J. J., Ashmead, D. H., &amp; Bushnell, E. W. (1984). The development of anticipatory hand orientation during infancy. </w:t>
      </w:r>
      <w:r w:rsidRPr="00E14CDC">
        <w:rPr>
          <w:rFonts w:ascii="Times New Roman" w:hAnsi="Times New Roman" w:cs="Times New Roman"/>
          <w:i/>
          <w:iCs/>
        </w:rPr>
        <w:t>Journal of Experimental Child Psychology</w:t>
      </w:r>
      <w:r w:rsidRPr="00E14CDC">
        <w:rPr>
          <w:rFonts w:ascii="Times New Roman" w:hAnsi="Times New Roman" w:cs="Times New Roman"/>
        </w:rPr>
        <w:t xml:space="preserve">, </w:t>
      </w:r>
      <w:r w:rsidRPr="00E14CDC">
        <w:rPr>
          <w:rFonts w:ascii="Times New Roman" w:hAnsi="Times New Roman" w:cs="Times New Roman"/>
          <w:i/>
          <w:iCs/>
        </w:rPr>
        <w:t>37</w:t>
      </w:r>
      <w:r w:rsidRPr="00E14CDC">
        <w:rPr>
          <w:rFonts w:ascii="Times New Roman" w:hAnsi="Times New Roman" w:cs="Times New Roman"/>
        </w:rPr>
        <w:t>(1), 176–186.</w:t>
      </w:r>
    </w:p>
    <w:p w14:paraId="4E399C70"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Lynch, A., Lee, H., Bhat, A., &amp; Galloway, J. (2008). No stable arm preference during the pre‐reaching period: A comparison of right and left hand kinematics with and without a toy present. </w:t>
      </w:r>
      <w:r w:rsidRPr="00E14CDC">
        <w:rPr>
          <w:rFonts w:ascii="Times New Roman" w:hAnsi="Times New Roman" w:cs="Times New Roman"/>
          <w:i/>
          <w:iCs/>
        </w:rPr>
        <w:t>Developmental Psychobiology: The Journal of the International Society for Developmental Psychobiology</w:t>
      </w:r>
      <w:r w:rsidRPr="00E14CDC">
        <w:rPr>
          <w:rFonts w:ascii="Times New Roman" w:hAnsi="Times New Roman" w:cs="Times New Roman"/>
        </w:rPr>
        <w:t xml:space="preserve">, </w:t>
      </w:r>
      <w:r w:rsidRPr="00E14CDC">
        <w:rPr>
          <w:rFonts w:ascii="Times New Roman" w:hAnsi="Times New Roman" w:cs="Times New Roman"/>
          <w:i/>
          <w:iCs/>
        </w:rPr>
        <w:t>50</w:t>
      </w:r>
      <w:r w:rsidRPr="00E14CDC">
        <w:rPr>
          <w:rFonts w:ascii="Times New Roman" w:hAnsi="Times New Roman" w:cs="Times New Roman"/>
        </w:rPr>
        <w:t>(4), 390–398.</w:t>
      </w:r>
    </w:p>
    <w:p w14:paraId="13334730"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McDonnell, P. M. (1975). The development of visually guided reaching. </w:t>
      </w:r>
      <w:r w:rsidRPr="00E14CDC">
        <w:rPr>
          <w:rFonts w:ascii="Times New Roman" w:hAnsi="Times New Roman" w:cs="Times New Roman"/>
          <w:i/>
          <w:iCs/>
        </w:rPr>
        <w:t>Perception &amp; Psychophysics</w:t>
      </w:r>
      <w:r w:rsidRPr="00E14CDC">
        <w:rPr>
          <w:rFonts w:ascii="Times New Roman" w:hAnsi="Times New Roman" w:cs="Times New Roman"/>
        </w:rPr>
        <w:t xml:space="preserve">, </w:t>
      </w:r>
      <w:r w:rsidRPr="00E14CDC">
        <w:rPr>
          <w:rFonts w:ascii="Times New Roman" w:hAnsi="Times New Roman" w:cs="Times New Roman"/>
          <w:i/>
          <w:iCs/>
        </w:rPr>
        <w:t>18</w:t>
      </w:r>
      <w:r w:rsidRPr="00E14CDC">
        <w:rPr>
          <w:rFonts w:ascii="Times New Roman" w:hAnsi="Times New Roman" w:cs="Times New Roman"/>
        </w:rPr>
        <w:t>(3), 181–185. https://doi.org/10.3758/BF03205963</w:t>
      </w:r>
    </w:p>
    <w:p w14:paraId="313EAF64"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McDonnell, P. M., &amp; Abraham, W. C. (1979). Adaptation to Displacing Prisms in Human Infants. </w:t>
      </w:r>
      <w:r w:rsidRPr="00E14CDC">
        <w:rPr>
          <w:rFonts w:ascii="Times New Roman" w:hAnsi="Times New Roman" w:cs="Times New Roman"/>
          <w:i/>
          <w:iCs/>
        </w:rPr>
        <w:t>Perception</w:t>
      </w:r>
      <w:r w:rsidRPr="00E14CDC">
        <w:rPr>
          <w:rFonts w:ascii="Times New Roman" w:hAnsi="Times New Roman" w:cs="Times New Roman"/>
        </w:rPr>
        <w:t xml:space="preserve">, </w:t>
      </w:r>
      <w:r w:rsidRPr="00E14CDC">
        <w:rPr>
          <w:rFonts w:ascii="Times New Roman" w:hAnsi="Times New Roman" w:cs="Times New Roman"/>
          <w:i/>
          <w:iCs/>
        </w:rPr>
        <w:t>8</w:t>
      </w:r>
      <w:r w:rsidRPr="00E14CDC">
        <w:rPr>
          <w:rFonts w:ascii="Times New Roman" w:hAnsi="Times New Roman" w:cs="Times New Roman"/>
        </w:rPr>
        <w:t>(2), 175–185. https://doi.org/10.1068/p080175</w:t>
      </w:r>
    </w:p>
    <w:p w14:paraId="4CDB5696"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McDonnell, P. M., &amp; Abraham, W. C. (1981). A Longitudinal Study of Prism Adaptation in Infants from Six to Nine Months of Age. </w:t>
      </w:r>
      <w:r w:rsidRPr="00E14CDC">
        <w:rPr>
          <w:rFonts w:ascii="Times New Roman" w:hAnsi="Times New Roman" w:cs="Times New Roman"/>
          <w:i/>
          <w:iCs/>
        </w:rPr>
        <w:t>Child Development</w:t>
      </w:r>
      <w:r w:rsidRPr="00E14CDC">
        <w:rPr>
          <w:rFonts w:ascii="Times New Roman" w:hAnsi="Times New Roman" w:cs="Times New Roman"/>
        </w:rPr>
        <w:t xml:space="preserve">, </w:t>
      </w:r>
      <w:r w:rsidRPr="00E14CDC">
        <w:rPr>
          <w:rFonts w:ascii="Times New Roman" w:hAnsi="Times New Roman" w:cs="Times New Roman"/>
          <w:i/>
          <w:iCs/>
        </w:rPr>
        <w:t>52</w:t>
      </w:r>
      <w:r w:rsidRPr="00E14CDC">
        <w:rPr>
          <w:rFonts w:ascii="Times New Roman" w:hAnsi="Times New Roman" w:cs="Times New Roman"/>
        </w:rPr>
        <w:t>(2), 463–469. https://doi.org/10.2307/1129163</w:t>
      </w:r>
    </w:p>
    <w:p w14:paraId="1595885E"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Michel, G. F. (1991). Development of Infant Manual Skills: Motor Programs, Schemata, or Dynamic Systems?11Preparation of this chapter was supported in part by </w:t>
      </w:r>
      <w:r w:rsidRPr="00E14CDC">
        <w:rPr>
          <w:rFonts w:ascii="Times New Roman" w:hAnsi="Times New Roman" w:cs="Times New Roman"/>
        </w:rPr>
        <w:lastRenderedPageBreak/>
        <w:t xml:space="preserve">NICHHD grant number 5R01 HD22399. I would like to thank Celia L. Moore for comments on earlier versions. In J. Fagard &amp; P. H. Wolff (Eds.), </w:t>
      </w:r>
      <w:r w:rsidRPr="00E14CDC">
        <w:rPr>
          <w:rFonts w:ascii="Times New Roman" w:hAnsi="Times New Roman" w:cs="Times New Roman"/>
          <w:i/>
          <w:iCs/>
        </w:rPr>
        <w:t>Advances in Psychology</w:t>
      </w:r>
      <w:r w:rsidRPr="00E14CDC">
        <w:rPr>
          <w:rFonts w:ascii="Times New Roman" w:hAnsi="Times New Roman" w:cs="Times New Roman"/>
        </w:rPr>
        <w:t xml:space="preserve"> (Vol. 81, pp. 175–199). North-Holland. https://doi.org/10.1016/S0166-4115(08)60765-7</w:t>
      </w:r>
    </w:p>
    <w:p w14:paraId="249D49C1"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Pew, R. W. (1966). Acquisition of hierarchical control over the temporal organization of a skill. </w:t>
      </w:r>
      <w:r w:rsidRPr="00E14CDC">
        <w:rPr>
          <w:rFonts w:ascii="Times New Roman" w:hAnsi="Times New Roman" w:cs="Times New Roman"/>
          <w:i/>
          <w:iCs/>
        </w:rPr>
        <w:t>Journal of Experimental Psychology</w:t>
      </w:r>
      <w:r w:rsidRPr="00E14CDC">
        <w:rPr>
          <w:rFonts w:ascii="Times New Roman" w:hAnsi="Times New Roman" w:cs="Times New Roman"/>
        </w:rPr>
        <w:t xml:space="preserve">, </w:t>
      </w:r>
      <w:r w:rsidRPr="00E14CDC">
        <w:rPr>
          <w:rFonts w:ascii="Times New Roman" w:hAnsi="Times New Roman" w:cs="Times New Roman"/>
          <w:i/>
          <w:iCs/>
        </w:rPr>
        <w:t>71</w:t>
      </w:r>
      <w:r w:rsidRPr="00E14CDC">
        <w:rPr>
          <w:rFonts w:ascii="Times New Roman" w:hAnsi="Times New Roman" w:cs="Times New Roman"/>
        </w:rPr>
        <w:t>(5), 764.</w:t>
      </w:r>
    </w:p>
    <w:p w14:paraId="41232F27"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Piaget, J., &amp; Cook, M. (1952). </w:t>
      </w:r>
      <w:r w:rsidRPr="00E14CDC">
        <w:rPr>
          <w:rFonts w:ascii="Times New Roman" w:hAnsi="Times New Roman" w:cs="Times New Roman"/>
          <w:i/>
          <w:iCs/>
        </w:rPr>
        <w:t>The origins of intelligence in children</w:t>
      </w:r>
      <w:r w:rsidRPr="00E14CDC">
        <w:rPr>
          <w:rFonts w:ascii="Times New Roman" w:hAnsi="Times New Roman" w:cs="Times New Roman"/>
        </w:rPr>
        <w:t xml:space="preserve"> (Vol. 8, Issue 5). International Universities Press New York.</w:t>
      </w:r>
    </w:p>
    <w:p w14:paraId="7DD4D44A"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Robin, D. J., Berthier, N. E., &amp; Clifton, R. K. (1996). Infants’ predictive reaching for moving objects in the dark. </w:t>
      </w:r>
      <w:r w:rsidRPr="00E14CDC">
        <w:rPr>
          <w:rFonts w:ascii="Times New Roman" w:hAnsi="Times New Roman" w:cs="Times New Roman"/>
          <w:i/>
          <w:iCs/>
        </w:rPr>
        <w:t>Developmental Psychology</w:t>
      </w:r>
      <w:r w:rsidRPr="00E14CDC">
        <w:rPr>
          <w:rFonts w:ascii="Times New Roman" w:hAnsi="Times New Roman" w:cs="Times New Roman"/>
        </w:rPr>
        <w:t xml:space="preserve">, </w:t>
      </w:r>
      <w:r w:rsidRPr="00E14CDC">
        <w:rPr>
          <w:rFonts w:ascii="Times New Roman" w:hAnsi="Times New Roman" w:cs="Times New Roman"/>
          <w:i/>
          <w:iCs/>
        </w:rPr>
        <w:t>32</w:t>
      </w:r>
      <w:r w:rsidRPr="00E14CDC">
        <w:rPr>
          <w:rFonts w:ascii="Times New Roman" w:hAnsi="Times New Roman" w:cs="Times New Roman"/>
        </w:rPr>
        <w:t>(5), 824.</w:t>
      </w:r>
    </w:p>
    <w:p w14:paraId="68E11504"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Thelen, E. (1991). Timing in motor development as emergent process and product. In </w:t>
      </w:r>
      <w:r w:rsidRPr="00E14CDC">
        <w:rPr>
          <w:rFonts w:ascii="Times New Roman" w:hAnsi="Times New Roman" w:cs="Times New Roman"/>
          <w:i/>
          <w:iCs/>
        </w:rPr>
        <w:t>Advances in psychology</w:t>
      </w:r>
      <w:r w:rsidRPr="00E14CDC">
        <w:rPr>
          <w:rFonts w:ascii="Times New Roman" w:hAnsi="Times New Roman" w:cs="Times New Roman"/>
        </w:rPr>
        <w:t xml:space="preserve"> (Vol. 81, pp. 201–211). Elsevier.</w:t>
      </w:r>
    </w:p>
    <w:p w14:paraId="1DF0174B"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Thelen, E. (1995). Motor development: A new synthesis. </w:t>
      </w:r>
      <w:r w:rsidRPr="00E14CDC">
        <w:rPr>
          <w:rFonts w:ascii="Times New Roman" w:hAnsi="Times New Roman" w:cs="Times New Roman"/>
          <w:i/>
          <w:iCs/>
        </w:rPr>
        <w:t>American Psychologist</w:t>
      </w:r>
      <w:r w:rsidRPr="00E14CDC">
        <w:rPr>
          <w:rFonts w:ascii="Times New Roman" w:hAnsi="Times New Roman" w:cs="Times New Roman"/>
        </w:rPr>
        <w:t xml:space="preserve">, </w:t>
      </w:r>
      <w:r w:rsidRPr="00E14CDC">
        <w:rPr>
          <w:rFonts w:ascii="Times New Roman" w:hAnsi="Times New Roman" w:cs="Times New Roman"/>
          <w:i/>
          <w:iCs/>
        </w:rPr>
        <w:t>50</w:t>
      </w:r>
      <w:r w:rsidRPr="00E14CDC">
        <w:rPr>
          <w:rFonts w:ascii="Times New Roman" w:hAnsi="Times New Roman" w:cs="Times New Roman"/>
        </w:rPr>
        <w:t>(2), 79–95. https://doi.org/10.1037/0003-066X.50.2.79</w:t>
      </w:r>
    </w:p>
    <w:p w14:paraId="1EBA4DBF"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Thelen, E., Corbetta, D., Kamm, K., Spencer, J. P., Schneider, K., &amp; Zernicke, R. F. (1993). The transition to reaching: Mapping intention and intrinsic dynamics. </w:t>
      </w:r>
      <w:r w:rsidRPr="00E14CDC">
        <w:rPr>
          <w:rFonts w:ascii="Times New Roman" w:hAnsi="Times New Roman" w:cs="Times New Roman"/>
          <w:i/>
          <w:iCs/>
        </w:rPr>
        <w:t>Child Development</w:t>
      </w:r>
      <w:r w:rsidRPr="00E14CDC">
        <w:rPr>
          <w:rFonts w:ascii="Times New Roman" w:hAnsi="Times New Roman" w:cs="Times New Roman"/>
        </w:rPr>
        <w:t xml:space="preserve">, </w:t>
      </w:r>
      <w:r w:rsidRPr="00E14CDC">
        <w:rPr>
          <w:rFonts w:ascii="Times New Roman" w:hAnsi="Times New Roman" w:cs="Times New Roman"/>
          <w:i/>
          <w:iCs/>
        </w:rPr>
        <w:t>64</w:t>
      </w:r>
      <w:r w:rsidRPr="00E14CDC">
        <w:rPr>
          <w:rFonts w:ascii="Times New Roman" w:hAnsi="Times New Roman" w:cs="Times New Roman"/>
        </w:rPr>
        <w:t>(4), 1058–1098.</w:t>
      </w:r>
    </w:p>
    <w:p w14:paraId="6C456662"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Thelen, E., Corbetta, D., &amp; Spencer, J. P. (1996). Development of reaching during the first year: Role of movement speed. </w:t>
      </w:r>
      <w:r w:rsidRPr="00E14CDC">
        <w:rPr>
          <w:rFonts w:ascii="Times New Roman" w:hAnsi="Times New Roman" w:cs="Times New Roman"/>
          <w:i/>
          <w:iCs/>
        </w:rPr>
        <w:t>Journal of Experimental Psychology: Human Perception and Performance</w:t>
      </w:r>
      <w:r w:rsidRPr="00E14CDC">
        <w:rPr>
          <w:rFonts w:ascii="Times New Roman" w:hAnsi="Times New Roman" w:cs="Times New Roman"/>
        </w:rPr>
        <w:t xml:space="preserve">, </w:t>
      </w:r>
      <w:r w:rsidRPr="00E14CDC">
        <w:rPr>
          <w:rFonts w:ascii="Times New Roman" w:hAnsi="Times New Roman" w:cs="Times New Roman"/>
          <w:i/>
          <w:iCs/>
        </w:rPr>
        <w:t>22</w:t>
      </w:r>
      <w:r w:rsidRPr="00E14CDC">
        <w:rPr>
          <w:rFonts w:ascii="Times New Roman" w:hAnsi="Times New Roman" w:cs="Times New Roman"/>
        </w:rPr>
        <w:t>(5), 1059.</w:t>
      </w:r>
    </w:p>
    <w:p w14:paraId="3D75C12D"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lastRenderedPageBreak/>
        <w:t xml:space="preserve">van Den Berg, C. (2000). A Dynamical Systems Approach To Movement Coordination. </w:t>
      </w:r>
      <w:r w:rsidRPr="00E14CDC">
        <w:rPr>
          <w:rFonts w:ascii="Times New Roman" w:hAnsi="Times New Roman" w:cs="Times New Roman"/>
          <w:i/>
          <w:iCs/>
        </w:rPr>
        <w:t>Netherlands Journal of Zoology</w:t>
      </w:r>
      <w:r w:rsidRPr="00E14CDC">
        <w:rPr>
          <w:rFonts w:ascii="Times New Roman" w:hAnsi="Times New Roman" w:cs="Times New Roman"/>
        </w:rPr>
        <w:t xml:space="preserve">, </w:t>
      </w:r>
      <w:r w:rsidRPr="00E14CDC">
        <w:rPr>
          <w:rFonts w:ascii="Times New Roman" w:hAnsi="Times New Roman" w:cs="Times New Roman"/>
          <w:i/>
          <w:iCs/>
        </w:rPr>
        <w:t>50</w:t>
      </w:r>
      <w:r w:rsidRPr="00E14CDC">
        <w:rPr>
          <w:rFonts w:ascii="Times New Roman" w:hAnsi="Times New Roman" w:cs="Times New Roman"/>
        </w:rPr>
        <w:t>(2), 163–178. https://doi.org/10.1163/156854200X00063</w:t>
      </w:r>
    </w:p>
    <w:p w14:paraId="6980B3B0"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van der Meer, A. L. (1997). Keeping the arm in the limelight: Advanced visual control of arm movements in neonates. </w:t>
      </w:r>
      <w:r w:rsidRPr="00E14CDC">
        <w:rPr>
          <w:rFonts w:ascii="Times New Roman" w:hAnsi="Times New Roman" w:cs="Times New Roman"/>
          <w:i/>
          <w:iCs/>
        </w:rPr>
        <w:t>European Journal of Paediatric Neurology</w:t>
      </w:r>
      <w:r w:rsidRPr="00E14CDC">
        <w:rPr>
          <w:rFonts w:ascii="Times New Roman" w:hAnsi="Times New Roman" w:cs="Times New Roman"/>
        </w:rPr>
        <w:t xml:space="preserve">, </w:t>
      </w:r>
      <w:r w:rsidRPr="00E14CDC">
        <w:rPr>
          <w:rFonts w:ascii="Times New Roman" w:hAnsi="Times New Roman" w:cs="Times New Roman"/>
          <w:i/>
          <w:iCs/>
        </w:rPr>
        <w:t>1</w:t>
      </w:r>
      <w:r w:rsidRPr="00E14CDC">
        <w:rPr>
          <w:rFonts w:ascii="Times New Roman" w:hAnsi="Times New Roman" w:cs="Times New Roman"/>
        </w:rPr>
        <w:t>(4), 103–108.</w:t>
      </w:r>
    </w:p>
    <w:p w14:paraId="097A46B3"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von Hofsten, C. (1977). Binocular Convergence as a Determinant of Reaching Behavior in Infancy. </w:t>
      </w:r>
      <w:r w:rsidRPr="00E14CDC">
        <w:rPr>
          <w:rFonts w:ascii="Times New Roman" w:hAnsi="Times New Roman" w:cs="Times New Roman"/>
          <w:i/>
          <w:iCs/>
        </w:rPr>
        <w:t>Perception</w:t>
      </w:r>
      <w:r w:rsidRPr="00E14CDC">
        <w:rPr>
          <w:rFonts w:ascii="Times New Roman" w:hAnsi="Times New Roman" w:cs="Times New Roman"/>
        </w:rPr>
        <w:t xml:space="preserve">, </w:t>
      </w:r>
      <w:r w:rsidRPr="00E14CDC">
        <w:rPr>
          <w:rFonts w:ascii="Times New Roman" w:hAnsi="Times New Roman" w:cs="Times New Roman"/>
          <w:i/>
          <w:iCs/>
        </w:rPr>
        <w:t>6</w:t>
      </w:r>
      <w:r w:rsidRPr="00E14CDC">
        <w:rPr>
          <w:rFonts w:ascii="Times New Roman" w:hAnsi="Times New Roman" w:cs="Times New Roman"/>
        </w:rPr>
        <w:t>(2), 139–144. https://doi.org/10.1068/p060139</w:t>
      </w:r>
    </w:p>
    <w:p w14:paraId="32F6F9C0"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von Hofsten, C. (1979). </w:t>
      </w:r>
      <w:r w:rsidRPr="00E14CDC">
        <w:rPr>
          <w:rFonts w:ascii="Times New Roman" w:hAnsi="Times New Roman" w:cs="Times New Roman"/>
          <w:i/>
          <w:iCs/>
        </w:rPr>
        <w:t>Development of visually directed reaching: The approach phase</w:t>
      </w:r>
      <w:r w:rsidRPr="00E14CDC">
        <w:rPr>
          <w:rFonts w:ascii="Times New Roman" w:hAnsi="Times New Roman" w:cs="Times New Roman"/>
        </w:rPr>
        <w:t>. Department of psychology, University of Uppsala.</w:t>
      </w:r>
    </w:p>
    <w:p w14:paraId="47D8017B"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von Hofsten, C. (1982). Eye–hand coordination in the newborn. </w:t>
      </w:r>
      <w:r w:rsidRPr="00E14CDC">
        <w:rPr>
          <w:rFonts w:ascii="Times New Roman" w:hAnsi="Times New Roman" w:cs="Times New Roman"/>
          <w:i/>
          <w:iCs/>
        </w:rPr>
        <w:t>Developmental Psychology</w:t>
      </w:r>
      <w:r w:rsidRPr="00E14CDC">
        <w:rPr>
          <w:rFonts w:ascii="Times New Roman" w:hAnsi="Times New Roman" w:cs="Times New Roman"/>
        </w:rPr>
        <w:t xml:space="preserve">, </w:t>
      </w:r>
      <w:r w:rsidRPr="00E14CDC">
        <w:rPr>
          <w:rFonts w:ascii="Times New Roman" w:hAnsi="Times New Roman" w:cs="Times New Roman"/>
          <w:i/>
          <w:iCs/>
        </w:rPr>
        <w:t>18</w:t>
      </w:r>
      <w:r w:rsidRPr="00E14CDC">
        <w:rPr>
          <w:rFonts w:ascii="Times New Roman" w:hAnsi="Times New Roman" w:cs="Times New Roman"/>
        </w:rPr>
        <w:t>(3), 450–461. https://doi.org/10.1037/0012-1649.18.3.450</w:t>
      </w:r>
    </w:p>
    <w:p w14:paraId="44BDB781"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von Hofsten, C. (1984). Developmental changes in the organization of prereaching movements. </w:t>
      </w:r>
      <w:r w:rsidRPr="00E14CDC">
        <w:rPr>
          <w:rFonts w:ascii="Times New Roman" w:hAnsi="Times New Roman" w:cs="Times New Roman"/>
          <w:i/>
          <w:iCs/>
        </w:rPr>
        <w:t>Developmental Psychology</w:t>
      </w:r>
      <w:r w:rsidRPr="00E14CDC">
        <w:rPr>
          <w:rFonts w:ascii="Times New Roman" w:hAnsi="Times New Roman" w:cs="Times New Roman"/>
        </w:rPr>
        <w:t xml:space="preserve">, </w:t>
      </w:r>
      <w:r w:rsidRPr="00E14CDC">
        <w:rPr>
          <w:rFonts w:ascii="Times New Roman" w:hAnsi="Times New Roman" w:cs="Times New Roman"/>
          <w:i/>
          <w:iCs/>
        </w:rPr>
        <w:t>20</w:t>
      </w:r>
      <w:r w:rsidRPr="00E14CDC">
        <w:rPr>
          <w:rFonts w:ascii="Times New Roman" w:hAnsi="Times New Roman" w:cs="Times New Roman"/>
        </w:rPr>
        <w:t>(3), 378–388. https://doi.org/10.1037/0012-1649.20.3.378</w:t>
      </w:r>
    </w:p>
    <w:p w14:paraId="3D35B850"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von Hofsten, C. (1991). Structuring of early reaching movements: A longitudinal study. </w:t>
      </w:r>
      <w:r w:rsidRPr="00E14CDC">
        <w:rPr>
          <w:rFonts w:ascii="Times New Roman" w:hAnsi="Times New Roman" w:cs="Times New Roman"/>
          <w:i/>
          <w:iCs/>
        </w:rPr>
        <w:t>Journal of Motor Behavior</w:t>
      </w:r>
      <w:r w:rsidRPr="00E14CDC">
        <w:rPr>
          <w:rFonts w:ascii="Times New Roman" w:hAnsi="Times New Roman" w:cs="Times New Roman"/>
        </w:rPr>
        <w:t xml:space="preserve">, </w:t>
      </w:r>
      <w:r w:rsidRPr="00E14CDC">
        <w:rPr>
          <w:rFonts w:ascii="Times New Roman" w:hAnsi="Times New Roman" w:cs="Times New Roman"/>
          <w:i/>
          <w:iCs/>
        </w:rPr>
        <w:t>23</w:t>
      </w:r>
      <w:r w:rsidRPr="00E14CDC">
        <w:rPr>
          <w:rFonts w:ascii="Times New Roman" w:hAnsi="Times New Roman" w:cs="Times New Roman"/>
        </w:rPr>
        <w:t>(4), 280–292.</w:t>
      </w:r>
    </w:p>
    <w:p w14:paraId="50ECB6D8"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von Hofsten, C., &amp; Fazel-Zandy, S. (1984). Development of visually guided hand orientation in reaching. </w:t>
      </w:r>
      <w:r w:rsidRPr="00E14CDC">
        <w:rPr>
          <w:rFonts w:ascii="Times New Roman" w:hAnsi="Times New Roman" w:cs="Times New Roman"/>
          <w:i/>
          <w:iCs/>
        </w:rPr>
        <w:t>Journal of Experimental Child Psychology</w:t>
      </w:r>
      <w:r w:rsidRPr="00E14CDC">
        <w:rPr>
          <w:rFonts w:ascii="Times New Roman" w:hAnsi="Times New Roman" w:cs="Times New Roman"/>
        </w:rPr>
        <w:t xml:space="preserve">, </w:t>
      </w:r>
      <w:r w:rsidRPr="00E14CDC">
        <w:rPr>
          <w:rFonts w:ascii="Times New Roman" w:hAnsi="Times New Roman" w:cs="Times New Roman"/>
          <w:i/>
          <w:iCs/>
        </w:rPr>
        <w:t>38</w:t>
      </w:r>
      <w:r w:rsidRPr="00E14CDC">
        <w:rPr>
          <w:rFonts w:ascii="Times New Roman" w:hAnsi="Times New Roman" w:cs="Times New Roman"/>
        </w:rPr>
        <w:t>(2), 208–219.</w:t>
      </w:r>
    </w:p>
    <w:p w14:paraId="242F57E2"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lastRenderedPageBreak/>
        <w:t xml:space="preserve">von Hofsten, C., &amp; Lindhagen, K. (1979). Observations on the development of reaching for moving objects. </w:t>
      </w:r>
      <w:r w:rsidRPr="00E14CDC">
        <w:rPr>
          <w:rFonts w:ascii="Times New Roman" w:hAnsi="Times New Roman" w:cs="Times New Roman"/>
          <w:i/>
          <w:iCs/>
        </w:rPr>
        <w:t>Journal of Experimental Child Psychology</w:t>
      </w:r>
      <w:r w:rsidRPr="00E14CDC">
        <w:rPr>
          <w:rFonts w:ascii="Times New Roman" w:hAnsi="Times New Roman" w:cs="Times New Roman"/>
        </w:rPr>
        <w:t xml:space="preserve">, </w:t>
      </w:r>
      <w:r w:rsidRPr="00E14CDC">
        <w:rPr>
          <w:rFonts w:ascii="Times New Roman" w:hAnsi="Times New Roman" w:cs="Times New Roman"/>
          <w:i/>
          <w:iCs/>
        </w:rPr>
        <w:t>28</w:t>
      </w:r>
      <w:r w:rsidRPr="00E14CDC">
        <w:rPr>
          <w:rFonts w:ascii="Times New Roman" w:hAnsi="Times New Roman" w:cs="Times New Roman"/>
        </w:rPr>
        <w:t>(1), 158–173. https://doi.org/10.1016/0022-0965(79)90109-7</w:t>
      </w:r>
    </w:p>
    <w:p w14:paraId="474B43A8"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White, B. L., Castle, P., &amp; Held, R. (1964). Observations on the development of visually-directed reaching. </w:t>
      </w:r>
      <w:r w:rsidRPr="00E14CDC">
        <w:rPr>
          <w:rFonts w:ascii="Times New Roman" w:hAnsi="Times New Roman" w:cs="Times New Roman"/>
          <w:i/>
          <w:iCs/>
        </w:rPr>
        <w:t>Child Development</w:t>
      </w:r>
      <w:r w:rsidRPr="00E14CDC">
        <w:rPr>
          <w:rFonts w:ascii="Times New Roman" w:hAnsi="Times New Roman" w:cs="Times New Roman"/>
        </w:rPr>
        <w:t>, 349–364.</w:t>
      </w:r>
    </w:p>
    <w:p w14:paraId="2D6F539B" w14:textId="77777777" w:rsidR="00D9618C" w:rsidRPr="00E14CDC" w:rsidRDefault="00D9618C" w:rsidP="00D9618C">
      <w:pPr>
        <w:pStyle w:val="Bibliography"/>
        <w:rPr>
          <w:rFonts w:ascii="Times New Roman" w:hAnsi="Times New Roman" w:cs="Times New Roman"/>
        </w:rPr>
      </w:pPr>
      <w:r w:rsidRPr="00E14CDC">
        <w:rPr>
          <w:rFonts w:ascii="Times New Roman" w:hAnsi="Times New Roman" w:cs="Times New Roman"/>
        </w:rPr>
        <w:t xml:space="preserve">Williams, J. L., Corbetta, D., &amp; Cobb, L. (2015). How perception, action, functional value, and context can shape the development of infant reaching. </w:t>
      </w:r>
      <w:r w:rsidRPr="00E14CDC">
        <w:rPr>
          <w:rFonts w:ascii="Times New Roman" w:hAnsi="Times New Roman" w:cs="Times New Roman"/>
          <w:i/>
          <w:iCs/>
        </w:rPr>
        <w:t>Movement &amp; Sport Sciences-Science &amp; Motricité</w:t>
      </w:r>
      <w:r w:rsidRPr="00E14CDC">
        <w:rPr>
          <w:rFonts w:ascii="Times New Roman" w:hAnsi="Times New Roman" w:cs="Times New Roman"/>
        </w:rPr>
        <w:t xml:space="preserve">, </w:t>
      </w:r>
      <w:r w:rsidRPr="00E14CDC">
        <w:rPr>
          <w:rFonts w:ascii="Times New Roman" w:hAnsi="Times New Roman" w:cs="Times New Roman"/>
          <w:i/>
          <w:iCs/>
        </w:rPr>
        <w:t>89</w:t>
      </w:r>
      <w:r w:rsidRPr="00E14CDC">
        <w:rPr>
          <w:rFonts w:ascii="Times New Roman" w:hAnsi="Times New Roman" w:cs="Times New Roman"/>
        </w:rPr>
        <w:t>, 5–15.</w:t>
      </w:r>
    </w:p>
    <w:p w14:paraId="35F96646" w14:textId="1B4538F2" w:rsidR="008F2A6C" w:rsidRPr="00D618B7" w:rsidRDefault="00717D9F" w:rsidP="00717D9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E14CDC">
        <w:fldChar w:fldCharType="end"/>
      </w:r>
      <w:r w:rsidR="00236E6D" w:rsidRPr="00D618B7">
        <w:br w:type="page"/>
      </w:r>
      <w:bookmarkStart w:id="113" w:name="_Toc420995912"/>
      <w:bookmarkStart w:id="114" w:name="_Toc422997499"/>
    </w:p>
    <w:p w14:paraId="3BD549D8" w14:textId="29AA8542" w:rsidR="00236E6D" w:rsidRPr="00D618B7" w:rsidRDefault="00236E6D" w:rsidP="00CC578B">
      <w:pPr>
        <w:pStyle w:val="AltHeading1"/>
        <w:numPr>
          <w:ilvl w:val="0"/>
          <w:numId w:val="0"/>
        </w:numPr>
      </w:pPr>
      <w:bookmarkStart w:id="115" w:name="_Toc427156484"/>
      <w:bookmarkStart w:id="116" w:name="_Toc173185095"/>
      <w:r w:rsidRPr="00D618B7">
        <w:lastRenderedPageBreak/>
        <w:t>A</w:t>
      </w:r>
      <w:r w:rsidR="00E91931" w:rsidRPr="00D618B7">
        <w:t>ppendi</w:t>
      </w:r>
      <w:r w:rsidR="00865AA1" w:rsidRPr="00D618B7">
        <w:t>ces</w:t>
      </w:r>
      <w:bookmarkEnd w:id="113"/>
      <w:bookmarkEnd w:id="114"/>
      <w:bookmarkEnd w:id="115"/>
      <w:bookmarkEnd w:id="116"/>
    </w:p>
    <w:p w14:paraId="55DFA10A" w14:textId="1234BA18" w:rsidR="004B7288" w:rsidRPr="00D618B7" w:rsidRDefault="004B7288" w:rsidP="004B7288">
      <w:pPr>
        <w:rPr>
          <w:b/>
          <w:bCs/>
        </w:rPr>
      </w:pPr>
      <w:bookmarkStart w:id="117" w:name="_Toc172716829"/>
      <w:r w:rsidRPr="00D618B7">
        <w:rPr>
          <w:b/>
          <w:bCs/>
        </w:rPr>
        <w:t xml:space="preserve">Table </w:t>
      </w:r>
      <w:r w:rsidRPr="00D618B7">
        <w:rPr>
          <w:b/>
          <w:bCs/>
        </w:rPr>
        <w:fldChar w:fldCharType="begin"/>
      </w:r>
      <w:r w:rsidRPr="00D618B7">
        <w:rPr>
          <w:b/>
          <w:bCs/>
        </w:rPr>
        <w:instrText xml:space="preserve"> SEQ Table \* ARABIC </w:instrText>
      </w:r>
      <w:r w:rsidRPr="00D618B7">
        <w:rPr>
          <w:b/>
          <w:bCs/>
        </w:rPr>
        <w:fldChar w:fldCharType="separate"/>
      </w:r>
      <w:r w:rsidR="000C6E43">
        <w:rPr>
          <w:b/>
          <w:bCs/>
          <w:noProof/>
        </w:rPr>
        <w:t>1</w:t>
      </w:r>
      <w:r w:rsidRPr="00D618B7">
        <w:rPr>
          <w:b/>
          <w:bCs/>
        </w:rPr>
        <w:fldChar w:fldCharType="end"/>
      </w:r>
      <w:r w:rsidR="00145E6A" w:rsidRPr="00D618B7">
        <w:rPr>
          <w:b/>
          <w:bCs/>
        </w:rPr>
        <w:t>:</w:t>
      </w:r>
      <w:r w:rsidRPr="00D618B7">
        <w:rPr>
          <w:b/>
          <w:bCs/>
        </w:rPr>
        <w:t xml:space="preserve"> </w:t>
      </w:r>
      <w:r w:rsidR="00145E6A" w:rsidRPr="00D618B7">
        <w:rPr>
          <w:b/>
          <w:bCs/>
        </w:rPr>
        <w:t>Age by Reach-onset</w:t>
      </w:r>
      <w:r w:rsidRPr="00D618B7">
        <w:rPr>
          <w:b/>
          <w:bCs/>
        </w:rPr>
        <w:t>.</w:t>
      </w:r>
      <w:bookmarkEnd w:id="117"/>
    </w:p>
    <w:p w14:paraId="594B5B8A" w14:textId="77777777" w:rsidR="004B7288" w:rsidRPr="00D618B7" w:rsidRDefault="004B7288" w:rsidP="004150DC">
      <w:bookmarkStart w:id="118" w:name="_Hlk169817525"/>
    </w:p>
    <w:p w14:paraId="0A30FE8C" w14:textId="7DEF1D7E" w:rsidR="004150DC" w:rsidRPr="00D618B7" w:rsidRDefault="00EE345D" w:rsidP="004150DC">
      <w:r w:rsidRPr="00D618B7">
        <w:t>Chronological age over observation weeks around reach onset.</w:t>
      </w:r>
    </w:p>
    <w:tbl>
      <w:tblPr>
        <w:tblW w:w="5000" w:type="pct"/>
        <w:tblLook w:val="04A0" w:firstRow="1" w:lastRow="0" w:firstColumn="1" w:lastColumn="0" w:noHBand="0" w:noVBand="1"/>
      </w:tblPr>
      <w:tblGrid>
        <w:gridCol w:w="790"/>
        <w:gridCol w:w="713"/>
        <w:gridCol w:w="713"/>
        <w:gridCol w:w="714"/>
        <w:gridCol w:w="714"/>
        <w:gridCol w:w="714"/>
        <w:gridCol w:w="714"/>
        <w:gridCol w:w="714"/>
        <w:gridCol w:w="714"/>
        <w:gridCol w:w="715"/>
        <w:gridCol w:w="715"/>
        <w:gridCol w:w="710"/>
      </w:tblGrid>
      <w:tr w:rsidR="00CF5DDC" w:rsidRPr="00D618B7" w14:paraId="6C8C70F6" w14:textId="77777777" w:rsidTr="00EE345D">
        <w:trPr>
          <w:trHeight w:val="330"/>
        </w:trPr>
        <w:tc>
          <w:tcPr>
            <w:tcW w:w="457" w:type="pct"/>
            <w:tcBorders>
              <w:top w:val="single" w:sz="8" w:space="0" w:color="auto"/>
              <w:left w:val="nil"/>
              <w:bottom w:val="nil"/>
              <w:right w:val="nil"/>
            </w:tcBorders>
            <w:shd w:val="clear" w:color="000000" w:fill="FFFFFF"/>
            <w:vAlign w:val="center"/>
            <w:hideMark/>
          </w:tcPr>
          <w:bookmarkEnd w:id="118"/>
          <w:p w14:paraId="7C3F0200" w14:textId="77777777" w:rsidR="00CF5DDC" w:rsidRPr="00D618B7" w:rsidRDefault="00CF5DDC" w:rsidP="004B11B7">
            <w:pPr>
              <w:jc w:val="center"/>
              <w:rPr>
                <w:color w:val="000000"/>
              </w:rPr>
            </w:pPr>
            <w:r w:rsidRPr="00D618B7">
              <w:rPr>
                <w:color w:val="000000"/>
              </w:rPr>
              <w:t>Infant</w:t>
            </w:r>
          </w:p>
        </w:tc>
        <w:tc>
          <w:tcPr>
            <w:tcW w:w="4543" w:type="pct"/>
            <w:gridSpan w:val="11"/>
            <w:tcBorders>
              <w:top w:val="single" w:sz="8" w:space="0" w:color="auto"/>
              <w:left w:val="nil"/>
              <w:bottom w:val="single" w:sz="8" w:space="0" w:color="auto"/>
              <w:right w:val="nil"/>
            </w:tcBorders>
            <w:shd w:val="clear" w:color="000000" w:fill="FFFFFF"/>
            <w:vAlign w:val="center"/>
            <w:hideMark/>
          </w:tcPr>
          <w:p w14:paraId="183CB8DB" w14:textId="77777777" w:rsidR="00CF5DDC" w:rsidRPr="00D618B7" w:rsidRDefault="00CF5DDC" w:rsidP="004B11B7">
            <w:pPr>
              <w:jc w:val="center"/>
              <w:rPr>
                <w:color w:val="000000"/>
              </w:rPr>
            </w:pPr>
            <w:r w:rsidRPr="00D618B7">
              <w:rPr>
                <w:color w:val="000000"/>
              </w:rPr>
              <w:t>Week Around Reach-Onset</w:t>
            </w:r>
          </w:p>
        </w:tc>
      </w:tr>
      <w:tr w:rsidR="00EE345D" w:rsidRPr="00D618B7" w14:paraId="2301BD9A" w14:textId="77777777" w:rsidTr="00EE345D">
        <w:trPr>
          <w:trHeight w:val="330"/>
        </w:trPr>
        <w:tc>
          <w:tcPr>
            <w:tcW w:w="457" w:type="pct"/>
            <w:tcBorders>
              <w:top w:val="nil"/>
              <w:left w:val="nil"/>
              <w:bottom w:val="single" w:sz="8" w:space="0" w:color="auto"/>
              <w:right w:val="nil"/>
            </w:tcBorders>
            <w:shd w:val="clear" w:color="000000" w:fill="FFFFFF"/>
            <w:vAlign w:val="center"/>
            <w:hideMark/>
          </w:tcPr>
          <w:p w14:paraId="62D6918A" w14:textId="77777777" w:rsidR="00CF5DDC" w:rsidRPr="00D618B7" w:rsidRDefault="00CF5DDC" w:rsidP="004B11B7">
            <w:pPr>
              <w:rPr>
                <w:color w:val="000000"/>
              </w:rPr>
            </w:pPr>
            <w:r w:rsidRPr="00D618B7">
              <w:rPr>
                <w:color w:val="000000"/>
              </w:rPr>
              <w:t> </w:t>
            </w:r>
          </w:p>
        </w:tc>
        <w:tc>
          <w:tcPr>
            <w:tcW w:w="413" w:type="pct"/>
            <w:tcBorders>
              <w:top w:val="nil"/>
              <w:left w:val="nil"/>
              <w:bottom w:val="single" w:sz="8" w:space="0" w:color="auto"/>
              <w:right w:val="nil"/>
            </w:tcBorders>
            <w:shd w:val="clear" w:color="000000" w:fill="FFFFFF"/>
            <w:vAlign w:val="center"/>
            <w:hideMark/>
          </w:tcPr>
          <w:p w14:paraId="5C9A44DB" w14:textId="77777777" w:rsidR="00CF5DDC" w:rsidRPr="00D618B7" w:rsidRDefault="00CF5DDC" w:rsidP="004B11B7">
            <w:pPr>
              <w:jc w:val="center"/>
              <w:rPr>
                <w:color w:val="000000"/>
              </w:rPr>
            </w:pPr>
            <w:r w:rsidRPr="00D618B7">
              <w:rPr>
                <w:color w:val="000000"/>
              </w:rPr>
              <w:t>-5</w:t>
            </w:r>
          </w:p>
        </w:tc>
        <w:tc>
          <w:tcPr>
            <w:tcW w:w="413" w:type="pct"/>
            <w:tcBorders>
              <w:top w:val="nil"/>
              <w:left w:val="nil"/>
              <w:bottom w:val="single" w:sz="8" w:space="0" w:color="auto"/>
              <w:right w:val="nil"/>
            </w:tcBorders>
            <w:shd w:val="clear" w:color="000000" w:fill="FFFFFF"/>
            <w:vAlign w:val="center"/>
            <w:hideMark/>
          </w:tcPr>
          <w:p w14:paraId="25506AB7" w14:textId="77777777" w:rsidR="00CF5DDC" w:rsidRPr="00D618B7" w:rsidRDefault="00CF5DDC" w:rsidP="004B11B7">
            <w:pPr>
              <w:jc w:val="center"/>
              <w:rPr>
                <w:color w:val="000000"/>
              </w:rPr>
            </w:pPr>
            <w:r w:rsidRPr="00D618B7">
              <w:rPr>
                <w:color w:val="000000"/>
              </w:rPr>
              <w:t>-4</w:t>
            </w:r>
          </w:p>
        </w:tc>
        <w:tc>
          <w:tcPr>
            <w:tcW w:w="413" w:type="pct"/>
            <w:tcBorders>
              <w:top w:val="nil"/>
              <w:left w:val="nil"/>
              <w:bottom w:val="single" w:sz="8" w:space="0" w:color="auto"/>
              <w:right w:val="nil"/>
            </w:tcBorders>
            <w:shd w:val="clear" w:color="000000" w:fill="FFFFFF"/>
            <w:vAlign w:val="center"/>
            <w:hideMark/>
          </w:tcPr>
          <w:p w14:paraId="191AAA33" w14:textId="77777777" w:rsidR="00CF5DDC" w:rsidRPr="00D618B7" w:rsidRDefault="00CF5DDC" w:rsidP="004B11B7">
            <w:pPr>
              <w:jc w:val="center"/>
              <w:rPr>
                <w:color w:val="000000"/>
              </w:rPr>
            </w:pPr>
            <w:r w:rsidRPr="00D618B7">
              <w:rPr>
                <w:color w:val="000000"/>
              </w:rPr>
              <w:t>-3</w:t>
            </w:r>
          </w:p>
        </w:tc>
        <w:tc>
          <w:tcPr>
            <w:tcW w:w="413" w:type="pct"/>
            <w:tcBorders>
              <w:top w:val="nil"/>
              <w:left w:val="nil"/>
              <w:bottom w:val="single" w:sz="8" w:space="0" w:color="auto"/>
              <w:right w:val="nil"/>
            </w:tcBorders>
            <w:shd w:val="clear" w:color="000000" w:fill="FFFFFF"/>
            <w:vAlign w:val="center"/>
            <w:hideMark/>
          </w:tcPr>
          <w:p w14:paraId="2F003774" w14:textId="77777777" w:rsidR="00CF5DDC" w:rsidRPr="00D618B7" w:rsidRDefault="00CF5DDC" w:rsidP="004B11B7">
            <w:pPr>
              <w:jc w:val="center"/>
              <w:rPr>
                <w:color w:val="000000"/>
              </w:rPr>
            </w:pPr>
            <w:r w:rsidRPr="00D618B7">
              <w:rPr>
                <w:color w:val="000000"/>
              </w:rPr>
              <w:t>-2</w:t>
            </w:r>
          </w:p>
        </w:tc>
        <w:tc>
          <w:tcPr>
            <w:tcW w:w="413" w:type="pct"/>
            <w:tcBorders>
              <w:top w:val="nil"/>
              <w:left w:val="nil"/>
              <w:bottom w:val="single" w:sz="8" w:space="0" w:color="auto"/>
              <w:right w:val="nil"/>
            </w:tcBorders>
            <w:shd w:val="clear" w:color="000000" w:fill="FFFFFF"/>
            <w:vAlign w:val="center"/>
            <w:hideMark/>
          </w:tcPr>
          <w:p w14:paraId="365C1736" w14:textId="77777777" w:rsidR="00CF5DDC" w:rsidRPr="00D618B7" w:rsidRDefault="00CF5DDC" w:rsidP="004B11B7">
            <w:pPr>
              <w:jc w:val="center"/>
              <w:rPr>
                <w:color w:val="000000"/>
              </w:rPr>
            </w:pPr>
            <w:r w:rsidRPr="00D618B7">
              <w:rPr>
                <w:color w:val="000000"/>
              </w:rPr>
              <w:t>-1</w:t>
            </w:r>
          </w:p>
        </w:tc>
        <w:tc>
          <w:tcPr>
            <w:tcW w:w="413" w:type="pct"/>
            <w:tcBorders>
              <w:top w:val="nil"/>
              <w:left w:val="nil"/>
              <w:bottom w:val="single" w:sz="8" w:space="0" w:color="auto"/>
              <w:right w:val="nil"/>
            </w:tcBorders>
            <w:shd w:val="clear" w:color="000000" w:fill="FFFFFF"/>
            <w:vAlign w:val="center"/>
            <w:hideMark/>
          </w:tcPr>
          <w:p w14:paraId="05F343B2" w14:textId="77777777" w:rsidR="00CF5DDC" w:rsidRPr="00D618B7" w:rsidRDefault="00CF5DDC" w:rsidP="004B11B7">
            <w:pPr>
              <w:jc w:val="center"/>
              <w:rPr>
                <w:color w:val="000000"/>
              </w:rPr>
            </w:pPr>
            <w:r w:rsidRPr="00D618B7">
              <w:rPr>
                <w:color w:val="000000"/>
              </w:rPr>
              <w:t>0</w:t>
            </w:r>
          </w:p>
        </w:tc>
        <w:tc>
          <w:tcPr>
            <w:tcW w:w="413" w:type="pct"/>
            <w:tcBorders>
              <w:top w:val="nil"/>
              <w:left w:val="nil"/>
              <w:bottom w:val="single" w:sz="8" w:space="0" w:color="auto"/>
              <w:right w:val="nil"/>
            </w:tcBorders>
            <w:shd w:val="clear" w:color="000000" w:fill="FFFFFF"/>
            <w:vAlign w:val="center"/>
            <w:hideMark/>
          </w:tcPr>
          <w:p w14:paraId="6078A54E" w14:textId="77777777" w:rsidR="00CF5DDC" w:rsidRPr="00D618B7" w:rsidRDefault="00CF5DDC" w:rsidP="004B11B7">
            <w:pPr>
              <w:jc w:val="center"/>
              <w:rPr>
                <w:color w:val="000000"/>
              </w:rPr>
            </w:pPr>
            <w:r w:rsidRPr="00D618B7">
              <w:rPr>
                <w:color w:val="000000"/>
              </w:rPr>
              <w:t>1</w:t>
            </w:r>
          </w:p>
        </w:tc>
        <w:tc>
          <w:tcPr>
            <w:tcW w:w="413" w:type="pct"/>
            <w:tcBorders>
              <w:top w:val="nil"/>
              <w:left w:val="nil"/>
              <w:bottom w:val="single" w:sz="8" w:space="0" w:color="auto"/>
              <w:right w:val="nil"/>
            </w:tcBorders>
            <w:shd w:val="clear" w:color="000000" w:fill="FFFFFF"/>
            <w:vAlign w:val="center"/>
            <w:hideMark/>
          </w:tcPr>
          <w:p w14:paraId="0F6A9088" w14:textId="77777777" w:rsidR="00CF5DDC" w:rsidRPr="00D618B7" w:rsidRDefault="00CF5DDC" w:rsidP="004B11B7">
            <w:pPr>
              <w:jc w:val="center"/>
              <w:rPr>
                <w:color w:val="000000"/>
              </w:rPr>
            </w:pPr>
            <w:r w:rsidRPr="00D618B7">
              <w:rPr>
                <w:color w:val="000000"/>
              </w:rPr>
              <w:t>2</w:t>
            </w:r>
          </w:p>
        </w:tc>
        <w:tc>
          <w:tcPr>
            <w:tcW w:w="414" w:type="pct"/>
            <w:tcBorders>
              <w:top w:val="nil"/>
              <w:left w:val="nil"/>
              <w:bottom w:val="single" w:sz="8" w:space="0" w:color="auto"/>
              <w:right w:val="nil"/>
            </w:tcBorders>
            <w:shd w:val="clear" w:color="000000" w:fill="FFFFFF"/>
            <w:vAlign w:val="center"/>
            <w:hideMark/>
          </w:tcPr>
          <w:p w14:paraId="06377A2A" w14:textId="77777777" w:rsidR="00CF5DDC" w:rsidRPr="00D618B7" w:rsidRDefault="00CF5DDC" w:rsidP="004B11B7">
            <w:pPr>
              <w:jc w:val="center"/>
              <w:rPr>
                <w:color w:val="000000"/>
              </w:rPr>
            </w:pPr>
            <w:r w:rsidRPr="00D618B7">
              <w:rPr>
                <w:color w:val="000000"/>
              </w:rPr>
              <w:t>3</w:t>
            </w:r>
          </w:p>
        </w:tc>
        <w:tc>
          <w:tcPr>
            <w:tcW w:w="414" w:type="pct"/>
            <w:tcBorders>
              <w:top w:val="nil"/>
              <w:left w:val="nil"/>
              <w:bottom w:val="single" w:sz="8" w:space="0" w:color="auto"/>
              <w:right w:val="nil"/>
            </w:tcBorders>
            <w:shd w:val="clear" w:color="000000" w:fill="FFFFFF"/>
            <w:vAlign w:val="center"/>
            <w:hideMark/>
          </w:tcPr>
          <w:p w14:paraId="19565F0C" w14:textId="77777777" w:rsidR="00CF5DDC" w:rsidRPr="00D618B7" w:rsidRDefault="00CF5DDC" w:rsidP="004B11B7">
            <w:pPr>
              <w:jc w:val="center"/>
              <w:rPr>
                <w:color w:val="000000"/>
              </w:rPr>
            </w:pPr>
            <w:r w:rsidRPr="00D618B7">
              <w:rPr>
                <w:color w:val="000000"/>
              </w:rPr>
              <w:t>4</w:t>
            </w:r>
          </w:p>
        </w:tc>
        <w:tc>
          <w:tcPr>
            <w:tcW w:w="410" w:type="pct"/>
            <w:tcBorders>
              <w:top w:val="nil"/>
              <w:left w:val="nil"/>
              <w:bottom w:val="single" w:sz="8" w:space="0" w:color="auto"/>
              <w:right w:val="nil"/>
            </w:tcBorders>
            <w:shd w:val="clear" w:color="000000" w:fill="FFFFFF"/>
            <w:vAlign w:val="center"/>
            <w:hideMark/>
          </w:tcPr>
          <w:p w14:paraId="21891545" w14:textId="77777777" w:rsidR="00CF5DDC" w:rsidRPr="00D618B7" w:rsidRDefault="00CF5DDC" w:rsidP="004B11B7">
            <w:pPr>
              <w:jc w:val="center"/>
              <w:rPr>
                <w:color w:val="000000"/>
              </w:rPr>
            </w:pPr>
            <w:r w:rsidRPr="00D618B7">
              <w:rPr>
                <w:color w:val="000000"/>
              </w:rPr>
              <w:t>5</w:t>
            </w:r>
          </w:p>
        </w:tc>
      </w:tr>
      <w:tr w:rsidR="00CF5DDC" w:rsidRPr="00D618B7" w14:paraId="55A2AE2E" w14:textId="77777777" w:rsidTr="00EE345D">
        <w:trPr>
          <w:trHeight w:val="300"/>
        </w:trPr>
        <w:tc>
          <w:tcPr>
            <w:tcW w:w="457" w:type="pct"/>
            <w:tcBorders>
              <w:top w:val="nil"/>
              <w:left w:val="nil"/>
              <w:bottom w:val="nil"/>
              <w:right w:val="nil"/>
            </w:tcBorders>
            <w:shd w:val="clear" w:color="000000" w:fill="FFFFFF"/>
            <w:noWrap/>
            <w:vAlign w:val="center"/>
            <w:hideMark/>
          </w:tcPr>
          <w:p w14:paraId="14D38601" w14:textId="77777777" w:rsidR="00CF5DDC" w:rsidRPr="00D618B7" w:rsidRDefault="00CF5DDC" w:rsidP="004B11B7">
            <w:pPr>
              <w:rPr>
                <w:color w:val="000000"/>
              </w:rPr>
            </w:pPr>
            <w:r w:rsidRPr="00D618B7">
              <w:rPr>
                <w:color w:val="000000"/>
              </w:rPr>
              <w:t> </w:t>
            </w:r>
          </w:p>
        </w:tc>
        <w:tc>
          <w:tcPr>
            <w:tcW w:w="4543" w:type="pct"/>
            <w:gridSpan w:val="11"/>
            <w:tcBorders>
              <w:top w:val="single" w:sz="8" w:space="0" w:color="auto"/>
              <w:left w:val="nil"/>
              <w:bottom w:val="nil"/>
              <w:right w:val="nil"/>
            </w:tcBorders>
            <w:shd w:val="clear" w:color="000000" w:fill="FFFFFF"/>
            <w:noWrap/>
            <w:vAlign w:val="center"/>
            <w:hideMark/>
          </w:tcPr>
          <w:p w14:paraId="11C88BAA" w14:textId="77777777" w:rsidR="00CF5DDC" w:rsidRPr="00D618B7" w:rsidRDefault="00CF5DDC" w:rsidP="004B11B7">
            <w:pPr>
              <w:jc w:val="center"/>
              <w:rPr>
                <w:color w:val="000000"/>
              </w:rPr>
            </w:pPr>
            <w:r w:rsidRPr="00D618B7">
              <w:rPr>
                <w:color w:val="000000"/>
              </w:rPr>
              <w:t>Early Reach Group</w:t>
            </w:r>
          </w:p>
        </w:tc>
      </w:tr>
      <w:tr w:rsidR="00EE345D" w:rsidRPr="00D618B7" w14:paraId="0F879F41" w14:textId="77777777" w:rsidTr="00EE345D">
        <w:trPr>
          <w:trHeight w:val="315"/>
        </w:trPr>
        <w:tc>
          <w:tcPr>
            <w:tcW w:w="457" w:type="pct"/>
            <w:tcBorders>
              <w:top w:val="nil"/>
              <w:left w:val="nil"/>
              <w:bottom w:val="nil"/>
              <w:right w:val="nil"/>
            </w:tcBorders>
            <w:shd w:val="clear" w:color="000000" w:fill="FFFFFF"/>
            <w:vAlign w:val="center"/>
            <w:hideMark/>
          </w:tcPr>
          <w:p w14:paraId="5D01081B" w14:textId="77777777" w:rsidR="00CF5DDC" w:rsidRPr="00D618B7" w:rsidRDefault="00CF5DDC" w:rsidP="004B11B7">
            <w:pPr>
              <w:jc w:val="center"/>
              <w:rPr>
                <w:color w:val="000000"/>
              </w:rPr>
            </w:pPr>
            <w:r w:rsidRPr="00D618B7">
              <w:rPr>
                <w:color w:val="000000"/>
              </w:rPr>
              <w:t>CG</w:t>
            </w:r>
          </w:p>
        </w:tc>
        <w:tc>
          <w:tcPr>
            <w:tcW w:w="413" w:type="pct"/>
            <w:tcBorders>
              <w:top w:val="nil"/>
              <w:left w:val="nil"/>
              <w:bottom w:val="nil"/>
              <w:right w:val="nil"/>
              <w:tl2br w:val="single" w:sz="4" w:space="0" w:color="auto"/>
              <w:tr2bl w:val="single" w:sz="4" w:space="0" w:color="auto"/>
            </w:tcBorders>
            <w:shd w:val="clear" w:color="000000" w:fill="FFFFFF"/>
            <w:vAlign w:val="center"/>
            <w:hideMark/>
          </w:tcPr>
          <w:p w14:paraId="0BA0D525"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3" w:type="pct"/>
            <w:tcBorders>
              <w:top w:val="nil"/>
              <w:left w:val="nil"/>
              <w:bottom w:val="nil"/>
              <w:right w:val="nil"/>
            </w:tcBorders>
            <w:shd w:val="clear" w:color="000000" w:fill="FFFFFF"/>
            <w:vAlign w:val="center"/>
            <w:hideMark/>
          </w:tcPr>
          <w:p w14:paraId="341D9E0C" w14:textId="77777777" w:rsidR="00CF5DDC" w:rsidRPr="00D618B7" w:rsidRDefault="00CF5DDC" w:rsidP="004B11B7">
            <w:pPr>
              <w:jc w:val="center"/>
              <w:rPr>
                <w:color w:val="000000"/>
                <w:sz w:val="20"/>
                <w:szCs w:val="20"/>
              </w:rPr>
            </w:pPr>
            <w:r w:rsidRPr="00D618B7">
              <w:rPr>
                <w:color w:val="000000"/>
                <w:sz w:val="20"/>
                <w:szCs w:val="20"/>
              </w:rPr>
              <w:t>11</w:t>
            </w:r>
          </w:p>
        </w:tc>
        <w:tc>
          <w:tcPr>
            <w:tcW w:w="413" w:type="pct"/>
            <w:tcBorders>
              <w:top w:val="nil"/>
              <w:left w:val="nil"/>
              <w:bottom w:val="nil"/>
              <w:right w:val="nil"/>
            </w:tcBorders>
            <w:shd w:val="clear" w:color="000000" w:fill="FFFFFF"/>
            <w:vAlign w:val="center"/>
            <w:hideMark/>
          </w:tcPr>
          <w:p w14:paraId="6F44EF46" w14:textId="77777777" w:rsidR="00CF5DDC" w:rsidRPr="00D618B7" w:rsidRDefault="00CF5DDC" w:rsidP="004B11B7">
            <w:pPr>
              <w:jc w:val="center"/>
              <w:rPr>
                <w:color w:val="000000"/>
                <w:sz w:val="20"/>
                <w:szCs w:val="20"/>
              </w:rPr>
            </w:pPr>
            <w:r w:rsidRPr="00D618B7">
              <w:rPr>
                <w:color w:val="000000"/>
                <w:sz w:val="20"/>
                <w:szCs w:val="20"/>
              </w:rPr>
              <w:t>12</w:t>
            </w:r>
          </w:p>
        </w:tc>
        <w:tc>
          <w:tcPr>
            <w:tcW w:w="413" w:type="pct"/>
            <w:tcBorders>
              <w:top w:val="nil"/>
              <w:left w:val="nil"/>
              <w:bottom w:val="nil"/>
              <w:right w:val="nil"/>
            </w:tcBorders>
            <w:shd w:val="clear" w:color="000000" w:fill="FFFFFF"/>
            <w:vAlign w:val="center"/>
            <w:hideMark/>
          </w:tcPr>
          <w:p w14:paraId="429C441E" w14:textId="77777777" w:rsidR="00CF5DDC" w:rsidRPr="00D618B7" w:rsidRDefault="00CF5DDC" w:rsidP="004B11B7">
            <w:pPr>
              <w:jc w:val="center"/>
              <w:rPr>
                <w:color w:val="000000"/>
                <w:sz w:val="20"/>
                <w:szCs w:val="20"/>
              </w:rPr>
            </w:pPr>
            <w:r w:rsidRPr="00D618B7">
              <w:rPr>
                <w:color w:val="000000"/>
                <w:sz w:val="20"/>
                <w:szCs w:val="20"/>
              </w:rPr>
              <w:t>13</w:t>
            </w:r>
          </w:p>
        </w:tc>
        <w:tc>
          <w:tcPr>
            <w:tcW w:w="413" w:type="pct"/>
            <w:tcBorders>
              <w:top w:val="nil"/>
              <w:left w:val="nil"/>
              <w:bottom w:val="nil"/>
              <w:right w:val="nil"/>
            </w:tcBorders>
            <w:shd w:val="clear" w:color="000000" w:fill="FFFFFF"/>
            <w:vAlign w:val="center"/>
            <w:hideMark/>
          </w:tcPr>
          <w:p w14:paraId="7FEE1E1E" w14:textId="77777777" w:rsidR="00CF5DDC" w:rsidRPr="00D618B7" w:rsidRDefault="00CF5DDC" w:rsidP="004B11B7">
            <w:pPr>
              <w:jc w:val="center"/>
              <w:rPr>
                <w:color w:val="000000"/>
                <w:sz w:val="20"/>
                <w:szCs w:val="20"/>
              </w:rPr>
            </w:pPr>
            <w:r w:rsidRPr="00D618B7">
              <w:rPr>
                <w:color w:val="000000"/>
                <w:sz w:val="20"/>
                <w:szCs w:val="20"/>
              </w:rPr>
              <w:t>14</w:t>
            </w:r>
          </w:p>
        </w:tc>
        <w:tc>
          <w:tcPr>
            <w:tcW w:w="413" w:type="pct"/>
            <w:tcBorders>
              <w:top w:val="nil"/>
              <w:left w:val="nil"/>
              <w:bottom w:val="nil"/>
              <w:right w:val="nil"/>
            </w:tcBorders>
            <w:shd w:val="clear" w:color="000000" w:fill="FFFFFF"/>
            <w:vAlign w:val="center"/>
            <w:hideMark/>
          </w:tcPr>
          <w:p w14:paraId="6D066253" w14:textId="77777777" w:rsidR="00CF5DDC" w:rsidRPr="00D618B7" w:rsidRDefault="00CF5DDC" w:rsidP="004B11B7">
            <w:pPr>
              <w:jc w:val="center"/>
              <w:rPr>
                <w:color w:val="000000"/>
                <w:sz w:val="20"/>
                <w:szCs w:val="20"/>
              </w:rPr>
            </w:pPr>
            <w:r w:rsidRPr="00D618B7">
              <w:rPr>
                <w:color w:val="000000"/>
                <w:sz w:val="20"/>
                <w:szCs w:val="20"/>
              </w:rPr>
              <w:t>15</w:t>
            </w:r>
          </w:p>
        </w:tc>
        <w:tc>
          <w:tcPr>
            <w:tcW w:w="413" w:type="pct"/>
            <w:tcBorders>
              <w:top w:val="nil"/>
              <w:left w:val="nil"/>
              <w:bottom w:val="nil"/>
              <w:right w:val="nil"/>
            </w:tcBorders>
            <w:shd w:val="clear" w:color="000000" w:fill="FFFFFF"/>
            <w:vAlign w:val="center"/>
            <w:hideMark/>
          </w:tcPr>
          <w:p w14:paraId="28F70D0E" w14:textId="77777777" w:rsidR="00CF5DDC" w:rsidRPr="00D618B7" w:rsidRDefault="00CF5DDC" w:rsidP="004B11B7">
            <w:pPr>
              <w:jc w:val="center"/>
              <w:rPr>
                <w:color w:val="000000"/>
                <w:sz w:val="20"/>
                <w:szCs w:val="20"/>
              </w:rPr>
            </w:pPr>
            <w:r w:rsidRPr="00D618B7">
              <w:rPr>
                <w:color w:val="000000"/>
                <w:sz w:val="20"/>
                <w:szCs w:val="20"/>
              </w:rPr>
              <w:t>16</w:t>
            </w:r>
          </w:p>
        </w:tc>
        <w:tc>
          <w:tcPr>
            <w:tcW w:w="413" w:type="pct"/>
            <w:tcBorders>
              <w:top w:val="nil"/>
              <w:left w:val="nil"/>
              <w:bottom w:val="nil"/>
              <w:right w:val="nil"/>
            </w:tcBorders>
            <w:shd w:val="clear" w:color="000000" w:fill="FFFFFF"/>
            <w:vAlign w:val="center"/>
            <w:hideMark/>
          </w:tcPr>
          <w:p w14:paraId="28BC9227" w14:textId="77777777" w:rsidR="00CF5DDC" w:rsidRPr="00D618B7" w:rsidRDefault="00CF5DDC" w:rsidP="004B11B7">
            <w:pPr>
              <w:jc w:val="center"/>
              <w:rPr>
                <w:color w:val="000000"/>
                <w:sz w:val="20"/>
                <w:szCs w:val="20"/>
              </w:rPr>
            </w:pPr>
            <w:r w:rsidRPr="00D618B7">
              <w:rPr>
                <w:color w:val="000000"/>
                <w:sz w:val="20"/>
                <w:szCs w:val="20"/>
              </w:rPr>
              <w:t>17</w:t>
            </w:r>
          </w:p>
        </w:tc>
        <w:tc>
          <w:tcPr>
            <w:tcW w:w="414" w:type="pct"/>
            <w:tcBorders>
              <w:top w:val="nil"/>
              <w:left w:val="nil"/>
              <w:bottom w:val="nil"/>
              <w:right w:val="nil"/>
            </w:tcBorders>
            <w:shd w:val="clear" w:color="000000" w:fill="FFFFFF"/>
            <w:vAlign w:val="center"/>
            <w:hideMark/>
          </w:tcPr>
          <w:p w14:paraId="653FA141" w14:textId="77777777" w:rsidR="00CF5DDC" w:rsidRPr="00D618B7" w:rsidRDefault="00CF5DDC" w:rsidP="004B11B7">
            <w:pPr>
              <w:jc w:val="center"/>
              <w:rPr>
                <w:color w:val="000000"/>
                <w:sz w:val="20"/>
                <w:szCs w:val="20"/>
              </w:rPr>
            </w:pPr>
            <w:r w:rsidRPr="00D618B7">
              <w:rPr>
                <w:color w:val="000000"/>
                <w:sz w:val="20"/>
                <w:szCs w:val="20"/>
              </w:rPr>
              <w:t>18</w:t>
            </w:r>
          </w:p>
        </w:tc>
        <w:tc>
          <w:tcPr>
            <w:tcW w:w="414" w:type="pct"/>
            <w:tcBorders>
              <w:top w:val="nil"/>
              <w:left w:val="nil"/>
              <w:bottom w:val="nil"/>
              <w:right w:val="nil"/>
            </w:tcBorders>
            <w:shd w:val="clear" w:color="000000" w:fill="FFFFFF"/>
            <w:vAlign w:val="center"/>
            <w:hideMark/>
          </w:tcPr>
          <w:p w14:paraId="551A3891" w14:textId="77777777" w:rsidR="00CF5DDC" w:rsidRPr="00D618B7" w:rsidRDefault="00CF5DDC" w:rsidP="004B11B7">
            <w:pPr>
              <w:jc w:val="center"/>
              <w:rPr>
                <w:color w:val="000000"/>
                <w:sz w:val="20"/>
                <w:szCs w:val="20"/>
              </w:rPr>
            </w:pPr>
            <w:r w:rsidRPr="00D618B7">
              <w:rPr>
                <w:color w:val="000000"/>
                <w:sz w:val="20"/>
                <w:szCs w:val="20"/>
              </w:rPr>
              <w:t>19</w:t>
            </w:r>
          </w:p>
        </w:tc>
        <w:tc>
          <w:tcPr>
            <w:tcW w:w="410" w:type="pct"/>
            <w:tcBorders>
              <w:top w:val="nil"/>
              <w:left w:val="nil"/>
              <w:bottom w:val="nil"/>
              <w:right w:val="nil"/>
            </w:tcBorders>
            <w:shd w:val="clear" w:color="000000" w:fill="FFFFFF"/>
            <w:vAlign w:val="center"/>
            <w:hideMark/>
          </w:tcPr>
          <w:p w14:paraId="69F8F97A" w14:textId="77777777" w:rsidR="00CF5DDC" w:rsidRPr="00D618B7" w:rsidRDefault="00CF5DDC" w:rsidP="004B11B7">
            <w:pPr>
              <w:jc w:val="center"/>
              <w:rPr>
                <w:color w:val="000000"/>
                <w:sz w:val="20"/>
                <w:szCs w:val="20"/>
              </w:rPr>
            </w:pPr>
            <w:r w:rsidRPr="00D618B7">
              <w:rPr>
                <w:color w:val="000000"/>
                <w:sz w:val="20"/>
                <w:szCs w:val="20"/>
              </w:rPr>
              <w:t>20</w:t>
            </w:r>
          </w:p>
        </w:tc>
      </w:tr>
      <w:tr w:rsidR="00EE345D" w:rsidRPr="00D618B7" w14:paraId="2ED75D93" w14:textId="77777777" w:rsidTr="00EE345D">
        <w:trPr>
          <w:trHeight w:val="315"/>
        </w:trPr>
        <w:tc>
          <w:tcPr>
            <w:tcW w:w="457" w:type="pct"/>
            <w:tcBorders>
              <w:top w:val="nil"/>
              <w:left w:val="nil"/>
              <w:bottom w:val="nil"/>
              <w:right w:val="nil"/>
            </w:tcBorders>
            <w:shd w:val="clear" w:color="000000" w:fill="FFFFFF"/>
            <w:vAlign w:val="center"/>
            <w:hideMark/>
          </w:tcPr>
          <w:p w14:paraId="60F54399" w14:textId="77777777" w:rsidR="00CF5DDC" w:rsidRPr="00D618B7" w:rsidRDefault="00CF5DDC" w:rsidP="004B11B7">
            <w:pPr>
              <w:jc w:val="center"/>
              <w:rPr>
                <w:color w:val="000000"/>
              </w:rPr>
            </w:pPr>
            <w:r w:rsidRPr="00D618B7">
              <w:rPr>
                <w:color w:val="000000"/>
              </w:rPr>
              <w:t>DJ</w:t>
            </w:r>
          </w:p>
        </w:tc>
        <w:tc>
          <w:tcPr>
            <w:tcW w:w="413" w:type="pct"/>
            <w:tcBorders>
              <w:top w:val="nil"/>
              <w:left w:val="nil"/>
              <w:bottom w:val="nil"/>
              <w:right w:val="nil"/>
            </w:tcBorders>
            <w:shd w:val="clear" w:color="000000" w:fill="FFFFFF"/>
            <w:vAlign w:val="center"/>
            <w:hideMark/>
          </w:tcPr>
          <w:p w14:paraId="3C2F2D42" w14:textId="77777777" w:rsidR="00CF5DDC" w:rsidRPr="00D618B7" w:rsidRDefault="00CF5DDC" w:rsidP="004B11B7">
            <w:pPr>
              <w:jc w:val="center"/>
              <w:rPr>
                <w:color w:val="000000"/>
                <w:sz w:val="20"/>
                <w:szCs w:val="20"/>
              </w:rPr>
            </w:pPr>
            <w:r w:rsidRPr="00D618B7">
              <w:rPr>
                <w:color w:val="000000"/>
                <w:sz w:val="20"/>
                <w:szCs w:val="20"/>
              </w:rPr>
              <w:t>11</w:t>
            </w:r>
          </w:p>
        </w:tc>
        <w:tc>
          <w:tcPr>
            <w:tcW w:w="413" w:type="pct"/>
            <w:tcBorders>
              <w:top w:val="nil"/>
              <w:left w:val="nil"/>
              <w:bottom w:val="nil"/>
              <w:right w:val="nil"/>
            </w:tcBorders>
            <w:shd w:val="clear" w:color="000000" w:fill="FFFFFF"/>
            <w:vAlign w:val="center"/>
            <w:hideMark/>
          </w:tcPr>
          <w:p w14:paraId="78E80D4C" w14:textId="77777777" w:rsidR="00CF5DDC" w:rsidRPr="00D618B7" w:rsidRDefault="00CF5DDC" w:rsidP="004B11B7">
            <w:pPr>
              <w:jc w:val="center"/>
              <w:rPr>
                <w:color w:val="000000"/>
                <w:sz w:val="20"/>
                <w:szCs w:val="20"/>
              </w:rPr>
            </w:pPr>
            <w:r w:rsidRPr="00D618B7">
              <w:rPr>
                <w:color w:val="000000"/>
                <w:sz w:val="20"/>
                <w:szCs w:val="20"/>
              </w:rPr>
              <w:t>12</w:t>
            </w:r>
          </w:p>
        </w:tc>
        <w:tc>
          <w:tcPr>
            <w:tcW w:w="413" w:type="pct"/>
            <w:tcBorders>
              <w:top w:val="nil"/>
              <w:left w:val="nil"/>
              <w:bottom w:val="nil"/>
              <w:right w:val="nil"/>
            </w:tcBorders>
            <w:shd w:val="clear" w:color="000000" w:fill="FFFFFF"/>
            <w:vAlign w:val="center"/>
            <w:hideMark/>
          </w:tcPr>
          <w:p w14:paraId="79531205" w14:textId="77777777" w:rsidR="00CF5DDC" w:rsidRPr="00D618B7" w:rsidRDefault="00CF5DDC" w:rsidP="004B11B7">
            <w:pPr>
              <w:jc w:val="center"/>
              <w:rPr>
                <w:color w:val="000000"/>
                <w:sz w:val="20"/>
                <w:szCs w:val="20"/>
              </w:rPr>
            </w:pPr>
            <w:r w:rsidRPr="00D618B7">
              <w:rPr>
                <w:color w:val="000000"/>
                <w:sz w:val="20"/>
                <w:szCs w:val="20"/>
              </w:rPr>
              <w:t>13</w:t>
            </w:r>
          </w:p>
        </w:tc>
        <w:tc>
          <w:tcPr>
            <w:tcW w:w="413" w:type="pct"/>
            <w:tcBorders>
              <w:top w:val="nil"/>
              <w:left w:val="nil"/>
              <w:bottom w:val="nil"/>
              <w:right w:val="nil"/>
            </w:tcBorders>
            <w:shd w:val="clear" w:color="000000" w:fill="FFFFFF"/>
            <w:vAlign w:val="center"/>
            <w:hideMark/>
          </w:tcPr>
          <w:p w14:paraId="02E73BF0" w14:textId="77777777" w:rsidR="00CF5DDC" w:rsidRPr="00D618B7" w:rsidRDefault="00CF5DDC" w:rsidP="004B11B7">
            <w:pPr>
              <w:jc w:val="center"/>
              <w:rPr>
                <w:color w:val="000000"/>
                <w:sz w:val="20"/>
                <w:szCs w:val="20"/>
              </w:rPr>
            </w:pPr>
            <w:r w:rsidRPr="00D618B7">
              <w:rPr>
                <w:color w:val="000000"/>
                <w:sz w:val="20"/>
                <w:szCs w:val="20"/>
              </w:rPr>
              <w:t>14</w:t>
            </w:r>
          </w:p>
        </w:tc>
        <w:tc>
          <w:tcPr>
            <w:tcW w:w="413" w:type="pct"/>
            <w:tcBorders>
              <w:top w:val="nil"/>
              <w:left w:val="nil"/>
              <w:bottom w:val="nil"/>
              <w:right w:val="nil"/>
            </w:tcBorders>
            <w:shd w:val="clear" w:color="000000" w:fill="FFFFFF"/>
            <w:vAlign w:val="center"/>
            <w:hideMark/>
          </w:tcPr>
          <w:p w14:paraId="7BF30BE0" w14:textId="77777777" w:rsidR="00CF5DDC" w:rsidRPr="00D618B7" w:rsidRDefault="00CF5DDC" w:rsidP="004B11B7">
            <w:pPr>
              <w:jc w:val="center"/>
              <w:rPr>
                <w:color w:val="000000"/>
                <w:sz w:val="20"/>
                <w:szCs w:val="20"/>
              </w:rPr>
            </w:pPr>
            <w:r w:rsidRPr="00D618B7">
              <w:rPr>
                <w:color w:val="000000"/>
                <w:sz w:val="20"/>
                <w:szCs w:val="20"/>
              </w:rPr>
              <w:t>15</w:t>
            </w:r>
          </w:p>
        </w:tc>
        <w:tc>
          <w:tcPr>
            <w:tcW w:w="413" w:type="pct"/>
            <w:tcBorders>
              <w:top w:val="nil"/>
              <w:left w:val="nil"/>
              <w:bottom w:val="nil"/>
              <w:right w:val="nil"/>
            </w:tcBorders>
            <w:shd w:val="clear" w:color="000000" w:fill="FFFFFF"/>
            <w:vAlign w:val="center"/>
            <w:hideMark/>
          </w:tcPr>
          <w:p w14:paraId="361B783B" w14:textId="77777777" w:rsidR="00CF5DDC" w:rsidRPr="00D618B7" w:rsidRDefault="00CF5DDC" w:rsidP="004B11B7">
            <w:pPr>
              <w:jc w:val="center"/>
              <w:rPr>
                <w:color w:val="000000"/>
                <w:sz w:val="20"/>
                <w:szCs w:val="20"/>
              </w:rPr>
            </w:pPr>
            <w:r w:rsidRPr="00D618B7">
              <w:rPr>
                <w:color w:val="000000"/>
                <w:sz w:val="20"/>
                <w:szCs w:val="20"/>
              </w:rPr>
              <w:t>16</w:t>
            </w:r>
          </w:p>
        </w:tc>
        <w:tc>
          <w:tcPr>
            <w:tcW w:w="413" w:type="pct"/>
            <w:tcBorders>
              <w:top w:val="nil"/>
              <w:left w:val="nil"/>
              <w:bottom w:val="nil"/>
              <w:right w:val="nil"/>
            </w:tcBorders>
            <w:shd w:val="clear" w:color="000000" w:fill="FFFFFF"/>
            <w:vAlign w:val="center"/>
            <w:hideMark/>
          </w:tcPr>
          <w:p w14:paraId="56E0308C" w14:textId="77777777" w:rsidR="00CF5DDC" w:rsidRPr="00D618B7" w:rsidRDefault="00CF5DDC" w:rsidP="004B11B7">
            <w:pPr>
              <w:jc w:val="center"/>
              <w:rPr>
                <w:color w:val="000000"/>
                <w:sz w:val="20"/>
                <w:szCs w:val="20"/>
              </w:rPr>
            </w:pPr>
            <w:r w:rsidRPr="00D618B7">
              <w:rPr>
                <w:color w:val="000000"/>
                <w:sz w:val="20"/>
                <w:szCs w:val="20"/>
              </w:rPr>
              <w:t>17</w:t>
            </w:r>
          </w:p>
        </w:tc>
        <w:tc>
          <w:tcPr>
            <w:tcW w:w="413" w:type="pct"/>
            <w:tcBorders>
              <w:top w:val="nil"/>
              <w:left w:val="nil"/>
              <w:bottom w:val="nil"/>
              <w:right w:val="nil"/>
            </w:tcBorders>
            <w:shd w:val="clear" w:color="000000" w:fill="FFFFFF"/>
            <w:vAlign w:val="center"/>
            <w:hideMark/>
          </w:tcPr>
          <w:p w14:paraId="71B33EC7" w14:textId="77777777" w:rsidR="00CF5DDC" w:rsidRPr="00D618B7" w:rsidRDefault="00CF5DDC" w:rsidP="004B11B7">
            <w:pPr>
              <w:jc w:val="center"/>
              <w:rPr>
                <w:color w:val="000000"/>
                <w:sz w:val="20"/>
                <w:szCs w:val="20"/>
              </w:rPr>
            </w:pPr>
            <w:r w:rsidRPr="00D618B7">
              <w:rPr>
                <w:color w:val="000000"/>
                <w:sz w:val="20"/>
                <w:szCs w:val="20"/>
              </w:rPr>
              <w:t>18</w:t>
            </w:r>
          </w:p>
        </w:tc>
        <w:tc>
          <w:tcPr>
            <w:tcW w:w="414" w:type="pct"/>
            <w:tcBorders>
              <w:top w:val="nil"/>
              <w:left w:val="nil"/>
              <w:bottom w:val="nil"/>
              <w:right w:val="nil"/>
            </w:tcBorders>
            <w:shd w:val="clear" w:color="000000" w:fill="FFFFFF"/>
            <w:vAlign w:val="center"/>
            <w:hideMark/>
          </w:tcPr>
          <w:p w14:paraId="047C42EB" w14:textId="77777777" w:rsidR="00CF5DDC" w:rsidRPr="00D618B7" w:rsidRDefault="00CF5DDC" w:rsidP="004B11B7">
            <w:pPr>
              <w:jc w:val="center"/>
              <w:rPr>
                <w:color w:val="000000"/>
                <w:sz w:val="20"/>
                <w:szCs w:val="20"/>
              </w:rPr>
            </w:pPr>
            <w:r w:rsidRPr="00D618B7">
              <w:rPr>
                <w:color w:val="000000"/>
                <w:sz w:val="20"/>
                <w:szCs w:val="20"/>
              </w:rPr>
              <w:t>19</w:t>
            </w:r>
          </w:p>
        </w:tc>
        <w:tc>
          <w:tcPr>
            <w:tcW w:w="414" w:type="pct"/>
            <w:tcBorders>
              <w:top w:val="nil"/>
              <w:left w:val="nil"/>
              <w:bottom w:val="nil"/>
              <w:right w:val="nil"/>
            </w:tcBorders>
            <w:shd w:val="clear" w:color="000000" w:fill="FFFFFF"/>
            <w:vAlign w:val="center"/>
            <w:hideMark/>
          </w:tcPr>
          <w:p w14:paraId="2E1FF721" w14:textId="77777777" w:rsidR="00CF5DDC" w:rsidRPr="00D618B7" w:rsidRDefault="00CF5DDC" w:rsidP="004B11B7">
            <w:pPr>
              <w:jc w:val="center"/>
              <w:rPr>
                <w:color w:val="000000"/>
                <w:sz w:val="20"/>
                <w:szCs w:val="20"/>
              </w:rPr>
            </w:pPr>
            <w:r w:rsidRPr="00D618B7">
              <w:rPr>
                <w:color w:val="000000"/>
                <w:sz w:val="20"/>
                <w:szCs w:val="20"/>
              </w:rPr>
              <w:t>20</w:t>
            </w:r>
          </w:p>
        </w:tc>
        <w:tc>
          <w:tcPr>
            <w:tcW w:w="410" w:type="pct"/>
            <w:tcBorders>
              <w:top w:val="nil"/>
              <w:left w:val="nil"/>
              <w:bottom w:val="nil"/>
              <w:right w:val="nil"/>
            </w:tcBorders>
            <w:shd w:val="clear" w:color="000000" w:fill="FFFFFF"/>
            <w:vAlign w:val="center"/>
            <w:hideMark/>
          </w:tcPr>
          <w:p w14:paraId="1B588AF3" w14:textId="77777777" w:rsidR="00CF5DDC" w:rsidRPr="00D618B7" w:rsidRDefault="00CF5DDC" w:rsidP="004B11B7">
            <w:pPr>
              <w:jc w:val="center"/>
              <w:rPr>
                <w:color w:val="000000"/>
                <w:sz w:val="20"/>
                <w:szCs w:val="20"/>
              </w:rPr>
            </w:pPr>
            <w:r w:rsidRPr="00D618B7">
              <w:rPr>
                <w:color w:val="000000"/>
                <w:sz w:val="20"/>
                <w:szCs w:val="20"/>
              </w:rPr>
              <w:t>21</w:t>
            </w:r>
          </w:p>
        </w:tc>
      </w:tr>
      <w:tr w:rsidR="00EE345D" w:rsidRPr="00D618B7" w14:paraId="4FB412CF" w14:textId="77777777" w:rsidTr="00EE345D">
        <w:trPr>
          <w:trHeight w:val="330"/>
        </w:trPr>
        <w:tc>
          <w:tcPr>
            <w:tcW w:w="457" w:type="pct"/>
            <w:tcBorders>
              <w:top w:val="nil"/>
              <w:left w:val="nil"/>
              <w:bottom w:val="single" w:sz="8" w:space="0" w:color="auto"/>
              <w:right w:val="nil"/>
            </w:tcBorders>
            <w:shd w:val="clear" w:color="000000" w:fill="FFFFFF"/>
            <w:vAlign w:val="center"/>
            <w:hideMark/>
          </w:tcPr>
          <w:p w14:paraId="172DAD51" w14:textId="77777777" w:rsidR="00CF5DDC" w:rsidRPr="00D618B7" w:rsidRDefault="00CF5DDC" w:rsidP="004B11B7">
            <w:pPr>
              <w:jc w:val="center"/>
              <w:rPr>
                <w:color w:val="000000"/>
              </w:rPr>
            </w:pPr>
            <w:r w:rsidRPr="00D618B7">
              <w:rPr>
                <w:color w:val="000000"/>
              </w:rPr>
              <w:t>JT</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4E5EB8E4"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22E7F313"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3" w:type="pct"/>
            <w:tcBorders>
              <w:top w:val="nil"/>
              <w:left w:val="nil"/>
              <w:bottom w:val="single" w:sz="8" w:space="0" w:color="auto"/>
              <w:right w:val="nil"/>
            </w:tcBorders>
            <w:shd w:val="clear" w:color="000000" w:fill="FFFFFF"/>
            <w:vAlign w:val="center"/>
            <w:hideMark/>
          </w:tcPr>
          <w:p w14:paraId="3764D720" w14:textId="77777777" w:rsidR="00CF5DDC" w:rsidRPr="00D618B7" w:rsidRDefault="00CF5DDC" w:rsidP="004B11B7">
            <w:pPr>
              <w:jc w:val="center"/>
              <w:rPr>
                <w:color w:val="000000"/>
                <w:sz w:val="20"/>
                <w:szCs w:val="20"/>
              </w:rPr>
            </w:pPr>
            <w:r w:rsidRPr="00D618B7">
              <w:rPr>
                <w:color w:val="000000"/>
                <w:sz w:val="20"/>
                <w:szCs w:val="20"/>
              </w:rPr>
              <w:t>12</w:t>
            </w:r>
          </w:p>
        </w:tc>
        <w:tc>
          <w:tcPr>
            <w:tcW w:w="413" w:type="pct"/>
            <w:tcBorders>
              <w:top w:val="nil"/>
              <w:left w:val="nil"/>
              <w:bottom w:val="single" w:sz="8" w:space="0" w:color="auto"/>
              <w:right w:val="nil"/>
            </w:tcBorders>
            <w:shd w:val="clear" w:color="000000" w:fill="FFFFFF"/>
            <w:vAlign w:val="center"/>
            <w:hideMark/>
          </w:tcPr>
          <w:p w14:paraId="329DBB72" w14:textId="77777777" w:rsidR="00CF5DDC" w:rsidRPr="00D618B7" w:rsidRDefault="00CF5DDC" w:rsidP="004B11B7">
            <w:pPr>
              <w:jc w:val="center"/>
              <w:rPr>
                <w:color w:val="000000"/>
                <w:sz w:val="20"/>
                <w:szCs w:val="20"/>
              </w:rPr>
            </w:pPr>
            <w:r w:rsidRPr="00D618B7">
              <w:rPr>
                <w:color w:val="000000"/>
                <w:sz w:val="20"/>
                <w:szCs w:val="20"/>
              </w:rPr>
              <w:t>13</w:t>
            </w:r>
          </w:p>
        </w:tc>
        <w:tc>
          <w:tcPr>
            <w:tcW w:w="413" w:type="pct"/>
            <w:tcBorders>
              <w:top w:val="nil"/>
              <w:left w:val="nil"/>
              <w:bottom w:val="single" w:sz="8" w:space="0" w:color="auto"/>
              <w:right w:val="nil"/>
            </w:tcBorders>
            <w:shd w:val="clear" w:color="000000" w:fill="FFFFFF"/>
            <w:vAlign w:val="center"/>
            <w:hideMark/>
          </w:tcPr>
          <w:p w14:paraId="682CCF91" w14:textId="77777777" w:rsidR="00CF5DDC" w:rsidRPr="00D618B7" w:rsidRDefault="00CF5DDC" w:rsidP="004B11B7">
            <w:pPr>
              <w:jc w:val="center"/>
              <w:rPr>
                <w:color w:val="000000"/>
                <w:sz w:val="20"/>
                <w:szCs w:val="20"/>
              </w:rPr>
            </w:pPr>
            <w:r w:rsidRPr="00D618B7">
              <w:rPr>
                <w:color w:val="000000"/>
                <w:sz w:val="20"/>
                <w:szCs w:val="20"/>
              </w:rPr>
              <w:t>14</w:t>
            </w:r>
          </w:p>
        </w:tc>
        <w:tc>
          <w:tcPr>
            <w:tcW w:w="413" w:type="pct"/>
            <w:tcBorders>
              <w:top w:val="nil"/>
              <w:left w:val="nil"/>
              <w:bottom w:val="single" w:sz="8" w:space="0" w:color="auto"/>
              <w:right w:val="nil"/>
            </w:tcBorders>
            <w:shd w:val="clear" w:color="000000" w:fill="FFFFFF"/>
            <w:vAlign w:val="center"/>
            <w:hideMark/>
          </w:tcPr>
          <w:p w14:paraId="1A23CEA3" w14:textId="77777777" w:rsidR="00CF5DDC" w:rsidRPr="00D618B7" w:rsidRDefault="00CF5DDC" w:rsidP="004B11B7">
            <w:pPr>
              <w:jc w:val="center"/>
              <w:rPr>
                <w:color w:val="000000"/>
                <w:sz w:val="20"/>
                <w:szCs w:val="20"/>
              </w:rPr>
            </w:pPr>
            <w:r w:rsidRPr="00D618B7">
              <w:rPr>
                <w:color w:val="000000"/>
                <w:sz w:val="20"/>
                <w:szCs w:val="20"/>
              </w:rPr>
              <w:t>15</w:t>
            </w:r>
          </w:p>
        </w:tc>
        <w:tc>
          <w:tcPr>
            <w:tcW w:w="413" w:type="pct"/>
            <w:tcBorders>
              <w:top w:val="nil"/>
              <w:left w:val="nil"/>
              <w:bottom w:val="single" w:sz="8" w:space="0" w:color="auto"/>
              <w:right w:val="nil"/>
            </w:tcBorders>
            <w:shd w:val="clear" w:color="000000" w:fill="FFFFFF"/>
            <w:vAlign w:val="center"/>
            <w:hideMark/>
          </w:tcPr>
          <w:p w14:paraId="6ABAF856" w14:textId="77777777" w:rsidR="00CF5DDC" w:rsidRPr="00D618B7" w:rsidRDefault="00CF5DDC" w:rsidP="004B11B7">
            <w:pPr>
              <w:jc w:val="center"/>
              <w:rPr>
                <w:color w:val="000000"/>
                <w:sz w:val="20"/>
                <w:szCs w:val="20"/>
              </w:rPr>
            </w:pPr>
            <w:r w:rsidRPr="00D618B7">
              <w:rPr>
                <w:color w:val="000000"/>
                <w:sz w:val="20"/>
                <w:szCs w:val="20"/>
              </w:rPr>
              <w:t>16</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21D5F321"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4" w:type="pct"/>
            <w:tcBorders>
              <w:top w:val="nil"/>
              <w:left w:val="nil"/>
              <w:bottom w:val="single" w:sz="8" w:space="0" w:color="auto"/>
              <w:right w:val="nil"/>
            </w:tcBorders>
            <w:shd w:val="clear" w:color="000000" w:fill="FFFFFF"/>
            <w:vAlign w:val="center"/>
            <w:hideMark/>
          </w:tcPr>
          <w:p w14:paraId="27DD0471" w14:textId="77777777" w:rsidR="00CF5DDC" w:rsidRPr="00D618B7" w:rsidRDefault="00CF5DDC" w:rsidP="004B11B7">
            <w:pPr>
              <w:jc w:val="center"/>
              <w:rPr>
                <w:color w:val="000000"/>
                <w:sz w:val="20"/>
                <w:szCs w:val="20"/>
              </w:rPr>
            </w:pPr>
            <w:r w:rsidRPr="00D618B7">
              <w:rPr>
                <w:color w:val="000000"/>
                <w:sz w:val="20"/>
                <w:szCs w:val="20"/>
              </w:rPr>
              <w:t>18</w:t>
            </w:r>
          </w:p>
        </w:tc>
        <w:tc>
          <w:tcPr>
            <w:tcW w:w="414"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65003984"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0" w:type="pct"/>
            <w:tcBorders>
              <w:top w:val="nil"/>
              <w:left w:val="nil"/>
              <w:bottom w:val="single" w:sz="8" w:space="0" w:color="auto"/>
              <w:right w:val="nil"/>
            </w:tcBorders>
            <w:shd w:val="clear" w:color="000000" w:fill="FFFFFF"/>
            <w:vAlign w:val="center"/>
            <w:hideMark/>
          </w:tcPr>
          <w:p w14:paraId="54AB6E52" w14:textId="77777777" w:rsidR="00CF5DDC" w:rsidRPr="00D618B7" w:rsidRDefault="00CF5DDC" w:rsidP="004B11B7">
            <w:pPr>
              <w:jc w:val="center"/>
              <w:rPr>
                <w:color w:val="000000"/>
                <w:sz w:val="20"/>
                <w:szCs w:val="20"/>
              </w:rPr>
            </w:pPr>
            <w:r w:rsidRPr="00D618B7">
              <w:rPr>
                <w:color w:val="000000"/>
                <w:sz w:val="20"/>
                <w:szCs w:val="20"/>
              </w:rPr>
              <w:t>20</w:t>
            </w:r>
          </w:p>
        </w:tc>
      </w:tr>
      <w:tr w:rsidR="00CF5DDC" w:rsidRPr="00D618B7" w14:paraId="184A014C" w14:textId="77777777" w:rsidTr="00EE345D">
        <w:trPr>
          <w:trHeight w:val="315"/>
        </w:trPr>
        <w:tc>
          <w:tcPr>
            <w:tcW w:w="457" w:type="pct"/>
            <w:tcBorders>
              <w:top w:val="nil"/>
              <w:left w:val="nil"/>
              <w:bottom w:val="nil"/>
              <w:right w:val="nil"/>
            </w:tcBorders>
            <w:shd w:val="clear" w:color="000000" w:fill="FFFFFF"/>
            <w:vAlign w:val="center"/>
            <w:hideMark/>
          </w:tcPr>
          <w:p w14:paraId="4A4272EE" w14:textId="77777777" w:rsidR="00CF5DDC" w:rsidRPr="00D618B7" w:rsidRDefault="00CF5DDC" w:rsidP="004B11B7">
            <w:pPr>
              <w:jc w:val="center"/>
              <w:rPr>
                <w:color w:val="000000"/>
              </w:rPr>
            </w:pPr>
            <w:r w:rsidRPr="00D618B7">
              <w:rPr>
                <w:color w:val="000000"/>
              </w:rPr>
              <w:t> </w:t>
            </w:r>
          </w:p>
        </w:tc>
        <w:tc>
          <w:tcPr>
            <w:tcW w:w="4543" w:type="pct"/>
            <w:gridSpan w:val="11"/>
            <w:tcBorders>
              <w:top w:val="single" w:sz="8" w:space="0" w:color="auto"/>
              <w:left w:val="nil"/>
              <w:bottom w:val="nil"/>
              <w:right w:val="nil"/>
            </w:tcBorders>
            <w:shd w:val="clear" w:color="000000" w:fill="FFFFFF"/>
            <w:noWrap/>
            <w:vAlign w:val="center"/>
            <w:hideMark/>
          </w:tcPr>
          <w:p w14:paraId="723FE53B" w14:textId="77777777" w:rsidR="00CF5DDC" w:rsidRPr="00D618B7" w:rsidRDefault="00CF5DDC" w:rsidP="004B11B7">
            <w:pPr>
              <w:jc w:val="center"/>
              <w:rPr>
                <w:color w:val="000000"/>
              </w:rPr>
            </w:pPr>
            <w:r w:rsidRPr="00D618B7">
              <w:rPr>
                <w:color w:val="000000"/>
              </w:rPr>
              <w:t>Late Reach Group</w:t>
            </w:r>
          </w:p>
        </w:tc>
      </w:tr>
      <w:tr w:rsidR="00EE345D" w:rsidRPr="00D618B7" w14:paraId="683CD5AC" w14:textId="77777777" w:rsidTr="00EE345D">
        <w:trPr>
          <w:trHeight w:val="315"/>
        </w:trPr>
        <w:tc>
          <w:tcPr>
            <w:tcW w:w="457" w:type="pct"/>
            <w:tcBorders>
              <w:top w:val="nil"/>
              <w:left w:val="nil"/>
              <w:bottom w:val="nil"/>
              <w:right w:val="nil"/>
            </w:tcBorders>
            <w:shd w:val="clear" w:color="000000" w:fill="FFFFFF"/>
            <w:vAlign w:val="center"/>
            <w:hideMark/>
          </w:tcPr>
          <w:p w14:paraId="6A2073A2" w14:textId="77777777" w:rsidR="00CF5DDC" w:rsidRPr="00D618B7" w:rsidRDefault="00CF5DDC" w:rsidP="004B11B7">
            <w:pPr>
              <w:jc w:val="center"/>
              <w:rPr>
                <w:color w:val="000000"/>
              </w:rPr>
            </w:pPr>
            <w:r w:rsidRPr="00D618B7">
              <w:rPr>
                <w:color w:val="000000"/>
              </w:rPr>
              <w:t>KP</w:t>
            </w:r>
          </w:p>
        </w:tc>
        <w:tc>
          <w:tcPr>
            <w:tcW w:w="413" w:type="pct"/>
            <w:tcBorders>
              <w:top w:val="nil"/>
              <w:left w:val="nil"/>
              <w:bottom w:val="nil"/>
              <w:right w:val="nil"/>
            </w:tcBorders>
            <w:shd w:val="clear" w:color="000000" w:fill="FFFFFF"/>
            <w:vAlign w:val="center"/>
            <w:hideMark/>
          </w:tcPr>
          <w:p w14:paraId="7A010270" w14:textId="77777777" w:rsidR="00CF5DDC" w:rsidRPr="00D618B7" w:rsidRDefault="00CF5DDC" w:rsidP="004B11B7">
            <w:pPr>
              <w:jc w:val="center"/>
              <w:rPr>
                <w:color w:val="000000"/>
                <w:sz w:val="20"/>
                <w:szCs w:val="20"/>
              </w:rPr>
            </w:pPr>
            <w:r w:rsidRPr="00D618B7">
              <w:rPr>
                <w:color w:val="000000"/>
                <w:sz w:val="20"/>
                <w:szCs w:val="20"/>
              </w:rPr>
              <w:t>14</w:t>
            </w:r>
          </w:p>
        </w:tc>
        <w:tc>
          <w:tcPr>
            <w:tcW w:w="413" w:type="pct"/>
            <w:tcBorders>
              <w:top w:val="nil"/>
              <w:left w:val="nil"/>
              <w:bottom w:val="nil"/>
              <w:right w:val="nil"/>
            </w:tcBorders>
            <w:shd w:val="clear" w:color="000000" w:fill="FFFFFF"/>
            <w:vAlign w:val="center"/>
            <w:hideMark/>
          </w:tcPr>
          <w:p w14:paraId="13C774CE" w14:textId="77777777" w:rsidR="00CF5DDC" w:rsidRPr="00D618B7" w:rsidRDefault="00CF5DDC" w:rsidP="004B11B7">
            <w:pPr>
              <w:jc w:val="center"/>
              <w:rPr>
                <w:color w:val="000000"/>
                <w:sz w:val="20"/>
                <w:szCs w:val="20"/>
              </w:rPr>
            </w:pPr>
            <w:r w:rsidRPr="00D618B7">
              <w:rPr>
                <w:color w:val="000000"/>
                <w:sz w:val="20"/>
                <w:szCs w:val="20"/>
              </w:rPr>
              <w:t>15</w:t>
            </w:r>
          </w:p>
        </w:tc>
        <w:tc>
          <w:tcPr>
            <w:tcW w:w="413" w:type="pct"/>
            <w:tcBorders>
              <w:top w:val="nil"/>
              <w:left w:val="nil"/>
              <w:bottom w:val="nil"/>
              <w:right w:val="nil"/>
            </w:tcBorders>
            <w:shd w:val="clear" w:color="000000" w:fill="FFFFFF"/>
            <w:vAlign w:val="center"/>
            <w:hideMark/>
          </w:tcPr>
          <w:p w14:paraId="65D8CEE3" w14:textId="77777777" w:rsidR="00CF5DDC" w:rsidRPr="00D618B7" w:rsidRDefault="00CF5DDC" w:rsidP="004B11B7">
            <w:pPr>
              <w:jc w:val="center"/>
              <w:rPr>
                <w:color w:val="000000"/>
                <w:sz w:val="20"/>
                <w:szCs w:val="20"/>
              </w:rPr>
            </w:pPr>
            <w:r w:rsidRPr="00D618B7">
              <w:rPr>
                <w:color w:val="000000"/>
                <w:sz w:val="20"/>
                <w:szCs w:val="20"/>
              </w:rPr>
              <w:t>16</w:t>
            </w:r>
          </w:p>
        </w:tc>
        <w:tc>
          <w:tcPr>
            <w:tcW w:w="413" w:type="pct"/>
            <w:tcBorders>
              <w:top w:val="nil"/>
              <w:left w:val="nil"/>
              <w:bottom w:val="nil"/>
              <w:right w:val="nil"/>
            </w:tcBorders>
            <w:shd w:val="clear" w:color="000000" w:fill="FFFFFF"/>
            <w:vAlign w:val="center"/>
            <w:hideMark/>
          </w:tcPr>
          <w:p w14:paraId="4985C251" w14:textId="77777777" w:rsidR="00CF5DDC" w:rsidRPr="00D618B7" w:rsidRDefault="00CF5DDC" w:rsidP="004B11B7">
            <w:pPr>
              <w:jc w:val="center"/>
              <w:rPr>
                <w:color w:val="000000"/>
                <w:sz w:val="20"/>
                <w:szCs w:val="20"/>
              </w:rPr>
            </w:pPr>
            <w:r w:rsidRPr="00D618B7">
              <w:rPr>
                <w:color w:val="000000"/>
                <w:sz w:val="20"/>
                <w:szCs w:val="20"/>
              </w:rPr>
              <w:t>17</w:t>
            </w:r>
          </w:p>
        </w:tc>
        <w:tc>
          <w:tcPr>
            <w:tcW w:w="413" w:type="pct"/>
            <w:tcBorders>
              <w:top w:val="nil"/>
              <w:left w:val="nil"/>
              <w:bottom w:val="nil"/>
              <w:right w:val="nil"/>
            </w:tcBorders>
            <w:shd w:val="clear" w:color="000000" w:fill="FFFFFF"/>
            <w:vAlign w:val="center"/>
            <w:hideMark/>
          </w:tcPr>
          <w:p w14:paraId="2B7C6DD3" w14:textId="77777777" w:rsidR="00CF5DDC" w:rsidRPr="00D618B7" w:rsidRDefault="00CF5DDC" w:rsidP="004B11B7">
            <w:pPr>
              <w:jc w:val="center"/>
              <w:rPr>
                <w:color w:val="000000"/>
                <w:sz w:val="20"/>
                <w:szCs w:val="20"/>
              </w:rPr>
            </w:pPr>
            <w:r w:rsidRPr="00D618B7">
              <w:rPr>
                <w:color w:val="000000"/>
                <w:sz w:val="20"/>
                <w:szCs w:val="20"/>
              </w:rPr>
              <w:t>18</w:t>
            </w:r>
          </w:p>
        </w:tc>
        <w:tc>
          <w:tcPr>
            <w:tcW w:w="413" w:type="pct"/>
            <w:tcBorders>
              <w:top w:val="nil"/>
              <w:left w:val="nil"/>
              <w:bottom w:val="nil"/>
              <w:right w:val="nil"/>
            </w:tcBorders>
            <w:shd w:val="clear" w:color="000000" w:fill="FFFFFF"/>
            <w:vAlign w:val="center"/>
            <w:hideMark/>
          </w:tcPr>
          <w:p w14:paraId="5F8E0DAB" w14:textId="77777777" w:rsidR="00CF5DDC" w:rsidRPr="00D618B7" w:rsidRDefault="00CF5DDC" w:rsidP="004B11B7">
            <w:pPr>
              <w:jc w:val="center"/>
              <w:rPr>
                <w:color w:val="000000"/>
                <w:sz w:val="20"/>
                <w:szCs w:val="20"/>
              </w:rPr>
            </w:pPr>
            <w:r w:rsidRPr="00D618B7">
              <w:rPr>
                <w:color w:val="000000"/>
                <w:sz w:val="20"/>
                <w:szCs w:val="20"/>
              </w:rPr>
              <w:t>19</w:t>
            </w:r>
          </w:p>
        </w:tc>
        <w:tc>
          <w:tcPr>
            <w:tcW w:w="413" w:type="pct"/>
            <w:tcBorders>
              <w:top w:val="nil"/>
              <w:left w:val="nil"/>
              <w:bottom w:val="nil"/>
              <w:right w:val="nil"/>
            </w:tcBorders>
            <w:shd w:val="clear" w:color="000000" w:fill="FFFFFF"/>
            <w:vAlign w:val="center"/>
            <w:hideMark/>
          </w:tcPr>
          <w:p w14:paraId="67AF470A" w14:textId="77777777" w:rsidR="00CF5DDC" w:rsidRPr="00D618B7" w:rsidRDefault="00CF5DDC" w:rsidP="004B11B7">
            <w:pPr>
              <w:jc w:val="center"/>
              <w:rPr>
                <w:color w:val="000000"/>
                <w:sz w:val="20"/>
                <w:szCs w:val="20"/>
              </w:rPr>
            </w:pPr>
            <w:r w:rsidRPr="00D618B7">
              <w:rPr>
                <w:color w:val="000000"/>
                <w:sz w:val="20"/>
                <w:szCs w:val="20"/>
              </w:rPr>
              <w:t>20</w:t>
            </w:r>
          </w:p>
        </w:tc>
        <w:tc>
          <w:tcPr>
            <w:tcW w:w="413" w:type="pct"/>
            <w:tcBorders>
              <w:top w:val="nil"/>
              <w:left w:val="nil"/>
              <w:bottom w:val="nil"/>
              <w:right w:val="nil"/>
            </w:tcBorders>
            <w:shd w:val="clear" w:color="000000" w:fill="FFFFFF"/>
            <w:vAlign w:val="center"/>
            <w:hideMark/>
          </w:tcPr>
          <w:p w14:paraId="4A453661" w14:textId="77777777" w:rsidR="00CF5DDC" w:rsidRPr="00D618B7" w:rsidRDefault="00CF5DDC" w:rsidP="004B11B7">
            <w:pPr>
              <w:jc w:val="center"/>
              <w:rPr>
                <w:color w:val="000000"/>
                <w:sz w:val="20"/>
                <w:szCs w:val="20"/>
              </w:rPr>
            </w:pPr>
            <w:r w:rsidRPr="00D618B7">
              <w:rPr>
                <w:color w:val="000000"/>
                <w:sz w:val="20"/>
                <w:szCs w:val="20"/>
              </w:rPr>
              <w:t>21</w:t>
            </w:r>
          </w:p>
        </w:tc>
        <w:tc>
          <w:tcPr>
            <w:tcW w:w="414" w:type="pct"/>
            <w:tcBorders>
              <w:top w:val="nil"/>
              <w:left w:val="nil"/>
              <w:bottom w:val="nil"/>
              <w:right w:val="nil"/>
            </w:tcBorders>
            <w:shd w:val="clear" w:color="000000" w:fill="FFFFFF"/>
            <w:vAlign w:val="center"/>
            <w:hideMark/>
          </w:tcPr>
          <w:p w14:paraId="5C4408B8" w14:textId="77777777" w:rsidR="00CF5DDC" w:rsidRPr="00D618B7" w:rsidRDefault="00CF5DDC" w:rsidP="004B11B7">
            <w:pPr>
              <w:jc w:val="center"/>
              <w:rPr>
                <w:color w:val="000000"/>
                <w:sz w:val="20"/>
                <w:szCs w:val="20"/>
              </w:rPr>
            </w:pPr>
            <w:r w:rsidRPr="00D618B7">
              <w:rPr>
                <w:color w:val="000000"/>
                <w:sz w:val="20"/>
                <w:szCs w:val="20"/>
              </w:rPr>
              <w:t>22</w:t>
            </w:r>
          </w:p>
        </w:tc>
        <w:tc>
          <w:tcPr>
            <w:tcW w:w="414" w:type="pct"/>
            <w:tcBorders>
              <w:top w:val="nil"/>
              <w:left w:val="nil"/>
              <w:bottom w:val="nil"/>
              <w:right w:val="nil"/>
            </w:tcBorders>
            <w:shd w:val="clear" w:color="000000" w:fill="FFFFFF"/>
            <w:vAlign w:val="center"/>
            <w:hideMark/>
          </w:tcPr>
          <w:p w14:paraId="390F60BF" w14:textId="77777777" w:rsidR="00CF5DDC" w:rsidRPr="00D618B7" w:rsidRDefault="00CF5DDC" w:rsidP="004B11B7">
            <w:pPr>
              <w:jc w:val="center"/>
              <w:rPr>
                <w:color w:val="000000"/>
                <w:sz w:val="20"/>
                <w:szCs w:val="20"/>
              </w:rPr>
            </w:pPr>
            <w:r w:rsidRPr="00D618B7">
              <w:rPr>
                <w:color w:val="000000"/>
                <w:sz w:val="20"/>
                <w:szCs w:val="20"/>
              </w:rPr>
              <w:t>23</w:t>
            </w:r>
          </w:p>
        </w:tc>
        <w:tc>
          <w:tcPr>
            <w:tcW w:w="410" w:type="pct"/>
            <w:tcBorders>
              <w:top w:val="nil"/>
              <w:left w:val="nil"/>
              <w:bottom w:val="nil"/>
              <w:right w:val="nil"/>
              <w:tl2br w:val="single" w:sz="4" w:space="0" w:color="auto"/>
              <w:tr2bl w:val="single" w:sz="4" w:space="0" w:color="auto"/>
            </w:tcBorders>
            <w:shd w:val="clear" w:color="000000" w:fill="FFFFFF"/>
            <w:vAlign w:val="center"/>
            <w:hideMark/>
          </w:tcPr>
          <w:p w14:paraId="1DFF5A6D" w14:textId="77777777" w:rsidR="00CF5DDC" w:rsidRPr="00D618B7" w:rsidRDefault="00CF5DDC" w:rsidP="004B11B7">
            <w:pPr>
              <w:jc w:val="center"/>
              <w:rPr>
                <w:b/>
                <w:bCs/>
                <w:color w:val="000000"/>
                <w:sz w:val="20"/>
                <w:szCs w:val="20"/>
              </w:rPr>
            </w:pPr>
            <w:r w:rsidRPr="00D618B7">
              <w:rPr>
                <w:b/>
                <w:bCs/>
                <w:color w:val="000000"/>
                <w:sz w:val="20"/>
                <w:szCs w:val="20"/>
              </w:rPr>
              <w:t> </w:t>
            </w:r>
          </w:p>
        </w:tc>
      </w:tr>
      <w:tr w:rsidR="00EE345D" w:rsidRPr="00D618B7" w14:paraId="222B1635" w14:textId="77777777" w:rsidTr="00EE345D">
        <w:trPr>
          <w:trHeight w:val="315"/>
        </w:trPr>
        <w:tc>
          <w:tcPr>
            <w:tcW w:w="457" w:type="pct"/>
            <w:tcBorders>
              <w:top w:val="nil"/>
              <w:left w:val="nil"/>
              <w:bottom w:val="nil"/>
              <w:right w:val="nil"/>
            </w:tcBorders>
            <w:shd w:val="clear" w:color="000000" w:fill="FFFFFF"/>
            <w:vAlign w:val="center"/>
            <w:hideMark/>
          </w:tcPr>
          <w:p w14:paraId="00DE0BAB" w14:textId="77777777" w:rsidR="00CF5DDC" w:rsidRPr="00D618B7" w:rsidRDefault="00CF5DDC" w:rsidP="004B11B7">
            <w:pPr>
              <w:jc w:val="center"/>
              <w:rPr>
                <w:color w:val="000000"/>
              </w:rPr>
            </w:pPr>
            <w:r w:rsidRPr="00D618B7">
              <w:rPr>
                <w:color w:val="000000"/>
              </w:rPr>
              <w:t>LN</w:t>
            </w:r>
          </w:p>
        </w:tc>
        <w:tc>
          <w:tcPr>
            <w:tcW w:w="413" w:type="pct"/>
            <w:tcBorders>
              <w:top w:val="nil"/>
              <w:left w:val="nil"/>
              <w:bottom w:val="nil"/>
              <w:right w:val="nil"/>
              <w:tl2br w:val="single" w:sz="4" w:space="0" w:color="auto"/>
              <w:tr2bl w:val="single" w:sz="4" w:space="0" w:color="auto"/>
            </w:tcBorders>
            <w:shd w:val="clear" w:color="000000" w:fill="FFFFFF"/>
            <w:vAlign w:val="center"/>
            <w:hideMark/>
          </w:tcPr>
          <w:p w14:paraId="61724CFA"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3" w:type="pct"/>
            <w:tcBorders>
              <w:top w:val="nil"/>
              <w:left w:val="nil"/>
              <w:bottom w:val="nil"/>
              <w:right w:val="nil"/>
            </w:tcBorders>
            <w:shd w:val="clear" w:color="000000" w:fill="FFFFFF"/>
            <w:vAlign w:val="center"/>
            <w:hideMark/>
          </w:tcPr>
          <w:p w14:paraId="78FFF2F4" w14:textId="77777777" w:rsidR="00CF5DDC" w:rsidRPr="00D618B7" w:rsidRDefault="00CF5DDC" w:rsidP="004B11B7">
            <w:pPr>
              <w:jc w:val="center"/>
              <w:rPr>
                <w:color w:val="000000"/>
                <w:sz w:val="20"/>
                <w:szCs w:val="20"/>
              </w:rPr>
            </w:pPr>
            <w:r w:rsidRPr="00D618B7">
              <w:rPr>
                <w:color w:val="000000"/>
                <w:sz w:val="20"/>
                <w:szCs w:val="20"/>
              </w:rPr>
              <w:t>15</w:t>
            </w:r>
          </w:p>
        </w:tc>
        <w:tc>
          <w:tcPr>
            <w:tcW w:w="413" w:type="pct"/>
            <w:tcBorders>
              <w:top w:val="nil"/>
              <w:left w:val="nil"/>
              <w:bottom w:val="nil"/>
              <w:right w:val="nil"/>
              <w:tl2br w:val="single" w:sz="4" w:space="0" w:color="auto"/>
              <w:tr2bl w:val="single" w:sz="4" w:space="0" w:color="auto"/>
            </w:tcBorders>
            <w:shd w:val="clear" w:color="000000" w:fill="FFFFFF"/>
            <w:vAlign w:val="center"/>
            <w:hideMark/>
          </w:tcPr>
          <w:p w14:paraId="0E1861AC"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3" w:type="pct"/>
            <w:tcBorders>
              <w:top w:val="nil"/>
              <w:left w:val="nil"/>
              <w:bottom w:val="nil"/>
              <w:right w:val="nil"/>
            </w:tcBorders>
            <w:shd w:val="clear" w:color="000000" w:fill="FFFFFF"/>
            <w:vAlign w:val="center"/>
            <w:hideMark/>
          </w:tcPr>
          <w:p w14:paraId="5867ADAB" w14:textId="77777777" w:rsidR="00CF5DDC" w:rsidRPr="00D618B7" w:rsidRDefault="00CF5DDC" w:rsidP="004B11B7">
            <w:pPr>
              <w:jc w:val="center"/>
              <w:rPr>
                <w:color w:val="000000"/>
                <w:sz w:val="20"/>
                <w:szCs w:val="20"/>
              </w:rPr>
            </w:pPr>
            <w:r w:rsidRPr="00D618B7">
              <w:rPr>
                <w:color w:val="000000"/>
                <w:sz w:val="20"/>
                <w:szCs w:val="20"/>
              </w:rPr>
              <w:t>17</w:t>
            </w:r>
          </w:p>
        </w:tc>
        <w:tc>
          <w:tcPr>
            <w:tcW w:w="413" w:type="pct"/>
            <w:tcBorders>
              <w:top w:val="nil"/>
              <w:left w:val="nil"/>
              <w:bottom w:val="nil"/>
              <w:right w:val="nil"/>
              <w:tl2br w:val="single" w:sz="4" w:space="0" w:color="auto"/>
              <w:tr2bl w:val="single" w:sz="4" w:space="0" w:color="auto"/>
            </w:tcBorders>
            <w:shd w:val="clear" w:color="000000" w:fill="FFFFFF"/>
            <w:vAlign w:val="center"/>
            <w:hideMark/>
          </w:tcPr>
          <w:p w14:paraId="1C7E5D14"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3" w:type="pct"/>
            <w:tcBorders>
              <w:top w:val="nil"/>
              <w:left w:val="nil"/>
              <w:bottom w:val="nil"/>
              <w:right w:val="nil"/>
            </w:tcBorders>
            <w:shd w:val="clear" w:color="000000" w:fill="FFFFFF"/>
            <w:vAlign w:val="center"/>
            <w:hideMark/>
          </w:tcPr>
          <w:p w14:paraId="36C58795" w14:textId="77777777" w:rsidR="00CF5DDC" w:rsidRPr="00D618B7" w:rsidRDefault="00CF5DDC" w:rsidP="004B11B7">
            <w:pPr>
              <w:jc w:val="center"/>
              <w:rPr>
                <w:color w:val="000000"/>
                <w:sz w:val="20"/>
                <w:szCs w:val="20"/>
              </w:rPr>
            </w:pPr>
            <w:r w:rsidRPr="00D618B7">
              <w:rPr>
                <w:color w:val="000000"/>
                <w:sz w:val="20"/>
                <w:szCs w:val="20"/>
              </w:rPr>
              <w:t>19</w:t>
            </w:r>
          </w:p>
        </w:tc>
        <w:tc>
          <w:tcPr>
            <w:tcW w:w="413" w:type="pct"/>
            <w:tcBorders>
              <w:top w:val="nil"/>
              <w:left w:val="nil"/>
              <w:bottom w:val="nil"/>
              <w:right w:val="nil"/>
            </w:tcBorders>
            <w:shd w:val="clear" w:color="000000" w:fill="FFFFFF"/>
            <w:vAlign w:val="center"/>
            <w:hideMark/>
          </w:tcPr>
          <w:p w14:paraId="52EF2543" w14:textId="77777777" w:rsidR="00CF5DDC" w:rsidRPr="00D618B7" w:rsidRDefault="00CF5DDC" w:rsidP="004B11B7">
            <w:pPr>
              <w:jc w:val="center"/>
              <w:rPr>
                <w:color w:val="000000"/>
                <w:sz w:val="20"/>
                <w:szCs w:val="20"/>
              </w:rPr>
            </w:pPr>
            <w:r w:rsidRPr="00D618B7">
              <w:rPr>
                <w:color w:val="000000"/>
                <w:sz w:val="20"/>
                <w:szCs w:val="20"/>
              </w:rPr>
              <w:t>20</w:t>
            </w:r>
          </w:p>
        </w:tc>
        <w:tc>
          <w:tcPr>
            <w:tcW w:w="413" w:type="pct"/>
            <w:tcBorders>
              <w:top w:val="nil"/>
              <w:left w:val="nil"/>
              <w:bottom w:val="nil"/>
              <w:right w:val="nil"/>
              <w:tl2br w:val="single" w:sz="4" w:space="0" w:color="auto"/>
              <w:tr2bl w:val="single" w:sz="4" w:space="0" w:color="auto"/>
            </w:tcBorders>
            <w:shd w:val="clear" w:color="000000" w:fill="FFFFFF"/>
            <w:vAlign w:val="center"/>
            <w:hideMark/>
          </w:tcPr>
          <w:p w14:paraId="3B7555C7"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4" w:type="pct"/>
            <w:tcBorders>
              <w:top w:val="nil"/>
              <w:left w:val="nil"/>
              <w:bottom w:val="nil"/>
              <w:right w:val="nil"/>
            </w:tcBorders>
            <w:shd w:val="clear" w:color="000000" w:fill="FFFFFF"/>
            <w:vAlign w:val="center"/>
            <w:hideMark/>
          </w:tcPr>
          <w:p w14:paraId="1F68965A" w14:textId="77777777" w:rsidR="00CF5DDC" w:rsidRPr="00D618B7" w:rsidRDefault="00CF5DDC" w:rsidP="004B11B7">
            <w:pPr>
              <w:jc w:val="center"/>
              <w:rPr>
                <w:color w:val="000000"/>
                <w:sz w:val="20"/>
                <w:szCs w:val="20"/>
              </w:rPr>
            </w:pPr>
            <w:r w:rsidRPr="00D618B7">
              <w:rPr>
                <w:color w:val="000000"/>
                <w:sz w:val="20"/>
                <w:szCs w:val="20"/>
              </w:rPr>
              <w:t>22</w:t>
            </w:r>
          </w:p>
        </w:tc>
        <w:tc>
          <w:tcPr>
            <w:tcW w:w="414" w:type="pct"/>
            <w:tcBorders>
              <w:top w:val="nil"/>
              <w:left w:val="nil"/>
              <w:bottom w:val="nil"/>
              <w:right w:val="nil"/>
            </w:tcBorders>
            <w:shd w:val="clear" w:color="000000" w:fill="FFFFFF"/>
            <w:vAlign w:val="center"/>
            <w:hideMark/>
          </w:tcPr>
          <w:p w14:paraId="0A5CB31F" w14:textId="77777777" w:rsidR="00CF5DDC" w:rsidRPr="00D618B7" w:rsidRDefault="00CF5DDC" w:rsidP="004B11B7">
            <w:pPr>
              <w:jc w:val="center"/>
              <w:rPr>
                <w:color w:val="000000"/>
                <w:sz w:val="20"/>
                <w:szCs w:val="20"/>
              </w:rPr>
            </w:pPr>
            <w:r w:rsidRPr="00D618B7">
              <w:rPr>
                <w:color w:val="000000"/>
                <w:sz w:val="20"/>
                <w:szCs w:val="20"/>
              </w:rPr>
              <w:t>23</w:t>
            </w:r>
          </w:p>
        </w:tc>
        <w:tc>
          <w:tcPr>
            <w:tcW w:w="410" w:type="pct"/>
            <w:tcBorders>
              <w:top w:val="nil"/>
              <w:left w:val="nil"/>
              <w:bottom w:val="nil"/>
              <w:right w:val="nil"/>
              <w:tl2br w:val="single" w:sz="4" w:space="0" w:color="auto"/>
              <w:tr2bl w:val="single" w:sz="4" w:space="0" w:color="auto"/>
            </w:tcBorders>
            <w:shd w:val="clear" w:color="000000" w:fill="FFFFFF"/>
            <w:vAlign w:val="center"/>
            <w:hideMark/>
          </w:tcPr>
          <w:p w14:paraId="2150571F" w14:textId="77777777" w:rsidR="00CF5DDC" w:rsidRPr="00D618B7" w:rsidRDefault="00CF5DDC" w:rsidP="004B11B7">
            <w:pPr>
              <w:jc w:val="center"/>
              <w:rPr>
                <w:b/>
                <w:bCs/>
                <w:color w:val="000000"/>
                <w:sz w:val="20"/>
                <w:szCs w:val="20"/>
              </w:rPr>
            </w:pPr>
            <w:r w:rsidRPr="00D618B7">
              <w:rPr>
                <w:b/>
                <w:bCs/>
                <w:color w:val="000000"/>
                <w:sz w:val="20"/>
                <w:szCs w:val="20"/>
              </w:rPr>
              <w:t> </w:t>
            </w:r>
          </w:p>
        </w:tc>
      </w:tr>
      <w:tr w:rsidR="00EE345D" w:rsidRPr="00D618B7" w14:paraId="5C283AF9" w14:textId="77777777" w:rsidTr="00EE345D">
        <w:trPr>
          <w:trHeight w:val="330"/>
        </w:trPr>
        <w:tc>
          <w:tcPr>
            <w:tcW w:w="457" w:type="pct"/>
            <w:tcBorders>
              <w:top w:val="nil"/>
              <w:left w:val="nil"/>
              <w:bottom w:val="single" w:sz="8" w:space="0" w:color="auto"/>
              <w:right w:val="nil"/>
            </w:tcBorders>
            <w:shd w:val="clear" w:color="000000" w:fill="FFFFFF"/>
            <w:vAlign w:val="center"/>
            <w:hideMark/>
          </w:tcPr>
          <w:p w14:paraId="69FFAFD7" w14:textId="77777777" w:rsidR="00CF5DDC" w:rsidRPr="00D618B7" w:rsidRDefault="00CF5DDC" w:rsidP="004B11B7">
            <w:pPr>
              <w:jc w:val="center"/>
              <w:rPr>
                <w:color w:val="000000"/>
              </w:rPr>
            </w:pPr>
            <w:r w:rsidRPr="00D618B7">
              <w:rPr>
                <w:color w:val="000000"/>
              </w:rPr>
              <w:t>ME</w:t>
            </w:r>
          </w:p>
        </w:tc>
        <w:tc>
          <w:tcPr>
            <w:tcW w:w="413" w:type="pct"/>
            <w:tcBorders>
              <w:top w:val="nil"/>
              <w:left w:val="nil"/>
              <w:bottom w:val="single" w:sz="8" w:space="0" w:color="auto"/>
              <w:right w:val="nil"/>
            </w:tcBorders>
            <w:shd w:val="clear" w:color="000000" w:fill="FFFFFF"/>
            <w:vAlign w:val="center"/>
            <w:hideMark/>
          </w:tcPr>
          <w:p w14:paraId="1109BAFA" w14:textId="77777777" w:rsidR="00CF5DDC" w:rsidRPr="00D618B7" w:rsidRDefault="00CF5DDC" w:rsidP="004B11B7">
            <w:pPr>
              <w:jc w:val="center"/>
              <w:rPr>
                <w:color w:val="000000"/>
                <w:sz w:val="20"/>
                <w:szCs w:val="20"/>
              </w:rPr>
            </w:pPr>
            <w:r w:rsidRPr="00D618B7">
              <w:rPr>
                <w:color w:val="000000"/>
                <w:sz w:val="20"/>
                <w:szCs w:val="20"/>
              </w:rPr>
              <w:t>16</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3D56C391"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449954BD"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49549FF1" w14:textId="77777777" w:rsidR="00CF5DDC" w:rsidRPr="00D618B7" w:rsidRDefault="00CF5DDC" w:rsidP="004B11B7">
            <w:pPr>
              <w:jc w:val="center"/>
              <w:rPr>
                <w:b/>
                <w:bCs/>
                <w:color w:val="000000"/>
                <w:sz w:val="20"/>
                <w:szCs w:val="20"/>
              </w:rPr>
            </w:pPr>
            <w:r w:rsidRPr="00D618B7">
              <w:rPr>
                <w:b/>
                <w:bCs/>
                <w:color w:val="000000"/>
                <w:sz w:val="20"/>
                <w:szCs w:val="20"/>
              </w:rPr>
              <w:t> </w:t>
            </w:r>
          </w:p>
        </w:tc>
        <w:tc>
          <w:tcPr>
            <w:tcW w:w="413" w:type="pct"/>
            <w:tcBorders>
              <w:top w:val="nil"/>
              <w:left w:val="nil"/>
              <w:bottom w:val="single" w:sz="8" w:space="0" w:color="auto"/>
              <w:right w:val="nil"/>
            </w:tcBorders>
            <w:shd w:val="clear" w:color="000000" w:fill="FFFFFF"/>
            <w:vAlign w:val="center"/>
            <w:hideMark/>
          </w:tcPr>
          <w:p w14:paraId="4E88ACC1" w14:textId="77777777" w:rsidR="00CF5DDC" w:rsidRPr="00D618B7" w:rsidRDefault="00CF5DDC" w:rsidP="004B11B7">
            <w:pPr>
              <w:jc w:val="center"/>
              <w:rPr>
                <w:color w:val="000000"/>
                <w:sz w:val="20"/>
                <w:szCs w:val="20"/>
              </w:rPr>
            </w:pPr>
            <w:r w:rsidRPr="00D618B7">
              <w:rPr>
                <w:color w:val="000000"/>
                <w:sz w:val="20"/>
                <w:szCs w:val="20"/>
              </w:rPr>
              <w:t>20</w:t>
            </w:r>
          </w:p>
        </w:tc>
        <w:tc>
          <w:tcPr>
            <w:tcW w:w="413" w:type="pct"/>
            <w:tcBorders>
              <w:top w:val="nil"/>
              <w:left w:val="nil"/>
              <w:bottom w:val="single" w:sz="8" w:space="0" w:color="auto"/>
              <w:right w:val="nil"/>
            </w:tcBorders>
            <w:shd w:val="clear" w:color="000000" w:fill="FFFFFF"/>
            <w:vAlign w:val="center"/>
            <w:hideMark/>
          </w:tcPr>
          <w:p w14:paraId="6C583789" w14:textId="77777777" w:rsidR="00CF5DDC" w:rsidRPr="00D618B7" w:rsidRDefault="00CF5DDC" w:rsidP="004B11B7">
            <w:pPr>
              <w:jc w:val="center"/>
              <w:rPr>
                <w:color w:val="000000"/>
                <w:sz w:val="20"/>
                <w:szCs w:val="20"/>
              </w:rPr>
            </w:pPr>
            <w:r w:rsidRPr="00D618B7">
              <w:rPr>
                <w:color w:val="000000"/>
                <w:sz w:val="20"/>
                <w:szCs w:val="20"/>
              </w:rPr>
              <w:t>21</w:t>
            </w:r>
          </w:p>
        </w:tc>
        <w:tc>
          <w:tcPr>
            <w:tcW w:w="413" w:type="pct"/>
            <w:tcBorders>
              <w:top w:val="nil"/>
              <w:left w:val="nil"/>
              <w:bottom w:val="single" w:sz="8" w:space="0" w:color="auto"/>
              <w:right w:val="nil"/>
            </w:tcBorders>
            <w:shd w:val="clear" w:color="000000" w:fill="FFFFFF"/>
            <w:vAlign w:val="center"/>
            <w:hideMark/>
          </w:tcPr>
          <w:p w14:paraId="0F57714B" w14:textId="77777777" w:rsidR="00CF5DDC" w:rsidRPr="00D618B7" w:rsidRDefault="00CF5DDC" w:rsidP="004B11B7">
            <w:pPr>
              <w:jc w:val="center"/>
              <w:rPr>
                <w:color w:val="000000"/>
                <w:sz w:val="20"/>
                <w:szCs w:val="20"/>
              </w:rPr>
            </w:pPr>
            <w:r w:rsidRPr="00D618B7">
              <w:rPr>
                <w:color w:val="000000"/>
                <w:sz w:val="20"/>
                <w:szCs w:val="20"/>
              </w:rPr>
              <w:t>22</w:t>
            </w:r>
          </w:p>
        </w:tc>
        <w:tc>
          <w:tcPr>
            <w:tcW w:w="413" w:type="pct"/>
            <w:tcBorders>
              <w:top w:val="nil"/>
              <w:left w:val="nil"/>
              <w:bottom w:val="single" w:sz="8" w:space="0" w:color="auto"/>
              <w:right w:val="nil"/>
            </w:tcBorders>
            <w:shd w:val="clear" w:color="000000" w:fill="FFFFFF"/>
            <w:vAlign w:val="center"/>
            <w:hideMark/>
          </w:tcPr>
          <w:p w14:paraId="28A1FABA" w14:textId="77777777" w:rsidR="00CF5DDC" w:rsidRPr="00D618B7" w:rsidRDefault="00CF5DDC" w:rsidP="004B11B7">
            <w:pPr>
              <w:jc w:val="center"/>
              <w:rPr>
                <w:color w:val="000000"/>
                <w:sz w:val="20"/>
                <w:szCs w:val="20"/>
              </w:rPr>
            </w:pPr>
            <w:r w:rsidRPr="00D618B7">
              <w:rPr>
                <w:color w:val="000000"/>
                <w:sz w:val="20"/>
                <w:szCs w:val="20"/>
              </w:rPr>
              <w:t>23</w:t>
            </w:r>
          </w:p>
        </w:tc>
        <w:tc>
          <w:tcPr>
            <w:tcW w:w="414" w:type="pct"/>
            <w:tcBorders>
              <w:top w:val="nil"/>
              <w:left w:val="nil"/>
              <w:bottom w:val="single" w:sz="8" w:space="0" w:color="auto"/>
              <w:right w:val="nil"/>
            </w:tcBorders>
            <w:shd w:val="clear" w:color="000000" w:fill="FFFFFF"/>
            <w:vAlign w:val="center"/>
            <w:hideMark/>
          </w:tcPr>
          <w:p w14:paraId="691C790D" w14:textId="77777777" w:rsidR="00CF5DDC" w:rsidRPr="00D618B7" w:rsidRDefault="00CF5DDC" w:rsidP="004B11B7">
            <w:pPr>
              <w:jc w:val="center"/>
              <w:rPr>
                <w:color w:val="000000"/>
                <w:sz w:val="20"/>
                <w:szCs w:val="20"/>
              </w:rPr>
            </w:pPr>
            <w:r w:rsidRPr="00D618B7">
              <w:rPr>
                <w:color w:val="000000"/>
                <w:sz w:val="20"/>
                <w:szCs w:val="20"/>
              </w:rPr>
              <w:t>24</w:t>
            </w:r>
          </w:p>
        </w:tc>
        <w:tc>
          <w:tcPr>
            <w:tcW w:w="414" w:type="pct"/>
            <w:tcBorders>
              <w:top w:val="nil"/>
              <w:left w:val="nil"/>
              <w:bottom w:val="single" w:sz="8" w:space="0" w:color="auto"/>
              <w:right w:val="nil"/>
            </w:tcBorders>
            <w:shd w:val="clear" w:color="000000" w:fill="FFFFFF"/>
            <w:vAlign w:val="center"/>
            <w:hideMark/>
          </w:tcPr>
          <w:p w14:paraId="045CCC81" w14:textId="77777777" w:rsidR="00CF5DDC" w:rsidRPr="00D618B7" w:rsidRDefault="00CF5DDC" w:rsidP="004B11B7">
            <w:pPr>
              <w:jc w:val="center"/>
              <w:rPr>
                <w:color w:val="000000"/>
                <w:sz w:val="20"/>
                <w:szCs w:val="20"/>
              </w:rPr>
            </w:pPr>
            <w:r w:rsidRPr="00D618B7">
              <w:rPr>
                <w:color w:val="000000"/>
                <w:sz w:val="20"/>
                <w:szCs w:val="20"/>
              </w:rPr>
              <w:t>25</w:t>
            </w:r>
          </w:p>
        </w:tc>
        <w:tc>
          <w:tcPr>
            <w:tcW w:w="410" w:type="pct"/>
            <w:tcBorders>
              <w:top w:val="nil"/>
              <w:left w:val="nil"/>
              <w:bottom w:val="single" w:sz="8" w:space="0" w:color="auto"/>
              <w:right w:val="nil"/>
            </w:tcBorders>
            <w:shd w:val="clear" w:color="000000" w:fill="FFFFFF"/>
            <w:vAlign w:val="center"/>
            <w:hideMark/>
          </w:tcPr>
          <w:p w14:paraId="771E301A" w14:textId="77777777" w:rsidR="00CF5DDC" w:rsidRPr="00D618B7" w:rsidRDefault="00CF5DDC" w:rsidP="004B11B7">
            <w:pPr>
              <w:jc w:val="center"/>
              <w:rPr>
                <w:color w:val="000000"/>
                <w:sz w:val="20"/>
                <w:szCs w:val="20"/>
              </w:rPr>
            </w:pPr>
            <w:r w:rsidRPr="00D618B7">
              <w:rPr>
                <w:color w:val="000000"/>
                <w:sz w:val="20"/>
                <w:szCs w:val="20"/>
              </w:rPr>
              <w:t>26</w:t>
            </w:r>
          </w:p>
        </w:tc>
      </w:tr>
    </w:tbl>
    <w:p w14:paraId="3D7F93E4" w14:textId="77777777" w:rsidR="004150DC" w:rsidRPr="00D618B7" w:rsidRDefault="004150DC" w:rsidP="004150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259557D" w14:textId="77777777" w:rsidR="004150DC" w:rsidRPr="00D618B7" w:rsidRDefault="004150DC" w:rsidP="004150DC">
      <w:pPr>
        <w:keepNext/>
        <w:spacing w:before="120" w:after="120"/>
      </w:pPr>
      <w:r w:rsidRPr="00D618B7">
        <w:rPr>
          <w:i/>
          <w:iCs/>
        </w:rPr>
        <w:t>Note</w:t>
      </w:r>
      <w:r w:rsidRPr="00D618B7">
        <w:t>: This table lists the infants and their corresponding ages for weekly observations around reach-onset (0). X’d weeks indicate weeks of missing data.</w:t>
      </w:r>
    </w:p>
    <w:p w14:paraId="7C535FD8" w14:textId="77777777" w:rsidR="00EE345D" w:rsidRPr="00D618B7" w:rsidRDefault="00EE345D" w:rsidP="004150DC">
      <w:pPr>
        <w:keepNext/>
        <w:spacing w:before="120" w:after="120"/>
      </w:pPr>
    </w:p>
    <w:p w14:paraId="4181DCFE" w14:textId="77777777" w:rsidR="00EE345D" w:rsidRPr="00D618B7" w:rsidRDefault="00EE345D" w:rsidP="004150DC">
      <w:pPr>
        <w:keepNext/>
        <w:spacing w:before="120" w:after="120"/>
        <w:rPr>
          <w:iCs/>
          <w:color w:val="000000"/>
        </w:rPr>
      </w:pPr>
    </w:p>
    <w:p w14:paraId="5F009717" w14:textId="198BD216" w:rsidR="004B7288" w:rsidRPr="00D618B7" w:rsidRDefault="004B7288" w:rsidP="004B7288">
      <w:pPr>
        <w:rPr>
          <w:b/>
          <w:bCs/>
        </w:rPr>
      </w:pPr>
      <w:bookmarkStart w:id="119" w:name="_Toc172716830"/>
      <w:r w:rsidRPr="00D618B7">
        <w:rPr>
          <w:b/>
          <w:bCs/>
        </w:rPr>
        <w:t xml:space="preserve">Table </w:t>
      </w:r>
      <w:r w:rsidRPr="00D618B7">
        <w:rPr>
          <w:b/>
          <w:bCs/>
        </w:rPr>
        <w:fldChar w:fldCharType="begin"/>
      </w:r>
      <w:r w:rsidRPr="00D618B7">
        <w:rPr>
          <w:b/>
          <w:bCs/>
        </w:rPr>
        <w:instrText xml:space="preserve"> SEQ Table \* ARABIC </w:instrText>
      </w:r>
      <w:r w:rsidRPr="00D618B7">
        <w:rPr>
          <w:b/>
          <w:bCs/>
        </w:rPr>
        <w:fldChar w:fldCharType="separate"/>
      </w:r>
      <w:r w:rsidR="000C6E43">
        <w:rPr>
          <w:b/>
          <w:bCs/>
          <w:noProof/>
        </w:rPr>
        <w:t>2</w:t>
      </w:r>
      <w:r w:rsidRPr="00D618B7">
        <w:rPr>
          <w:b/>
          <w:bCs/>
        </w:rPr>
        <w:fldChar w:fldCharType="end"/>
      </w:r>
      <w:r w:rsidR="00145E6A" w:rsidRPr="00D618B7">
        <w:rPr>
          <w:b/>
          <w:bCs/>
        </w:rPr>
        <w:t>:</w:t>
      </w:r>
      <w:r w:rsidRPr="00D618B7">
        <w:rPr>
          <w:b/>
          <w:bCs/>
        </w:rPr>
        <w:t xml:space="preserve"> </w:t>
      </w:r>
      <w:r w:rsidR="00B045D0" w:rsidRPr="00D618B7">
        <w:rPr>
          <w:b/>
          <w:bCs/>
        </w:rPr>
        <w:t>Number of t</w:t>
      </w:r>
      <w:r w:rsidR="00145E6A" w:rsidRPr="00D618B7">
        <w:rPr>
          <w:b/>
          <w:bCs/>
        </w:rPr>
        <w:t xml:space="preserve">rials </w:t>
      </w:r>
      <w:r w:rsidR="00B045D0" w:rsidRPr="00D618B7">
        <w:rPr>
          <w:b/>
          <w:bCs/>
        </w:rPr>
        <w:t xml:space="preserve">completed </w:t>
      </w:r>
      <w:r w:rsidR="00711BCC">
        <w:rPr>
          <w:b/>
          <w:bCs/>
        </w:rPr>
        <w:t>per</w:t>
      </w:r>
      <w:r w:rsidR="00B045D0" w:rsidRPr="00D618B7">
        <w:rPr>
          <w:b/>
          <w:bCs/>
        </w:rPr>
        <w:t xml:space="preserve"> </w:t>
      </w:r>
      <w:r w:rsidR="00851274" w:rsidRPr="00D618B7">
        <w:rPr>
          <w:b/>
          <w:bCs/>
        </w:rPr>
        <w:t>visit</w:t>
      </w:r>
      <w:r w:rsidR="00711BCC">
        <w:rPr>
          <w:b/>
          <w:bCs/>
        </w:rPr>
        <w:t xml:space="preserve"> by infant</w:t>
      </w:r>
      <w:r w:rsidR="00851274" w:rsidRPr="00D618B7">
        <w:rPr>
          <w:b/>
          <w:bCs/>
        </w:rPr>
        <w:t>.</w:t>
      </w:r>
      <w:bookmarkEnd w:id="119"/>
    </w:p>
    <w:p w14:paraId="63118BD5" w14:textId="77777777" w:rsidR="004B7288" w:rsidRPr="00D618B7" w:rsidRDefault="004B7288" w:rsidP="00EE345D"/>
    <w:p w14:paraId="35D8F8A3" w14:textId="24077D65" w:rsidR="00EE345D" w:rsidRPr="00D618B7" w:rsidRDefault="00EE345D" w:rsidP="00EE345D">
      <w:r w:rsidRPr="00D618B7">
        <w:t>Number of tr</w:t>
      </w:r>
      <w:r w:rsidR="00851274">
        <w:t>ia</w:t>
      </w:r>
      <w:r w:rsidRPr="00D618B7">
        <w:t xml:space="preserve">ls </w:t>
      </w:r>
      <w:r w:rsidR="004B7288" w:rsidRPr="00D618B7">
        <w:t>conducted</w:t>
      </w:r>
      <w:r w:rsidRPr="00D618B7">
        <w:t xml:space="preserve"> per visit across the weeks of observation.</w:t>
      </w:r>
    </w:p>
    <w:tbl>
      <w:tblPr>
        <w:tblW w:w="5000" w:type="pct"/>
        <w:tblLook w:val="04A0" w:firstRow="1" w:lastRow="0" w:firstColumn="1" w:lastColumn="0" w:noHBand="0" w:noVBand="1"/>
      </w:tblPr>
      <w:tblGrid>
        <w:gridCol w:w="790"/>
        <w:gridCol w:w="713"/>
        <w:gridCol w:w="713"/>
        <w:gridCol w:w="714"/>
        <w:gridCol w:w="714"/>
        <w:gridCol w:w="714"/>
        <w:gridCol w:w="714"/>
        <w:gridCol w:w="714"/>
        <w:gridCol w:w="714"/>
        <w:gridCol w:w="715"/>
        <w:gridCol w:w="715"/>
        <w:gridCol w:w="710"/>
      </w:tblGrid>
      <w:tr w:rsidR="00EE345D" w:rsidRPr="00D618B7" w14:paraId="46653A5F" w14:textId="77777777" w:rsidTr="006F2AFB">
        <w:trPr>
          <w:trHeight w:val="330"/>
        </w:trPr>
        <w:tc>
          <w:tcPr>
            <w:tcW w:w="457" w:type="pct"/>
            <w:tcBorders>
              <w:top w:val="single" w:sz="8" w:space="0" w:color="auto"/>
              <w:left w:val="nil"/>
              <w:bottom w:val="nil"/>
              <w:right w:val="nil"/>
            </w:tcBorders>
            <w:shd w:val="clear" w:color="000000" w:fill="FFFFFF"/>
            <w:vAlign w:val="center"/>
            <w:hideMark/>
          </w:tcPr>
          <w:p w14:paraId="5FC7663F" w14:textId="77777777" w:rsidR="00EE345D" w:rsidRPr="00D618B7" w:rsidRDefault="00EE345D" w:rsidP="004B11B7">
            <w:pPr>
              <w:jc w:val="center"/>
              <w:rPr>
                <w:color w:val="000000"/>
              </w:rPr>
            </w:pPr>
            <w:r w:rsidRPr="00D618B7">
              <w:rPr>
                <w:color w:val="000000"/>
              </w:rPr>
              <w:t>Infant</w:t>
            </w:r>
          </w:p>
        </w:tc>
        <w:tc>
          <w:tcPr>
            <w:tcW w:w="4543" w:type="pct"/>
            <w:gridSpan w:val="11"/>
            <w:tcBorders>
              <w:top w:val="single" w:sz="8" w:space="0" w:color="auto"/>
              <w:left w:val="nil"/>
              <w:bottom w:val="single" w:sz="8" w:space="0" w:color="auto"/>
              <w:right w:val="nil"/>
            </w:tcBorders>
            <w:shd w:val="clear" w:color="000000" w:fill="FFFFFF"/>
            <w:vAlign w:val="center"/>
            <w:hideMark/>
          </w:tcPr>
          <w:p w14:paraId="7FAA6157" w14:textId="77777777" w:rsidR="00EE345D" w:rsidRPr="00D618B7" w:rsidRDefault="00EE345D" w:rsidP="004B11B7">
            <w:pPr>
              <w:jc w:val="center"/>
              <w:rPr>
                <w:color w:val="000000"/>
              </w:rPr>
            </w:pPr>
            <w:r w:rsidRPr="00D618B7">
              <w:rPr>
                <w:color w:val="000000"/>
              </w:rPr>
              <w:t>Week Around Reach-Onset</w:t>
            </w:r>
          </w:p>
        </w:tc>
      </w:tr>
      <w:tr w:rsidR="00EE345D" w:rsidRPr="00D618B7" w14:paraId="53432288" w14:textId="77777777" w:rsidTr="006F2AFB">
        <w:trPr>
          <w:trHeight w:val="330"/>
        </w:trPr>
        <w:tc>
          <w:tcPr>
            <w:tcW w:w="457" w:type="pct"/>
            <w:tcBorders>
              <w:top w:val="nil"/>
              <w:left w:val="nil"/>
              <w:bottom w:val="single" w:sz="8" w:space="0" w:color="auto"/>
              <w:right w:val="nil"/>
            </w:tcBorders>
            <w:shd w:val="clear" w:color="000000" w:fill="FFFFFF"/>
            <w:vAlign w:val="center"/>
            <w:hideMark/>
          </w:tcPr>
          <w:p w14:paraId="347D1A6A" w14:textId="77777777" w:rsidR="00EE345D" w:rsidRPr="00D618B7" w:rsidRDefault="00EE345D" w:rsidP="004B11B7">
            <w:pPr>
              <w:rPr>
                <w:color w:val="000000"/>
              </w:rPr>
            </w:pPr>
            <w:r w:rsidRPr="00D618B7">
              <w:rPr>
                <w:color w:val="000000"/>
              </w:rPr>
              <w:t> </w:t>
            </w:r>
          </w:p>
        </w:tc>
        <w:tc>
          <w:tcPr>
            <w:tcW w:w="413" w:type="pct"/>
            <w:tcBorders>
              <w:top w:val="nil"/>
              <w:left w:val="nil"/>
              <w:bottom w:val="single" w:sz="8" w:space="0" w:color="auto"/>
              <w:right w:val="nil"/>
            </w:tcBorders>
            <w:shd w:val="clear" w:color="000000" w:fill="FFFFFF"/>
            <w:vAlign w:val="center"/>
            <w:hideMark/>
          </w:tcPr>
          <w:p w14:paraId="3E6B2E6C" w14:textId="77777777" w:rsidR="00EE345D" w:rsidRPr="00D618B7" w:rsidRDefault="00EE345D" w:rsidP="004B11B7">
            <w:pPr>
              <w:jc w:val="center"/>
              <w:rPr>
                <w:color w:val="000000"/>
              </w:rPr>
            </w:pPr>
            <w:r w:rsidRPr="00D618B7">
              <w:rPr>
                <w:color w:val="000000"/>
              </w:rPr>
              <w:t>-5</w:t>
            </w:r>
          </w:p>
        </w:tc>
        <w:tc>
          <w:tcPr>
            <w:tcW w:w="413" w:type="pct"/>
            <w:tcBorders>
              <w:top w:val="nil"/>
              <w:left w:val="nil"/>
              <w:bottom w:val="single" w:sz="8" w:space="0" w:color="auto"/>
              <w:right w:val="nil"/>
            </w:tcBorders>
            <w:shd w:val="clear" w:color="000000" w:fill="FFFFFF"/>
            <w:vAlign w:val="center"/>
            <w:hideMark/>
          </w:tcPr>
          <w:p w14:paraId="30E0BDE0" w14:textId="77777777" w:rsidR="00EE345D" w:rsidRPr="00D618B7" w:rsidRDefault="00EE345D" w:rsidP="004B11B7">
            <w:pPr>
              <w:jc w:val="center"/>
              <w:rPr>
                <w:color w:val="000000"/>
              </w:rPr>
            </w:pPr>
            <w:r w:rsidRPr="00D618B7">
              <w:rPr>
                <w:color w:val="000000"/>
              </w:rPr>
              <w:t>-4</w:t>
            </w:r>
          </w:p>
        </w:tc>
        <w:tc>
          <w:tcPr>
            <w:tcW w:w="413" w:type="pct"/>
            <w:tcBorders>
              <w:top w:val="nil"/>
              <w:left w:val="nil"/>
              <w:bottom w:val="single" w:sz="8" w:space="0" w:color="auto"/>
              <w:right w:val="nil"/>
            </w:tcBorders>
            <w:shd w:val="clear" w:color="000000" w:fill="FFFFFF"/>
            <w:vAlign w:val="center"/>
            <w:hideMark/>
          </w:tcPr>
          <w:p w14:paraId="38E10FA5" w14:textId="77777777" w:rsidR="00EE345D" w:rsidRPr="00D618B7" w:rsidRDefault="00EE345D" w:rsidP="004B11B7">
            <w:pPr>
              <w:jc w:val="center"/>
              <w:rPr>
                <w:color w:val="000000"/>
              </w:rPr>
            </w:pPr>
            <w:r w:rsidRPr="00D618B7">
              <w:rPr>
                <w:color w:val="000000"/>
              </w:rPr>
              <w:t>-3</w:t>
            </w:r>
          </w:p>
        </w:tc>
        <w:tc>
          <w:tcPr>
            <w:tcW w:w="413" w:type="pct"/>
            <w:tcBorders>
              <w:top w:val="nil"/>
              <w:left w:val="nil"/>
              <w:bottom w:val="single" w:sz="8" w:space="0" w:color="auto"/>
              <w:right w:val="nil"/>
            </w:tcBorders>
            <w:shd w:val="clear" w:color="000000" w:fill="FFFFFF"/>
            <w:vAlign w:val="center"/>
            <w:hideMark/>
          </w:tcPr>
          <w:p w14:paraId="2D21FB8B" w14:textId="77777777" w:rsidR="00EE345D" w:rsidRPr="00D618B7" w:rsidRDefault="00EE345D" w:rsidP="004B11B7">
            <w:pPr>
              <w:jc w:val="center"/>
              <w:rPr>
                <w:color w:val="000000"/>
              </w:rPr>
            </w:pPr>
            <w:r w:rsidRPr="00D618B7">
              <w:rPr>
                <w:color w:val="000000"/>
              </w:rPr>
              <w:t>-2</w:t>
            </w:r>
          </w:p>
        </w:tc>
        <w:tc>
          <w:tcPr>
            <w:tcW w:w="413" w:type="pct"/>
            <w:tcBorders>
              <w:top w:val="nil"/>
              <w:left w:val="nil"/>
              <w:bottom w:val="single" w:sz="8" w:space="0" w:color="auto"/>
              <w:right w:val="nil"/>
            </w:tcBorders>
            <w:shd w:val="clear" w:color="000000" w:fill="FFFFFF"/>
            <w:vAlign w:val="center"/>
            <w:hideMark/>
          </w:tcPr>
          <w:p w14:paraId="0BBBCBBB" w14:textId="77777777" w:rsidR="00EE345D" w:rsidRPr="00D618B7" w:rsidRDefault="00EE345D" w:rsidP="004B11B7">
            <w:pPr>
              <w:jc w:val="center"/>
              <w:rPr>
                <w:color w:val="000000"/>
              </w:rPr>
            </w:pPr>
            <w:r w:rsidRPr="00D618B7">
              <w:rPr>
                <w:color w:val="000000"/>
              </w:rPr>
              <w:t>-1</w:t>
            </w:r>
          </w:p>
        </w:tc>
        <w:tc>
          <w:tcPr>
            <w:tcW w:w="413" w:type="pct"/>
            <w:tcBorders>
              <w:top w:val="nil"/>
              <w:left w:val="nil"/>
              <w:bottom w:val="single" w:sz="8" w:space="0" w:color="auto"/>
              <w:right w:val="nil"/>
            </w:tcBorders>
            <w:shd w:val="clear" w:color="000000" w:fill="FFFFFF"/>
            <w:vAlign w:val="center"/>
            <w:hideMark/>
          </w:tcPr>
          <w:p w14:paraId="3E837C4E" w14:textId="77777777" w:rsidR="00EE345D" w:rsidRPr="00D618B7" w:rsidRDefault="00EE345D" w:rsidP="004B11B7">
            <w:pPr>
              <w:jc w:val="center"/>
              <w:rPr>
                <w:color w:val="000000"/>
              </w:rPr>
            </w:pPr>
            <w:r w:rsidRPr="00D618B7">
              <w:rPr>
                <w:color w:val="000000"/>
              </w:rPr>
              <w:t>0</w:t>
            </w:r>
          </w:p>
        </w:tc>
        <w:tc>
          <w:tcPr>
            <w:tcW w:w="413" w:type="pct"/>
            <w:tcBorders>
              <w:top w:val="nil"/>
              <w:left w:val="nil"/>
              <w:bottom w:val="single" w:sz="8" w:space="0" w:color="auto"/>
              <w:right w:val="nil"/>
            </w:tcBorders>
            <w:shd w:val="clear" w:color="000000" w:fill="FFFFFF"/>
            <w:vAlign w:val="center"/>
            <w:hideMark/>
          </w:tcPr>
          <w:p w14:paraId="55449F17" w14:textId="77777777" w:rsidR="00EE345D" w:rsidRPr="00D618B7" w:rsidRDefault="00EE345D" w:rsidP="004B11B7">
            <w:pPr>
              <w:jc w:val="center"/>
              <w:rPr>
                <w:color w:val="000000"/>
              </w:rPr>
            </w:pPr>
            <w:r w:rsidRPr="00D618B7">
              <w:rPr>
                <w:color w:val="000000"/>
              </w:rPr>
              <w:t>1</w:t>
            </w:r>
          </w:p>
        </w:tc>
        <w:tc>
          <w:tcPr>
            <w:tcW w:w="413" w:type="pct"/>
            <w:tcBorders>
              <w:top w:val="nil"/>
              <w:left w:val="nil"/>
              <w:bottom w:val="single" w:sz="8" w:space="0" w:color="auto"/>
              <w:right w:val="nil"/>
            </w:tcBorders>
            <w:shd w:val="clear" w:color="000000" w:fill="FFFFFF"/>
            <w:vAlign w:val="center"/>
            <w:hideMark/>
          </w:tcPr>
          <w:p w14:paraId="44981EA1" w14:textId="77777777" w:rsidR="00EE345D" w:rsidRPr="00D618B7" w:rsidRDefault="00EE345D" w:rsidP="004B11B7">
            <w:pPr>
              <w:jc w:val="center"/>
              <w:rPr>
                <w:color w:val="000000"/>
              </w:rPr>
            </w:pPr>
            <w:r w:rsidRPr="00D618B7">
              <w:rPr>
                <w:color w:val="000000"/>
              </w:rPr>
              <w:t>2</w:t>
            </w:r>
          </w:p>
        </w:tc>
        <w:tc>
          <w:tcPr>
            <w:tcW w:w="414" w:type="pct"/>
            <w:tcBorders>
              <w:top w:val="nil"/>
              <w:left w:val="nil"/>
              <w:bottom w:val="single" w:sz="8" w:space="0" w:color="auto"/>
              <w:right w:val="nil"/>
            </w:tcBorders>
            <w:shd w:val="clear" w:color="000000" w:fill="FFFFFF"/>
            <w:vAlign w:val="center"/>
            <w:hideMark/>
          </w:tcPr>
          <w:p w14:paraId="1ADBE833" w14:textId="77777777" w:rsidR="00EE345D" w:rsidRPr="00D618B7" w:rsidRDefault="00EE345D" w:rsidP="004B11B7">
            <w:pPr>
              <w:jc w:val="center"/>
              <w:rPr>
                <w:color w:val="000000"/>
              </w:rPr>
            </w:pPr>
            <w:r w:rsidRPr="00D618B7">
              <w:rPr>
                <w:color w:val="000000"/>
              </w:rPr>
              <w:t>3</w:t>
            </w:r>
          </w:p>
        </w:tc>
        <w:tc>
          <w:tcPr>
            <w:tcW w:w="414" w:type="pct"/>
            <w:tcBorders>
              <w:top w:val="nil"/>
              <w:left w:val="nil"/>
              <w:bottom w:val="single" w:sz="8" w:space="0" w:color="auto"/>
              <w:right w:val="nil"/>
            </w:tcBorders>
            <w:shd w:val="clear" w:color="000000" w:fill="FFFFFF"/>
            <w:vAlign w:val="center"/>
            <w:hideMark/>
          </w:tcPr>
          <w:p w14:paraId="01679A9D" w14:textId="77777777" w:rsidR="00EE345D" w:rsidRPr="00D618B7" w:rsidRDefault="00EE345D" w:rsidP="004B11B7">
            <w:pPr>
              <w:jc w:val="center"/>
              <w:rPr>
                <w:color w:val="000000"/>
              </w:rPr>
            </w:pPr>
            <w:r w:rsidRPr="00D618B7">
              <w:rPr>
                <w:color w:val="000000"/>
              </w:rPr>
              <w:t>4</w:t>
            </w:r>
          </w:p>
        </w:tc>
        <w:tc>
          <w:tcPr>
            <w:tcW w:w="411" w:type="pct"/>
            <w:tcBorders>
              <w:top w:val="nil"/>
              <w:left w:val="nil"/>
              <w:bottom w:val="single" w:sz="8" w:space="0" w:color="auto"/>
              <w:right w:val="nil"/>
            </w:tcBorders>
            <w:shd w:val="clear" w:color="000000" w:fill="FFFFFF"/>
            <w:vAlign w:val="center"/>
            <w:hideMark/>
          </w:tcPr>
          <w:p w14:paraId="7EA32158" w14:textId="77777777" w:rsidR="00EE345D" w:rsidRPr="00D618B7" w:rsidRDefault="00EE345D" w:rsidP="004B11B7">
            <w:pPr>
              <w:jc w:val="center"/>
              <w:rPr>
                <w:color w:val="000000"/>
              </w:rPr>
            </w:pPr>
            <w:r w:rsidRPr="00D618B7">
              <w:rPr>
                <w:color w:val="000000"/>
              </w:rPr>
              <w:t>5</w:t>
            </w:r>
          </w:p>
        </w:tc>
      </w:tr>
      <w:tr w:rsidR="00EE345D" w:rsidRPr="00D618B7" w14:paraId="2D591DB9" w14:textId="77777777" w:rsidTr="006F2AFB">
        <w:trPr>
          <w:trHeight w:val="300"/>
        </w:trPr>
        <w:tc>
          <w:tcPr>
            <w:tcW w:w="457" w:type="pct"/>
            <w:tcBorders>
              <w:top w:val="nil"/>
              <w:left w:val="nil"/>
              <w:bottom w:val="nil"/>
              <w:right w:val="nil"/>
            </w:tcBorders>
            <w:shd w:val="clear" w:color="000000" w:fill="FFFFFF"/>
            <w:noWrap/>
            <w:vAlign w:val="center"/>
            <w:hideMark/>
          </w:tcPr>
          <w:p w14:paraId="5190A0A2" w14:textId="77777777" w:rsidR="00EE345D" w:rsidRPr="00D618B7" w:rsidRDefault="00EE345D" w:rsidP="004B11B7">
            <w:pPr>
              <w:rPr>
                <w:color w:val="000000"/>
              </w:rPr>
            </w:pPr>
            <w:r w:rsidRPr="00D618B7">
              <w:rPr>
                <w:color w:val="000000"/>
              </w:rPr>
              <w:t> </w:t>
            </w:r>
          </w:p>
        </w:tc>
        <w:tc>
          <w:tcPr>
            <w:tcW w:w="4543" w:type="pct"/>
            <w:gridSpan w:val="11"/>
            <w:tcBorders>
              <w:top w:val="single" w:sz="8" w:space="0" w:color="auto"/>
              <w:left w:val="nil"/>
              <w:bottom w:val="nil"/>
              <w:right w:val="nil"/>
            </w:tcBorders>
            <w:shd w:val="clear" w:color="000000" w:fill="FFFFFF"/>
            <w:noWrap/>
            <w:vAlign w:val="center"/>
            <w:hideMark/>
          </w:tcPr>
          <w:p w14:paraId="346F4FE7" w14:textId="77777777" w:rsidR="00EE345D" w:rsidRPr="00D618B7" w:rsidRDefault="00EE345D" w:rsidP="004B11B7">
            <w:pPr>
              <w:jc w:val="center"/>
              <w:rPr>
                <w:color w:val="000000"/>
              </w:rPr>
            </w:pPr>
            <w:r w:rsidRPr="00D618B7">
              <w:rPr>
                <w:color w:val="000000"/>
              </w:rPr>
              <w:t>Early Reach Group</w:t>
            </w:r>
          </w:p>
        </w:tc>
      </w:tr>
      <w:tr w:rsidR="006F2AFB" w:rsidRPr="00D618B7" w14:paraId="7180F11E" w14:textId="77777777" w:rsidTr="006F2AFB">
        <w:trPr>
          <w:trHeight w:val="315"/>
        </w:trPr>
        <w:tc>
          <w:tcPr>
            <w:tcW w:w="457" w:type="pct"/>
            <w:tcBorders>
              <w:top w:val="nil"/>
              <w:left w:val="nil"/>
              <w:bottom w:val="nil"/>
              <w:right w:val="nil"/>
            </w:tcBorders>
            <w:shd w:val="clear" w:color="000000" w:fill="FFFFFF"/>
            <w:vAlign w:val="center"/>
            <w:hideMark/>
          </w:tcPr>
          <w:p w14:paraId="4ED5FCA7" w14:textId="77777777" w:rsidR="006F2AFB" w:rsidRPr="00D618B7" w:rsidRDefault="006F2AFB" w:rsidP="006F2AFB">
            <w:pPr>
              <w:jc w:val="center"/>
              <w:rPr>
                <w:color w:val="000000"/>
              </w:rPr>
            </w:pPr>
            <w:r w:rsidRPr="00D618B7">
              <w:rPr>
                <w:color w:val="000000"/>
              </w:rPr>
              <w:t>CG</w:t>
            </w:r>
          </w:p>
        </w:tc>
        <w:tc>
          <w:tcPr>
            <w:tcW w:w="413" w:type="pct"/>
            <w:tcBorders>
              <w:top w:val="nil"/>
              <w:left w:val="nil"/>
              <w:bottom w:val="nil"/>
              <w:right w:val="nil"/>
              <w:tl2br w:val="single" w:sz="4" w:space="0" w:color="auto"/>
              <w:tr2bl w:val="single" w:sz="4" w:space="0" w:color="auto"/>
            </w:tcBorders>
            <w:shd w:val="clear" w:color="000000" w:fill="FFFFFF"/>
            <w:vAlign w:val="center"/>
            <w:hideMark/>
          </w:tcPr>
          <w:p w14:paraId="024A6039" w14:textId="188AF13A" w:rsidR="006F2AFB" w:rsidRPr="00D618B7" w:rsidRDefault="006F2AFB" w:rsidP="006F2AFB">
            <w:pPr>
              <w:jc w:val="center"/>
              <w:rPr>
                <w:b/>
                <w:bCs/>
                <w:color w:val="000000"/>
                <w:sz w:val="20"/>
                <w:szCs w:val="20"/>
              </w:rPr>
            </w:pPr>
            <w:r>
              <w:rPr>
                <w:b/>
                <w:bCs/>
                <w:color w:val="000000"/>
                <w:sz w:val="20"/>
                <w:szCs w:val="20"/>
              </w:rPr>
              <w:t> </w:t>
            </w:r>
          </w:p>
        </w:tc>
        <w:tc>
          <w:tcPr>
            <w:tcW w:w="413" w:type="pct"/>
            <w:tcBorders>
              <w:top w:val="nil"/>
              <w:left w:val="nil"/>
              <w:bottom w:val="nil"/>
              <w:right w:val="nil"/>
            </w:tcBorders>
            <w:shd w:val="clear" w:color="000000" w:fill="FFFFFF"/>
            <w:vAlign w:val="center"/>
            <w:hideMark/>
          </w:tcPr>
          <w:p w14:paraId="7A5A1E1B" w14:textId="4827C97F" w:rsidR="006F2AFB" w:rsidRPr="00D618B7" w:rsidRDefault="006F2AFB" w:rsidP="006F2AFB">
            <w:pPr>
              <w:jc w:val="center"/>
              <w:rPr>
                <w:color w:val="000000"/>
                <w:sz w:val="20"/>
                <w:szCs w:val="20"/>
              </w:rPr>
            </w:pPr>
            <w:r>
              <w:rPr>
                <w:color w:val="000000"/>
                <w:sz w:val="20"/>
                <w:szCs w:val="20"/>
              </w:rPr>
              <w:t>2</w:t>
            </w:r>
          </w:p>
        </w:tc>
        <w:tc>
          <w:tcPr>
            <w:tcW w:w="413" w:type="pct"/>
            <w:tcBorders>
              <w:top w:val="nil"/>
              <w:left w:val="nil"/>
              <w:bottom w:val="nil"/>
              <w:right w:val="nil"/>
            </w:tcBorders>
            <w:shd w:val="clear" w:color="000000" w:fill="FFFFFF"/>
            <w:vAlign w:val="center"/>
            <w:hideMark/>
          </w:tcPr>
          <w:p w14:paraId="6E41E2E0" w14:textId="2CE62C7B" w:rsidR="006F2AFB" w:rsidRPr="00D618B7" w:rsidRDefault="006F2AFB" w:rsidP="006F2AFB">
            <w:pPr>
              <w:jc w:val="center"/>
              <w:rPr>
                <w:color w:val="000000"/>
                <w:sz w:val="20"/>
                <w:szCs w:val="20"/>
              </w:rPr>
            </w:pPr>
            <w:r>
              <w:rPr>
                <w:color w:val="000000"/>
                <w:sz w:val="20"/>
                <w:szCs w:val="20"/>
              </w:rPr>
              <w:t>9</w:t>
            </w:r>
          </w:p>
        </w:tc>
        <w:tc>
          <w:tcPr>
            <w:tcW w:w="413" w:type="pct"/>
            <w:tcBorders>
              <w:top w:val="nil"/>
              <w:left w:val="nil"/>
              <w:bottom w:val="nil"/>
              <w:right w:val="nil"/>
            </w:tcBorders>
            <w:shd w:val="clear" w:color="000000" w:fill="FFFFFF"/>
            <w:vAlign w:val="center"/>
            <w:hideMark/>
          </w:tcPr>
          <w:p w14:paraId="70A99FE3" w14:textId="1912CC04" w:rsidR="006F2AFB" w:rsidRPr="00D618B7" w:rsidRDefault="006F2AFB" w:rsidP="006F2AFB">
            <w:pPr>
              <w:jc w:val="center"/>
              <w:rPr>
                <w:color w:val="000000"/>
                <w:sz w:val="20"/>
                <w:szCs w:val="20"/>
              </w:rPr>
            </w:pPr>
            <w:r>
              <w:rPr>
                <w:color w:val="000000"/>
                <w:sz w:val="20"/>
                <w:szCs w:val="20"/>
              </w:rPr>
              <w:t>4</w:t>
            </w:r>
          </w:p>
        </w:tc>
        <w:tc>
          <w:tcPr>
            <w:tcW w:w="413" w:type="pct"/>
            <w:tcBorders>
              <w:top w:val="nil"/>
              <w:left w:val="nil"/>
              <w:bottom w:val="nil"/>
              <w:right w:val="nil"/>
            </w:tcBorders>
            <w:shd w:val="clear" w:color="000000" w:fill="FFFFFF"/>
            <w:vAlign w:val="center"/>
            <w:hideMark/>
          </w:tcPr>
          <w:p w14:paraId="3667B2B0" w14:textId="2E09F45B" w:rsidR="006F2AFB" w:rsidRPr="00D618B7" w:rsidRDefault="006F2AFB" w:rsidP="006F2AFB">
            <w:pPr>
              <w:jc w:val="center"/>
              <w:rPr>
                <w:color w:val="000000"/>
                <w:sz w:val="20"/>
                <w:szCs w:val="20"/>
              </w:rPr>
            </w:pPr>
            <w:r>
              <w:rPr>
                <w:color w:val="000000"/>
                <w:sz w:val="20"/>
                <w:szCs w:val="20"/>
              </w:rPr>
              <w:t>5</w:t>
            </w:r>
          </w:p>
        </w:tc>
        <w:tc>
          <w:tcPr>
            <w:tcW w:w="413" w:type="pct"/>
            <w:tcBorders>
              <w:top w:val="nil"/>
              <w:left w:val="nil"/>
              <w:bottom w:val="nil"/>
              <w:right w:val="nil"/>
            </w:tcBorders>
            <w:shd w:val="clear" w:color="000000" w:fill="FFFFFF"/>
            <w:vAlign w:val="center"/>
            <w:hideMark/>
          </w:tcPr>
          <w:p w14:paraId="433EE114" w14:textId="6C7E7C7C" w:rsidR="006F2AFB" w:rsidRPr="00D618B7" w:rsidRDefault="006F2AFB" w:rsidP="006F2AFB">
            <w:pPr>
              <w:jc w:val="center"/>
              <w:rPr>
                <w:color w:val="000000"/>
                <w:sz w:val="20"/>
                <w:szCs w:val="20"/>
              </w:rPr>
            </w:pPr>
            <w:r>
              <w:rPr>
                <w:color w:val="000000"/>
                <w:sz w:val="20"/>
                <w:szCs w:val="20"/>
              </w:rPr>
              <w:t>11</w:t>
            </w:r>
          </w:p>
        </w:tc>
        <w:tc>
          <w:tcPr>
            <w:tcW w:w="413" w:type="pct"/>
            <w:tcBorders>
              <w:top w:val="nil"/>
              <w:left w:val="nil"/>
              <w:bottom w:val="nil"/>
              <w:right w:val="nil"/>
            </w:tcBorders>
            <w:shd w:val="clear" w:color="000000" w:fill="FFFFFF"/>
            <w:vAlign w:val="center"/>
            <w:hideMark/>
          </w:tcPr>
          <w:p w14:paraId="5E4D9F9E" w14:textId="3977D235" w:rsidR="006F2AFB" w:rsidRPr="00D618B7" w:rsidRDefault="006F2AFB" w:rsidP="006F2AFB">
            <w:pPr>
              <w:jc w:val="center"/>
              <w:rPr>
                <w:color w:val="000000"/>
                <w:sz w:val="20"/>
                <w:szCs w:val="20"/>
              </w:rPr>
            </w:pPr>
            <w:r>
              <w:rPr>
                <w:color w:val="000000"/>
                <w:sz w:val="20"/>
                <w:szCs w:val="20"/>
              </w:rPr>
              <w:t>9</w:t>
            </w:r>
          </w:p>
        </w:tc>
        <w:tc>
          <w:tcPr>
            <w:tcW w:w="413" w:type="pct"/>
            <w:tcBorders>
              <w:top w:val="nil"/>
              <w:left w:val="nil"/>
              <w:bottom w:val="nil"/>
              <w:right w:val="nil"/>
            </w:tcBorders>
            <w:shd w:val="clear" w:color="000000" w:fill="FFFFFF"/>
            <w:vAlign w:val="center"/>
            <w:hideMark/>
          </w:tcPr>
          <w:p w14:paraId="62F16B0E" w14:textId="4BFA9E96" w:rsidR="006F2AFB" w:rsidRPr="00D618B7" w:rsidRDefault="006F2AFB" w:rsidP="006F2AFB">
            <w:pPr>
              <w:jc w:val="center"/>
              <w:rPr>
                <w:color w:val="000000"/>
                <w:sz w:val="20"/>
                <w:szCs w:val="20"/>
              </w:rPr>
            </w:pPr>
            <w:r>
              <w:rPr>
                <w:color w:val="000000"/>
                <w:sz w:val="20"/>
                <w:szCs w:val="20"/>
              </w:rPr>
              <w:t>10</w:t>
            </w:r>
          </w:p>
        </w:tc>
        <w:tc>
          <w:tcPr>
            <w:tcW w:w="414" w:type="pct"/>
            <w:tcBorders>
              <w:top w:val="nil"/>
              <w:left w:val="nil"/>
              <w:bottom w:val="nil"/>
              <w:right w:val="nil"/>
            </w:tcBorders>
            <w:shd w:val="clear" w:color="000000" w:fill="FFFFFF"/>
            <w:vAlign w:val="center"/>
            <w:hideMark/>
          </w:tcPr>
          <w:p w14:paraId="62A4DF2F" w14:textId="47DB6925" w:rsidR="006F2AFB" w:rsidRPr="00D618B7" w:rsidRDefault="006F2AFB" w:rsidP="006F2AFB">
            <w:pPr>
              <w:jc w:val="center"/>
              <w:rPr>
                <w:color w:val="000000"/>
                <w:sz w:val="20"/>
                <w:szCs w:val="20"/>
              </w:rPr>
            </w:pPr>
            <w:r>
              <w:rPr>
                <w:color w:val="000000"/>
                <w:sz w:val="20"/>
                <w:szCs w:val="20"/>
              </w:rPr>
              <w:t>16</w:t>
            </w:r>
          </w:p>
        </w:tc>
        <w:tc>
          <w:tcPr>
            <w:tcW w:w="414" w:type="pct"/>
            <w:tcBorders>
              <w:top w:val="nil"/>
              <w:left w:val="nil"/>
              <w:bottom w:val="nil"/>
              <w:right w:val="nil"/>
            </w:tcBorders>
            <w:shd w:val="clear" w:color="000000" w:fill="FFFFFF"/>
            <w:vAlign w:val="center"/>
            <w:hideMark/>
          </w:tcPr>
          <w:p w14:paraId="6A130BE0" w14:textId="67F0FBF5" w:rsidR="006F2AFB" w:rsidRPr="00D618B7" w:rsidRDefault="006F2AFB" w:rsidP="006F2AFB">
            <w:pPr>
              <w:jc w:val="center"/>
              <w:rPr>
                <w:color w:val="000000"/>
                <w:sz w:val="20"/>
                <w:szCs w:val="20"/>
              </w:rPr>
            </w:pPr>
            <w:r>
              <w:rPr>
                <w:color w:val="000000"/>
                <w:sz w:val="20"/>
                <w:szCs w:val="20"/>
              </w:rPr>
              <w:t>16</w:t>
            </w:r>
          </w:p>
        </w:tc>
        <w:tc>
          <w:tcPr>
            <w:tcW w:w="411" w:type="pct"/>
            <w:tcBorders>
              <w:top w:val="nil"/>
              <w:left w:val="nil"/>
              <w:bottom w:val="nil"/>
              <w:right w:val="nil"/>
            </w:tcBorders>
            <w:shd w:val="clear" w:color="000000" w:fill="FFFFFF"/>
            <w:vAlign w:val="center"/>
            <w:hideMark/>
          </w:tcPr>
          <w:p w14:paraId="77BB8F9A" w14:textId="27EC2FC3" w:rsidR="006F2AFB" w:rsidRPr="00D618B7" w:rsidRDefault="006F2AFB" w:rsidP="006F2AFB">
            <w:pPr>
              <w:jc w:val="center"/>
              <w:rPr>
                <w:color w:val="000000"/>
                <w:sz w:val="20"/>
                <w:szCs w:val="20"/>
              </w:rPr>
            </w:pPr>
            <w:r>
              <w:rPr>
                <w:color w:val="000000"/>
                <w:sz w:val="20"/>
                <w:szCs w:val="20"/>
              </w:rPr>
              <w:t>14</w:t>
            </w:r>
          </w:p>
        </w:tc>
      </w:tr>
      <w:tr w:rsidR="006F2AFB" w:rsidRPr="00D618B7" w14:paraId="5D0CA257" w14:textId="77777777" w:rsidTr="006F2AFB">
        <w:trPr>
          <w:trHeight w:val="315"/>
        </w:trPr>
        <w:tc>
          <w:tcPr>
            <w:tcW w:w="457" w:type="pct"/>
            <w:tcBorders>
              <w:top w:val="nil"/>
              <w:left w:val="nil"/>
              <w:bottom w:val="nil"/>
              <w:right w:val="nil"/>
            </w:tcBorders>
            <w:shd w:val="clear" w:color="000000" w:fill="FFFFFF"/>
            <w:vAlign w:val="center"/>
            <w:hideMark/>
          </w:tcPr>
          <w:p w14:paraId="7AAEF492" w14:textId="77777777" w:rsidR="006F2AFB" w:rsidRPr="00D618B7" w:rsidRDefault="006F2AFB" w:rsidP="006F2AFB">
            <w:pPr>
              <w:jc w:val="center"/>
              <w:rPr>
                <w:color w:val="000000"/>
              </w:rPr>
            </w:pPr>
            <w:r w:rsidRPr="00D618B7">
              <w:rPr>
                <w:color w:val="000000"/>
              </w:rPr>
              <w:t>DJ</w:t>
            </w:r>
          </w:p>
        </w:tc>
        <w:tc>
          <w:tcPr>
            <w:tcW w:w="413" w:type="pct"/>
            <w:tcBorders>
              <w:top w:val="nil"/>
              <w:left w:val="nil"/>
              <w:bottom w:val="nil"/>
              <w:right w:val="nil"/>
            </w:tcBorders>
            <w:shd w:val="clear" w:color="000000" w:fill="FFFFFF"/>
            <w:vAlign w:val="center"/>
            <w:hideMark/>
          </w:tcPr>
          <w:p w14:paraId="24E97BCD" w14:textId="005EF477" w:rsidR="006F2AFB" w:rsidRPr="00D618B7" w:rsidRDefault="006F2AFB" w:rsidP="006F2AFB">
            <w:pPr>
              <w:jc w:val="center"/>
              <w:rPr>
                <w:color w:val="000000"/>
                <w:sz w:val="20"/>
                <w:szCs w:val="20"/>
              </w:rPr>
            </w:pPr>
            <w:r>
              <w:rPr>
                <w:color w:val="000000"/>
                <w:sz w:val="20"/>
                <w:szCs w:val="20"/>
              </w:rPr>
              <w:t>12</w:t>
            </w:r>
          </w:p>
        </w:tc>
        <w:tc>
          <w:tcPr>
            <w:tcW w:w="413" w:type="pct"/>
            <w:tcBorders>
              <w:top w:val="nil"/>
              <w:left w:val="nil"/>
              <w:bottom w:val="nil"/>
              <w:right w:val="nil"/>
            </w:tcBorders>
            <w:shd w:val="clear" w:color="000000" w:fill="FFFFFF"/>
            <w:vAlign w:val="center"/>
            <w:hideMark/>
          </w:tcPr>
          <w:p w14:paraId="2C3F3D91" w14:textId="6D045A3A" w:rsidR="006F2AFB" w:rsidRPr="00D618B7" w:rsidRDefault="006F2AFB" w:rsidP="006F2AFB">
            <w:pPr>
              <w:jc w:val="center"/>
              <w:rPr>
                <w:color w:val="000000"/>
                <w:sz w:val="20"/>
                <w:szCs w:val="20"/>
              </w:rPr>
            </w:pPr>
            <w:r>
              <w:rPr>
                <w:color w:val="000000"/>
                <w:sz w:val="20"/>
                <w:szCs w:val="20"/>
              </w:rPr>
              <w:t>14</w:t>
            </w:r>
          </w:p>
        </w:tc>
        <w:tc>
          <w:tcPr>
            <w:tcW w:w="413" w:type="pct"/>
            <w:tcBorders>
              <w:top w:val="nil"/>
              <w:left w:val="nil"/>
              <w:bottom w:val="nil"/>
              <w:right w:val="nil"/>
            </w:tcBorders>
            <w:shd w:val="clear" w:color="000000" w:fill="FFFFFF"/>
            <w:vAlign w:val="center"/>
            <w:hideMark/>
          </w:tcPr>
          <w:p w14:paraId="1129B234" w14:textId="1F186662" w:rsidR="006F2AFB" w:rsidRPr="00D618B7" w:rsidRDefault="006F2AFB" w:rsidP="006F2AFB">
            <w:pPr>
              <w:jc w:val="center"/>
              <w:rPr>
                <w:color w:val="000000"/>
                <w:sz w:val="20"/>
                <w:szCs w:val="20"/>
              </w:rPr>
            </w:pPr>
            <w:r>
              <w:rPr>
                <w:color w:val="000000"/>
                <w:sz w:val="20"/>
                <w:szCs w:val="20"/>
              </w:rPr>
              <w:t>13</w:t>
            </w:r>
          </w:p>
        </w:tc>
        <w:tc>
          <w:tcPr>
            <w:tcW w:w="413" w:type="pct"/>
            <w:tcBorders>
              <w:top w:val="nil"/>
              <w:left w:val="nil"/>
              <w:bottom w:val="nil"/>
              <w:right w:val="nil"/>
            </w:tcBorders>
            <w:shd w:val="clear" w:color="000000" w:fill="FFFFFF"/>
            <w:vAlign w:val="center"/>
            <w:hideMark/>
          </w:tcPr>
          <w:p w14:paraId="07A63628" w14:textId="0ECE5F8D" w:rsidR="006F2AFB" w:rsidRPr="00D618B7" w:rsidRDefault="006F2AFB" w:rsidP="006F2AFB">
            <w:pPr>
              <w:jc w:val="center"/>
              <w:rPr>
                <w:color w:val="000000"/>
                <w:sz w:val="20"/>
                <w:szCs w:val="20"/>
              </w:rPr>
            </w:pPr>
            <w:r>
              <w:rPr>
                <w:color w:val="000000"/>
                <w:sz w:val="20"/>
                <w:szCs w:val="20"/>
              </w:rPr>
              <w:t>9</w:t>
            </w:r>
          </w:p>
        </w:tc>
        <w:tc>
          <w:tcPr>
            <w:tcW w:w="413" w:type="pct"/>
            <w:tcBorders>
              <w:top w:val="nil"/>
              <w:left w:val="nil"/>
              <w:bottom w:val="nil"/>
              <w:right w:val="nil"/>
            </w:tcBorders>
            <w:shd w:val="clear" w:color="000000" w:fill="FFFFFF"/>
            <w:vAlign w:val="center"/>
            <w:hideMark/>
          </w:tcPr>
          <w:p w14:paraId="0E785807" w14:textId="579CB0A4" w:rsidR="006F2AFB" w:rsidRPr="00D618B7" w:rsidRDefault="006F2AFB" w:rsidP="006F2AFB">
            <w:pPr>
              <w:jc w:val="center"/>
              <w:rPr>
                <w:color w:val="000000"/>
                <w:sz w:val="20"/>
                <w:szCs w:val="20"/>
              </w:rPr>
            </w:pPr>
            <w:r>
              <w:rPr>
                <w:color w:val="000000"/>
                <w:sz w:val="20"/>
                <w:szCs w:val="20"/>
              </w:rPr>
              <w:t>10</w:t>
            </w:r>
          </w:p>
        </w:tc>
        <w:tc>
          <w:tcPr>
            <w:tcW w:w="413" w:type="pct"/>
            <w:tcBorders>
              <w:top w:val="nil"/>
              <w:left w:val="nil"/>
              <w:bottom w:val="nil"/>
              <w:right w:val="nil"/>
            </w:tcBorders>
            <w:shd w:val="clear" w:color="000000" w:fill="FFFFFF"/>
            <w:vAlign w:val="center"/>
            <w:hideMark/>
          </w:tcPr>
          <w:p w14:paraId="39D5C090" w14:textId="4E32BF89" w:rsidR="006F2AFB" w:rsidRPr="00D618B7" w:rsidRDefault="006F2AFB" w:rsidP="006F2AFB">
            <w:pPr>
              <w:jc w:val="center"/>
              <w:rPr>
                <w:color w:val="000000"/>
                <w:sz w:val="20"/>
                <w:szCs w:val="20"/>
              </w:rPr>
            </w:pPr>
            <w:r>
              <w:rPr>
                <w:color w:val="000000"/>
                <w:sz w:val="20"/>
                <w:szCs w:val="20"/>
              </w:rPr>
              <w:t>11</w:t>
            </w:r>
          </w:p>
        </w:tc>
        <w:tc>
          <w:tcPr>
            <w:tcW w:w="413" w:type="pct"/>
            <w:tcBorders>
              <w:top w:val="nil"/>
              <w:left w:val="nil"/>
              <w:bottom w:val="nil"/>
              <w:right w:val="nil"/>
            </w:tcBorders>
            <w:shd w:val="clear" w:color="000000" w:fill="FFFFFF"/>
            <w:vAlign w:val="center"/>
            <w:hideMark/>
          </w:tcPr>
          <w:p w14:paraId="58491ABE" w14:textId="468E5CFA" w:rsidR="006F2AFB" w:rsidRPr="00D618B7" w:rsidRDefault="006F2AFB" w:rsidP="006F2AFB">
            <w:pPr>
              <w:jc w:val="center"/>
              <w:rPr>
                <w:color w:val="000000"/>
                <w:sz w:val="20"/>
                <w:szCs w:val="20"/>
              </w:rPr>
            </w:pPr>
            <w:r>
              <w:rPr>
                <w:color w:val="000000"/>
                <w:sz w:val="20"/>
                <w:szCs w:val="20"/>
              </w:rPr>
              <w:t>7</w:t>
            </w:r>
          </w:p>
        </w:tc>
        <w:tc>
          <w:tcPr>
            <w:tcW w:w="413" w:type="pct"/>
            <w:tcBorders>
              <w:top w:val="nil"/>
              <w:left w:val="nil"/>
              <w:bottom w:val="nil"/>
              <w:right w:val="nil"/>
            </w:tcBorders>
            <w:shd w:val="clear" w:color="000000" w:fill="FFFFFF"/>
            <w:vAlign w:val="center"/>
            <w:hideMark/>
          </w:tcPr>
          <w:p w14:paraId="0793E157" w14:textId="16C61F2A" w:rsidR="006F2AFB" w:rsidRPr="00D618B7" w:rsidRDefault="006F2AFB" w:rsidP="006F2AFB">
            <w:pPr>
              <w:jc w:val="center"/>
              <w:rPr>
                <w:color w:val="000000"/>
                <w:sz w:val="20"/>
                <w:szCs w:val="20"/>
              </w:rPr>
            </w:pPr>
            <w:r>
              <w:rPr>
                <w:color w:val="000000"/>
                <w:sz w:val="20"/>
                <w:szCs w:val="20"/>
              </w:rPr>
              <w:t>10</w:t>
            </w:r>
          </w:p>
        </w:tc>
        <w:tc>
          <w:tcPr>
            <w:tcW w:w="414" w:type="pct"/>
            <w:tcBorders>
              <w:top w:val="nil"/>
              <w:left w:val="nil"/>
              <w:bottom w:val="nil"/>
              <w:right w:val="nil"/>
            </w:tcBorders>
            <w:shd w:val="clear" w:color="000000" w:fill="FFFFFF"/>
            <w:vAlign w:val="center"/>
            <w:hideMark/>
          </w:tcPr>
          <w:p w14:paraId="4F3872D0" w14:textId="0E36CCCE" w:rsidR="006F2AFB" w:rsidRPr="00D618B7" w:rsidRDefault="006F2AFB" w:rsidP="006F2AFB">
            <w:pPr>
              <w:jc w:val="center"/>
              <w:rPr>
                <w:color w:val="000000"/>
                <w:sz w:val="20"/>
                <w:szCs w:val="20"/>
              </w:rPr>
            </w:pPr>
            <w:r>
              <w:rPr>
                <w:color w:val="000000"/>
                <w:sz w:val="20"/>
                <w:szCs w:val="20"/>
              </w:rPr>
              <w:t>8</w:t>
            </w:r>
          </w:p>
        </w:tc>
        <w:tc>
          <w:tcPr>
            <w:tcW w:w="414" w:type="pct"/>
            <w:tcBorders>
              <w:top w:val="nil"/>
              <w:left w:val="nil"/>
              <w:bottom w:val="nil"/>
              <w:right w:val="nil"/>
            </w:tcBorders>
            <w:shd w:val="clear" w:color="000000" w:fill="FFFFFF"/>
            <w:vAlign w:val="center"/>
            <w:hideMark/>
          </w:tcPr>
          <w:p w14:paraId="439975D8" w14:textId="41273CA9" w:rsidR="006F2AFB" w:rsidRPr="00D618B7" w:rsidRDefault="006F2AFB" w:rsidP="006F2AFB">
            <w:pPr>
              <w:jc w:val="center"/>
              <w:rPr>
                <w:color w:val="000000"/>
                <w:sz w:val="20"/>
                <w:szCs w:val="20"/>
              </w:rPr>
            </w:pPr>
            <w:r>
              <w:rPr>
                <w:color w:val="000000"/>
                <w:sz w:val="20"/>
                <w:szCs w:val="20"/>
              </w:rPr>
              <w:t>15</w:t>
            </w:r>
          </w:p>
        </w:tc>
        <w:tc>
          <w:tcPr>
            <w:tcW w:w="411" w:type="pct"/>
            <w:tcBorders>
              <w:top w:val="nil"/>
              <w:left w:val="nil"/>
              <w:bottom w:val="nil"/>
              <w:right w:val="nil"/>
            </w:tcBorders>
            <w:shd w:val="clear" w:color="000000" w:fill="FFFFFF"/>
            <w:vAlign w:val="center"/>
            <w:hideMark/>
          </w:tcPr>
          <w:p w14:paraId="714AC8F7" w14:textId="04F02DA8" w:rsidR="006F2AFB" w:rsidRPr="00D618B7" w:rsidRDefault="006F2AFB" w:rsidP="006F2AFB">
            <w:pPr>
              <w:jc w:val="center"/>
              <w:rPr>
                <w:color w:val="000000"/>
                <w:sz w:val="20"/>
                <w:szCs w:val="20"/>
              </w:rPr>
            </w:pPr>
            <w:r>
              <w:rPr>
                <w:color w:val="000000"/>
                <w:sz w:val="20"/>
                <w:szCs w:val="20"/>
              </w:rPr>
              <w:t>18</w:t>
            </w:r>
          </w:p>
        </w:tc>
      </w:tr>
      <w:tr w:rsidR="006F2AFB" w:rsidRPr="00D618B7" w14:paraId="34C2DEBF" w14:textId="77777777" w:rsidTr="006F2AFB">
        <w:trPr>
          <w:trHeight w:val="330"/>
        </w:trPr>
        <w:tc>
          <w:tcPr>
            <w:tcW w:w="457" w:type="pct"/>
            <w:tcBorders>
              <w:top w:val="nil"/>
              <w:left w:val="nil"/>
              <w:bottom w:val="single" w:sz="8" w:space="0" w:color="auto"/>
              <w:right w:val="nil"/>
            </w:tcBorders>
            <w:shd w:val="clear" w:color="000000" w:fill="FFFFFF"/>
            <w:vAlign w:val="center"/>
            <w:hideMark/>
          </w:tcPr>
          <w:p w14:paraId="48BCD220" w14:textId="77777777" w:rsidR="006F2AFB" w:rsidRPr="00D618B7" w:rsidRDefault="006F2AFB" w:rsidP="006F2AFB">
            <w:pPr>
              <w:jc w:val="center"/>
              <w:rPr>
                <w:color w:val="000000"/>
              </w:rPr>
            </w:pPr>
            <w:r w:rsidRPr="00D618B7">
              <w:rPr>
                <w:color w:val="000000"/>
              </w:rPr>
              <w:t>JT</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0ED5EC65" w14:textId="59B8BB60" w:rsidR="006F2AFB" w:rsidRPr="00D618B7" w:rsidRDefault="006F2AFB" w:rsidP="006F2AFB">
            <w:pPr>
              <w:jc w:val="center"/>
              <w:rPr>
                <w:b/>
                <w:bCs/>
                <w:color w:val="000000"/>
                <w:sz w:val="20"/>
                <w:szCs w:val="20"/>
              </w:rPr>
            </w:pPr>
            <w:r>
              <w:rPr>
                <w:b/>
                <w:bCs/>
                <w:color w:val="000000"/>
                <w:sz w:val="20"/>
                <w:szCs w:val="20"/>
              </w:rPr>
              <w:t> </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3FDA9F34" w14:textId="58EC3331" w:rsidR="006F2AFB" w:rsidRPr="00D618B7" w:rsidRDefault="006F2AFB" w:rsidP="006F2AFB">
            <w:pPr>
              <w:jc w:val="center"/>
              <w:rPr>
                <w:b/>
                <w:bCs/>
                <w:color w:val="000000"/>
                <w:sz w:val="20"/>
                <w:szCs w:val="20"/>
              </w:rPr>
            </w:pPr>
            <w:r>
              <w:rPr>
                <w:b/>
                <w:bCs/>
                <w:color w:val="000000"/>
                <w:sz w:val="20"/>
                <w:szCs w:val="20"/>
              </w:rPr>
              <w:t> </w:t>
            </w:r>
          </w:p>
        </w:tc>
        <w:tc>
          <w:tcPr>
            <w:tcW w:w="413" w:type="pct"/>
            <w:tcBorders>
              <w:top w:val="nil"/>
              <w:left w:val="nil"/>
              <w:bottom w:val="single" w:sz="8" w:space="0" w:color="auto"/>
              <w:right w:val="nil"/>
            </w:tcBorders>
            <w:shd w:val="clear" w:color="000000" w:fill="FFFFFF"/>
            <w:vAlign w:val="center"/>
            <w:hideMark/>
          </w:tcPr>
          <w:p w14:paraId="411A76CA" w14:textId="34FB2DCA" w:rsidR="006F2AFB" w:rsidRPr="00D618B7" w:rsidRDefault="006F2AFB" w:rsidP="006F2AFB">
            <w:pPr>
              <w:jc w:val="center"/>
              <w:rPr>
                <w:color w:val="000000"/>
                <w:sz w:val="20"/>
                <w:szCs w:val="20"/>
              </w:rPr>
            </w:pPr>
            <w:r>
              <w:rPr>
                <w:color w:val="000000"/>
                <w:sz w:val="20"/>
                <w:szCs w:val="20"/>
              </w:rPr>
              <w:t>6</w:t>
            </w:r>
          </w:p>
        </w:tc>
        <w:tc>
          <w:tcPr>
            <w:tcW w:w="413" w:type="pct"/>
            <w:tcBorders>
              <w:top w:val="nil"/>
              <w:left w:val="nil"/>
              <w:bottom w:val="single" w:sz="8" w:space="0" w:color="auto"/>
              <w:right w:val="nil"/>
            </w:tcBorders>
            <w:shd w:val="clear" w:color="000000" w:fill="FFFFFF"/>
            <w:vAlign w:val="center"/>
            <w:hideMark/>
          </w:tcPr>
          <w:p w14:paraId="2F4C089D" w14:textId="7A4AD116" w:rsidR="006F2AFB" w:rsidRPr="00D618B7" w:rsidRDefault="006F2AFB" w:rsidP="006F2AFB">
            <w:pPr>
              <w:jc w:val="center"/>
              <w:rPr>
                <w:color w:val="000000"/>
                <w:sz w:val="20"/>
                <w:szCs w:val="20"/>
              </w:rPr>
            </w:pPr>
            <w:r>
              <w:rPr>
                <w:color w:val="000000"/>
                <w:sz w:val="20"/>
                <w:szCs w:val="20"/>
              </w:rPr>
              <w:t>10</w:t>
            </w:r>
          </w:p>
        </w:tc>
        <w:tc>
          <w:tcPr>
            <w:tcW w:w="413" w:type="pct"/>
            <w:tcBorders>
              <w:top w:val="nil"/>
              <w:left w:val="nil"/>
              <w:bottom w:val="single" w:sz="8" w:space="0" w:color="auto"/>
              <w:right w:val="nil"/>
            </w:tcBorders>
            <w:shd w:val="clear" w:color="000000" w:fill="FFFFFF"/>
            <w:vAlign w:val="center"/>
            <w:hideMark/>
          </w:tcPr>
          <w:p w14:paraId="12F331B9" w14:textId="0A618FC7" w:rsidR="006F2AFB" w:rsidRPr="00D618B7" w:rsidRDefault="006F2AFB" w:rsidP="006F2AFB">
            <w:pPr>
              <w:jc w:val="center"/>
              <w:rPr>
                <w:color w:val="000000"/>
                <w:sz w:val="20"/>
                <w:szCs w:val="20"/>
              </w:rPr>
            </w:pPr>
            <w:r>
              <w:rPr>
                <w:color w:val="000000"/>
                <w:sz w:val="20"/>
                <w:szCs w:val="20"/>
              </w:rPr>
              <w:t>7</w:t>
            </w:r>
          </w:p>
        </w:tc>
        <w:tc>
          <w:tcPr>
            <w:tcW w:w="413" w:type="pct"/>
            <w:tcBorders>
              <w:top w:val="nil"/>
              <w:left w:val="nil"/>
              <w:bottom w:val="single" w:sz="8" w:space="0" w:color="auto"/>
              <w:right w:val="nil"/>
            </w:tcBorders>
            <w:shd w:val="clear" w:color="000000" w:fill="FFFFFF"/>
            <w:vAlign w:val="center"/>
            <w:hideMark/>
          </w:tcPr>
          <w:p w14:paraId="16C75303" w14:textId="28A38270" w:rsidR="006F2AFB" w:rsidRPr="00D618B7" w:rsidRDefault="006F2AFB" w:rsidP="006F2AFB">
            <w:pPr>
              <w:jc w:val="center"/>
              <w:rPr>
                <w:color w:val="000000"/>
                <w:sz w:val="20"/>
                <w:szCs w:val="20"/>
              </w:rPr>
            </w:pPr>
            <w:r>
              <w:rPr>
                <w:color w:val="000000"/>
                <w:sz w:val="20"/>
                <w:szCs w:val="20"/>
              </w:rPr>
              <w:t>14</w:t>
            </w:r>
          </w:p>
        </w:tc>
        <w:tc>
          <w:tcPr>
            <w:tcW w:w="413" w:type="pct"/>
            <w:tcBorders>
              <w:top w:val="nil"/>
              <w:left w:val="nil"/>
              <w:bottom w:val="single" w:sz="8" w:space="0" w:color="auto"/>
              <w:right w:val="nil"/>
            </w:tcBorders>
            <w:shd w:val="clear" w:color="000000" w:fill="FFFFFF"/>
            <w:vAlign w:val="center"/>
            <w:hideMark/>
          </w:tcPr>
          <w:p w14:paraId="77C85488" w14:textId="74948385" w:rsidR="006F2AFB" w:rsidRPr="00D618B7" w:rsidRDefault="006F2AFB" w:rsidP="006F2AFB">
            <w:pPr>
              <w:jc w:val="center"/>
              <w:rPr>
                <w:color w:val="000000"/>
                <w:sz w:val="20"/>
                <w:szCs w:val="20"/>
              </w:rPr>
            </w:pPr>
            <w:r>
              <w:rPr>
                <w:color w:val="000000"/>
                <w:sz w:val="20"/>
                <w:szCs w:val="20"/>
              </w:rPr>
              <w:t>9</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5B5FD952" w14:textId="411F4F45" w:rsidR="006F2AFB" w:rsidRPr="00D618B7" w:rsidRDefault="006F2AFB" w:rsidP="006F2AFB">
            <w:pPr>
              <w:jc w:val="center"/>
              <w:rPr>
                <w:b/>
                <w:bCs/>
                <w:color w:val="000000"/>
                <w:sz w:val="20"/>
                <w:szCs w:val="20"/>
              </w:rPr>
            </w:pPr>
            <w:r>
              <w:rPr>
                <w:b/>
                <w:bCs/>
                <w:color w:val="000000"/>
                <w:sz w:val="20"/>
                <w:szCs w:val="20"/>
              </w:rPr>
              <w:t> </w:t>
            </w:r>
          </w:p>
        </w:tc>
        <w:tc>
          <w:tcPr>
            <w:tcW w:w="414" w:type="pct"/>
            <w:tcBorders>
              <w:top w:val="nil"/>
              <w:left w:val="nil"/>
              <w:bottom w:val="single" w:sz="8" w:space="0" w:color="auto"/>
              <w:right w:val="nil"/>
            </w:tcBorders>
            <w:shd w:val="clear" w:color="000000" w:fill="FFFFFF"/>
            <w:vAlign w:val="center"/>
            <w:hideMark/>
          </w:tcPr>
          <w:p w14:paraId="0720F8A2" w14:textId="15D49F34" w:rsidR="006F2AFB" w:rsidRPr="00D618B7" w:rsidRDefault="006F2AFB" w:rsidP="006F2AFB">
            <w:pPr>
              <w:jc w:val="center"/>
              <w:rPr>
                <w:color w:val="000000"/>
                <w:sz w:val="20"/>
                <w:szCs w:val="20"/>
              </w:rPr>
            </w:pPr>
            <w:r>
              <w:rPr>
                <w:color w:val="000000"/>
                <w:sz w:val="20"/>
                <w:szCs w:val="20"/>
              </w:rPr>
              <w:t>16</w:t>
            </w:r>
          </w:p>
        </w:tc>
        <w:tc>
          <w:tcPr>
            <w:tcW w:w="414"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16EF0A2A" w14:textId="399D4FF1" w:rsidR="006F2AFB" w:rsidRPr="00D618B7" w:rsidRDefault="006F2AFB" w:rsidP="006F2AFB">
            <w:pPr>
              <w:jc w:val="center"/>
              <w:rPr>
                <w:b/>
                <w:bCs/>
                <w:color w:val="000000"/>
                <w:sz w:val="20"/>
                <w:szCs w:val="20"/>
              </w:rPr>
            </w:pPr>
            <w:r>
              <w:rPr>
                <w:b/>
                <w:bCs/>
                <w:color w:val="000000"/>
                <w:sz w:val="20"/>
                <w:szCs w:val="20"/>
              </w:rPr>
              <w:t> </w:t>
            </w:r>
          </w:p>
        </w:tc>
        <w:tc>
          <w:tcPr>
            <w:tcW w:w="411" w:type="pct"/>
            <w:tcBorders>
              <w:top w:val="nil"/>
              <w:left w:val="nil"/>
              <w:bottom w:val="single" w:sz="8" w:space="0" w:color="auto"/>
              <w:right w:val="nil"/>
            </w:tcBorders>
            <w:shd w:val="clear" w:color="000000" w:fill="FFFFFF"/>
            <w:vAlign w:val="center"/>
            <w:hideMark/>
          </w:tcPr>
          <w:p w14:paraId="6B65A048" w14:textId="12B30100" w:rsidR="006F2AFB" w:rsidRPr="00D618B7" w:rsidRDefault="006F2AFB" w:rsidP="006F2AFB">
            <w:pPr>
              <w:jc w:val="center"/>
              <w:rPr>
                <w:color w:val="000000"/>
                <w:sz w:val="20"/>
                <w:szCs w:val="20"/>
              </w:rPr>
            </w:pPr>
            <w:r>
              <w:rPr>
                <w:color w:val="000000"/>
                <w:sz w:val="20"/>
                <w:szCs w:val="20"/>
              </w:rPr>
              <w:t>24</w:t>
            </w:r>
          </w:p>
        </w:tc>
      </w:tr>
      <w:tr w:rsidR="00EE345D" w:rsidRPr="00D618B7" w14:paraId="1FB31FF8" w14:textId="77777777" w:rsidTr="006F2AFB">
        <w:trPr>
          <w:trHeight w:val="315"/>
        </w:trPr>
        <w:tc>
          <w:tcPr>
            <w:tcW w:w="457" w:type="pct"/>
            <w:tcBorders>
              <w:top w:val="nil"/>
              <w:left w:val="nil"/>
              <w:bottom w:val="nil"/>
              <w:right w:val="nil"/>
            </w:tcBorders>
            <w:shd w:val="clear" w:color="000000" w:fill="FFFFFF"/>
            <w:vAlign w:val="center"/>
            <w:hideMark/>
          </w:tcPr>
          <w:p w14:paraId="32E81124" w14:textId="77777777" w:rsidR="00EE345D" w:rsidRPr="00D618B7" w:rsidRDefault="00EE345D" w:rsidP="004B11B7">
            <w:pPr>
              <w:jc w:val="center"/>
              <w:rPr>
                <w:color w:val="000000"/>
              </w:rPr>
            </w:pPr>
            <w:r w:rsidRPr="00D618B7">
              <w:rPr>
                <w:color w:val="000000"/>
              </w:rPr>
              <w:t> </w:t>
            </w:r>
          </w:p>
        </w:tc>
        <w:tc>
          <w:tcPr>
            <w:tcW w:w="4543" w:type="pct"/>
            <w:gridSpan w:val="11"/>
            <w:tcBorders>
              <w:top w:val="single" w:sz="8" w:space="0" w:color="auto"/>
              <w:left w:val="nil"/>
              <w:bottom w:val="nil"/>
              <w:right w:val="nil"/>
            </w:tcBorders>
            <w:shd w:val="clear" w:color="000000" w:fill="FFFFFF"/>
            <w:noWrap/>
            <w:vAlign w:val="center"/>
            <w:hideMark/>
          </w:tcPr>
          <w:p w14:paraId="0BE65E0F" w14:textId="77777777" w:rsidR="00EE345D" w:rsidRPr="00D618B7" w:rsidRDefault="00EE345D" w:rsidP="004B11B7">
            <w:pPr>
              <w:jc w:val="center"/>
              <w:rPr>
                <w:color w:val="000000"/>
              </w:rPr>
            </w:pPr>
            <w:r w:rsidRPr="00D618B7">
              <w:rPr>
                <w:color w:val="000000"/>
              </w:rPr>
              <w:t>Late Reach Group</w:t>
            </w:r>
          </w:p>
        </w:tc>
      </w:tr>
      <w:tr w:rsidR="006F2AFB" w:rsidRPr="00D618B7" w14:paraId="2D7BFAFC" w14:textId="77777777" w:rsidTr="006F2AFB">
        <w:trPr>
          <w:trHeight w:val="315"/>
        </w:trPr>
        <w:tc>
          <w:tcPr>
            <w:tcW w:w="457" w:type="pct"/>
            <w:tcBorders>
              <w:top w:val="nil"/>
              <w:left w:val="nil"/>
              <w:bottom w:val="nil"/>
              <w:right w:val="nil"/>
            </w:tcBorders>
            <w:shd w:val="clear" w:color="000000" w:fill="FFFFFF"/>
            <w:vAlign w:val="center"/>
            <w:hideMark/>
          </w:tcPr>
          <w:p w14:paraId="35DE419D" w14:textId="77777777" w:rsidR="006F2AFB" w:rsidRPr="00D618B7" w:rsidRDefault="006F2AFB" w:rsidP="006F2AFB">
            <w:pPr>
              <w:jc w:val="center"/>
              <w:rPr>
                <w:color w:val="000000"/>
              </w:rPr>
            </w:pPr>
            <w:r w:rsidRPr="00D618B7">
              <w:rPr>
                <w:color w:val="000000"/>
              </w:rPr>
              <w:t>KP</w:t>
            </w:r>
          </w:p>
        </w:tc>
        <w:tc>
          <w:tcPr>
            <w:tcW w:w="413" w:type="pct"/>
            <w:tcBorders>
              <w:top w:val="nil"/>
              <w:left w:val="nil"/>
              <w:bottom w:val="nil"/>
              <w:right w:val="nil"/>
            </w:tcBorders>
            <w:shd w:val="clear" w:color="000000" w:fill="FFFFFF"/>
            <w:vAlign w:val="center"/>
            <w:hideMark/>
          </w:tcPr>
          <w:p w14:paraId="2A87F9AE" w14:textId="192B4323" w:rsidR="006F2AFB" w:rsidRPr="00D618B7" w:rsidRDefault="006F2AFB" w:rsidP="006F2AFB">
            <w:pPr>
              <w:jc w:val="center"/>
              <w:rPr>
                <w:color w:val="000000"/>
                <w:sz w:val="20"/>
                <w:szCs w:val="20"/>
              </w:rPr>
            </w:pPr>
            <w:r>
              <w:rPr>
                <w:color w:val="000000"/>
                <w:sz w:val="20"/>
                <w:szCs w:val="20"/>
              </w:rPr>
              <w:t>12</w:t>
            </w:r>
          </w:p>
        </w:tc>
        <w:tc>
          <w:tcPr>
            <w:tcW w:w="413" w:type="pct"/>
            <w:tcBorders>
              <w:top w:val="nil"/>
              <w:left w:val="nil"/>
              <w:bottom w:val="nil"/>
              <w:right w:val="nil"/>
            </w:tcBorders>
            <w:shd w:val="clear" w:color="000000" w:fill="FFFFFF"/>
            <w:vAlign w:val="center"/>
            <w:hideMark/>
          </w:tcPr>
          <w:p w14:paraId="3D82534A" w14:textId="4E4C47EF" w:rsidR="006F2AFB" w:rsidRPr="00D618B7" w:rsidRDefault="006F2AFB" w:rsidP="006F2AFB">
            <w:pPr>
              <w:jc w:val="center"/>
              <w:rPr>
                <w:color w:val="000000"/>
                <w:sz w:val="20"/>
                <w:szCs w:val="20"/>
              </w:rPr>
            </w:pPr>
            <w:r>
              <w:rPr>
                <w:color w:val="000000"/>
                <w:sz w:val="20"/>
                <w:szCs w:val="20"/>
              </w:rPr>
              <w:t>10</w:t>
            </w:r>
          </w:p>
        </w:tc>
        <w:tc>
          <w:tcPr>
            <w:tcW w:w="413" w:type="pct"/>
            <w:tcBorders>
              <w:top w:val="nil"/>
              <w:left w:val="nil"/>
              <w:bottom w:val="nil"/>
              <w:right w:val="nil"/>
            </w:tcBorders>
            <w:shd w:val="clear" w:color="000000" w:fill="FFFFFF"/>
            <w:vAlign w:val="center"/>
            <w:hideMark/>
          </w:tcPr>
          <w:p w14:paraId="4BC217DF" w14:textId="783C4DFA" w:rsidR="006F2AFB" w:rsidRPr="00D618B7" w:rsidRDefault="006F2AFB" w:rsidP="006F2AFB">
            <w:pPr>
              <w:jc w:val="center"/>
              <w:rPr>
                <w:color w:val="000000"/>
                <w:sz w:val="20"/>
                <w:szCs w:val="20"/>
              </w:rPr>
            </w:pPr>
            <w:r>
              <w:rPr>
                <w:color w:val="000000"/>
                <w:sz w:val="20"/>
                <w:szCs w:val="20"/>
              </w:rPr>
              <w:t>14</w:t>
            </w:r>
          </w:p>
        </w:tc>
        <w:tc>
          <w:tcPr>
            <w:tcW w:w="413" w:type="pct"/>
            <w:tcBorders>
              <w:top w:val="nil"/>
              <w:left w:val="nil"/>
              <w:bottom w:val="nil"/>
              <w:right w:val="nil"/>
            </w:tcBorders>
            <w:shd w:val="clear" w:color="000000" w:fill="FFFFFF"/>
            <w:vAlign w:val="center"/>
            <w:hideMark/>
          </w:tcPr>
          <w:p w14:paraId="701AA59E" w14:textId="5AD69590" w:rsidR="006F2AFB" w:rsidRPr="00D618B7" w:rsidRDefault="006F2AFB" w:rsidP="006F2AFB">
            <w:pPr>
              <w:jc w:val="center"/>
              <w:rPr>
                <w:color w:val="000000"/>
                <w:sz w:val="20"/>
                <w:szCs w:val="20"/>
              </w:rPr>
            </w:pPr>
            <w:r>
              <w:rPr>
                <w:color w:val="000000"/>
                <w:sz w:val="20"/>
                <w:szCs w:val="20"/>
              </w:rPr>
              <w:t>8</w:t>
            </w:r>
          </w:p>
        </w:tc>
        <w:tc>
          <w:tcPr>
            <w:tcW w:w="413" w:type="pct"/>
            <w:tcBorders>
              <w:top w:val="nil"/>
              <w:left w:val="nil"/>
              <w:bottom w:val="nil"/>
              <w:right w:val="nil"/>
            </w:tcBorders>
            <w:shd w:val="clear" w:color="000000" w:fill="FFFFFF"/>
            <w:vAlign w:val="center"/>
            <w:hideMark/>
          </w:tcPr>
          <w:p w14:paraId="495095E9" w14:textId="7BE90266" w:rsidR="006F2AFB" w:rsidRPr="00D618B7" w:rsidRDefault="006F2AFB" w:rsidP="006F2AFB">
            <w:pPr>
              <w:jc w:val="center"/>
              <w:rPr>
                <w:color w:val="000000"/>
                <w:sz w:val="20"/>
                <w:szCs w:val="20"/>
              </w:rPr>
            </w:pPr>
            <w:r>
              <w:rPr>
                <w:color w:val="000000"/>
                <w:sz w:val="20"/>
                <w:szCs w:val="20"/>
              </w:rPr>
              <w:t>7</w:t>
            </w:r>
          </w:p>
        </w:tc>
        <w:tc>
          <w:tcPr>
            <w:tcW w:w="413" w:type="pct"/>
            <w:tcBorders>
              <w:top w:val="nil"/>
              <w:left w:val="nil"/>
              <w:bottom w:val="nil"/>
              <w:right w:val="nil"/>
            </w:tcBorders>
            <w:shd w:val="clear" w:color="000000" w:fill="FFFFFF"/>
            <w:vAlign w:val="center"/>
            <w:hideMark/>
          </w:tcPr>
          <w:p w14:paraId="3393DAB2" w14:textId="7360E696" w:rsidR="006F2AFB" w:rsidRPr="00D618B7" w:rsidRDefault="006F2AFB" w:rsidP="006F2AFB">
            <w:pPr>
              <w:jc w:val="center"/>
              <w:rPr>
                <w:color w:val="000000"/>
                <w:sz w:val="20"/>
                <w:szCs w:val="20"/>
              </w:rPr>
            </w:pPr>
            <w:r>
              <w:rPr>
                <w:color w:val="000000"/>
                <w:sz w:val="20"/>
                <w:szCs w:val="20"/>
              </w:rPr>
              <w:t>9</w:t>
            </w:r>
          </w:p>
        </w:tc>
        <w:tc>
          <w:tcPr>
            <w:tcW w:w="413" w:type="pct"/>
            <w:tcBorders>
              <w:top w:val="nil"/>
              <w:left w:val="nil"/>
              <w:bottom w:val="nil"/>
              <w:right w:val="nil"/>
            </w:tcBorders>
            <w:shd w:val="clear" w:color="000000" w:fill="FFFFFF"/>
            <w:vAlign w:val="center"/>
            <w:hideMark/>
          </w:tcPr>
          <w:p w14:paraId="4A39AA57" w14:textId="740C9D60" w:rsidR="006F2AFB" w:rsidRPr="00D618B7" w:rsidRDefault="006F2AFB" w:rsidP="006F2AFB">
            <w:pPr>
              <w:jc w:val="center"/>
              <w:rPr>
                <w:color w:val="000000"/>
                <w:sz w:val="20"/>
                <w:szCs w:val="20"/>
              </w:rPr>
            </w:pPr>
            <w:r>
              <w:rPr>
                <w:color w:val="000000"/>
                <w:sz w:val="20"/>
                <w:szCs w:val="20"/>
              </w:rPr>
              <w:t>17</w:t>
            </w:r>
          </w:p>
        </w:tc>
        <w:tc>
          <w:tcPr>
            <w:tcW w:w="413" w:type="pct"/>
            <w:tcBorders>
              <w:top w:val="nil"/>
              <w:left w:val="nil"/>
              <w:bottom w:val="nil"/>
              <w:right w:val="nil"/>
            </w:tcBorders>
            <w:shd w:val="clear" w:color="000000" w:fill="FFFFFF"/>
            <w:vAlign w:val="center"/>
            <w:hideMark/>
          </w:tcPr>
          <w:p w14:paraId="2148B6FB" w14:textId="11DED71F" w:rsidR="006F2AFB" w:rsidRPr="00D618B7" w:rsidRDefault="006F2AFB" w:rsidP="006F2AFB">
            <w:pPr>
              <w:jc w:val="center"/>
              <w:rPr>
                <w:color w:val="000000"/>
                <w:sz w:val="20"/>
                <w:szCs w:val="20"/>
              </w:rPr>
            </w:pPr>
            <w:r>
              <w:rPr>
                <w:color w:val="000000"/>
                <w:sz w:val="20"/>
                <w:szCs w:val="20"/>
              </w:rPr>
              <w:t>16</w:t>
            </w:r>
          </w:p>
        </w:tc>
        <w:tc>
          <w:tcPr>
            <w:tcW w:w="414" w:type="pct"/>
            <w:tcBorders>
              <w:top w:val="nil"/>
              <w:left w:val="nil"/>
              <w:bottom w:val="nil"/>
              <w:right w:val="nil"/>
            </w:tcBorders>
            <w:shd w:val="clear" w:color="000000" w:fill="FFFFFF"/>
            <w:vAlign w:val="center"/>
            <w:hideMark/>
          </w:tcPr>
          <w:p w14:paraId="7DA079D2" w14:textId="7ABBF9DF" w:rsidR="006F2AFB" w:rsidRPr="00D618B7" w:rsidRDefault="006F2AFB" w:rsidP="006F2AFB">
            <w:pPr>
              <w:jc w:val="center"/>
              <w:rPr>
                <w:color w:val="000000"/>
                <w:sz w:val="20"/>
                <w:szCs w:val="20"/>
              </w:rPr>
            </w:pPr>
            <w:r>
              <w:rPr>
                <w:color w:val="000000"/>
                <w:sz w:val="20"/>
                <w:szCs w:val="20"/>
              </w:rPr>
              <w:t>13</w:t>
            </w:r>
          </w:p>
        </w:tc>
        <w:tc>
          <w:tcPr>
            <w:tcW w:w="414" w:type="pct"/>
            <w:tcBorders>
              <w:top w:val="nil"/>
              <w:left w:val="nil"/>
              <w:bottom w:val="nil"/>
              <w:right w:val="nil"/>
            </w:tcBorders>
            <w:shd w:val="clear" w:color="000000" w:fill="FFFFFF"/>
            <w:vAlign w:val="center"/>
            <w:hideMark/>
          </w:tcPr>
          <w:p w14:paraId="106E67CD" w14:textId="474B71AA" w:rsidR="006F2AFB" w:rsidRPr="00D618B7" w:rsidRDefault="006F2AFB" w:rsidP="006F2AFB">
            <w:pPr>
              <w:jc w:val="center"/>
              <w:rPr>
                <w:color w:val="000000"/>
                <w:sz w:val="20"/>
                <w:szCs w:val="20"/>
              </w:rPr>
            </w:pPr>
            <w:r>
              <w:rPr>
                <w:color w:val="000000"/>
                <w:sz w:val="20"/>
                <w:szCs w:val="20"/>
              </w:rPr>
              <w:t>14</w:t>
            </w:r>
          </w:p>
        </w:tc>
        <w:tc>
          <w:tcPr>
            <w:tcW w:w="411" w:type="pct"/>
            <w:tcBorders>
              <w:top w:val="nil"/>
              <w:left w:val="nil"/>
              <w:bottom w:val="nil"/>
              <w:right w:val="nil"/>
              <w:tl2br w:val="single" w:sz="4" w:space="0" w:color="auto"/>
              <w:tr2bl w:val="single" w:sz="4" w:space="0" w:color="auto"/>
            </w:tcBorders>
            <w:shd w:val="clear" w:color="000000" w:fill="FFFFFF"/>
            <w:vAlign w:val="center"/>
            <w:hideMark/>
          </w:tcPr>
          <w:p w14:paraId="7690D659" w14:textId="256C2F59" w:rsidR="006F2AFB" w:rsidRPr="00D618B7" w:rsidRDefault="006F2AFB" w:rsidP="006F2AFB">
            <w:pPr>
              <w:jc w:val="center"/>
              <w:rPr>
                <w:b/>
                <w:bCs/>
                <w:color w:val="000000"/>
                <w:sz w:val="20"/>
                <w:szCs w:val="20"/>
              </w:rPr>
            </w:pPr>
            <w:r>
              <w:rPr>
                <w:b/>
                <w:bCs/>
                <w:color w:val="000000"/>
                <w:sz w:val="20"/>
                <w:szCs w:val="20"/>
              </w:rPr>
              <w:t> </w:t>
            </w:r>
          </w:p>
        </w:tc>
      </w:tr>
      <w:tr w:rsidR="006F2AFB" w:rsidRPr="00D618B7" w14:paraId="592BF900" w14:textId="77777777" w:rsidTr="006F2AFB">
        <w:trPr>
          <w:trHeight w:val="315"/>
        </w:trPr>
        <w:tc>
          <w:tcPr>
            <w:tcW w:w="457" w:type="pct"/>
            <w:tcBorders>
              <w:top w:val="nil"/>
              <w:left w:val="nil"/>
              <w:bottom w:val="nil"/>
              <w:right w:val="nil"/>
            </w:tcBorders>
            <w:shd w:val="clear" w:color="000000" w:fill="FFFFFF"/>
            <w:vAlign w:val="center"/>
            <w:hideMark/>
          </w:tcPr>
          <w:p w14:paraId="085869B2" w14:textId="77777777" w:rsidR="006F2AFB" w:rsidRPr="00D618B7" w:rsidRDefault="006F2AFB" w:rsidP="006F2AFB">
            <w:pPr>
              <w:jc w:val="center"/>
              <w:rPr>
                <w:color w:val="000000"/>
              </w:rPr>
            </w:pPr>
            <w:r w:rsidRPr="00D618B7">
              <w:rPr>
                <w:color w:val="000000"/>
              </w:rPr>
              <w:t>LN</w:t>
            </w:r>
          </w:p>
        </w:tc>
        <w:tc>
          <w:tcPr>
            <w:tcW w:w="413" w:type="pct"/>
            <w:tcBorders>
              <w:top w:val="nil"/>
              <w:left w:val="nil"/>
              <w:bottom w:val="nil"/>
              <w:right w:val="nil"/>
              <w:tl2br w:val="single" w:sz="4" w:space="0" w:color="auto"/>
              <w:tr2bl w:val="single" w:sz="4" w:space="0" w:color="auto"/>
            </w:tcBorders>
            <w:shd w:val="clear" w:color="000000" w:fill="FFFFFF"/>
            <w:vAlign w:val="center"/>
            <w:hideMark/>
          </w:tcPr>
          <w:p w14:paraId="42DB8477" w14:textId="27102F88" w:rsidR="006F2AFB" w:rsidRPr="00D618B7" w:rsidRDefault="006F2AFB" w:rsidP="006F2AFB">
            <w:pPr>
              <w:jc w:val="center"/>
              <w:rPr>
                <w:b/>
                <w:bCs/>
                <w:color w:val="000000"/>
                <w:sz w:val="20"/>
                <w:szCs w:val="20"/>
              </w:rPr>
            </w:pPr>
            <w:r>
              <w:rPr>
                <w:b/>
                <w:bCs/>
                <w:color w:val="000000"/>
                <w:sz w:val="20"/>
                <w:szCs w:val="20"/>
              </w:rPr>
              <w:t> </w:t>
            </w:r>
          </w:p>
        </w:tc>
        <w:tc>
          <w:tcPr>
            <w:tcW w:w="413" w:type="pct"/>
            <w:tcBorders>
              <w:top w:val="nil"/>
              <w:left w:val="nil"/>
              <w:bottom w:val="nil"/>
              <w:right w:val="nil"/>
            </w:tcBorders>
            <w:shd w:val="clear" w:color="000000" w:fill="FFFFFF"/>
            <w:vAlign w:val="center"/>
            <w:hideMark/>
          </w:tcPr>
          <w:p w14:paraId="7A75A8E9" w14:textId="1089E425" w:rsidR="006F2AFB" w:rsidRPr="00D618B7" w:rsidRDefault="006F2AFB" w:rsidP="006F2AFB">
            <w:pPr>
              <w:jc w:val="center"/>
              <w:rPr>
                <w:color w:val="000000"/>
                <w:sz w:val="20"/>
                <w:szCs w:val="20"/>
              </w:rPr>
            </w:pPr>
            <w:r>
              <w:rPr>
                <w:color w:val="000000"/>
                <w:sz w:val="20"/>
                <w:szCs w:val="20"/>
              </w:rPr>
              <w:t>9</w:t>
            </w:r>
          </w:p>
        </w:tc>
        <w:tc>
          <w:tcPr>
            <w:tcW w:w="413" w:type="pct"/>
            <w:tcBorders>
              <w:top w:val="nil"/>
              <w:left w:val="nil"/>
              <w:bottom w:val="nil"/>
              <w:right w:val="nil"/>
              <w:tl2br w:val="single" w:sz="4" w:space="0" w:color="auto"/>
              <w:tr2bl w:val="single" w:sz="4" w:space="0" w:color="auto"/>
            </w:tcBorders>
            <w:shd w:val="clear" w:color="000000" w:fill="FFFFFF"/>
            <w:vAlign w:val="center"/>
            <w:hideMark/>
          </w:tcPr>
          <w:p w14:paraId="0EDDF120" w14:textId="0CB36680" w:rsidR="006F2AFB" w:rsidRPr="00D618B7" w:rsidRDefault="006F2AFB" w:rsidP="006F2AFB">
            <w:pPr>
              <w:jc w:val="center"/>
              <w:rPr>
                <w:b/>
                <w:bCs/>
                <w:color w:val="000000"/>
                <w:sz w:val="20"/>
                <w:szCs w:val="20"/>
              </w:rPr>
            </w:pPr>
            <w:r>
              <w:rPr>
                <w:b/>
                <w:bCs/>
                <w:color w:val="000000"/>
                <w:sz w:val="20"/>
                <w:szCs w:val="20"/>
              </w:rPr>
              <w:t> </w:t>
            </w:r>
          </w:p>
        </w:tc>
        <w:tc>
          <w:tcPr>
            <w:tcW w:w="413" w:type="pct"/>
            <w:tcBorders>
              <w:top w:val="nil"/>
              <w:left w:val="nil"/>
              <w:bottom w:val="nil"/>
              <w:right w:val="nil"/>
            </w:tcBorders>
            <w:shd w:val="clear" w:color="000000" w:fill="FFFFFF"/>
            <w:vAlign w:val="center"/>
            <w:hideMark/>
          </w:tcPr>
          <w:p w14:paraId="7378237A" w14:textId="399A95DC" w:rsidR="006F2AFB" w:rsidRPr="00D618B7" w:rsidRDefault="006F2AFB" w:rsidP="006F2AFB">
            <w:pPr>
              <w:jc w:val="center"/>
              <w:rPr>
                <w:color w:val="000000"/>
                <w:sz w:val="20"/>
                <w:szCs w:val="20"/>
              </w:rPr>
            </w:pPr>
            <w:r>
              <w:rPr>
                <w:color w:val="000000"/>
                <w:sz w:val="20"/>
                <w:szCs w:val="20"/>
              </w:rPr>
              <w:t>10</w:t>
            </w:r>
          </w:p>
        </w:tc>
        <w:tc>
          <w:tcPr>
            <w:tcW w:w="413" w:type="pct"/>
            <w:tcBorders>
              <w:top w:val="nil"/>
              <w:left w:val="nil"/>
              <w:bottom w:val="nil"/>
              <w:right w:val="nil"/>
              <w:tl2br w:val="single" w:sz="4" w:space="0" w:color="auto"/>
              <w:tr2bl w:val="single" w:sz="4" w:space="0" w:color="auto"/>
            </w:tcBorders>
            <w:shd w:val="clear" w:color="000000" w:fill="FFFFFF"/>
            <w:vAlign w:val="center"/>
            <w:hideMark/>
          </w:tcPr>
          <w:p w14:paraId="62F5EAC4" w14:textId="4BA5667D" w:rsidR="006F2AFB" w:rsidRPr="00D618B7" w:rsidRDefault="006F2AFB" w:rsidP="006F2AFB">
            <w:pPr>
              <w:jc w:val="center"/>
              <w:rPr>
                <w:b/>
                <w:bCs/>
                <w:color w:val="000000"/>
                <w:sz w:val="20"/>
                <w:szCs w:val="20"/>
              </w:rPr>
            </w:pPr>
            <w:r>
              <w:rPr>
                <w:b/>
                <w:bCs/>
                <w:color w:val="000000"/>
                <w:sz w:val="20"/>
                <w:szCs w:val="20"/>
              </w:rPr>
              <w:t> </w:t>
            </w:r>
          </w:p>
        </w:tc>
        <w:tc>
          <w:tcPr>
            <w:tcW w:w="413" w:type="pct"/>
            <w:tcBorders>
              <w:top w:val="nil"/>
              <w:left w:val="nil"/>
              <w:bottom w:val="nil"/>
              <w:right w:val="nil"/>
            </w:tcBorders>
            <w:shd w:val="clear" w:color="000000" w:fill="FFFFFF"/>
            <w:vAlign w:val="center"/>
            <w:hideMark/>
          </w:tcPr>
          <w:p w14:paraId="0F3C4D54" w14:textId="4065A518" w:rsidR="006F2AFB" w:rsidRPr="00D618B7" w:rsidRDefault="006F2AFB" w:rsidP="006F2AFB">
            <w:pPr>
              <w:jc w:val="center"/>
              <w:rPr>
                <w:color w:val="000000"/>
                <w:sz w:val="20"/>
                <w:szCs w:val="20"/>
              </w:rPr>
            </w:pPr>
            <w:r>
              <w:rPr>
                <w:color w:val="000000"/>
                <w:sz w:val="20"/>
                <w:szCs w:val="20"/>
              </w:rPr>
              <w:t>14</w:t>
            </w:r>
          </w:p>
        </w:tc>
        <w:tc>
          <w:tcPr>
            <w:tcW w:w="413" w:type="pct"/>
            <w:tcBorders>
              <w:top w:val="nil"/>
              <w:left w:val="nil"/>
              <w:bottom w:val="nil"/>
              <w:right w:val="nil"/>
            </w:tcBorders>
            <w:shd w:val="clear" w:color="000000" w:fill="FFFFFF"/>
            <w:vAlign w:val="center"/>
            <w:hideMark/>
          </w:tcPr>
          <w:p w14:paraId="176F471D" w14:textId="184AE3BE" w:rsidR="006F2AFB" w:rsidRPr="00D618B7" w:rsidRDefault="006F2AFB" w:rsidP="006F2AFB">
            <w:pPr>
              <w:jc w:val="center"/>
              <w:rPr>
                <w:color w:val="000000"/>
                <w:sz w:val="20"/>
                <w:szCs w:val="20"/>
              </w:rPr>
            </w:pPr>
            <w:r>
              <w:rPr>
                <w:color w:val="000000"/>
                <w:sz w:val="20"/>
                <w:szCs w:val="20"/>
              </w:rPr>
              <w:t>20</w:t>
            </w:r>
          </w:p>
        </w:tc>
        <w:tc>
          <w:tcPr>
            <w:tcW w:w="413" w:type="pct"/>
            <w:tcBorders>
              <w:top w:val="nil"/>
              <w:left w:val="nil"/>
              <w:bottom w:val="nil"/>
              <w:right w:val="nil"/>
              <w:tl2br w:val="single" w:sz="4" w:space="0" w:color="auto"/>
              <w:tr2bl w:val="single" w:sz="4" w:space="0" w:color="auto"/>
            </w:tcBorders>
            <w:shd w:val="clear" w:color="000000" w:fill="FFFFFF"/>
            <w:vAlign w:val="center"/>
            <w:hideMark/>
          </w:tcPr>
          <w:p w14:paraId="2307F4D6" w14:textId="50C0A2FF" w:rsidR="006F2AFB" w:rsidRPr="00D618B7" w:rsidRDefault="006F2AFB" w:rsidP="006F2AFB">
            <w:pPr>
              <w:jc w:val="center"/>
              <w:rPr>
                <w:b/>
                <w:bCs/>
                <w:color w:val="000000"/>
                <w:sz w:val="20"/>
                <w:szCs w:val="20"/>
              </w:rPr>
            </w:pPr>
            <w:r>
              <w:rPr>
                <w:b/>
                <w:bCs/>
                <w:color w:val="000000"/>
                <w:sz w:val="20"/>
                <w:szCs w:val="20"/>
              </w:rPr>
              <w:t> </w:t>
            </w:r>
          </w:p>
        </w:tc>
        <w:tc>
          <w:tcPr>
            <w:tcW w:w="414" w:type="pct"/>
            <w:tcBorders>
              <w:top w:val="nil"/>
              <w:left w:val="nil"/>
              <w:bottom w:val="nil"/>
              <w:right w:val="nil"/>
            </w:tcBorders>
            <w:shd w:val="clear" w:color="000000" w:fill="FFFFFF"/>
            <w:vAlign w:val="center"/>
            <w:hideMark/>
          </w:tcPr>
          <w:p w14:paraId="03486C4B" w14:textId="0F384CBC" w:rsidR="006F2AFB" w:rsidRPr="00D618B7" w:rsidRDefault="006F2AFB" w:rsidP="006F2AFB">
            <w:pPr>
              <w:jc w:val="center"/>
              <w:rPr>
                <w:color w:val="000000"/>
                <w:sz w:val="20"/>
                <w:szCs w:val="20"/>
              </w:rPr>
            </w:pPr>
            <w:r>
              <w:rPr>
                <w:color w:val="000000"/>
                <w:sz w:val="20"/>
                <w:szCs w:val="20"/>
              </w:rPr>
              <w:t>24</w:t>
            </w:r>
          </w:p>
        </w:tc>
        <w:tc>
          <w:tcPr>
            <w:tcW w:w="414" w:type="pct"/>
            <w:tcBorders>
              <w:top w:val="nil"/>
              <w:left w:val="nil"/>
              <w:bottom w:val="nil"/>
              <w:right w:val="nil"/>
            </w:tcBorders>
            <w:shd w:val="clear" w:color="000000" w:fill="FFFFFF"/>
            <w:vAlign w:val="center"/>
            <w:hideMark/>
          </w:tcPr>
          <w:p w14:paraId="0C6F35B7" w14:textId="433917E9" w:rsidR="006F2AFB" w:rsidRPr="00D618B7" w:rsidRDefault="006F2AFB" w:rsidP="006F2AFB">
            <w:pPr>
              <w:jc w:val="center"/>
              <w:rPr>
                <w:color w:val="000000"/>
                <w:sz w:val="20"/>
                <w:szCs w:val="20"/>
              </w:rPr>
            </w:pPr>
            <w:r>
              <w:rPr>
                <w:color w:val="000000"/>
                <w:sz w:val="20"/>
                <w:szCs w:val="20"/>
              </w:rPr>
              <w:t>21</w:t>
            </w:r>
          </w:p>
        </w:tc>
        <w:tc>
          <w:tcPr>
            <w:tcW w:w="411" w:type="pct"/>
            <w:tcBorders>
              <w:top w:val="nil"/>
              <w:left w:val="nil"/>
              <w:bottom w:val="nil"/>
              <w:right w:val="nil"/>
              <w:tl2br w:val="single" w:sz="4" w:space="0" w:color="auto"/>
              <w:tr2bl w:val="single" w:sz="4" w:space="0" w:color="auto"/>
            </w:tcBorders>
            <w:shd w:val="clear" w:color="000000" w:fill="FFFFFF"/>
            <w:vAlign w:val="center"/>
            <w:hideMark/>
          </w:tcPr>
          <w:p w14:paraId="216C775D" w14:textId="284036A7" w:rsidR="006F2AFB" w:rsidRPr="00D618B7" w:rsidRDefault="006F2AFB" w:rsidP="006F2AFB">
            <w:pPr>
              <w:jc w:val="center"/>
              <w:rPr>
                <w:b/>
                <w:bCs/>
                <w:color w:val="000000"/>
                <w:sz w:val="20"/>
                <w:szCs w:val="20"/>
              </w:rPr>
            </w:pPr>
            <w:r>
              <w:rPr>
                <w:b/>
                <w:bCs/>
                <w:color w:val="000000"/>
                <w:sz w:val="20"/>
                <w:szCs w:val="20"/>
              </w:rPr>
              <w:t> </w:t>
            </w:r>
          </w:p>
        </w:tc>
      </w:tr>
      <w:tr w:rsidR="006F2AFB" w:rsidRPr="00D618B7" w14:paraId="24709D99" w14:textId="77777777" w:rsidTr="006F2AFB">
        <w:trPr>
          <w:trHeight w:val="330"/>
        </w:trPr>
        <w:tc>
          <w:tcPr>
            <w:tcW w:w="457" w:type="pct"/>
            <w:tcBorders>
              <w:top w:val="nil"/>
              <w:left w:val="nil"/>
              <w:bottom w:val="single" w:sz="8" w:space="0" w:color="auto"/>
              <w:right w:val="nil"/>
            </w:tcBorders>
            <w:shd w:val="clear" w:color="000000" w:fill="FFFFFF"/>
            <w:vAlign w:val="center"/>
            <w:hideMark/>
          </w:tcPr>
          <w:p w14:paraId="06FC57DF" w14:textId="77777777" w:rsidR="006F2AFB" w:rsidRPr="00D618B7" w:rsidRDefault="006F2AFB" w:rsidP="006F2AFB">
            <w:pPr>
              <w:jc w:val="center"/>
              <w:rPr>
                <w:color w:val="000000"/>
              </w:rPr>
            </w:pPr>
            <w:r w:rsidRPr="00D618B7">
              <w:rPr>
                <w:color w:val="000000"/>
              </w:rPr>
              <w:t>ME</w:t>
            </w:r>
          </w:p>
        </w:tc>
        <w:tc>
          <w:tcPr>
            <w:tcW w:w="413" w:type="pct"/>
            <w:tcBorders>
              <w:top w:val="nil"/>
              <w:left w:val="nil"/>
              <w:bottom w:val="single" w:sz="8" w:space="0" w:color="auto"/>
              <w:right w:val="nil"/>
            </w:tcBorders>
            <w:shd w:val="clear" w:color="000000" w:fill="FFFFFF"/>
            <w:vAlign w:val="center"/>
            <w:hideMark/>
          </w:tcPr>
          <w:p w14:paraId="19C3C029" w14:textId="61DE7321" w:rsidR="006F2AFB" w:rsidRPr="00D618B7" w:rsidRDefault="006F2AFB" w:rsidP="006F2AFB">
            <w:pPr>
              <w:jc w:val="center"/>
              <w:rPr>
                <w:color w:val="000000"/>
                <w:sz w:val="20"/>
                <w:szCs w:val="20"/>
              </w:rPr>
            </w:pPr>
            <w:r>
              <w:rPr>
                <w:color w:val="000000"/>
                <w:sz w:val="20"/>
                <w:szCs w:val="20"/>
              </w:rPr>
              <w:t>5</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05AF9693" w14:textId="78487329" w:rsidR="006F2AFB" w:rsidRPr="00D618B7" w:rsidRDefault="006F2AFB" w:rsidP="006F2AFB">
            <w:pPr>
              <w:jc w:val="center"/>
              <w:rPr>
                <w:b/>
                <w:bCs/>
                <w:color w:val="000000"/>
                <w:sz w:val="20"/>
                <w:szCs w:val="20"/>
              </w:rPr>
            </w:pPr>
            <w:r>
              <w:rPr>
                <w:b/>
                <w:bCs/>
                <w:color w:val="000000"/>
                <w:sz w:val="20"/>
                <w:szCs w:val="20"/>
              </w:rPr>
              <w:t> </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3C30494A" w14:textId="044F0132" w:rsidR="006F2AFB" w:rsidRPr="00D618B7" w:rsidRDefault="006F2AFB" w:rsidP="006F2AFB">
            <w:pPr>
              <w:jc w:val="center"/>
              <w:rPr>
                <w:b/>
                <w:bCs/>
                <w:color w:val="000000"/>
                <w:sz w:val="20"/>
                <w:szCs w:val="20"/>
              </w:rPr>
            </w:pPr>
            <w:r>
              <w:rPr>
                <w:b/>
                <w:bCs/>
                <w:color w:val="000000"/>
                <w:sz w:val="20"/>
                <w:szCs w:val="20"/>
              </w:rPr>
              <w:t> </w:t>
            </w:r>
          </w:p>
        </w:tc>
        <w:tc>
          <w:tcPr>
            <w:tcW w:w="413" w:type="pct"/>
            <w:tcBorders>
              <w:top w:val="nil"/>
              <w:left w:val="nil"/>
              <w:bottom w:val="single" w:sz="8" w:space="0" w:color="auto"/>
              <w:right w:val="nil"/>
              <w:tl2br w:val="single" w:sz="4" w:space="0" w:color="auto"/>
              <w:tr2bl w:val="single" w:sz="4" w:space="0" w:color="auto"/>
            </w:tcBorders>
            <w:shd w:val="clear" w:color="000000" w:fill="FFFFFF"/>
            <w:vAlign w:val="center"/>
            <w:hideMark/>
          </w:tcPr>
          <w:p w14:paraId="23786517" w14:textId="62A8FC3A" w:rsidR="006F2AFB" w:rsidRPr="00D618B7" w:rsidRDefault="006F2AFB" w:rsidP="006F2AFB">
            <w:pPr>
              <w:jc w:val="center"/>
              <w:rPr>
                <w:b/>
                <w:bCs/>
                <w:color w:val="000000"/>
                <w:sz w:val="20"/>
                <w:szCs w:val="20"/>
              </w:rPr>
            </w:pPr>
            <w:r>
              <w:rPr>
                <w:b/>
                <w:bCs/>
                <w:color w:val="000000"/>
                <w:sz w:val="20"/>
                <w:szCs w:val="20"/>
              </w:rPr>
              <w:t> </w:t>
            </w:r>
          </w:p>
        </w:tc>
        <w:tc>
          <w:tcPr>
            <w:tcW w:w="413" w:type="pct"/>
            <w:tcBorders>
              <w:top w:val="nil"/>
              <w:left w:val="nil"/>
              <w:bottom w:val="single" w:sz="8" w:space="0" w:color="auto"/>
              <w:right w:val="nil"/>
            </w:tcBorders>
            <w:shd w:val="clear" w:color="000000" w:fill="FFFFFF"/>
            <w:vAlign w:val="center"/>
            <w:hideMark/>
          </w:tcPr>
          <w:p w14:paraId="5CCAE896" w14:textId="63694119" w:rsidR="006F2AFB" w:rsidRPr="00D618B7" w:rsidRDefault="006F2AFB" w:rsidP="006F2AFB">
            <w:pPr>
              <w:jc w:val="center"/>
              <w:rPr>
                <w:color w:val="000000"/>
                <w:sz w:val="20"/>
                <w:szCs w:val="20"/>
              </w:rPr>
            </w:pPr>
            <w:r>
              <w:rPr>
                <w:color w:val="000000"/>
                <w:sz w:val="20"/>
                <w:szCs w:val="20"/>
              </w:rPr>
              <w:t>16</w:t>
            </w:r>
          </w:p>
        </w:tc>
        <w:tc>
          <w:tcPr>
            <w:tcW w:w="413" w:type="pct"/>
            <w:tcBorders>
              <w:top w:val="nil"/>
              <w:left w:val="nil"/>
              <w:bottom w:val="single" w:sz="8" w:space="0" w:color="auto"/>
              <w:right w:val="nil"/>
            </w:tcBorders>
            <w:shd w:val="clear" w:color="000000" w:fill="FFFFFF"/>
            <w:vAlign w:val="center"/>
            <w:hideMark/>
          </w:tcPr>
          <w:p w14:paraId="6F49BC66" w14:textId="28A4CDB1" w:rsidR="006F2AFB" w:rsidRPr="00D618B7" w:rsidRDefault="006F2AFB" w:rsidP="006F2AFB">
            <w:pPr>
              <w:jc w:val="center"/>
              <w:rPr>
                <w:color w:val="000000"/>
                <w:sz w:val="20"/>
                <w:szCs w:val="20"/>
              </w:rPr>
            </w:pPr>
            <w:r>
              <w:rPr>
                <w:color w:val="000000"/>
                <w:sz w:val="20"/>
                <w:szCs w:val="20"/>
              </w:rPr>
              <w:t>14</w:t>
            </w:r>
          </w:p>
        </w:tc>
        <w:tc>
          <w:tcPr>
            <w:tcW w:w="413" w:type="pct"/>
            <w:tcBorders>
              <w:top w:val="nil"/>
              <w:left w:val="nil"/>
              <w:bottom w:val="single" w:sz="8" w:space="0" w:color="auto"/>
              <w:right w:val="nil"/>
            </w:tcBorders>
            <w:shd w:val="clear" w:color="000000" w:fill="FFFFFF"/>
            <w:vAlign w:val="center"/>
            <w:hideMark/>
          </w:tcPr>
          <w:p w14:paraId="7ACD8332" w14:textId="56D43D77" w:rsidR="006F2AFB" w:rsidRPr="00D618B7" w:rsidRDefault="006F2AFB" w:rsidP="006F2AFB">
            <w:pPr>
              <w:jc w:val="center"/>
              <w:rPr>
                <w:color w:val="000000"/>
                <w:sz w:val="20"/>
                <w:szCs w:val="20"/>
              </w:rPr>
            </w:pPr>
            <w:r>
              <w:rPr>
                <w:color w:val="000000"/>
                <w:sz w:val="20"/>
                <w:szCs w:val="20"/>
              </w:rPr>
              <w:t>5</w:t>
            </w:r>
          </w:p>
        </w:tc>
        <w:tc>
          <w:tcPr>
            <w:tcW w:w="413" w:type="pct"/>
            <w:tcBorders>
              <w:top w:val="nil"/>
              <w:left w:val="nil"/>
              <w:bottom w:val="single" w:sz="8" w:space="0" w:color="auto"/>
              <w:right w:val="nil"/>
            </w:tcBorders>
            <w:shd w:val="clear" w:color="000000" w:fill="FFFFFF"/>
            <w:vAlign w:val="center"/>
            <w:hideMark/>
          </w:tcPr>
          <w:p w14:paraId="392F15F7" w14:textId="67E9AD86" w:rsidR="006F2AFB" w:rsidRPr="00D618B7" w:rsidRDefault="006F2AFB" w:rsidP="006F2AFB">
            <w:pPr>
              <w:jc w:val="center"/>
              <w:rPr>
                <w:color w:val="000000"/>
                <w:sz w:val="20"/>
                <w:szCs w:val="20"/>
              </w:rPr>
            </w:pPr>
            <w:r>
              <w:rPr>
                <w:color w:val="000000"/>
                <w:sz w:val="20"/>
                <w:szCs w:val="20"/>
              </w:rPr>
              <w:t>16</w:t>
            </w:r>
          </w:p>
        </w:tc>
        <w:tc>
          <w:tcPr>
            <w:tcW w:w="414" w:type="pct"/>
            <w:tcBorders>
              <w:top w:val="nil"/>
              <w:left w:val="nil"/>
              <w:bottom w:val="single" w:sz="8" w:space="0" w:color="auto"/>
              <w:right w:val="nil"/>
            </w:tcBorders>
            <w:shd w:val="clear" w:color="000000" w:fill="FFFFFF"/>
            <w:vAlign w:val="center"/>
            <w:hideMark/>
          </w:tcPr>
          <w:p w14:paraId="5E6A87DC" w14:textId="08D09D27" w:rsidR="006F2AFB" w:rsidRPr="00D618B7" w:rsidRDefault="006F2AFB" w:rsidP="006F2AFB">
            <w:pPr>
              <w:jc w:val="center"/>
              <w:rPr>
                <w:color w:val="000000"/>
                <w:sz w:val="20"/>
                <w:szCs w:val="20"/>
              </w:rPr>
            </w:pPr>
            <w:r>
              <w:rPr>
                <w:color w:val="000000"/>
                <w:sz w:val="20"/>
                <w:szCs w:val="20"/>
              </w:rPr>
              <w:t>19</w:t>
            </w:r>
          </w:p>
        </w:tc>
        <w:tc>
          <w:tcPr>
            <w:tcW w:w="414" w:type="pct"/>
            <w:tcBorders>
              <w:top w:val="nil"/>
              <w:left w:val="nil"/>
              <w:bottom w:val="single" w:sz="8" w:space="0" w:color="auto"/>
              <w:right w:val="nil"/>
            </w:tcBorders>
            <w:shd w:val="clear" w:color="000000" w:fill="FFFFFF"/>
            <w:vAlign w:val="center"/>
            <w:hideMark/>
          </w:tcPr>
          <w:p w14:paraId="37EAE8AD" w14:textId="470F8EE5" w:rsidR="006F2AFB" w:rsidRPr="00D618B7" w:rsidRDefault="006F2AFB" w:rsidP="006F2AFB">
            <w:pPr>
              <w:jc w:val="center"/>
              <w:rPr>
                <w:color w:val="000000"/>
                <w:sz w:val="20"/>
                <w:szCs w:val="20"/>
              </w:rPr>
            </w:pPr>
            <w:r>
              <w:rPr>
                <w:color w:val="000000"/>
                <w:sz w:val="20"/>
                <w:szCs w:val="20"/>
              </w:rPr>
              <w:t>24</w:t>
            </w:r>
          </w:p>
        </w:tc>
        <w:tc>
          <w:tcPr>
            <w:tcW w:w="411" w:type="pct"/>
            <w:tcBorders>
              <w:top w:val="nil"/>
              <w:left w:val="nil"/>
              <w:bottom w:val="single" w:sz="8" w:space="0" w:color="auto"/>
              <w:right w:val="nil"/>
            </w:tcBorders>
            <w:shd w:val="clear" w:color="000000" w:fill="FFFFFF"/>
            <w:vAlign w:val="center"/>
            <w:hideMark/>
          </w:tcPr>
          <w:p w14:paraId="49ED01F3" w14:textId="33884E20" w:rsidR="006F2AFB" w:rsidRPr="00D618B7" w:rsidRDefault="006F2AFB" w:rsidP="006F2AFB">
            <w:pPr>
              <w:jc w:val="center"/>
              <w:rPr>
                <w:color w:val="000000"/>
                <w:sz w:val="20"/>
                <w:szCs w:val="20"/>
              </w:rPr>
            </w:pPr>
            <w:r>
              <w:rPr>
                <w:color w:val="000000"/>
                <w:sz w:val="20"/>
                <w:szCs w:val="20"/>
              </w:rPr>
              <w:t>24</w:t>
            </w:r>
          </w:p>
        </w:tc>
      </w:tr>
    </w:tbl>
    <w:p w14:paraId="0F5AB3A7" w14:textId="77777777" w:rsidR="00EE345D" w:rsidRPr="00D618B7" w:rsidRDefault="00EE345D" w:rsidP="00EE345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5AAC292" w14:textId="2F1B0B40" w:rsidR="00EE345D" w:rsidRPr="00D618B7" w:rsidRDefault="00EE345D" w:rsidP="00EE345D">
      <w:pPr>
        <w:keepNext/>
        <w:spacing w:before="120" w:after="120"/>
        <w:rPr>
          <w:iCs/>
          <w:color w:val="000000"/>
        </w:rPr>
      </w:pPr>
      <w:r w:rsidRPr="00D618B7">
        <w:rPr>
          <w:i/>
          <w:iCs/>
        </w:rPr>
        <w:t>Note</w:t>
      </w:r>
      <w:r w:rsidRPr="00D618B7">
        <w:t>: This table lists the infants and their corresponding number of trials for weekly observations around reach-onset (0). X’d weeks indicate weeks of missing data.</w:t>
      </w:r>
    </w:p>
    <w:p w14:paraId="757CED7B" w14:textId="08B49B26" w:rsidR="004150DC" w:rsidRPr="00D618B7" w:rsidRDefault="004150DC" w:rsidP="007C5074">
      <w:pPr>
        <w:pStyle w:val="Caption"/>
      </w:pPr>
      <w:r w:rsidRPr="00D618B7">
        <w:br w:type="page"/>
      </w:r>
    </w:p>
    <w:p w14:paraId="6B2B3629" w14:textId="555D7C01" w:rsidR="004150DC" w:rsidRPr="00D618B7" w:rsidRDefault="004150DC" w:rsidP="004150DC">
      <w:r w:rsidRPr="00D618B7">
        <w:rPr>
          <w:noProof/>
        </w:rPr>
        <w:lastRenderedPageBreak/>
        <w:drawing>
          <wp:anchor distT="0" distB="0" distL="114300" distR="114300" simplePos="0" relativeHeight="251442688" behindDoc="0" locked="0" layoutInCell="1" allowOverlap="1" wp14:anchorId="6CE8DB3A" wp14:editId="031C2B1B">
            <wp:simplePos x="0" y="0"/>
            <wp:positionH relativeFrom="column">
              <wp:posOffset>640163</wp:posOffset>
            </wp:positionH>
            <wp:positionV relativeFrom="paragraph">
              <wp:posOffset>32302</wp:posOffset>
            </wp:positionV>
            <wp:extent cx="4018915" cy="2623820"/>
            <wp:effectExtent l="0" t="0" r="635" b="5080"/>
            <wp:wrapTopAndBottom/>
            <wp:docPr id="12894611" name="Picture 7" descr="A camera tripod and a chair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611" name="Picture 7" descr="A camera tripod and a chair in a room&#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l="1157" r="2232"/>
                    <a:stretch/>
                  </pic:blipFill>
                  <pic:spPr bwMode="auto">
                    <a:xfrm>
                      <a:off x="0" y="0"/>
                      <a:ext cx="4018915" cy="2623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FAE910" w14:textId="47B7665E" w:rsidR="00CC578B" w:rsidRDefault="00CC578B" w:rsidP="004150DC">
      <w:pPr>
        <w:rPr>
          <w:b/>
          <w:bCs/>
          <w:i/>
          <w:iCs/>
        </w:rPr>
      </w:pPr>
      <w:bookmarkStart w:id="120" w:name="_Toc172716941"/>
      <w:r w:rsidRPr="00CC578B">
        <w:rPr>
          <w:b/>
          <w:bCs/>
          <w:i/>
          <w:iCs/>
        </w:rPr>
        <w:t xml:space="preserve">Figure </w:t>
      </w:r>
      <w:r w:rsidRPr="00CC578B">
        <w:rPr>
          <w:b/>
          <w:bCs/>
          <w:i/>
          <w:iCs/>
        </w:rPr>
        <w:fldChar w:fldCharType="begin"/>
      </w:r>
      <w:r w:rsidRPr="00CC578B">
        <w:rPr>
          <w:b/>
          <w:bCs/>
          <w:i/>
          <w:iCs/>
        </w:rPr>
        <w:instrText xml:space="preserve"> SEQ Figure \* ARABIC </w:instrText>
      </w:r>
      <w:r w:rsidRPr="00CC578B">
        <w:rPr>
          <w:b/>
          <w:bCs/>
          <w:i/>
          <w:iCs/>
        </w:rPr>
        <w:fldChar w:fldCharType="separate"/>
      </w:r>
      <w:r w:rsidRPr="00CC578B">
        <w:rPr>
          <w:b/>
          <w:bCs/>
          <w:i/>
          <w:iCs/>
          <w:noProof/>
        </w:rPr>
        <w:t>1</w:t>
      </w:r>
      <w:r w:rsidRPr="00CC578B">
        <w:rPr>
          <w:b/>
          <w:bCs/>
          <w:i/>
          <w:iCs/>
          <w:noProof/>
        </w:rPr>
        <w:fldChar w:fldCharType="end"/>
      </w:r>
      <w:r w:rsidRPr="00CC578B">
        <w:rPr>
          <w:b/>
          <w:bCs/>
          <w:i/>
          <w:iCs/>
        </w:rPr>
        <w:t>: Experimental setup</w:t>
      </w:r>
      <w:bookmarkEnd w:id="120"/>
    </w:p>
    <w:p w14:paraId="5D8FE9FB" w14:textId="77777777" w:rsidR="00CC578B" w:rsidRDefault="00CC578B" w:rsidP="004150DC">
      <w:pPr>
        <w:rPr>
          <w:b/>
          <w:bCs/>
          <w:i/>
          <w:iCs/>
        </w:rPr>
      </w:pPr>
    </w:p>
    <w:p w14:paraId="0934BFA5" w14:textId="31D1F03C" w:rsidR="00CC578B" w:rsidRPr="00CC578B" w:rsidRDefault="00CC578B" w:rsidP="004150DC">
      <w:pPr>
        <w:rPr>
          <w:b/>
          <w:bCs/>
          <w:i/>
          <w:iCs/>
        </w:rPr>
      </w:pPr>
      <w:r w:rsidRPr="00D618B7">
        <w:t>Presentation Theater setup</w:t>
      </w:r>
      <w:r>
        <w:t>.</w:t>
      </w:r>
    </w:p>
    <w:p w14:paraId="73C9B2AF" w14:textId="7ACC0E29" w:rsidR="004150DC" w:rsidRPr="00D618B7" w:rsidRDefault="004150DC" w:rsidP="004150DC">
      <w:r w:rsidRPr="00D618B7">
        <w:rPr>
          <w:i/>
          <w:iCs/>
        </w:rPr>
        <w:t>Note</w:t>
      </w:r>
      <w:r w:rsidRPr="00D618B7">
        <w:t xml:space="preserve">. This figure illustrates the study setup, </w:t>
      </w:r>
      <w:r w:rsidR="00353820">
        <w:t>consisting of the presentation theater, camera tripods, motion tracker, eye tracker, and infant seat</w:t>
      </w:r>
      <w:r w:rsidR="00E93F8F" w:rsidRPr="00D618B7">
        <w:t>.</w:t>
      </w:r>
    </w:p>
    <w:p w14:paraId="358A6F98" w14:textId="77777777" w:rsidR="00E93F8F" w:rsidRPr="00D618B7" w:rsidRDefault="00E93F8F" w:rsidP="004150DC">
      <w:pPr>
        <w:rPr>
          <w:b/>
          <w:bCs/>
        </w:rPr>
      </w:pPr>
    </w:p>
    <w:p w14:paraId="6AB29A85" w14:textId="4BB8C755" w:rsidR="004150DC" w:rsidRPr="00D618B7" w:rsidRDefault="004150DC" w:rsidP="004150DC">
      <w:r w:rsidRPr="00D618B7">
        <w:rPr>
          <w:noProof/>
        </w:rPr>
        <w:drawing>
          <wp:anchor distT="0" distB="0" distL="114300" distR="114300" simplePos="0" relativeHeight="251515392" behindDoc="0" locked="0" layoutInCell="1" allowOverlap="1" wp14:anchorId="7AD8B9B9" wp14:editId="54712727">
            <wp:simplePos x="0" y="0"/>
            <wp:positionH relativeFrom="column">
              <wp:posOffset>866775</wp:posOffset>
            </wp:positionH>
            <wp:positionV relativeFrom="paragraph">
              <wp:posOffset>278130</wp:posOffset>
            </wp:positionV>
            <wp:extent cx="4105910" cy="2190750"/>
            <wp:effectExtent l="0" t="0" r="0" b="0"/>
            <wp:wrapTopAndBottom/>
            <wp:docPr id="1469456885" name="Picture 7" descr="A group of colorful circl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456885" name="Picture 7" descr="A group of colorful circles and lines&#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l="4814" r="4814" b="18285"/>
                    <a:stretch/>
                  </pic:blipFill>
                  <pic:spPr bwMode="auto">
                    <a:xfrm>
                      <a:off x="0" y="0"/>
                      <a:ext cx="4105910" cy="2190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DED68D" w14:textId="77777777" w:rsidR="004150DC" w:rsidRPr="00D618B7" w:rsidRDefault="004150DC" w:rsidP="004150DC"/>
    <w:p w14:paraId="2612B454" w14:textId="77777777" w:rsidR="00CC578B" w:rsidRPr="00D618B7" w:rsidRDefault="00CC578B" w:rsidP="007C5074">
      <w:pPr>
        <w:pStyle w:val="Caption"/>
      </w:pPr>
      <w:bookmarkStart w:id="121" w:name="_Toc172716942"/>
      <w:r w:rsidRPr="00D618B7">
        <w:t xml:space="preserve">Figure </w:t>
      </w:r>
      <w:r>
        <w:fldChar w:fldCharType="begin"/>
      </w:r>
      <w:r>
        <w:instrText xml:space="preserve"> SEQ Figure \* ARABIC </w:instrText>
      </w:r>
      <w:r>
        <w:fldChar w:fldCharType="separate"/>
      </w:r>
      <w:r>
        <w:rPr>
          <w:noProof/>
        </w:rPr>
        <w:t>2</w:t>
      </w:r>
      <w:r>
        <w:rPr>
          <w:noProof/>
        </w:rPr>
        <w:fldChar w:fldCharType="end"/>
      </w:r>
      <w:r w:rsidRPr="00D618B7">
        <w:t xml:space="preserve">: Stimuli </w:t>
      </w:r>
      <w:r>
        <w:t>d</w:t>
      </w:r>
      <w:r w:rsidRPr="00D618B7">
        <w:t>iagram</w:t>
      </w:r>
      <w:bookmarkEnd w:id="121"/>
    </w:p>
    <w:p w14:paraId="3BB4E71A" w14:textId="351A4F6E" w:rsidR="00CC578B" w:rsidRPr="00CC578B" w:rsidRDefault="00CC578B">
      <w:r w:rsidRPr="00CC578B">
        <w:t>Stimuli Diagram</w:t>
      </w:r>
      <w:r>
        <w:t>.</w:t>
      </w:r>
    </w:p>
    <w:p w14:paraId="013C53AC" w14:textId="77777777" w:rsidR="00CC578B" w:rsidRDefault="004150DC" w:rsidP="004150DC">
      <w:r w:rsidRPr="00D618B7">
        <w:rPr>
          <w:i/>
          <w:iCs/>
        </w:rPr>
        <w:t>Note</w:t>
      </w:r>
      <w:r w:rsidRPr="00D618B7">
        <w:t>. This figure illustrates the stimuli used in the study: Plain ball, one-handled cup, two-handled cup, dumbbell-shaped (orange and purple), plain rod, and drumstick-shaped (light blue, gray, yellow, and dark blue).</w:t>
      </w:r>
      <w:r w:rsidRPr="00D618B7">
        <w:br w:type="page"/>
      </w:r>
    </w:p>
    <w:p w14:paraId="732017F9" w14:textId="3F327478" w:rsidR="00CC578B" w:rsidRPr="00CC578B" w:rsidRDefault="00CC578B" w:rsidP="004150DC">
      <w:r w:rsidRPr="00D618B7">
        <w:rPr>
          <w:iCs/>
          <w:noProof/>
          <w:color w:val="000000"/>
        </w:rPr>
        <w:lastRenderedPageBreak/>
        <mc:AlternateContent>
          <mc:Choice Requires="wpg">
            <w:drawing>
              <wp:anchor distT="0" distB="0" distL="114300" distR="114300" simplePos="0" relativeHeight="251590144" behindDoc="0" locked="0" layoutInCell="1" allowOverlap="1" wp14:anchorId="49D97911" wp14:editId="37F906A0">
                <wp:simplePos x="0" y="0"/>
                <wp:positionH relativeFrom="margin">
                  <wp:align>right</wp:align>
                </wp:positionH>
                <wp:positionV relativeFrom="page">
                  <wp:posOffset>980661</wp:posOffset>
                </wp:positionV>
                <wp:extent cx="5787887" cy="3189605"/>
                <wp:effectExtent l="895350" t="0" r="0" b="0"/>
                <wp:wrapTopAndBottom/>
                <wp:docPr id="879299839" name="Group 3"/>
                <wp:cNvGraphicFramePr/>
                <a:graphic xmlns:a="http://schemas.openxmlformats.org/drawingml/2006/main">
                  <a:graphicData uri="http://schemas.microsoft.com/office/word/2010/wordprocessingGroup">
                    <wpg:wgp>
                      <wpg:cNvGrpSpPr/>
                      <wpg:grpSpPr>
                        <a:xfrm>
                          <a:off x="0" y="0"/>
                          <a:ext cx="5787887" cy="3189605"/>
                          <a:chOff x="0" y="0"/>
                          <a:chExt cx="6512560" cy="3827145"/>
                        </a:xfrm>
                      </wpg:grpSpPr>
                      <wpg:grpSp>
                        <wpg:cNvPr id="532664765" name="Group 3"/>
                        <wpg:cNvGrpSpPr>
                          <a:grpSpLocks/>
                        </wpg:cNvGrpSpPr>
                        <wpg:grpSpPr bwMode="auto">
                          <a:xfrm>
                            <a:off x="0" y="0"/>
                            <a:ext cx="6512560" cy="3827145"/>
                            <a:chOff x="0" y="2976"/>
                            <a:chExt cx="40621" cy="34290"/>
                          </a:xfrm>
                        </wpg:grpSpPr>
                        <wpg:grpSp>
                          <wpg:cNvPr id="1496320596" name="Group 1085012259"/>
                          <wpg:cNvGrpSpPr>
                            <a:grpSpLocks/>
                          </wpg:cNvGrpSpPr>
                          <wpg:grpSpPr bwMode="auto">
                            <a:xfrm>
                              <a:off x="825" y="2976"/>
                              <a:ext cx="38487" cy="34290"/>
                              <a:chOff x="825" y="2976"/>
                              <a:chExt cx="38487" cy="34290"/>
                            </a:xfrm>
                          </wpg:grpSpPr>
                          <pic:pic xmlns:pic="http://schemas.openxmlformats.org/drawingml/2006/picture">
                            <pic:nvPicPr>
                              <pic:cNvPr id="586996418" name="Picture 2066621409"/>
                              <pic:cNvPicPr>
                                <a:picLocks noChangeAspect="1" noChangeArrowheads="1"/>
                              </pic:cNvPicPr>
                            </pic:nvPicPr>
                            <pic:blipFill>
                              <a:blip r:embed="rId15">
                                <a:extLst>
                                  <a:ext uri="{28A0092B-C50C-407E-A947-70E740481C1C}">
                                    <a14:useLocalDpi xmlns:a14="http://schemas.microsoft.com/office/drawing/2010/main" val="0"/>
                                  </a:ext>
                                </a:extLst>
                              </a:blip>
                              <a:srcRect t="4288" r="93510"/>
                              <a:stretch>
                                <a:fillRect/>
                              </a:stretch>
                            </pic:blipFill>
                            <pic:spPr bwMode="auto">
                              <a:xfrm>
                                <a:off x="825" y="2976"/>
                                <a:ext cx="7911" cy="34290"/>
                              </a:xfrm>
                              <a:prstGeom prst="rect">
                                <a:avLst/>
                              </a:prstGeom>
                              <a:noFill/>
                              <a:extLst>
                                <a:ext uri="{909E8E84-426E-40DD-AFC4-6F175D3DCCD1}">
                                  <a14:hiddenFill xmlns:a14="http://schemas.microsoft.com/office/drawing/2010/main">
                                    <a:solidFill>
                                      <a:srgbClr val="FFFFFF"/>
                                    </a:solidFill>
                                  </a14:hiddenFill>
                                </a:ext>
                              </a:extLst>
                            </pic:spPr>
                          </pic:pic>
                          <wps:wsp>
                            <wps:cNvPr id="559454445" name="Rectangle 316297910"/>
                            <wps:cNvSpPr>
                              <a:spLocks noChangeArrowheads="1"/>
                            </wps:cNvSpPr>
                            <wps:spPr bwMode="auto">
                              <a:xfrm>
                                <a:off x="2646" y="17429"/>
                                <a:ext cx="2652" cy="7773"/>
                              </a:xfrm>
                              <a:prstGeom prst="rect">
                                <a:avLst/>
                              </a:prstGeom>
                              <a:solidFill>
                                <a:srgbClr val="F0F0F0"/>
                              </a:solidFill>
                              <a:ln w="25400">
                                <a:solidFill>
                                  <a:srgbClr val="F0F0F0"/>
                                </a:solidFill>
                                <a:miter lim="800000"/>
                                <a:headEnd/>
                                <a:tailEnd/>
                              </a:ln>
                            </wps:spPr>
                            <wps:bodyPr rot="0" vert="horz" wrap="square" lIns="91440" tIns="45720" rIns="91440" bIns="45720" anchor="ctr" anchorCtr="0" upright="1">
                              <a:noAutofit/>
                            </wps:bodyPr>
                          </wps:wsp>
                          <wps:wsp>
                            <wps:cNvPr id="1954232338" name="Rectangle 1563924217"/>
                            <wps:cNvSpPr>
                              <a:spLocks noChangeArrowheads="1"/>
                            </wps:cNvSpPr>
                            <wps:spPr bwMode="auto">
                              <a:xfrm>
                                <a:off x="17085" y="9887"/>
                                <a:ext cx="458" cy="457"/>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wps:wsp>
                            <wps:cNvPr id="523613978" name="Rectangle 1320052737"/>
                            <wps:cNvSpPr>
                              <a:spLocks noChangeArrowheads="1"/>
                            </wps:cNvSpPr>
                            <wps:spPr bwMode="auto">
                              <a:xfrm>
                                <a:off x="18609" y="15292"/>
                                <a:ext cx="1096" cy="886"/>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wps:wsp>
                            <wps:cNvPr id="1926525899" name="Rectangle 1130098179"/>
                            <wps:cNvSpPr>
                              <a:spLocks noChangeArrowheads="1"/>
                            </wps:cNvSpPr>
                            <wps:spPr bwMode="auto">
                              <a:xfrm rot="-3174708">
                                <a:off x="18524" y="9879"/>
                                <a:ext cx="885" cy="642"/>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wps:wsp>
                            <wps:cNvPr id="790428037" name="Straight Connector 460799183"/>
                            <wps:cNvCnPr>
                              <a:cxnSpLocks/>
                            </wps:cNvCnPr>
                            <wps:spPr bwMode="auto">
                              <a:xfrm>
                                <a:off x="18324" y="9713"/>
                                <a:ext cx="1046" cy="631"/>
                              </a:xfrm>
                              <a:prstGeom prst="line">
                                <a:avLst/>
                              </a:prstGeom>
                              <a:noFill/>
                              <a:ln w="12700">
                                <a:solidFill>
                                  <a:srgbClr val="FF4AFF"/>
                                </a:solidFill>
                                <a:bevel/>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pic:pic xmlns:pic="http://schemas.openxmlformats.org/drawingml/2006/picture">
                            <pic:nvPicPr>
                              <pic:cNvPr id="642966332" name="Picture 639432111"/>
                              <pic:cNvPicPr>
                                <a:picLocks noChangeAspect="1" noChangeArrowheads="1"/>
                              </pic:cNvPicPr>
                            </pic:nvPicPr>
                            <pic:blipFill>
                              <a:blip r:embed="rId15">
                                <a:extLst>
                                  <a:ext uri="{28A0092B-C50C-407E-A947-70E740481C1C}">
                                    <a14:useLocalDpi xmlns:a14="http://schemas.microsoft.com/office/drawing/2010/main" val="0"/>
                                  </a:ext>
                                </a:extLst>
                              </a:blip>
                              <a:srcRect l="38182" t="4288" r="39308"/>
                              <a:stretch>
                                <a:fillRect/>
                              </a:stretch>
                            </pic:blipFill>
                            <pic:spPr bwMode="auto">
                              <a:xfrm>
                                <a:off x="8681" y="2976"/>
                                <a:ext cx="27443" cy="342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7560732" name="Picture 1609241021"/>
                              <pic:cNvPicPr>
                                <a:picLocks noChangeAspect="1" noChangeArrowheads="1"/>
                              </pic:cNvPicPr>
                            </pic:nvPicPr>
                            <pic:blipFill>
                              <a:blip r:embed="rId15">
                                <a:extLst>
                                  <a:ext uri="{28A0092B-C50C-407E-A947-70E740481C1C}">
                                    <a14:useLocalDpi xmlns:a14="http://schemas.microsoft.com/office/drawing/2010/main" val="0"/>
                                  </a:ext>
                                </a:extLst>
                              </a:blip>
                              <a:srcRect l="93822" t="4288" r="3378"/>
                              <a:stretch>
                                <a:fillRect/>
                              </a:stretch>
                            </pic:blipFill>
                            <pic:spPr bwMode="auto">
                              <a:xfrm>
                                <a:off x="35898" y="2976"/>
                                <a:ext cx="3414" cy="34290"/>
                              </a:xfrm>
                              <a:prstGeom prst="rect">
                                <a:avLst/>
                              </a:prstGeom>
                              <a:noFill/>
                              <a:extLst>
                                <a:ext uri="{909E8E84-426E-40DD-AFC4-6F175D3DCCD1}">
                                  <a14:hiddenFill xmlns:a14="http://schemas.microsoft.com/office/drawing/2010/main">
                                    <a:solidFill>
                                      <a:srgbClr val="FFFFFF"/>
                                    </a:solidFill>
                                  </a14:hiddenFill>
                                </a:ext>
                              </a:extLst>
                            </pic:spPr>
                          </pic:pic>
                          <wps:wsp>
                            <wps:cNvPr id="738679357" name="Rectangle 2017339945"/>
                            <wps:cNvSpPr>
                              <a:spLocks noChangeArrowheads="1"/>
                            </wps:cNvSpPr>
                            <wps:spPr bwMode="auto">
                              <a:xfrm>
                                <a:off x="7110" y="27174"/>
                                <a:ext cx="2191" cy="1786"/>
                              </a:xfrm>
                              <a:prstGeom prst="rect">
                                <a:avLst/>
                              </a:prstGeom>
                              <a:solidFill>
                                <a:srgbClr val="FFFFFF"/>
                              </a:solidFill>
                              <a:ln w="19050">
                                <a:solidFill>
                                  <a:srgbClr val="FFFFFF"/>
                                </a:solidFill>
                                <a:miter lim="800000"/>
                                <a:headEnd/>
                                <a:tailEnd/>
                              </a:ln>
                            </wps:spPr>
                            <wps:bodyPr rot="0" vert="horz" wrap="square" lIns="91440" tIns="45720" rIns="91440" bIns="45720" anchor="ctr" anchorCtr="0" upright="1">
                              <a:noAutofit/>
                            </wps:bodyPr>
                          </wps:wsp>
                          <wps:wsp>
                            <wps:cNvPr id="722972555" name="Rectangle 1656042527"/>
                            <wps:cNvSpPr>
                              <a:spLocks noChangeArrowheads="1"/>
                            </wps:cNvSpPr>
                            <wps:spPr bwMode="auto">
                              <a:xfrm>
                                <a:off x="9386" y="25865"/>
                                <a:ext cx="14391" cy="4024"/>
                              </a:xfrm>
                              <a:prstGeom prst="rect">
                                <a:avLst/>
                              </a:prstGeom>
                              <a:solidFill>
                                <a:srgbClr val="FFFFFF"/>
                              </a:solidFill>
                              <a:ln w="19050">
                                <a:solidFill>
                                  <a:srgbClr val="FFFFFF"/>
                                </a:solidFill>
                                <a:miter lim="800000"/>
                                <a:headEnd/>
                                <a:tailEnd/>
                              </a:ln>
                            </wps:spPr>
                            <wps:bodyPr rot="0" vert="horz" wrap="square" lIns="91440" tIns="45720" rIns="91440" bIns="45720" anchor="ctr" anchorCtr="0" upright="1">
                              <a:noAutofit/>
                            </wps:bodyPr>
                          </wps:wsp>
                          <wps:wsp>
                            <wps:cNvPr id="1191823771" name="Rectangle 1551800688"/>
                            <wps:cNvSpPr>
                              <a:spLocks noChangeArrowheads="1"/>
                            </wps:cNvSpPr>
                            <wps:spPr bwMode="auto">
                              <a:xfrm>
                                <a:off x="20069" y="18792"/>
                                <a:ext cx="6065" cy="6978"/>
                              </a:xfrm>
                              <a:prstGeom prst="rect">
                                <a:avLst/>
                              </a:prstGeom>
                              <a:solidFill>
                                <a:srgbClr val="FFFFFF"/>
                              </a:solidFill>
                              <a:ln w="19050">
                                <a:solidFill>
                                  <a:srgbClr val="FFFFFF"/>
                                </a:solidFill>
                                <a:miter lim="800000"/>
                                <a:headEnd/>
                                <a:tailEnd/>
                              </a:ln>
                            </wps:spPr>
                            <wps:bodyPr rot="0" vert="horz" wrap="square" lIns="91440" tIns="45720" rIns="91440" bIns="45720" anchor="ctr" anchorCtr="0" upright="1">
                              <a:noAutofit/>
                            </wps:bodyPr>
                          </wps:wsp>
                          <wps:wsp>
                            <wps:cNvPr id="216408456" name="Rectangle 1071447730"/>
                            <wps:cNvSpPr>
                              <a:spLocks noChangeArrowheads="1"/>
                            </wps:cNvSpPr>
                            <wps:spPr bwMode="auto">
                              <a:xfrm>
                                <a:off x="26454" y="8767"/>
                                <a:ext cx="9529" cy="9859"/>
                              </a:xfrm>
                              <a:prstGeom prst="rect">
                                <a:avLst/>
                              </a:prstGeom>
                              <a:solidFill>
                                <a:srgbClr val="FFFFFF"/>
                              </a:solidFill>
                              <a:ln w="19050">
                                <a:solidFill>
                                  <a:srgbClr val="FFFFFF"/>
                                </a:solidFill>
                                <a:miter lim="800000"/>
                                <a:headEnd/>
                                <a:tailEnd/>
                              </a:ln>
                            </wps:spPr>
                            <wps:bodyPr rot="0" vert="horz" wrap="square" lIns="91440" tIns="45720" rIns="91440" bIns="45720" anchor="ctr" anchorCtr="0" upright="1">
                              <a:noAutofit/>
                            </wps:bodyPr>
                          </wps:wsp>
                          <wps:wsp>
                            <wps:cNvPr id="1389979142" name="Rectangle 1476851244"/>
                            <wps:cNvSpPr>
                              <a:spLocks noChangeArrowheads="1"/>
                            </wps:cNvSpPr>
                            <wps:spPr bwMode="auto">
                              <a:xfrm>
                                <a:off x="28457" y="20350"/>
                                <a:ext cx="9530" cy="1931"/>
                              </a:xfrm>
                              <a:prstGeom prst="rect">
                                <a:avLst/>
                              </a:prstGeom>
                              <a:solidFill>
                                <a:srgbClr val="FFFFFF"/>
                              </a:solidFill>
                              <a:ln w="19050">
                                <a:solidFill>
                                  <a:srgbClr val="FFFFFF"/>
                                </a:solidFill>
                                <a:miter lim="800000"/>
                                <a:headEnd/>
                                <a:tailEnd/>
                              </a:ln>
                            </wps:spPr>
                            <wps:bodyPr rot="0" vert="horz" wrap="square" lIns="91440" tIns="45720" rIns="91440" bIns="45720" anchor="ctr" anchorCtr="0" upright="1">
                              <a:noAutofit/>
                            </wps:bodyPr>
                          </wps:wsp>
                          <wps:wsp>
                            <wps:cNvPr id="462613449" name="Rectangle 1634077656"/>
                            <wps:cNvSpPr>
                              <a:spLocks noChangeArrowheads="1"/>
                            </wps:cNvSpPr>
                            <wps:spPr bwMode="auto">
                              <a:xfrm>
                                <a:off x="36007" y="22995"/>
                                <a:ext cx="2044" cy="1010"/>
                              </a:xfrm>
                              <a:prstGeom prst="rect">
                                <a:avLst/>
                              </a:prstGeom>
                              <a:solidFill>
                                <a:srgbClr val="FFFFFF"/>
                              </a:solidFill>
                              <a:ln w="19050">
                                <a:solidFill>
                                  <a:srgbClr val="FFFFFF"/>
                                </a:solidFill>
                                <a:miter lim="800000"/>
                                <a:headEnd/>
                                <a:tailEnd/>
                              </a:ln>
                            </wps:spPr>
                            <wps:bodyPr rot="0" vert="horz" wrap="square" lIns="91440" tIns="45720" rIns="91440" bIns="45720" anchor="ctr" anchorCtr="0" upright="1">
                              <a:noAutofit/>
                            </wps:bodyPr>
                          </wps:wsp>
                          <wps:wsp>
                            <wps:cNvPr id="1169892110" name="Freeform: Shape 821941680"/>
                            <wps:cNvSpPr>
                              <a:spLocks/>
                            </wps:cNvSpPr>
                            <wps:spPr bwMode="auto">
                              <a:xfrm>
                                <a:off x="7037" y="19705"/>
                                <a:ext cx="1690" cy="1659"/>
                              </a:xfrm>
                              <a:custGeom>
                                <a:avLst/>
                                <a:gdLst>
                                  <a:gd name="T0" fmla="*/ 169069 w 169069"/>
                                  <a:gd name="T1" fmla="*/ 4013 h 165938"/>
                                  <a:gd name="T2" fmla="*/ 114300 w 169069"/>
                                  <a:gd name="T3" fmla="*/ 1632 h 165938"/>
                                  <a:gd name="T4" fmla="*/ 88106 w 169069"/>
                                  <a:gd name="T5" fmla="*/ 25444 h 165938"/>
                                  <a:gd name="T6" fmla="*/ 52387 w 169069"/>
                                  <a:gd name="T7" fmla="*/ 65926 h 165938"/>
                                  <a:gd name="T8" fmla="*/ 0 w 169069"/>
                                  <a:gd name="T9" fmla="*/ 165938 h 1659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9069" h="165938">
                                    <a:moveTo>
                                      <a:pt x="169069" y="4013"/>
                                    </a:moveTo>
                                    <a:cubicBezTo>
                                      <a:pt x="148431" y="1036"/>
                                      <a:pt x="127794" y="-1940"/>
                                      <a:pt x="114300" y="1632"/>
                                    </a:cubicBezTo>
                                    <a:cubicBezTo>
                                      <a:pt x="100806" y="5204"/>
                                      <a:pt x="98425" y="14728"/>
                                      <a:pt x="88106" y="25444"/>
                                    </a:cubicBezTo>
                                    <a:cubicBezTo>
                                      <a:pt x="77787" y="36160"/>
                                      <a:pt x="67071" y="42510"/>
                                      <a:pt x="52387" y="65926"/>
                                    </a:cubicBezTo>
                                    <a:cubicBezTo>
                                      <a:pt x="37703" y="89342"/>
                                      <a:pt x="11112" y="139348"/>
                                      <a:pt x="0" y="165938"/>
                                    </a:cubicBezTo>
                                  </a:path>
                                </a:pathLst>
                              </a:custGeom>
                              <a:noFill/>
                              <a:ln w="12700">
                                <a:solidFill>
                                  <a:srgbClr val="FF4AFF">
                                    <a:alpha val="64000"/>
                                  </a:srgb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89784999" name="Rectangle 2015278601"/>
                            <wps:cNvSpPr>
                              <a:spLocks noChangeArrowheads="1"/>
                            </wps:cNvSpPr>
                            <wps:spPr bwMode="auto">
                              <a:xfrm>
                                <a:off x="32332" y="7755"/>
                                <a:ext cx="3724" cy="5688"/>
                              </a:xfrm>
                              <a:prstGeom prst="rect">
                                <a:avLst/>
                              </a:prstGeom>
                              <a:solidFill>
                                <a:srgbClr val="FFFFFF"/>
                              </a:solidFill>
                              <a:ln w="19050">
                                <a:solidFill>
                                  <a:srgbClr val="FFFFFF"/>
                                </a:solidFill>
                                <a:miter lim="800000"/>
                                <a:headEnd/>
                                <a:tailEnd/>
                              </a:ln>
                            </wps:spPr>
                            <wps:bodyPr rot="0" vert="horz" wrap="square" lIns="91440" tIns="45720" rIns="91440" bIns="45720" anchor="ctr" anchorCtr="0" upright="1">
                              <a:noAutofit/>
                            </wps:bodyPr>
                          </wps:wsp>
                        </wpg:grpSp>
                        <wps:wsp>
                          <wps:cNvPr id="619447114" name="Rectangle 78877069"/>
                          <wps:cNvSpPr>
                            <a:spLocks noChangeArrowheads="1"/>
                          </wps:cNvSpPr>
                          <wps:spPr bwMode="auto">
                            <a:xfrm>
                              <a:off x="16020" y="4850"/>
                              <a:ext cx="14996" cy="2468"/>
                            </a:xfrm>
                            <a:prstGeom prst="rect">
                              <a:avLst/>
                            </a:prstGeom>
                            <a:solidFill>
                              <a:srgbClr val="F0F0F0"/>
                            </a:solidFill>
                            <a:ln w="25400">
                              <a:solidFill>
                                <a:srgbClr val="F0F0F0"/>
                              </a:solidFill>
                              <a:miter lim="800000"/>
                              <a:headEnd/>
                              <a:tailEnd/>
                            </a:ln>
                          </wps:spPr>
                          <wps:bodyPr rot="0" vert="horz" wrap="square" lIns="91440" tIns="45720" rIns="91440" bIns="45720" anchor="ctr" anchorCtr="0" upright="1">
                            <a:noAutofit/>
                          </wps:bodyPr>
                        </wps:wsp>
                        <wps:wsp>
                          <wps:cNvPr id="1355283571" name="Rectangle 212264416"/>
                          <wps:cNvSpPr>
                            <a:spLocks noChangeArrowheads="1"/>
                          </wps:cNvSpPr>
                          <wps:spPr bwMode="auto">
                            <a:xfrm rot="5400000">
                              <a:off x="21528" y="31372"/>
                              <a:ext cx="2652" cy="7773"/>
                            </a:xfrm>
                            <a:prstGeom prst="rect">
                              <a:avLst/>
                            </a:prstGeom>
                            <a:solidFill>
                              <a:srgbClr val="F0F0F0"/>
                            </a:solidFill>
                            <a:ln w="25400">
                              <a:solidFill>
                                <a:srgbClr val="F0F0F0"/>
                              </a:solidFill>
                              <a:miter lim="800000"/>
                              <a:headEnd/>
                              <a:tailEnd/>
                            </a:ln>
                          </wps:spPr>
                          <wps:bodyPr rot="0" vert="horz" wrap="square" lIns="91440" tIns="45720" rIns="91440" bIns="45720" anchor="ctr" anchorCtr="0" upright="1">
                            <a:noAutofit/>
                          </wps:bodyPr>
                        </wps:wsp>
                        <wps:wsp>
                          <wps:cNvPr id="1989228995" name="TextBox 4"/>
                          <wps:cNvSpPr txBox="1">
                            <a:spLocks noChangeArrowheads="1"/>
                          </wps:cNvSpPr>
                          <wps:spPr bwMode="auto">
                            <a:xfrm>
                              <a:off x="1213" y="3435"/>
                              <a:ext cx="39408" cy="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00DB6" w14:textId="77777777" w:rsidR="004150DC" w:rsidRPr="004B6C3C" w:rsidRDefault="004150DC" w:rsidP="004150DC">
                                <w:pPr>
                                  <w:jc w:val="center"/>
                                  <w:rPr>
                                    <w:color w:val="000000"/>
                                    <w:kern w:val="24"/>
                                    <w:sz w:val="36"/>
                                    <w:szCs w:val="36"/>
                                  </w:rPr>
                                </w:pPr>
                                <w:r w:rsidRPr="004B6C3C">
                                  <w:rPr>
                                    <w:color w:val="000000"/>
                                    <w:kern w:val="24"/>
                                    <w:sz w:val="36"/>
                                    <w:szCs w:val="36"/>
                                  </w:rPr>
                                  <w:t>Sample velocity of movements</w:t>
                                </w:r>
                              </w:p>
                            </w:txbxContent>
                          </wps:txbx>
                          <wps:bodyPr rot="0" vert="horz" wrap="square" lIns="91440" tIns="45720" rIns="91440" bIns="45720" anchor="t" anchorCtr="0" upright="1">
                            <a:noAutofit/>
                          </wps:bodyPr>
                        </wps:wsp>
                        <wps:wsp>
                          <wps:cNvPr id="508758324" name="TextBox 8"/>
                          <wps:cNvSpPr txBox="1">
                            <a:spLocks noChangeArrowheads="1"/>
                          </wps:cNvSpPr>
                          <wps:spPr bwMode="auto">
                            <a:xfrm>
                              <a:off x="0" y="33630"/>
                              <a:ext cx="39408" cy="3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AA4E2" w14:textId="77777777" w:rsidR="004150DC" w:rsidRPr="004B6C3C" w:rsidRDefault="004150DC" w:rsidP="004150DC">
                                <w:pPr>
                                  <w:jc w:val="center"/>
                                  <w:rPr>
                                    <w:color w:val="000000"/>
                                    <w:kern w:val="24"/>
                                    <w:sz w:val="36"/>
                                    <w:szCs w:val="36"/>
                                  </w:rPr>
                                </w:pPr>
                                <w:r w:rsidRPr="004B6C3C">
                                  <w:rPr>
                                    <w:color w:val="000000"/>
                                    <w:kern w:val="24"/>
                                    <w:sz w:val="36"/>
                                    <w:szCs w:val="36"/>
                                  </w:rPr>
                                  <w:t>Time (100fps)</w:t>
                                </w:r>
                              </w:p>
                            </w:txbxContent>
                          </wps:txbx>
                          <wps:bodyPr rot="0" vert="horz" wrap="square" lIns="91440" tIns="45720" rIns="91440" bIns="45720" anchor="t" anchorCtr="0" upright="1">
                            <a:noAutofit/>
                          </wps:bodyPr>
                        </wps:wsp>
                        <wps:wsp>
                          <wps:cNvPr id="659486502" name="TextBox 9"/>
                          <wps:cNvSpPr txBox="1">
                            <a:spLocks noChangeArrowheads="1"/>
                          </wps:cNvSpPr>
                          <wps:spPr bwMode="auto">
                            <a:xfrm rot="5400000">
                              <a:off x="-12668" y="18290"/>
                              <a:ext cx="33202" cy="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74C39" w14:textId="77777777" w:rsidR="004150DC" w:rsidRPr="004B6C3C" w:rsidRDefault="004150DC" w:rsidP="004150DC">
                                <w:pPr>
                                  <w:jc w:val="center"/>
                                  <w:rPr>
                                    <w:color w:val="000000"/>
                                    <w:kern w:val="24"/>
                                    <w:sz w:val="36"/>
                                    <w:szCs w:val="36"/>
                                  </w:rPr>
                                </w:pPr>
                                <w:r w:rsidRPr="004B6C3C">
                                  <w:rPr>
                                    <w:color w:val="000000"/>
                                    <w:kern w:val="24"/>
                                    <w:sz w:val="36"/>
                                    <w:szCs w:val="36"/>
                                  </w:rPr>
                                  <w:t>Velocity (cm/s)</w:t>
                                </w:r>
                              </w:p>
                            </w:txbxContent>
                          </wps:txbx>
                          <wps:bodyPr rot="0" vert="vert270" wrap="square" lIns="91440" tIns="45720" rIns="91440" bIns="45720" anchor="t" anchorCtr="0" upright="1">
                            <a:noAutofit/>
                          </wps:bodyPr>
                        </wps:wsp>
                        <wpg:grpSp>
                          <wpg:cNvPr id="492793584" name="Group 924573591"/>
                          <wpg:cNvGrpSpPr>
                            <a:grpSpLocks/>
                          </wpg:cNvGrpSpPr>
                          <wpg:grpSpPr bwMode="auto">
                            <a:xfrm>
                              <a:off x="9851" y="25839"/>
                              <a:ext cx="5556" cy="5115"/>
                              <a:chOff x="9851" y="25839"/>
                              <a:chExt cx="5556" cy="5115"/>
                            </a:xfrm>
                          </wpg:grpSpPr>
                          <wps:wsp>
                            <wps:cNvPr id="168077918" name="Straight Arrow Connector 346686776"/>
                            <wps:cNvCnPr>
                              <a:cxnSpLocks/>
                            </wps:cNvCnPr>
                            <wps:spPr bwMode="auto">
                              <a:xfrm flipV="1">
                                <a:off x="12672" y="25839"/>
                                <a:ext cx="0" cy="2830"/>
                              </a:xfrm>
                              <a:prstGeom prst="straightConnector1">
                                <a:avLst/>
                              </a:prstGeom>
                              <a:noFill/>
                              <a:ln w="25400">
                                <a:solidFill>
                                  <a:srgbClr val="042433"/>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cNvPr id="1285037866" name="Group 892440570"/>
                            <wpg:cNvGrpSpPr>
                              <a:grpSpLocks/>
                            </wpg:cNvGrpSpPr>
                            <wpg:grpSpPr bwMode="auto">
                              <a:xfrm>
                                <a:off x="9851" y="27789"/>
                                <a:ext cx="5556" cy="3165"/>
                                <a:chOff x="9851" y="27789"/>
                                <a:chExt cx="5556" cy="3164"/>
                              </a:xfrm>
                            </wpg:grpSpPr>
                            <wps:wsp>
                              <wps:cNvPr id="1993781910" name="Rectangle: Rounded Corners 388846716"/>
                              <wps:cNvSpPr>
                                <a:spLocks noChangeArrowheads="1"/>
                              </wps:cNvSpPr>
                              <wps:spPr bwMode="auto">
                                <a:xfrm>
                                  <a:off x="9851" y="27789"/>
                                  <a:ext cx="5556" cy="3165"/>
                                </a:xfrm>
                                <a:prstGeom prst="roundRect">
                                  <a:avLst>
                                    <a:gd name="adj" fmla="val 16667"/>
                                  </a:avLst>
                                </a:prstGeom>
                                <a:solidFill>
                                  <a:srgbClr val="FAFAFF"/>
                                </a:solidFill>
                                <a:ln w="25400">
                                  <a:solidFill>
                                    <a:srgbClr val="0A121C"/>
                                  </a:solidFill>
                                  <a:round/>
                                  <a:headEnd/>
                                  <a:tailEnd/>
                                </a:ln>
                              </wps:spPr>
                              <wps:bodyPr rot="0" vert="horz" wrap="square" lIns="91440" tIns="45720" rIns="91440" bIns="45720" anchor="ctr" anchorCtr="0" upright="1">
                                <a:noAutofit/>
                              </wps:bodyPr>
                            </wps:wsp>
                            <pic:pic xmlns:pic="http://schemas.openxmlformats.org/drawingml/2006/picture">
                              <pic:nvPicPr>
                                <pic:cNvPr id="1841480177" name="Picture 2139960947"/>
                                <pic:cNvPicPr>
                                  <a:picLocks noChangeAspect="1" noChangeArrowheads="1"/>
                                </pic:cNvPicPr>
                              </pic:nvPicPr>
                              <pic:blipFill>
                                <a:blip r:embed="rId16">
                                  <a:extLst>
                                    <a:ext uri="{28A0092B-C50C-407E-A947-70E740481C1C}">
                                      <a14:useLocalDpi xmlns:a14="http://schemas.microsoft.com/office/drawing/2010/main" val="0"/>
                                    </a:ext>
                                  </a:extLst>
                                </a:blip>
                                <a:srcRect l="40814" t="50655" r="55101" b="40431"/>
                                <a:stretch>
                                  <a:fillRect/>
                                </a:stretch>
                              </pic:blipFill>
                              <pic:spPr bwMode="auto">
                                <a:xfrm>
                                  <a:off x="10145" y="27967"/>
                                  <a:ext cx="4978" cy="2721"/>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cNvPr id="882542885" name="Group 809031174"/>
                          <wpg:cNvGrpSpPr>
                            <a:grpSpLocks/>
                          </wpg:cNvGrpSpPr>
                          <wpg:grpSpPr bwMode="auto">
                            <a:xfrm>
                              <a:off x="26013" y="25469"/>
                              <a:ext cx="5556" cy="5342"/>
                              <a:chOff x="26013" y="25469"/>
                              <a:chExt cx="5556" cy="5341"/>
                            </a:xfrm>
                          </wpg:grpSpPr>
                          <wps:wsp>
                            <wps:cNvPr id="549403126" name="Straight Arrow Connector 2100502010"/>
                            <wps:cNvCnPr>
                              <a:cxnSpLocks/>
                            </wps:cNvCnPr>
                            <wps:spPr bwMode="auto">
                              <a:xfrm flipV="1">
                                <a:off x="29253" y="25469"/>
                                <a:ext cx="0" cy="3733"/>
                              </a:xfrm>
                              <a:prstGeom prst="straightConnector1">
                                <a:avLst/>
                              </a:prstGeom>
                              <a:noFill/>
                              <a:ln w="25400">
                                <a:solidFill>
                                  <a:srgbClr val="042433"/>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cNvPr id="572306625" name="Group 2120621685"/>
                            <wpg:cNvGrpSpPr>
                              <a:grpSpLocks/>
                            </wpg:cNvGrpSpPr>
                            <wpg:grpSpPr bwMode="auto">
                              <a:xfrm>
                                <a:off x="26013" y="27594"/>
                                <a:ext cx="5556" cy="3217"/>
                                <a:chOff x="26013" y="27594"/>
                                <a:chExt cx="5556" cy="3216"/>
                              </a:xfrm>
                            </wpg:grpSpPr>
                            <wps:wsp>
                              <wps:cNvPr id="103797375" name="Rectangle: Rounded Corners 691985646"/>
                              <wps:cNvSpPr>
                                <a:spLocks noChangeArrowheads="1"/>
                              </wps:cNvSpPr>
                              <wps:spPr bwMode="auto">
                                <a:xfrm>
                                  <a:off x="26013" y="27594"/>
                                  <a:ext cx="5556" cy="3217"/>
                                </a:xfrm>
                                <a:prstGeom prst="roundRect">
                                  <a:avLst>
                                    <a:gd name="adj" fmla="val 16667"/>
                                  </a:avLst>
                                </a:prstGeom>
                                <a:solidFill>
                                  <a:srgbClr val="FAFAFF"/>
                                </a:solidFill>
                                <a:ln w="25400">
                                  <a:solidFill>
                                    <a:srgbClr val="0A121C"/>
                                  </a:solidFill>
                                  <a:round/>
                                  <a:headEnd/>
                                  <a:tailEnd/>
                                </a:ln>
                              </wps:spPr>
                              <wps:bodyPr rot="0" vert="horz" wrap="square" lIns="91440" tIns="45720" rIns="91440" bIns="45720" anchor="ctr" anchorCtr="0" upright="1">
                                <a:noAutofit/>
                              </wps:bodyPr>
                            </wps:wsp>
                            <pic:pic xmlns:pic="http://schemas.openxmlformats.org/drawingml/2006/picture">
                              <pic:nvPicPr>
                                <pic:cNvPr id="415269280" name="Picture 18173524"/>
                                <pic:cNvPicPr>
                                  <a:picLocks noChangeAspect="1" noChangeArrowheads="1"/>
                                </pic:cNvPicPr>
                              </pic:nvPicPr>
                              <pic:blipFill>
                                <a:blip r:embed="rId16">
                                  <a:extLst>
                                    <a:ext uri="{28A0092B-C50C-407E-A947-70E740481C1C}">
                                      <a14:useLocalDpi xmlns:a14="http://schemas.microsoft.com/office/drawing/2010/main" val="0"/>
                                    </a:ext>
                                  </a:extLst>
                                </a:blip>
                                <a:srcRect l="55136" t="49004" r="40958" b="42471"/>
                                <a:stretch>
                                  <a:fillRect/>
                                </a:stretch>
                              </pic:blipFill>
                              <pic:spPr bwMode="auto">
                                <a:xfrm>
                                  <a:off x="26422" y="27879"/>
                                  <a:ext cx="4763" cy="2603"/>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cNvPr id="745090711" name="Group 147874894"/>
                          <wpg:cNvGrpSpPr>
                            <a:grpSpLocks/>
                          </wpg:cNvGrpSpPr>
                          <wpg:grpSpPr bwMode="auto">
                            <a:xfrm>
                              <a:off x="13341" y="9625"/>
                              <a:ext cx="7489" cy="3217"/>
                              <a:chOff x="13341" y="9625"/>
                              <a:chExt cx="7488" cy="3216"/>
                            </a:xfrm>
                          </wpg:grpSpPr>
                          <wps:wsp>
                            <wps:cNvPr id="2012182768" name="Straight Arrow Connector 45130446"/>
                            <wps:cNvCnPr>
                              <a:cxnSpLocks/>
                            </wps:cNvCnPr>
                            <wps:spPr bwMode="auto">
                              <a:xfrm flipV="1">
                                <a:off x="17060" y="11152"/>
                                <a:ext cx="3770" cy="27"/>
                              </a:xfrm>
                              <a:prstGeom prst="straightConnector1">
                                <a:avLst/>
                              </a:prstGeom>
                              <a:noFill/>
                              <a:ln w="25400">
                                <a:solidFill>
                                  <a:srgbClr val="042433"/>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cNvPr id="913274952" name="Group 1777859383"/>
                            <wpg:cNvGrpSpPr>
                              <a:grpSpLocks/>
                            </wpg:cNvGrpSpPr>
                            <wpg:grpSpPr bwMode="auto">
                              <a:xfrm>
                                <a:off x="13341" y="9625"/>
                                <a:ext cx="5556" cy="3217"/>
                                <a:chOff x="13341" y="9625"/>
                                <a:chExt cx="5556" cy="3216"/>
                              </a:xfrm>
                            </wpg:grpSpPr>
                            <wps:wsp>
                              <wps:cNvPr id="44144513" name="Rectangle: Rounded Corners 348750241"/>
                              <wps:cNvSpPr>
                                <a:spLocks noChangeArrowheads="1"/>
                              </wps:cNvSpPr>
                              <wps:spPr bwMode="auto">
                                <a:xfrm>
                                  <a:off x="13341" y="9625"/>
                                  <a:ext cx="5556" cy="3217"/>
                                </a:xfrm>
                                <a:prstGeom prst="roundRect">
                                  <a:avLst>
                                    <a:gd name="adj" fmla="val 16667"/>
                                  </a:avLst>
                                </a:prstGeom>
                                <a:solidFill>
                                  <a:srgbClr val="FAFAFF"/>
                                </a:solidFill>
                                <a:ln w="25400">
                                  <a:solidFill>
                                    <a:srgbClr val="0A121C"/>
                                  </a:solidFill>
                                  <a:round/>
                                  <a:headEnd/>
                                  <a:tailEnd/>
                                </a:ln>
                              </wps:spPr>
                              <wps:bodyPr rot="0" vert="horz" wrap="square" lIns="91440" tIns="45720" rIns="91440" bIns="45720" anchor="ctr" anchorCtr="0" upright="1">
                                <a:noAutofit/>
                              </wps:bodyPr>
                            </wps:wsp>
                            <pic:pic xmlns:pic="http://schemas.openxmlformats.org/drawingml/2006/picture">
                              <pic:nvPicPr>
                                <pic:cNvPr id="87242851" name="Picture 1991237970"/>
                                <pic:cNvPicPr>
                                  <a:picLocks noChangeAspect="1" noChangeArrowheads="1"/>
                                </pic:cNvPicPr>
                              </pic:nvPicPr>
                              <pic:blipFill>
                                <a:blip r:embed="rId17">
                                  <a:extLst>
                                    <a:ext uri="{28A0092B-C50C-407E-A947-70E740481C1C}">
                                      <a14:useLocalDpi xmlns:a14="http://schemas.microsoft.com/office/drawing/2010/main" val="0"/>
                                    </a:ext>
                                  </a:extLst>
                                </a:blip>
                                <a:srcRect l="50159" t="19341" r="45897" b="73425"/>
                                <a:stretch>
                                  <a:fillRect/>
                                </a:stretch>
                              </pic:blipFill>
                              <pic:spPr bwMode="auto">
                                <a:xfrm>
                                  <a:off x="13714" y="10083"/>
                                  <a:ext cx="4810" cy="2313"/>
                                </a:xfrm>
                                <a:prstGeom prst="rect">
                                  <a:avLst/>
                                </a:prstGeom>
                                <a:noFill/>
                                <a:extLst>
                                  <a:ext uri="{909E8E84-426E-40DD-AFC4-6F175D3DCCD1}">
                                    <a14:hiddenFill xmlns:a14="http://schemas.microsoft.com/office/drawing/2010/main">
                                      <a:solidFill>
                                        <a:srgbClr val="FFFFFF"/>
                                      </a:solidFill>
                                    </a14:hiddenFill>
                                  </a:ext>
                                </a:extLst>
                              </pic:spPr>
                            </pic:pic>
                          </wpg:grpSp>
                        </wpg:grpSp>
                      </wpg:grpSp>
                      <wps:wsp>
                        <wps:cNvPr id="693116474" name="Straight Connector 2"/>
                        <wps:cNvCnPr/>
                        <wps:spPr>
                          <a:xfrm>
                            <a:off x="2025503" y="520995"/>
                            <a:ext cx="2066" cy="2248597"/>
                          </a:xfrm>
                          <a:prstGeom prst="line">
                            <a:avLst/>
                          </a:prstGeom>
                          <a:ln>
                            <a:prstDash val="dash"/>
                          </a:ln>
                        </wps:spPr>
                        <wps:style>
                          <a:lnRef idx="3">
                            <a:schemeClr val="dk1"/>
                          </a:lnRef>
                          <a:fillRef idx="0">
                            <a:schemeClr val="dk1"/>
                          </a:fillRef>
                          <a:effectRef idx="2">
                            <a:schemeClr val="dk1"/>
                          </a:effectRef>
                          <a:fontRef idx="minor">
                            <a:schemeClr val="tx1"/>
                          </a:fontRef>
                        </wps:style>
                        <wps:bodyPr/>
                      </wps:wsp>
                      <wps:wsp>
                        <wps:cNvPr id="373895584" name="Straight Connector 2"/>
                        <wps:cNvCnPr/>
                        <wps:spPr>
                          <a:xfrm>
                            <a:off x="4673010" y="520995"/>
                            <a:ext cx="12631" cy="2226877"/>
                          </a:xfrm>
                          <a:prstGeom prst="line">
                            <a:avLst/>
                          </a:prstGeom>
                          <a:ln>
                            <a:prstDash val="dash"/>
                          </a:ln>
                        </wps:spPr>
                        <wps:style>
                          <a:lnRef idx="3">
                            <a:schemeClr val="dk1"/>
                          </a:lnRef>
                          <a:fillRef idx="0">
                            <a:schemeClr val="dk1"/>
                          </a:fillRef>
                          <a:effectRef idx="2">
                            <a:schemeClr val="dk1"/>
                          </a:effectRef>
                          <a:fontRef idx="minor">
                            <a:schemeClr val="tx1"/>
                          </a:fontRef>
                        </wps:style>
                        <wps:bodyPr/>
                      </wps:wsp>
                      <wps:wsp>
                        <wps:cNvPr id="864660063" name="Straight Connector 2"/>
                        <wps:cNvCnPr/>
                        <wps:spPr>
                          <a:xfrm>
                            <a:off x="5342861" y="520995"/>
                            <a:ext cx="0" cy="2770505"/>
                          </a:xfrm>
                          <a:prstGeom prst="line">
                            <a:avLst/>
                          </a:prstGeom>
                          <a:ln>
                            <a:prstDash val="dash"/>
                          </a:ln>
                        </wps:spPr>
                        <wps:style>
                          <a:lnRef idx="3">
                            <a:schemeClr val="dk1"/>
                          </a:lnRef>
                          <a:fillRef idx="0">
                            <a:schemeClr val="dk1"/>
                          </a:fillRef>
                          <a:effectRef idx="2">
                            <a:schemeClr val="dk1"/>
                          </a:effectRef>
                          <a:fontRef idx="minor">
                            <a:schemeClr val="tx1"/>
                          </a:fontRef>
                        </wps:style>
                        <wps:bodyPr/>
                      </wps:wsp>
                      <wps:wsp>
                        <wps:cNvPr id="1972161929" name="Straight Connector 2"/>
                        <wps:cNvCnPr/>
                        <wps:spPr>
                          <a:xfrm>
                            <a:off x="4673010" y="3104707"/>
                            <a:ext cx="0" cy="186331"/>
                          </a:xfrm>
                          <a:prstGeom prst="line">
                            <a:avLst/>
                          </a:prstGeom>
                          <a:ln>
                            <a:prstDash val="dash"/>
                          </a:ln>
                        </wps:spPr>
                        <wps:style>
                          <a:lnRef idx="3">
                            <a:schemeClr val="dk1"/>
                          </a:lnRef>
                          <a:fillRef idx="0">
                            <a:schemeClr val="dk1"/>
                          </a:fillRef>
                          <a:effectRef idx="2">
                            <a:schemeClr val="dk1"/>
                          </a:effectRef>
                          <a:fontRef idx="minor">
                            <a:schemeClr val="tx1"/>
                          </a:fontRef>
                        </wps:style>
                        <wps:bodyPr/>
                      </wps:wsp>
                      <wps:wsp>
                        <wps:cNvPr id="463885795" name="Straight Connector 2"/>
                        <wps:cNvCnPr/>
                        <wps:spPr>
                          <a:xfrm>
                            <a:off x="2025503" y="3125972"/>
                            <a:ext cx="0" cy="166453"/>
                          </a:xfrm>
                          <a:prstGeom prst="line">
                            <a:avLst/>
                          </a:prstGeom>
                          <a:ln>
                            <a:prstDash val="dash"/>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9D97911" id="Group 3" o:spid="_x0000_s1026" style="position:absolute;margin-left:404.55pt;margin-top:77.2pt;width:455.75pt;height:251.15pt;z-index:251590144;mso-position-horizontal:right;mso-position-horizontal-relative:margin;mso-position-vertical-relative:page;mso-width-relative:margin;mso-height-relative:margin" coordsize="65125,38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">
                <v:group id="_x0000_s1027" style="position:absolute;width:65125;height:38271" coordorigin=",2976" coordsize="40621,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">
                  <v:group id="Group 1085012259" o:spid="_x0000_s1028" style="position:absolute;left:825;top:2976;width:38487;height:34290" coordorigin="825,2976" coordsize="38487,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66621409" o:spid="_x0000_s1029" type="#_x0000_t75" style="position:absolute;left:825;top:2976;width:7911;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">
                      <v:imagedata r:id="rId18" o:title="" croptop="2810f" cropright="61283f"/>
                    </v:shape>
                    <v:rect id="Rectangle 316297910" o:spid="_x0000_s1030" style="position:absolute;left:2646;top:17429;width:2652;height:7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" fillcolor="#f0f0f0" strokecolor="#f0f0f0" strokeweight="2pt"/>
                    <v:rect id="Rectangle 1563924217" o:spid="_x0000_s1031" style="position:absolute;left:17085;top:9887;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" strokecolor="white" strokeweight="2pt"/>
                    <v:rect id="Rectangle 1320052737" o:spid="_x0000_s1032" style="position:absolute;left:18609;top:15292;width:1096;height: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" strokecolor="white" strokeweight="2pt"/>
                    <v:rect id="Rectangle 1130098179" o:spid="_x0000_s1033" style="position:absolute;left:18524;top:9879;width:885;height:642;rotation:-34676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" strokecolor="white" strokeweight="2pt"/>
                    <v:line id="Straight Connector 460799183" o:spid="_x0000_s1034" style="position:absolute;visibility:visible;mso-wrap-style:square" from="18324,9713" to="19370,10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" strokecolor="#ff4aff" strokeweight="1pt">
                      <v:stroke joinstyle="bevel"/>
                      <v:shadow on="t" color="black" opacity="24903f" origin=",.5" offset="0,.55556mm"/>
                      <o:lock v:ext="edit" shapetype="f"/>
                    </v:line>
                    <v:shape id="Picture 639432111" o:spid="_x0000_s1035" type="#_x0000_t75" style="position:absolute;left:8681;top:2976;width:27443;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">
                      <v:imagedata r:id="rId18" o:title="" croptop="2810f" cropleft="25023f" cropright="25761f"/>
                    </v:shape>
                    <v:shape id="Picture 1609241021" o:spid="_x0000_s1036" type="#_x0000_t75" style="position:absolute;left:35898;top:2976;width:3414;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">
                      <v:imagedata r:id="rId18" o:title="" croptop="2810f" cropleft="61487f" cropright="2214f"/>
                    </v:shape>
                    <v:rect id="Rectangle 2017339945" o:spid="_x0000_s1037" style="position:absolute;left:7110;top:27174;width:2191;height: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" strokecolor="white" strokeweight="1.5pt"/>
                    <v:rect id="Rectangle 1656042527" o:spid="_x0000_s1038" style="position:absolute;left:9386;top:25865;width:14391;height:4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" strokecolor="white" strokeweight="1.5pt"/>
                    <v:rect id="Rectangle 1551800688" o:spid="_x0000_s1039" style="position:absolute;left:20069;top:18792;width:6065;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" strokecolor="white" strokeweight="1.5pt"/>
                    <v:rect id="Rectangle 1071447730" o:spid="_x0000_s1040" style="position:absolute;left:26454;top:8767;width:9529;height:9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" strokecolor="white" strokeweight="1.5pt"/>
                    <v:rect id="Rectangle 1476851244" o:spid="_x0000_s1041" style="position:absolute;left:28457;top:20350;width:953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" strokecolor="white" strokeweight="1.5pt"/>
                    <v:rect id="Rectangle 1634077656" o:spid="_x0000_s1042" style="position:absolute;left:36007;top:22995;width:2044;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" strokecolor="white" strokeweight="1.5pt"/>
                    <v:shape id="Freeform: Shape 821941680" o:spid="_x0000_s1043" style="position:absolute;left:7037;top:19705;width:1690;height:1659;visibility:visible;mso-wrap-style:square;v-text-anchor:middle" coordsize="169069,16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" path="m169069,4013c148431,1036,127794,-1940,114300,1632,100806,5204,98425,14728,88106,25444,77787,36160,67071,42510,52387,65926,37703,89342,11112,139348,,165938e" filled="f" strokecolor="#ff4aff" strokeweight="1pt">
                      <v:stroke opacity="41891f"/>
                      <v:path arrowok="t" o:connecttype="custom" o:connectlocs="1690,40;1143,16;881,254;524,659;0,1659" o:connectangles="0,0,0,0,0"/>
                    </v:shape>
                    <v:rect id="Rectangle 2015278601" o:spid="_x0000_s1044" style="position:absolute;left:32332;top:7755;width:3724;height:5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" strokecolor="white" strokeweight="1.5pt"/>
                  </v:group>
                  <v:rect id="Rectangle 78877069" o:spid="_x0000_s1045" style="position:absolute;left:16020;top:4850;width:14996;height:2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" fillcolor="#f0f0f0" strokecolor="#f0f0f0" strokeweight="2pt"/>
                  <v:rect id="Rectangle 212264416" o:spid="_x0000_s1046" style="position:absolute;left:21528;top:31372;width:2652;height:777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" fillcolor="#f0f0f0" strokecolor="#f0f0f0" strokeweight="2pt"/>
                  <v:shapetype id="_x0000_t202" coordsize="21600,21600" o:spt="202" path="m,l,21600r21600,l21600,xe">
                    <v:stroke joinstyle="miter"/>
                    <v:path gradientshapeok="t" o:connecttype="rect"/>
                  </v:shapetype>
                  <v:shape id="TextBox 4" o:spid="_x0000_s1047" type="#_x0000_t202" style="position:absolute;left:1213;top:3435;width:39408;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" filled="f" stroked="f">
                    <v:textbox>
                      <w:txbxContent>
                        <w:p w14:paraId="06500DB6" w14:textId="77777777" w:rsidR="004150DC" w:rsidRPr="004B6C3C" w:rsidRDefault="004150DC" w:rsidP="004150DC">
                          <w:pPr>
                            <w:jc w:val="center"/>
                            <w:rPr>
                              <w:color w:val="000000"/>
                              <w:kern w:val="24"/>
                              <w:sz w:val="36"/>
                              <w:szCs w:val="36"/>
                            </w:rPr>
                          </w:pPr>
                          <w:r w:rsidRPr="004B6C3C">
                            <w:rPr>
                              <w:color w:val="000000"/>
                              <w:kern w:val="24"/>
                              <w:sz w:val="36"/>
                              <w:szCs w:val="36"/>
                            </w:rPr>
                            <w:t>Sample velocity of movements</w:t>
                          </w:r>
                        </w:p>
                      </w:txbxContent>
                    </v:textbox>
                  </v:shape>
                  <v:shape id="TextBox 8" o:spid="_x0000_s1048" type="#_x0000_t202" style="position:absolute;top:33630;width:39408;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" filled="f" stroked="f">
                    <v:textbox>
                      <w:txbxContent>
                        <w:p w14:paraId="482AA4E2" w14:textId="77777777" w:rsidR="004150DC" w:rsidRPr="004B6C3C" w:rsidRDefault="004150DC" w:rsidP="004150DC">
                          <w:pPr>
                            <w:jc w:val="center"/>
                            <w:rPr>
                              <w:color w:val="000000"/>
                              <w:kern w:val="24"/>
                              <w:sz w:val="36"/>
                              <w:szCs w:val="36"/>
                            </w:rPr>
                          </w:pPr>
                          <w:r w:rsidRPr="004B6C3C">
                            <w:rPr>
                              <w:color w:val="000000"/>
                              <w:kern w:val="24"/>
                              <w:sz w:val="36"/>
                              <w:szCs w:val="36"/>
                            </w:rPr>
                            <w:t>Time (100fps)</w:t>
                          </w:r>
                        </w:p>
                      </w:txbxContent>
                    </v:textbox>
                  </v:shape>
                  <v:shape id="TextBox 9" o:spid="_x0000_s1049" type="#_x0000_t202" style="position:absolute;left:-12668;top:18290;width:33202;height:25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" filled="f" stroked="f">
                    <v:textbox style="layout-flow:vertical;mso-layout-flow-alt:bottom-to-top">
                      <w:txbxContent>
                        <w:p w14:paraId="68474C39" w14:textId="77777777" w:rsidR="004150DC" w:rsidRPr="004B6C3C" w:rsidRDefault="004150DC" w:rsidP="004150DC">
                          <w:pPr>
                            <w:jc w:val="center"/>
                            <w:rPr>
                              <w:color w:val="000000"/>
                              <w:kern w:val="24"/>
                              <w:sz w:val="36"/>
                              <w:szCs w:val="36"/>
                            </w:rPr>
                          </w:pPr>
                          <w:r w:rsidRPr="004B6C3C">
                            <w:rPr>
                              <w:color w:val="000000"/>
                              <w:kern w:val="24"/>
                              <w:sz w:val="36"/>
                              <w:szCs w:val="36"/>
                            </w:rPr>
                            <w:t>Velocity (cm/s)</w:t>
                          </w:r>
                        </w:p>
                      </w:txbxContent>
                    </v:textbox>
                  </v:shape>
                  <v:group id="Group 924573591" o:spid="_x0000_s1050" style="position:absolute;left:9851;top:25839;width:5556;height:5115" coordorigin="9851,25839" coordsize="5556,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">
                    <v:shapetype id="_x0000_t32" coordsize="21600,21600" o:spt="32" o:oned="t" path="m,l21600,21600e" filled="f">
                      <v:path arrowok="t" fillok="f" o:connecttype="none"/>
                      <o:lock v:ext="edit" shapetype="t"/>
                    </v:shapetype>
                    <v:shape id="Straight Arrow Connector 346686776" o:spid="_x0000_s1051" type="#_x0000_t32" style="position:absolute;left:12672;top:25839;width:0;height:28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" strokecolor="#042433" strokeweight="2pt">
                      <v:stroke endarrow="block"/>
                      <v:shadow on="t" color="black" opacity="24903f" origin=",.5" offset="0,.55556mm"/>
                      <o:lock v:ext="edit" shapetype="f"/>
                    </v:shape>
                    <v:group id="Group 892440570" o:spid="_x0000_s1052" style="position:absolute;left:9851;top:27789;width:5556;height:3165" coordorigin="9851,27789" coordsize="5556,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">
                      <v:roundrect id="Rectangle: Rounded Corners 388846716" o:spid="_x0000_s1053" style="position:absolute;left:9851;top:27789;width:5556;height:31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" fillcolor="#fafaff" strokecolor="#0a121c" strokeweight="2pt"/>
                      <v:shape id="Picture 2139960947" o:spid="_x0000_s1054" type="#_x0000_t75" style="position:absolute;left:10145;top:27967;width:4978;height:2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">
                        <v:imagedata r:id="rId19" o:title="" croptop="33197f" cropbottom="26497f" cropleft="26748f" cropright="36111f"/>
                      </v:shape>
                    </v:group>
                  </v:group>
                  <v:group id="Group 809031174" o:spid="_x0000_s1055" style="position:absolute;left:26013;top:25469;width:5556;height:5342" coordorigin="26013,25469" coordsize="5556,5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">
                    <v:shape id="Straight Arrow Connector 2100502010" o:spid="_x0000_s1056" type="#_x0000_t32" style="position:absolute;left:29253;top:25469;width:0;height:37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" strokecolor="#042433" strokeweight="2pt">
                      <v:stroke endarrow="block"/>
                      <v:shadow on="t" color="black" opacity="24903f" origin=",.5" offset="0,.55556mm"/>
                      <o:lock v:ext="edit" shapetype="f"/>
                    </v:shape>
                    <v:group id="Group 2120621685" o:spid="_x0000_s1057" style="position:absolute;left:26013;top:27594;width:5556;height:3217" coordorigin="26013,27594" coordsize="5556,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">
                      <v:roundrect id="Rectangle: Rounded Corners 691985646" o:spid="_x0000_s1058" style="position:absolute;left:26013;top:27594;width:5556;height:32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" fillcolor="#fafaff" strokecolor="#0a121c" strokeweight="2pt"/>
                      <v:shape id="Picture 18173524" o:spid="_x0000_s1059" type="#_x0000_t75" style="position:absolute;left:26422;top:27879;width:4763;height:2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">
                        <v:imagedata r:id="rId19" o:title="" croptop="32115f" cropbottom="27834f" cropleft="36134f" cropright="26842f"/>
                      </v:shape>
                    </v:group>
                  </v:group>
                  <v:group id="Group 147874894" o:spid="_x0000_s1060" style="position:absolute;left:13341;top:9625;width:7489;height:3217" coordorigin="13341,9625" coordsize="7488,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">
                    <v:shape id="Straight Arrow Connector 45130446" o:spid="_x0000_s1061" type="#_x0000_t32" style="position:absolute;left:17060;top:11152;width:3770;height: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" strokecolor="#042433" strokeweight="2pt">
                      <v:stroke endarrow="block"/>
                      <v:shadow on="t" color="black" opacity="24903f" origin=",.5" offset="0,.55556mm"/>
                      <o:lock v:ext="edit" shapetype="f"/>
                    </v:shape>
                    <v:group id="Group 1777859383" o:spid="_x0000_s1062" style="position:absolute;left:13341;top:9625;width:5556;height:3217" coordorigin="13341,9625" coordsize="5556,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">
                      <v:roundrect id="Rectangle: Rounded Corners 348750241" o:spid="_x0000_s1063" style="position:absolute;left:13341;top:9625;width:5556;height:32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" fillcolor="#fafaff" strokecolor="#0a121c" strokeweight="2pt"/>
                      <v:shape id="Picture 1991237970" o:spid="_x0000_s1064" type="#_x0000_t75" style="position:absolute;left:13714;top:10083;width:4810;height:2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">
                        <v:imagedata r:id="rId20" o:title="" croptop="12675f" cropbottom="48120f" cropleft="32872f" cropright="30079f"/>
                      </v:shape>
                    </v:group>
                  </v:group>
                </v:group>
                <v:line id="Straight Connector 2" o:spid="_x0000_s1065" style="position:absolute;visibility:visible;mso-wrap-style:square" from="20255,5209" to="20275,2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" strokecolor="black [3200]" strokeweight="3pt">
                  <v:stroke dashstyle="dash"/>
                  <v:shadow on="t" color="black" opacity="22937f" origin=",.5" offset="0,.63889mm"/>
                </v:line>
                <v:line id="Straight Connector 2" o:spid="_x0000_s1066" style="position:absolute;visibility:visible;mso-wrap-style:square" from="46730,5209" to="46856,2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" strokecolor="black [3200]" strokeweight="3pt">
                  <v:stroke dashstyle="dash"/>
                  <v:shadow on="t" color="black" opacity="22937f" origin=",.5" offset="0,.63889mm"/>
                </v:line>
                <v:line id="Straight Connector 2" o:spid="_x0000_s1067" style="position:absolute;visibility:visible;mso-wrap-style:square" from="53428,5209" to="53428,32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" strokecolor="black [3200]" strokeweight="3pt">
                  <v:stroke dashstyle="dash"/>
                  <v:shadow on="t" color="black" opacity="22937f" origin=",.5" offset="0,.63889mm"/>
                </v:line>
                <v:line id="Straight Connector 2" o:spid="_x0000_s1068" style="position:absolute;visibility:visible;mso-wrap-style:square" from="46730,31047" to="46730,3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" strokecolor="black [3200]" strokeweight="3pt">
                  <v:stroke dashstyle="dash"/>
                  <v:shadow on="t" color="black" opacity="22937f" origin=",.5" offset="0,.63889mm"/>
                </v:line>
                <v:line id="Straight Connector 2" o:spid="_x0000_s1069" style="position:absolute;visibility:visible;mso-wrap-style:square" from="20255,31259" to="20255,3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" strokecolor="black [3200]" strokeweight="3pt">
                  <v:stroke dashstyle="dash"/>
                  <v:shadow on="t" color="black" opacity="22937f" origin=",.5" offset="0,.63889mm"/>
                </v:line>
                <w10:wrap type="topAndBottom" anchorx="margin" anchory="page"/>
              </v:group>
            </w:pict>
          </mc:Fallback>
        </mc:AlternateContent>
      </w:r>
    </w:p>
    <w:p w14:paraId="1D97A59A" w14:textId="5331F936" w:rsidR="00CC578B" w:rsidRDefault="00CC578B" w:rsidP="007C5074">
      <w:pPr>
        <w:pStyle w:val="Caption"/>
      </w:pPr>
      <w:bookmarkStart w:id="122" w:name="_Toc172716943"/>
    </w:p>
    <w:p w14:paraId="1C1D7035" w14:textId="0262A66F" w:rsidR="00CC578B" w:rsidRPr="00D618B7" w:rsidRDefault="00CC578B" w:rsidP="007C5074">
      <w:pPr>
        <w:pStyle w:val="Caption"/>
      </w:pPr>
      <w:r w:rsidRPr="00D618B7">
        <w:t xml:space="preserve">Figure </w:t>
      </w:r>
      <w:r>
        <w:fldChar w:fldCharType="begin"/>
      </w:r>
      <w:r>
        <w:instrText xml:space="preserve"> SEQ Figure \* ARABIC </w:instrText>
      </w:r>
      <w:r>
        <w:fldChar w:fldCharType="separate"/>
      </w:r>
      <w:r>
        <w:rPr>
          <w:noProof/>
        </w:rPr>
        <w:t>3</w:t>
      </w:r>
      <w:r>
        <w:rPr>
          <w:noProof/>
        </w:rPr>
        <w:fldChar w:fldCharType="end"/>
      </w:r>
      <w:r w:rsidRPr="00D618B7">
        <w:t>: Exemplar graph of movement units</w:t>
      </w:r>
      <w:bookmarkEnd w:id="122"/>
    </w:p>
    <w:p w14:paraId="30666750" w14:textId="678003AF" w:rsidR="00CC578B" w:rsidRPr="00D618B7" w:rsidRDefault="00CC578B" w:rsidP="00CC578B">
      <w:pPr>
        <w:rPr>
          <w:iCs/>
          <w:color w:val="000000"/>
        </w:rPr>
      </w:pPr>
      <w:r w:rsidRPr="00D618B7">
        <w:rPr>
          <w:iCs/>
          <w:color w:val="000000"/>
        </w:rPr>
        <w:t>Example of movement units from the velocity profile</w:t>
      </w:r>
      <w:r>
        <w:rPr>
          <w:iCs/>
          <w:color w:val="000000"/>
        </w:rPr>
        <w:t>.</w:t>
      </w:r>
    </w:p>
    <w:p w14:paraId="51B777E1" w14:textId="314493D5" w:rsidR="004150DC" w:rsidRPr="00D618B7" w:rsidRDefault="004150DC" w:rsidP="004150DC">
      <w:r w:rsidRPr="00D618B7">
        <w:rPr>
          <w:i/>
          <w:iCs/>
        </w:rPr>
        <w:t>Note</w:t>
      </w:r>
      <w:r w:rsidRPr="00D618B7">
        <w:t xml:space="preserve">. This figure illustrates three movement units derived from an infant's spontaneous arm movements. Dashed lines indicate the division between individual movement units. XY Coordinate insets indicate the </w:t>
      </w:r>
      <w:r w:rsidR="00B045D0" w:rsidRPr="00D618B7">
        <w:t>collection frame</w:t>
      </w:r>
      <w:r w:rsidRPr="00D618B7">
        <w:t xml:space="preserve"> (X) and the velocity cm/s (Y). </w:t>
      </w:r>
    </w:p>
    <w:p w14:paraId="33AA0A97" w14:textId="259BD070" w:rsidR="004150DC" w:rsidRPr="00D618B7" w:rsidRDefault="00B70015" w:rsidP="004150DC">
      <w:pPr>
        <w:rPr>
          <w:iCs/>
          <w:color w:val="000000"/>
        </w:rPr>
      </w:pPr>
      <w:r w:rsidRPr="00D618B7">
        <w:rPr>
          <w:iCs/>
          <w:noProof/>
          <w:color w:val="000000"/>
        </w:rPr>
        <w:drawing>
          <wp:anchor distT="0" distB="0" distL="114300" distR="114300" simplePos="0" relativeHeight="251883008" behindDoc="0" locked="0" layoutInCell="1" allowOverlap="1" wp14:anchorId="7B7C4239" wp14:editId="25F4F244">
            <wp:simplePos x="0" y="0"/>
            <wp:positionH relativeFrom="column">
              <wp:posOffset>-191585</wp:posOffset>
            </wp:positionH>
            <wp:positionV relativeFrom="paragraph">
              <wp:posOffset>247147</wp:posOffset>
            </wp:positionV>
            <wp:extent cx="5486400" cy="1542415"/>
            <wp:effectExtent l="0" t="0" r="0" b="635"/>
            <wp:wrapTopAndBottom/>
            <wp:docPr id="111757334" name="Picture 1" descr="A graph of a pul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7334" name="Picture 1" descr="A graph of a puls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486400" cy="1542415"/>
                    </a:xfrm>
                    <a:prstGeom prst="rect">
                      <a:avLst/>
                    </a:prstGeom>
                  </pic:spPr>
                </pic:pic>
              </a:graphicData>
            </a:graphic>
          </wp:anchor>
        </w:drawing>
      </w:r>
      <w:r w:rsidR="004150DC" w:rsidRPr="00D618B7">
        <w:rPr>
          <w:iCs/>
          <w:color w:val="000000"/>
        </w:rPr>
        <w:t xml:space="preserve"> </w:t>
      </w:r>
    </w:p>
    <w:p w14:paraId="1D6521DE" w14:textId="75E5CD5A" w:rsidR="004150DC" w:rsidRPr="00D618B7" w:rsidRDefault="004150DC" w:rsidP="004150DC">
      <w:pPr>
        <w:rPr>
          <w:iCs/>
          <w:color w:val="000000"/>
        </w:rPr>
      </w:pPr>
    </w:p>
    <w:p w14:paraId="69E573E4" w14:textId="77777777" w:rsidR="00CC578B" w:rsidRPr="00D618B7" w:rsidRDefault="00CC578B" w:rsidP="007C5074">
      <w:pPr>
        <w:pStyle w:val="Caption"/>
      </w:pPr>
      <w:bookmarkStart w:id="123" w:name="_Toc172716944"/>
      <w:r w:rsidRPr="00D618B7">
        <w:t xml:space="preserve">Figure </w:t>
      </w:r>
      <w:r>
        <w:fldChar w:fldCharType="begin"/>
      </w:r>
      <w:r>
        <w:instrText xml:space="preserve"> SEQ Figure \* ARABIC </w:instrText>
      </w:r>
      <w:r>
        <w:fldChar w:fldCharType="separate"/>
      </w:r>
      <w:r>
        <w:rPr>
          <w:noProof/>
        </w:rPr>
        <w:t>4</w:t>
      </w:r>
      <w:r>
        <w:rPr>
          <w:noProof/>
        </w:rPr>
        <w:fldChar w:fldCharType="end"/>
      </w:r>
      <w:r w:rsidRPr="00D618B7">
        <w:t>: Velocity of movement example.</w:t>
      </w:r>
      <w:bookmarkEnd w:id="123"/>
    </w:p>
    <w:p w14:paraId="6E2A5AAC" w14:textId="24DE6223" w:rsidR="00CC578B" w:rsidRDefault="00CC578B">
      <w:pPr>
        <w:rPr>
          <w:i/>
          <w:iCs/>
        </w:rPr>
      </w:pPr>
      <w:r>
        <w:rPr>
          <w:iCs/>
          <w:color w:val="000000"/>
        </w:rPr>
        <w:t xml:space="preserve">Sample </w:t>
      </w:r>
      <w:r w:rsidRPr="00D618B7">
        <w:rPr>
          <w:iCs/>
          <w:color w:val="000000"/>
        </w:rPr>
        <w:t>of Movement Velocity profile for an entire trial</w:t>
      </w:r>
    </w:p>
    <w:p w14:paraId="2CC64549" w14:textId="311C2CEC" w:rsidR="00013295" w:rsidRPr="00CC578B" w:rsidRDefault="004150DC" w:rsidP="00CC578B">
      <w:r w:rsidRPr="00D618B7">
        <w:rPr>
          <w:i/>
          <w:iCs/>
        </w:rPr>
        <w:t>Note</w:t>
      </w:r>
      <w:r w:rsidRPr="00D618B7">
        <w:t xml:space="preserve">. This figure illustrates an entire velocity profile for one trial for both hands: Right (solid line) and left (dashed line). </w:t>
      </w:r>
    </w:p>
    <w:p w14:paraId="4D5CD8E3" w14:textId="53B80E0A" w:rsidR="00013295" w:rsidRPr="00D618B7" w:rsidRDefault="00013295" w:rsidP="00013295">
      <w:pPr>
        <w:spacing w:after="160" w:line="259" w:lineRule="auto"/>
        <w:rPr>
          <w:rFonts w:eastAsia="Aptos"/>
          <w:kern w:val="2"/>
          <w:sz w:val="22"/>
          <w:szCs w:val="22"/>
        </w:rPr>
      </w:pPr>
      <w:r w:rsidRPr="00D618B7">
        <w:rPr>
          <w:noProof/>
        </w:rPr>
        <w:lastRenderedPageBreak/>
        <mc:AlternateContent>
          <mc:Choice Requires="wpg">
            <w:drawing>
              <wp:anchor distT="0" distB="0" distL="114300" distR="114300" simplePos="0" relativeHeight="251266560" behindDoc="0" locked="0" layoutInCell="1" allowOverlap="1" wp14:anchorId="49841570" wp14:editId="4045EFE3">
                <wp:simplePos x="0" y="0"/>
                <wp:positionH relativeFrom="column">
                  <wp:posOffset>3589655</wp:posOffset>
                </wp:positionH>
                <wp:positionV relativeFrom="paragraph">
                  <wp:posOffset>3107690</wp:posOffset>
                </wp:positionV>
                <wp:extent cx="914400" cy="391160"/>
                <wp:effectExtent l="0" t="0" r="0" b="0"/>
                <wp:wrapNone/>
                <wp:docPr id="137007037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91160"/>
                          <a:chOff x="0" y="78412"/>
                          <a:chExt cx="928339" cy="391440"/>
                        </a:xfrm>
                        <a:noFill/>
                      </wpg:grpSpPr>
                      <wps:wsp>
                        <wps:cNvPr id="433276081" name="Straight Connector 433276081"/>
                        <wps:cNvCnPr/>
                        <wps:spPr>
                          <a:xfrm flipV="1">
                            <a:off x="0" y="375423"/>
                            <a:ext cx="928339" cy="928"/>
                          </a:xfrm>
                          <a:prstGeom prst="line">
                            <a:avLst/>
                          </a:prstGeom>
                          <a:noFill/>
                          <a:ln w="6350" cap="flat" cmpd="sng" algn="ctr">
                            <a:solidFill>
                              <a:sysClr val="windowText" lastClr="000000"/>
                            </a:solidFill>
                            <a:prstDash val="solid"/>
                            <a:miter lim="800000"/>
                          </a:ln>
                          <a:effectLst/>
                        </wps:spPr>
                        <wps:bodyPr/>
                      </wps:wsp>
                      <wps:wsp>
                        <wps:cNvPr id="837375328" name="TextBox 16"/>
                        <wps:cNvSpPr txBox="1"/>
                        <wps:spPr>
                          <a:xfrm>
                            <a:off x="164493" y="78412"/>
                            <a:ext cx="653000" cy="391440"/>
                          </a:xfrm>
                          <a:prstGeom prst="rect">
                            <a:avLst/>
                          </a:prstGeom>
                          <a:grpFill/>
                          <a:ln w="9525" cmpd="sng">
                            <a:noFill/>
                          </a:ln>
                          <a:effectLst/>
                        </wps:spPr>
                        <wps:txbx>
                          <w:txbxContent>
                            <w:p w14:paraId="1C93A637" w14:textId="77777777" w:rsidR="00013295" w:rsidRPr="00013295" w:rsidRDefault="00013295" w:rsidP="00013295">
                              <w:pPr>
                                <w:jc w:val="center"/>
                                <w:rPr>
                                  <w:color w:val="000000"/>
                                  <w:sz w:val="28"/>
                                  <w:szCs w:val="28"/>
                                </w:rPr>
                              </w:pPr>
                              <w:r w:rsidRPr="00013295">
                                <w:rPr>
                                  <w:color w:val="000000"/>
                                  <w:sz w:val="28"/>
                                  <w:szCs w:val="28"/>
                                </w:rPr>
                                <w:t>**</w:t>
                              </w:r>
                            </w:p>
                          </w:txbxContent>
                        </wps:txbx>
                        <wps:bodyPr wrap="square" rtlCol="0" anchor="t"/>
                      </wps:wsp>
                    </wpg:wgp>
                  </a:graphicData>
                </a:graphic>
                <wp14:sizeRelH relativeFrom="page">
                  <wp14:pctWidth>0</wp14:pctWidth>
                </wp14:sizeRelH>
                <wp14:sizeRelV relativeFrom="margin">
                  <wp14:pctHeight>0</wp14:pctHeight>
                </wp14:sizeRelV>
              </wp:anchor>
            </w:drawing>
          </mc:Choice>
          <mc:Fallback>
            <w:pict>
              <v:group w14:anchorId="49841570" id="Group 5" o:spid="_x0000_s1070" style="position:absolute;margin-left:282.65pt;margin-top:244.7pt;width:1in;height:30.8pt;z-index:251266560;mso-height-relative:margin" coordorigin=",784" coordsize="9283,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">
                <v:line id="Straight Connector 433276081" o:spid="_x0000_s1071" style="position:absolute;flip:y;visibility:visible;mso-wrap-style:square" from="0,3754" to="9283,3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" strokecolor="windowText" strokeweight=".5pt">
                  <v:stroke joinstyle="miter"/>
                </v:line>
                <v:shape id="TextBox 16" o:spid="_x0000_s1072" type="#_x0000_t202" style="position:absolute;left:1644;top:784;width:6530;height:3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" filled="f" stroked="f">
                  <v:textbox>
                    <w:txbxContent>
                      <w:p w14:paraId="1C93A637" w14:textId="77777777" w:rsidR="00013295" w:rsidRPr="00013295" w:rsidRDefault="00013295" w:rsidP="00013295">
                        <w:pPr>
                          <w:jc w:val="center"/>
                          <w:rPr>
                            <w:color w:val="000000"/>
                            <w:sz w:val="28"/>
                            <w:szCs w:val="28"/>
                          </w:rPr>
                        </w:pPr>
                        <w:r w:rsidRPr="00013295">
                          <w:rPr>
                            <w:color w:val="000000"/>
                            <w:sz w:val="28"/>
                            <w:szCs w:val="28"/>
                          </w:rPr>
                          <w:t>**</w:t>
                        </w:r>
                      </w:p>
                    </w:txbxContent>
                  </v:textbox>
                </v:shape>
              </v:group>
            </w:pict>
          </mc:Fallback>
        </mc:AlternateContent>
      </w:r>
      <w:r w:rsidRPr="00D618B7">
        <w:rPr>
          <w:noProof/>
        </w:rPr>
        <mc:AlternateContent>
          <mc:Choice Requires="wpg">
            <w:drawing>
              <wp:anchor distT="0" distB="0" distL="114300" distR="114300" simplePos="0" relativeHeight="251339264" behindDoc="0" locked="0" layoutInCell="1" allowOverlap="1" wp14:anchorId="4E64A681" wp14:editId="56109B59">
                <wp:simplePos x="0" y="0"/>
                <wp:positionH relativeFrom="column">
                  <wp:posOffset>2019300</wp:posOffset>
                </wp:positionH>
                <wp:positionV relativeFrom="paragraph">
                  <wp:posOffset>3104515</wp:posOffset>
                </wp:positionV>
                <wp:extent cx="914400" cy="323850"/>
                <wp:effectExtent l="0" t="0" r="0" b="0"/>
                <wp:wrapNone/>
                <wp:docPr id="52827650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23850"/>
                          <a:chOff x="0" y="79095"/>
                          <a:chExt cx="928339" cy="324312"/>
                        </a:xfrm>
                        <a:noFill/>
                      </wpg:grpSpPr>
                      <wps:wsp>
                        <wps:cNvPr id="164893411" name="Straight Connector 164893411"/>
                        <wps:cNvCnPr/>
                        <wps:spPr>
                          <a:xfrm flipV="1">
                            <a:off x="0" y="375423"/>
                            <a:ext cx="928339" cy="928"/>
                          </a:xfrm>
                          <a:prstGeom prst="line">
                            <a:avLst/>
                          </a:prstGeom>
                          <a:noFill/>
                          <a:ln w="6350" cap="flat" cmpd="sng" algn="ctr">
                            <a:solidFill>
                              <a:sysClr val="windowText" lastClr="000000"/>
                            </a:solidFill>
                            <a:prstDash val="solid"/>
                            <a:miter lim="800000"/>
                          </a:ln>
                          <a:effectLst/>
                        </wps:spPr>
                        <wps:bodyPr/>
                      </wps:wsp>
                      <wps:wsp>
                        <wps:cNvPr id="2108390194" name="TextBox 16"/>
                        <wps:cNvSpPr txBox="1"/>
                        <wps:spPr>
                          <a:xfrm>
                            <a:off x="191039" y="79095"/>
                            <a:ext cx="653000" cy="324312"/>
                          </a:xfrm>
                          <a:prstGeom prst="rect">
                            <a:avLst/>
                          </a:prstGeom>
                          <a:grpFill/>
                          <a:ln w="9525" cmpd="sng">
                            <a:noFill/>
                          </a:ln>
                          <a:effectLst/>
                        </wps:spPr>
                        <wps:txbx>
                          <w:txbxContent>
                            <w:p w14:paraId="675C5FF9" w14:textId="77777777" w:rsidR="00013295" w:rsidRPr="00013295" w:rsidRDefault="00013295" w:rsidP="00013295">
                              <w:pPr>
                                <w:jc w:val="center"/>
                                <w:rPr>
                                  <w:color w:val="000000"/>
                                  <w:sz w:val="28"/>
                                  <w:szCs w:val="28"/>
                                </w:rPr>
                              </w:pPr>
                              <w:r w:rsidRPr="00013295">
                                <w:rPr>
                                  <w:color w:val="000000"/>
                                  <w:sz w:val="28"/>
                                  <w:szCs w:val="28"/>
                                </w:rPr>
                                <w:t>**</w:t>
                              </w:r>
                            </w:p>
                          </w:txbxContent>
                        </wps:txbx>
                        <wps:bodyPr wrap="square" rtlCol="0" anchor="t"/>
                      </wps:wsp>
                    </wpg:wgp>
                  </a:graphicData>
                </a:graphic>
                <wp14:sizeRelH relativeFrom="page">
                  <wp14:pctWidth>0</wp14:pctWidth>
                </wp14:sizeRelH>
                <wp14:sizeRelV relativeFrom="margin">
                  <wp14:pctHeight>0</wp14:pctHeight>
                </wp14:sizeRelV>
              </wp:anchor>
            </w:drawing>
          </mc:Choice>
          <mc:Fallback>
            <w:pict>
              <v:group w14:anchorId="4E64A681" id="_x0000_s1073" style="position:absolute;margin-left:159pt;margin-top:244.45pt;width:1in;height:25.5pt;z-index:251339264;mso-height-relative:margin" coordorigin=",790" coordsize="9283,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">
                <v:line id="Straight Connector 164893411" o:spid="_x0000_s1074" style="position:absolute;flip:y;visibility:visible;mso-wrap-style:square" from="0,3754" to="9283,3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" strokecolor="windowText" strokeweight=".5pt">
                  <v:stroke joinstyle="miter"/>
                </v:line>
                <v:shape id="TextBox 16" o:spid="_x0000_s1075" type="#_x0000_t202" style="position:absolute;left:1910;top:790;width:6530;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" filled="f" stroked="f">
                  <v:textbox>
                    <w:txbxContent>
                      <w:p w14:paraId="675C5FF9" w14:textId="77777777" w:rsidR="00013295" w:rsidRPr="00013295" w:rsidRDefault="00013295" w:rsidP="00013295">
                        <w:pPr>
                          <w:jc w:val="center"/>
                          <w:rPr>
                            <w:color w:val="000000"/>
                            <w:sz w:val="28"/>
                            <w:szCs w:val="28"/>
                          </w:rPr>
                        </w:pPr>
                        <w:r w:rsidRPr="00013295">
                          <w:rPr>
                            <w:color w:val="000000"/>
                            <w:sz w:val="28"/>
                            <w:szCs w:val="28"/>
                          </w:rPr>
                          <w:t>**</w:t>
                        </w:r>
                      </w:p>
                    </w:txbxContent>
                  </v:textbox>
                </v:shape>
              </v:group>
            </w:pict>
          </mc:Fallback>
        </mc:AlternateContent>
      </w:r>
      <w:r w:rsidRPr="00D618B7">
        <w:rPr>
          <w:rFonts w:eastAsia="Aptos"/>
          <w:noProof/>
          <w:kern w:val="2"/>
          <w:sz w:val="22"/>
          <w:szCs w:val="22"/>
        </w:rPr>
        <w:drawing>
          <wp:inline distT="0" distB="0" distL="0" distR="0" wp14:anchorId="3D665114" wp14:editId="1D0F2098">
            <wp:extent cx="5420139" cy="4271645"/>
            <wp:effectExtent l="0" t="0" r="9525" b="14605"/>
            <wp:docPr id="1465741624" name="Chart 1">
              <a:extLst xmlns:a="http://schemas.openxmlformats.org/drawingml/2006/main">
                <a:ext uri="{FF2B5EF4-FFF2-40B4-BE49-F238E27FC236}">
                  <a16:creationId xmlns:a16="http://schemas.microsoft.com/office/drawing/2014/main" id="{F234099E-E476-4CFD-9D6D-B97AE89623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F94E5C" w14:textId="77777777" w:rsidR="00013295" w:rsidRPr="00D618B7" w:rsidRDefault="00013295" w:rsidP="00013295">
      <w:pPr>
        <w:spacing w:after="160" w:line="259" w:lineRule="auto"/>
        <w:rPr>
          <w:rFonts w:eastAsia="Aptos"/>
          <w:kern w:val="2"/>
          <w:sz w:val="22"/>
          <w:szCs w:val="22"/>
        </w:rPr>
      </w:pPr>
    </w:p>
    <w:p w14:paraId="7F665136" w14:textId="77777777" w:rsidR="00CC578B" w:rsidRPr="00D618B7" w:rsidRDefault="00CC578B" w:rsidP="007C5074">
      <w:pPr>
        <w:pStyle w:val="Caption"/>
        <w:rPr>
          <w:rFonts w:eastAsia="Aptos"/>
          <w:kern w:val="2"/>
          <w:sz w:val="22"/>
          <w:szCs w:val="22"/>
        </w:rPr>
      </w:pPr>
      <w:bookmarkStart w:id="124" w:name="_Toc172716945"/>
      <w:r w:rsidRPr="00D618B7">
        <w:t xml:space="preserve">Figure </w:t>
      </w:r>
      <w:r>
        <w:fldChar w:fldCharType="begin"/>
      </w:r>
      <w:r>
        <w:instrText xml:space="preserve"> SEQ Figure \* ARABIC </w:instrText>
      </w:r>
      <w:r>
        <w:fldChar w:fldCharType="separate"/>
      </w:r>
      <w:r>
        <w:rPr>
          <w:noProof/>
        </w:rPr>
        <w:t>5</w:t>
      </w:r>
      <w:r>
        <w:rPr>
          <w:noProof/>
        </w:rPr>
        <w:fldChar w:fldCharType="end"/>
      </w:r>
      <w:r w:rsidRPr="00D618B7">
        <w:t>: Average duration of proximity zones.</w:t>
      </w:r>
      <w:bookmarkEnd w:id="124"/>
    </w:p>
    <w:p w14:paraId="14174A9E" w14:textId="77777777" w:rsidR="00CC578B" w:rsidRDefault="00CC578B" w:rsidP="00CC578B">
      <w:pPr>
        <w:rPr>
          <w:rFonts w:eastAsia="Aptos"/>
          <w:i/>
          <w:iCs/>
          <w:kern w:val="2"/>
          <w:sz w:val="22"/>
          <w:szCs w:val="22"/>
        </w:rPr>
      </w:pPr>
      <w:r w:rsidRPr="00D618B7">
        <w:rPr>
          <w:rFonts w:eastAsia="Aptos"/>
          <w:kern w:val="2"/>
          <w:sz w:val="22"/>
          <w:szCs w:val="22"/>
        </w:rPr>
        <w:t>Estimated Duration in milliseconds of Zone of Proximity</w:t>
      </w:r>
    </w:p>
    <w:p w14:paraId="60400DB7" w14:textId="68049D66" w:rsidR="00013295" w:rsidRPr="00CC578B" w:rsidRDefault="00013295" w:rsidP="00CC578B">
      <w:pPr>
        <w:rPr>
          <w:rFonts w:eastAsia="Aptos"/>
          <w:i/>
          <w:iCs/>
          <w:kern w:val="2"/>
          <w:sz w:val="22"/>
          <w:szCs w:val="22"/>
        </w:rPr>
      </w:pPr>
      <w:r w:rsidRPr="00D618B7">
        <w:rPr>
          <w:rFonts w:eastAsia="Aptos"/>
          <w:i/>
          <w:iCs/>
          <w:kern w:val="2"/>
          <w:sz w:val="22"/>
          <w:szCs w:val="22"/>
        </w:rPr>
        <w:t>Note</w:t>
      </w:r>
      <w:r w:rsidRPr="00D618B7">
        <w:rPr>
          <w:rFonts w:eastAsia="Aptos"/>
          <w:kern w:val="2"/>
          <w:sz w:val="22"/>
          <w:szCs w:val="22"/>
        </w:rPr>
        <w:t>. This figure illustrates the estimated mean duration in milliseconds of toy-out-of-reach, toy-moving-into-reach, and toy-in-reach proximities. Error bars show standard error.</w:t>
      </w:r>
      <w:r w:rsidRPr="00D618B7">
        <w:rPr>
          <w:rFonts w:eastAsia="Aptos"/>
          <w:noProof/>
          <w:kern w:val="2"/>
          <w:sz w:val="22"/>
          <w:szCs w:val="22"/>
        </w:rPr>
        <w:t xml:space="preserve"> </w:t>
      </w:r>
    </w:p>
    <w:p w14:paraId="145B0DB5" w14:textId="77777777" w:rsidR="00013295" w:rsidRPr="00D618B7" w:rsidRDefault="00013295" w:rsidP="00CC578B">
      <w:pPr>
        <w:rPr>
          <w:rFonts w:eastAsia="Aptos"/>
          <w:kern w:val="2"/>
          <w:sz w:val="22"/>
          <w:szCs w:val="22"/>
        </w:rPr>
      </w:pPr>
      <w:r w:rsidRPr="00D618B7">
        <w:rPr>
          <w:rFonts w:eastAsia="Aptos"/>
          <w:noProof/>
          <w:kern w:val="2"/>
          <w:sz w:val="22"/>
          <w:szCs w:val="22"/>
        </w:rPr>
        <w:t xml:space="preserve">** </w:t>
      </w:r>
      <w:r w:rsidRPr="00D618B7">
        <w:rPr>
          <w:rFonts w:eastAsia="Aptos"/>
          <w:i/>
          <w:iCs/>
          <w:noProof/>
          <w:kern w:val="2"/>
          <w:sz w:val="22"/>
          <w:szCs w:val="22"/>
        </w:rPr>
        <w:t>p</w:t>
      </w:r>
      <w:r w:rsidRPr="00D618B7">
        <w:rPr>
          <w:rFonts w:eastAsia="Aptos"/>
          <w:noProof/>
          <w:kern w:val="2"/>
          <w:sz w:val="22"/>
          <w:szCs w:val="22"/>
        </w:rPr>
        <w:t>&lt;.001</w:t>
      </w:r>
    </w:p>
    <w:p w14:paraId="4CC3F943" w14:textId="0F94F5FD" w:rsidR="00013295" w:rsidRPr="00D618B7" w:rsidRDefault="00013295" w:rsidP="00013295">
      <w:pPr>
        <w:spacing w:after="160" w:line="259" w:lineRule="auto"/>
        <w:rPr>
          <w:rFonts w:eastAsia="Aptos"/>
          <w:kern w:val="2"/>
          <w:sz w:val="22"/>
          <w:szCs w:val="22"/>
        </w:rPr>
      </w:pPr>
      <w:r w:rsidRPr="00D618B7">
        <w:rPr>
          <w:rFonts w:eastAsia="Aptos"/>
          <w:kern w:val="2"/>
          <w:sz w:val="22"/>
          <w:szCs w:val="22"/>
        </w:rPr>
        <w:br w:type="page"/>
      </w:r>
    </w:p>
    <w:p w14:paraId="4C608083" w14:textId="2768F116" w:rsidR="004B7288" w:rsidRPr="00D618B7" w:rsidRDefault="004B7288" w:rsidP="007C5074">
      <w:pPr>
        <w:pStyle w:val="Caption"/>
        <w:rPr>
          <w:rFonts w:eastAsia="Aptos"/>
          <w:kern w:val="2"/>
          <w:sz w:val="22"/>
          <w:szCs w:val="22"/>
        </w:rPr>
      </w:pPr>
      <w:bookmarkStart w:id="125" w:name="_Toc172716831"/>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3</w:t>
      </w:r>
      <w:r w:rsidR="00000000">
        <w:rPr>
          <w:noProof/>
        </w:rPr>
        <w:fldChar w:fldCharType="end"/>
      </w:r>
      <w:r w:rsidR="00145E6A" w:rsidRPr="00D618B7">
        <w:t xml:space="preserve">: </w:t>
      </w:r>
      <w:r w:rsidR="00353820">
        <w:t>Pr</w:t>
      </w:r>
      <w:r w:rsidR="00B045D0" w:rsidRPr="00D618B7">
        <w:t>oximity duration</w:t>
      </w:r>
      <w:bookmarkEnd w:id="125"/>
    </w:p>
    <w:p w14:paraId="153E6F23" w14:textId="2D05A38F" w:rsidR="00013295" w:rsidRPr="00D618B7" w:rsidRDefault="00013295" w:rsidP="00013295">
      <w:pPr>
        <w:spacing w:after="160" w:line="259" w:lineRule="auto"/>
        <w:rPr>
          <w:rFonts w:eastAsia="Aptos"/>
          <w:kern w:val="2"/>
          <w:sz w:val="22"/>
          <w:szCs w:val="22"/>
        </w:rPr>
      </w:pPr>
      <w:r w:rsidRPr="00D618B7">
        <w:rPr>
          <w:rFonts w:eastAsia="Aptos"/>
          <w:kern w:val="2"/>
          <w:sz w:val="22"/>
          <w:szCs w:val="22"/>
        </w:rPr>
        <w:t>Estimated Duration in milliseconds of Zone of Proximity</w:t>
      </w:r>
    </w:p>
    <w:tbl>
      <w:tblPr>
        <w:tblW w:w="8628" w:type="dxa"/>
        <w:jc w:val="center"/>
        <w:tblLook w:val="04A0" w:firstRow="1" w:lastRow="0" w:firstColumn="1" w:lastColumn="0" w:noHBand="0" w:noVBand="1"/>
      </w:tblPr>
      <w:tblGrid>
        <w:gridCol w:w="2930"/>
        <w:gridCol w:w="1678"/>
        <w:gridCol w:w="4020"/>
      </w:tblGrid>
      <w:tr w:rsidR="00013295" w:rsidRPr="00D618B7" w14:paraId="30F31E5F" w14:textId="77777777" w:rsidTr="004B11B7">
        <w:trPr>
          <w:trHeight w:val="457"/>
          <w:jc w:val="center"/>
        </w:trPr>
        <w:tc>
          <w:tcPr>
            <w:tcW w:w="2930" w:type="dxa"/>
            <w:tcBorders>
              <w:top w:val="single" w:sz="4" w:space="0" w:color="auto"/>
              <w:left w:val="nil"/>
              <w:right w:val="nil"/>
            </w:tcBorders>
            <w:shd w:val="clear" w:color="auto" w:fill="auto"/>
            <w:noWrap/>
            <w:vAlign w:val="bottom"/>
            <w:hideMark/>
          </w:tcPr>
          <w:p w14:paraId="173A457E" w14:textId="77777777" w:rsidR="00013295" w:rsidRPr="00D618B7" w:rsidRDefault="00013295" w:rsidP="00013295">
            <w:pPr>
              <w:rPr>
                <w:color w:val="000000"/>
                <w:sz w:val="22"/>
                <w:szCs w:val="22"/>
              </w:rPr>
            </w:pPr>
            <w:r w:rsidRPr="00D618B7">
              <w:rPr>
                <w:color w:val="000000"/>
                <w:sz w:val="22"/>
                <w:szCs w:val="22"/>
              </w:rPr>
              <w:t>Zone of Proximity</w:t>
            </w:r>
          </w:p>
        </w:tc>
        <w:tc>
          <w:tcPr>
            <w:tcW w:w="1678" w:type="dxa"/>
            <w:tcBorders>
              <w:top w:val="single" w:sz="4" w:space="0" w:color="auto"/>
              <w:left w:val="nil"/>
              <w:bottom w:val="single" w:sz="4" w:space="0" w:color="auto"/>
              <w:right w:val="nil"/>
            </w:tcBorders>
            <w:shd w:val="clear" w:color="auto" w:fill="auto"/>
            <w:noWrap/>
            <w:vAlign w:val="bottom"/>
            <w:hideMark/>
          </w:tcPr>
          <w:p w14:paraId="3188B9F5" w14:textId="77777777" w:rsidR="00013295" w:rsidRPr="00D618B7" w:rsidRDefault="00013295" w:rsidP="00013295">
            <w:pPr>
              <w:jc w:val="center"/>
              <w:rPr>
                <w:color w:val="000000"/>
                <w:sz w:val="22"/>
                <w:szCs w:val="22"/>
              </w:rPr>
            </w:pPr>
            <w:r w:rsidRPr="00D618B7">
              <w:rPr>
                <w:color w:val="000000"/>
                <w:sz w:val="22"/>
                <w:szCs w:val="22"/>
              </w:rPr>
              <w:t xml:space="preserve">      Est. Mean</w:t>
            </w:r>
          </w:p>
        </w:tc>
        <w:tc>
          <w:tcPr>
            <w:tcW w:w="4020" w:type="dxa"/>
            <w:tcBorders>
              <w:top w:val="single" w:sz="4" w:space="0" w:color="auto"/>
              <w:left w:val="nil"/>
              <w:bottom w:val="single" w:sz="4" w:space="0" w:color="auto"/>
              <w:right w:val="nil"/>
            </w:tcBorders>
            <w:shd w:val="clear" w:color="auto" w:fill="auto"/>
            <w:noWrap/>
            <w:vAlign w:val="bottom"/>
            <w:hideMark/>
          </w:tcPr>
          <w:p w14:paraId="6552B4E8" w14:textId="77777777" w:rsidR="00013295" w:rsidRPr="00D618B7" w:rsidRDefault="00013295" w:rsidP="00013295">
            <w:pPr>
              <w:jc w:val="right"/>
              <w:rPr>
                <w:color w:val="000000"/>
                <w:sz w:val="22"/>
                <w:szCs w:val="22"/>
              </w:rPr>
            </w:pPr>
            <w:r w:rsidRPr="00D618B7">
              <w:rPr>
                <w:color w:val="000000"/>
                <w:sz w:val="22"/>
                <w:szCs w:val="22"/>
              </w:rPr>
              <w:t>Std. Error</w:t>
            </w:r>
          </w:p>
        </w:tc>
      </w:tr>
      <w:tr w:rsidR="00013295" w:rsidRPr="00D618B7" w14:paraId="5AD66CDC" w14:textId="77777777" w:rsidTr="004B11B7">
        <w:trPr>
          <w:trHeight w:val="457"/>
          <w:jc w:val="center"/>
        </w:trPr>
        <w:tc>
          <w:tcPr>
            <w:tcW w:w="2930" w:type="dxa"/>
            <w:tcBorders>
              <w:left w:val="nil"/>
              <w:bottom w:val="nil"/>
              <w:right w:val="nil"/>
            </w:tcBorders>
            <w:shd w:val="clear" w:color="auto" w:fill="auto"/>
            <w:noWrap/>
            <w:vAlign w:val="bottom"/>
            <w:hideMark/>
          </w:tcPr>
          <w:p w14:paraId="79E0E02D" w14:textId="77777777" w:rsidR="00013295" w:rsidRPr="00D618B7" w:rsidRDefault="00013295" w:rsidP="00013295">
            <w:pPr>
              <w:rPr>
                <w:color w:val="000000"/>
                <w:sz w:val="22"/>
                <w:szCs w:val="22"/>
              </w:rPr>
            </w:pPr>
            <w:r w:rsidRPr="00D618B7">
              <w:rPr>
                <w:color w:val="000000"/>
                <w:sz w:val="22"/>
                <w:szCs w:val="22"/>
              </w:rPr>
              <w:t>Toy-out-of-Reach</w:t>
            </w:r>
          </w:p>
        </w:tc>
        <w:tc>
          <w:tcPr>
            <w:tcW w:w="1678" w:type="dxa"/>
            <w:tcBorders>
              <w:top w:val="nil"/>
              <w:left w:val="nil"/>
              <w:bottom w:val="nil"/>
              <w:right w:val="nil"/>
            </w:tcBorders>
            <w:shd w:val="clear" w:color="auto" w:fill="auto"/>
            <w:noWrap/>
            <w:vAlign w:val="center"/>
            <w:hideMark/>
          </w:tcPr>
          <w:p w14:paraId="43050AFE" w14:textId="77777777" w:rsidR="00013295" w:rsidRPr="00D618B7" w:rsidRDefault="00013295" w:rsidP="00013295">
            <w:pPr>
              <w:jc w:val="right"/>
              <w:rPr>
                <w:color w:val="000000"/>
                <w:sz w:val="22"/>
                <w:szCs w:val="22"/>
              </w:rPr>
            </w:pPr>
            <w:r w:rsidRPr="00D618B7">
              <w:rPr>
                <w:rFonts w:eastAsia="Aptos"/>
                <w:color w:val="000000"/>
                <w:kern w:val="2"/>
                <w:sz w:val="22"/>
                <w:szCs w:val="22"/>
              </w:rPr>
              <w:t>17023.32</w:t>
            </w:r>
          </w:p>
        </w:tc>
        <w:tc>
          <w:tcPr>
            <w:tcW w:w="4020" w:type="dxa"/>
            <w:tcBorders>
              <w:top w:val="nil"/>
              <w:left w:val="nil"/>
              <w:bottom w:val="nil"/>
              <w:right w:val="nil"/>
            </w:tcBorders>
            <w:shd w:val="clear" w:color="auto" w:fill="auto"/>
            <w:noWrap/>
            <w:vAlign w:val="center"/>
            <w:hideMark/>
          </w:tcPr>
          <w:p w14:paraId="33839ACD" w14:textId="77777777" w:rsidR="00013295" w:rsidRPr="00D618B7" w:rsidRDefault="00013295" w:rsidP="00013295">
            <w:pPr>
              <w:jc w:val="right"/>
              <w:rPr>
                <w:color w:val="000000"/>
                <w:sz w:val="22"/>
                <w:szCs w:val="22"/>
              </w:rPr>
            </w:pPr>
            <w:r w:rsidRPr="00D618B7">
              <w:rPr>
                <w:rFonts w:eastAsia="Aptos"/>
                <w:color w:val="000000"/>
                <w:kern w:val="2"/>
                <w:sz w:val="22"/>
                <w:szCs w:val="22"/>
              </w:rPr>
              <w:t>1689.03</w:t>
            </w:r>
          </w:p>
        </w:tc>
      </w:tr>
      <w:tr w:rsidR="00013295" w:rsidRPr="00D618B7" w14:paraId="300B3197" w14:textId="77777777" w:rsidTr="004B11B7">
        <w:trPr>
          <w:trHeight w:val="457"/>
          <w:jc w:val="center"/>
        </w:trPr>
        <w:tc>
          <w:tcPr>
            <w:tcW w:w="2930" w:type="dxa"/>
            <w:tcBorders>
              <w:top w:val="nil"/>
              <w:left w:val="nil"/>
              <w:bottom w:val="nil"/>
              <w:right w:val="nil"/>
            </w:tcBorders>
            <w:shd w:val="clear" w:color="auto" w:fill="auto"/>
            <w:noWrap/>
            <w:vAlign w:val="bottom"/>
            <w:hideMark/>
          </w:tcPr>
          <w:p w14:paraId="6F1B0B36" w14:textId="77777777" w:rsidR="00013295" w:rsidRPr="00D618B7" w:rsidRDefault="00013295" w:rsidP="00013295">
            <w:pPr>
              <w:rPr>
                <w:color w:val="000000"/>
                <w:sz w:val="22"/>
                <w:szCs w:val="22"/>
              </w:rPr>
            </w:pPr>
            <w:r w:rsidRPr="00D618B7">
              <w:rPr>
                <w:color w:val="000000"/>
                <w:sz w:val="22"/>
                <w:szCs w:val="22"/>
              </w:rPr>
              <w:t>Toy-Moving-into-Reach</w:t>
            </w:r>
          </w:p>
        </w:tc>
        <w:tc>
          <w:tcPr>
            <w:tcW w:w="1678" w:type="dxa"/>
            <w:tcBorders>
              <w:top w:val="nil"/>
              <w:left w:val="nil"/>
              <w:bottom w:val="nil"/>
              <w:right w:val="nil"/>
            </w:tcBorders>
            <w:shd w:val="clear" w:color="auto" w:fill="auto"/>
            <w:noWrap/>
            <w:vAlign w:val="center"/>
            <w:hideMark/>
          </w:tcPr>
          <w:p w14:paraId="7B8A07E8" w14:textId="77777777" w:rsidR="00013295" w:rsidRPr="00D618B7" w:rsidRDefault="00013295" w:rsidP="00013295">
            <w:pPr>
              <w:jc w:val="right"/>
              <w:rPr>
                <w:color w:val="000000"/>
                <w:sz w:val="22"/>
                <w:szCs w:val="22"/>
              </w:rPr>
            </w:pPr>
            <w:r w:rsidRPr="00D618B7">
              <w:rPr>
                <w:rFonts w:eastAsia="Aptos"/>
                <w:color w:val="000000"/>
                <w:kern w:val="2"/>
                <w:sz w:val="22"/>
                <w:szCs w:val="22"/>
              </w:rPr>
              <w:t>3271.91</w:t>
            </w:r>
          </w:p>
        </w:tc>
        <w:tc>
          <w:tcPr>
            <w:tcW w:w="4020" w:type="dxa"/>
            <w:tcBorders>
              <w:top w:val="nil"/>
              <w:left w:val="nil"/>
              <w:bottom w:val="nil"/>
              <w:right w:val="nil"/>
            </w:tcBorders>
            <w:shd w:val="clear" w:color="auto" w:fill="auto"/>
            <w:noWrap/>
            <w:vAlign w:val="center"/>
            <w:hideMark/>
          </w:tcPr>
          <w:p w14:paraId="795E41B2" w14:textId="77777777" w:rsidR="00013295" w:rsidRPr="00D618B7" w:rsidRDefault="00013295" w:rsidP="00013295">
            <w:pPr>
              <w:jc w:val="right"/>
              <w:rPr>
                <w:color w:val="000000"/>
                <w:sz w:val="22"/>
                <w:szCs w:val="22"/>
              </w:rPr>
            </w:pPr>
            <w:r w:rsidRPr="00D618B7">
              <w:rPr>
                <w:rFonts w:eastAsia="Aptos"/>
                <w:color w:val="000000"/>
                <w:kern w:val="2"/>
                <w:sz w:val="22"/>
                <w:szCs w:val="22"/>
              </w:rPr>
              <w:t>1673.54</w:t>
            </w:r>
          </w:p>
        </w:tc>
      </w:tr>
      <w:tr w:rsidR="00013295" w:rsidRPr="00D618B7" w14:paraId="7EBFAB96" w14:textId="77777777" w:rsidTr="004B11B7">
        <w:trPr>
          <w:trHeight w:val="457"/>
          <w:jc w:val="center"/>
        </w:trPr>
        <w:tc>
          <w:tcPr>
            <w:tcW w:w="2930" w:type="dxa"/>
            <w:tcBorders>
              <w:top w:val="nil"/>
              <w:left w:val="nil"/>
              <w:bottom w:val="single" w:sz="4" w:space="0" w:color="auto"/>
              <w:right w:val="nil"/>
            </w:tcBorders>
            <w:shd w:val="clear" w:color="auto" w:fill="auto"/>
            <w:noWrap/>
            <w:vAlign w:val="bottom"/>
            <w:hideMark/>
          </w:tcPr>
          <w:p w14:paraId="387A454C" w14:textId="77777777" w:rsidR="00013295" w:rsidRPr="00D618B7" w:rsidRDefault="00013295" w:rsidP="00013295">
            <w:pPr>
              <w:rPr>
                <w:color w:val="000000"/>
                <w:sz w:val="22"/>
                <w:szCs w:val="22"/>
              </w:rPr>
            </w:pPr>
            <w:r w:rsidRPr="00D618B7">
              <w:rPr>
                <w:color w:val="000000"/>
                <w:sz w:val="22"/>
                <w:szCs w:val="22"/>
              </w:rPr>
              <w:t>Toy-in-Reach</w:t>
            </w:r>
          </w:p>
        </w:tc>
        <w:tc>
          <w:tcPr>
            <w:tcW w:w="1678" w:type="dxa"/>
            <w:tcBorders>
              <w:top w:val="nil"/>
              <w:left w:val="nil"/>
              <w:bottom w:val="single" w:sz="4" w:space="0" w:color="auto"/>
              <w:right w:val="nil"/>
            </w:tcBorders>
            <w:shd w:val="clear" w:color="auto" w:fill="auto"/>
            <w:noWrap/>
            <w:vAlign w:val="center"/>
            <w:hideMark/>
          </w:tcPr>
          <w:p w14:paraId="45C14D79" w14:textId="77777777" w:rsidR="00013295" w:rsidRPr="00D618B7" w:rsidRDefault="00013295" w:rsidP="00013295">
            <w:pPr>
              <w:jc w:val="right"/>
              <w:rPr>
                <w:color w:val="000000"/>
                <w:sz w:val="22"/>
                <w:szCs w:val="22"/>
              </w:rPr>
            </w:pPr>
            <w:r w:rsidRPr="00D618B7">
              <w:rPr>
                <w:rFonts w:eastAsia="Aptos"/>
                <w:color w:val="000000"/>
                <w:kern w:val="2"/>
                <w:sz w:val="22"/>
                <w:szCs w:val="22"/>
              </w:rPr>
              <w:t>19284.95</w:t>
            </w:r>
          </w:p>
        </w:tc>
        <w:tc>
          <w:tcPr>
            <w:tcW w:w="4020" w:type="dxa"/>
            <w:tcBorders>
              <w:top w:val="nil"/>
              <w:left w:val="nil"/>
              <w:bottom w:val="single" w:sz="4" w:space="0" w:color="auto"/>
              <w:right w:val="nil"/>
            </w:tcBorders>
            <w:shd w:val="clear" w:color="auto" w:fill="auto"/>
            <w:noWrap/>
            <w:vAlign w:val="center"/>
            <w:hideMark/>
          </w:tcPr>
          <w:p w14:paraId="23C60522" w14:textId="77777777" w:rsidR="00013295" w:rsidRPr="00D618B7" w:rsidRDefault="00013295" w:rsidP="00013295">
            <w:pPr>
              <w:jc w:val="right"/>
              <w:rPr>
                <w:color w:val="000000"/>
                <w:sz w:val="22"/>
                <w:szCs w:val="22"/>
              </w:rPr>
            </w:pPr>
            <w:r w:rsidRPr="00D618B7">
              <w:rPr>
                <w:rFonts w:eastAsia="Aptos"/>
                <w:color w:val="000000"/>
                <w:kern w:val="2"/>
                <w:sz w:val="22"/>
                <w:szCs w:val="22"/>
              </w:rPr>
              <w:t>1683.82</w:t>
            </w:r>
          </w:p>
        </w:tc>
      </w:tr>
    </w:tbl>
    <w:p w14:paraId="1A268937" w14:textId="77777777" w:rsidR="00013295" w:rsidRPr="00D618B7" w:rsidRDefault="00013295" w:rsidP="00013295">
      <w:pPr>
        <w:spacing w:after="160" w:line="259" w:lineRule="auto"/>
        <w:rPr>
          <w:rFonts w:eastAsia="Aptos"/>
          <w:kern w:val="2"/>
          <w:sz w:val="22"/>
          <w:szCs w:val="22"/>
        </w:rPr>
      </w:pPr>
    </w:p>
    <w:p w14:paraId="536AAFDD" w14:textId="77777777" w:rsidR="00013295" w:rsidRPr="00D618B7" w:rsidRDefault="00013295" w:rsidP="00013295">
      <w:pPr>
        <w:spacing w:after="160" w:line="259" w:lineRule="auto"/>
        <w:rPr>
          <w:rFonts w:eastAsia="Aptos"/>
          <w:kern w:val="2"/>
          <w:sz w:val="22"/>
          <w:szCs w:val="22"/>
        </w:rPr>
      </w:pPr>
      <w:r w:rsidRPr="00D618B7">
        <w:rPr>
          <w:rFonts w:eastAsia="Aptos"/>
          <w:i/>
          <w:iCs/>
          <w:kern w:val="2"/>
          <w:sz w:val="22"/>
          <w:szCs w:val="22"/>
        </w:rPr>
        <w:t>Note</w:t>
      </w:r>
      <w:r w:rsidRPr="00D618B7">
        <w:rPr>
          <w:rFonts w:eastAsia="Aptos"/>
          <w:kern w:val="2"/>
          <w:sz w:val="22"/>
          <w:szCs w:val="22"/>
        </w:rPr>
        <w:t>. This table lists the estimated mean duration and standard error in milliseconds for the toy-out-of-reach, toy-moving-into-reach, and toy-in-reach proximity.</w:t>
      </w:r>
    </w:p>
    <w:p w14:paraId="3EE9838F" w14:textId="77777777" w:rsidR="00013295" w:rsidRPr="00D618B7" w:rsidRDefault="00013295" w:rsidP="00013295">
      <w:pPr>
        <w:spacing w:after="160" w:line="259" w:lineRule="auto"/>
        <w:rPr>
          <w:rFonts w:eastAsia="Aptos"/>
          <w:b/>
          <w:bCs/>
          <w:kern w:val="2"/>
          <w:sz w:val="22"/>
          <w:szCs w:val="22"/>
        </w:rPr>
      </w:pPr>
    </w:p>
    <w:p w14:paraId="1F68C95C" w14:textId="0EAB2E5C" w:rsidR="00013295" w:rsidRPr="00D618B7" w:rsidRDefault="004B7288" w:rsidP="007C5074">
      <w:pPr>
        <w:pStyle w:val="Caption"/>
        <w:rPr>
          <w:rFonts w:eastAsia="Aptos"/>
          <w:kern w:val="2"/>
          <w:sz w:val="22"/>
          <w:szCs w:val="22"/>
        </w:rPr>
      </w:pPr>
      <w:bookmarkStart w:id="126" w:name="_Toc172716832"/>
      <w:r w:rsidRPr="00D618B7">
        <w:t xml:space="preserve">Table </w:t>
      </w:r>
      <w:r w:rsidR="00000000">
        <w:fldChar w:fldCharType="begin"/>
      </w:r>
      <w:r w:rsidR="00000000">
        <w:instrText xml:space="preserve"> SEQ Table \* ARABIC </w:instrText>
      </w:r>
      <w:r w:rsidR="00000000">
        <w:fldChar w:fldCharType="separate"/>
      </w:r>
      <w:r w:rsidR="000C6E43">
        <w:rPr>
          <w:noProof/>
        </w:rPr>
        <w:t>4</w:t>
      </w:r>
      <w:r w:rsidR="00000000">
        <w:rPr>
          <w:noProof/>
        </w:rPr>
        <w:fldChar w:fldCharType="end"/>
      </w:r>
      <w:r w:rsidR="00145E6A" w:rsidRPr="00D618B7">
        <w:t>:</w:t>
      </w:r>
      <w:r w:rsidR="00B045D0" w:rsidRPr="00D618B7">
        <w:t xml:space="preserve"> Event d</w:t>
      </w:r>
      <w:r w:rsidR="00B045D0" w:rsidRPr="00D618B7">
        <w:rPr>
          <w:rFonts w:eastAsia="Aptos"/>
          <w:kern w:val="2"/>
          <w:sz w:val="22"/>
          <w:szCs w:val="22"/>
        </w:rPr>
        <w:t>uration by week</w:t>
      </w:r>
      <w:bookmarkEnd w:id="126"/>
    </w:p>
    <w:p w14:paraId="1201A20C" w14:textId="5E200D47" w:rsidR="00013295" w:rsidRPr="00D618B7" w:rsidRDefault="00013295" w:rsidP="00013295">
      <w:pPr>
        <w:spacing w:after="160" w:line="259" w:lineRule="auto"/>
        <w:rPr>
          <w:rFonts w:eastAsia="Aptos"/>
          <w:kern w:val="2"/>
          <w:sz w:val="22"/>
          <w:szCs w:val="22"/>
        </w:rPr>
      </w:pPr>
      <w:r w:rsidRPr="00D618B7">
        <w:rPr>
          <w:rFonts w:eastAsia="Aptos"/>
          <w:kern w:val="2"/>
          <w:sz w:val="22"/>
          <w:szCs w:val="22"/>
        </w:rPr>
        <w:t>Estimated Duration in milliseconds per Week.</w:t>
      </w:r>
    </w:p>
    <w:tbl>
      <w:tblPr>
        <w:tblW w:w="5000" w:type="pct"/>
        <w:tblLook w:val="04A0" w:firstRow="1" w:lastRow="0" w:firstColumn="1" w:lastColumn="0" w:noHBand="0" w:noVBand="1"/>
      </w:tblPr>
      <w:tblGrid>
        <w:gridCol w:w="4719"/>
        <w:gridCol w:w="1884"/>
        <w:gridCol w:w="2037"/>
      </w:tblGrid>
      <w:tr w:rsidR="00013295" w:rsidRPr="00D618B7" w14:paraId="4A1BCEC5" w14:textId="77777777" w:rsidTr="00013295">
        <w:trPr>
          <w:trHeight w:val="303"/>
        </w:trPr>
        <w:tc>
          <w:tcPr>
            <w:tcW w:w="2731" w:type="pct"/>
            <w:tcBorders>
              <w:top w:val="nil"/>
              <w:left w:val="nil"/>
              <w:bottom w:val="single" w:sz="8" w:space="0" w:color="auto"/>
              <w:right w:val="nil"/>
            </w:tcBorders>
            <w:shd w:val="clear" w:color="auto" w:fill="auto"/>
            <w:noWrap/>
            <w:vAlign w:val="bottom"/>
            <w:hideMark/>
          </w:tcPr>
          <w:p w14:paraId="63B24EBE" w14:textId="77777777" w:rsidR="00013295" w:rsidRPr="00D618B7" w:rsidRDefault="00013295" w:rsidP="00013295">
            <w:pPr>
              <w:rPr>
                <w:color w:val="000000"/>
                <w:sz w:val="22"/>
                <w:szCs w:val="22"/>
              </w:rPr>
            </w:pPr>
            <w:r w:rsidRPr="00D618B7">
              <w:rPr>
                <w:color w:val="000000"/>
                <w:sz w:val="22"/>
                <w:szCs w:val="22"/>
              </w:rPr>
              <w:t> </w:t>
            </w:r>
          </w:p>
        </w:tc>
        <w:tc>
          <w:tcPr>
            <w:tcW w:w="1090" w:type="pct"/>
            <w:tcBorders>
              <w:top w:val="nil"/>
              <w:left w:val="nil"/>
              <w:bottom w:val="single" w:sz="8" w:space="0" w:color="auto"/>
              <w:right w:val="nil"/>
            </w:tcBorders>
            <w:shd w:val="clear" w:color="000000" w:fill="FFFFFF"/>
            <w:vAlign w:val="center"/>
            <w:hideMark/>
          </w:tcPr>
          <w:p w14:paraId="4A83CB8E" w14:textId="77777777" w:rsidR="00013295" w:rsidRPr="00D618B7" w:rsidRDefault="00013295" w:rsidP="00013295">
            <w:pPr>
              <w:rPr>
                <w:color w:val="000000"/>
                <w:sz w:val="22"/>
                <w:szCs w:val="22"/>
              </w:rPr>
            </w:pPr>
            <w:r w:rsidRPr="00D618B7">
              <w:rPr>
                <w:color w:val="000000"/>
                <w:sz w:val="22"/>
                <w:szCs w:val="22"/>
              </w:rPr>
              <w:t> </w:t>
            </w:r>
          </w:p>
        </w:tc>
        <w:tc>
          <w:tcPr>
            <w:tcW w:w="1179" w:type="pct"/>
            <w:tcBorders>
              <w:top w:val="nil"/>
              <w:left w:val="nil"/>
              <w:bottom w:val="single" w:sz="8" w:space="0" w:color="auto"/>
              <w:right w:val="nil"/>
            </w:tcBorders>
            <w:shd w:val="clear" w:color="000000" w:fill="FFFFFF"/>
            <w:vAlign w:val="center"/>
            <w:hideMark/>
          </w:tcPr>
          <w:p w14:paraId="3D24DC14" w14:textId="77777777" w:rsidR="00013295" w:rsidRPr="00D618B7" w:rsidRDefault="00013295" w:rsidP="00013295">
            <w:pPr>
              <w:rPr>
                <w:color w:val="000000"/>
                <w:sz w:val="22"/>
                <w:szCs w:val="22"/>
              </w:rPr>
            </w:pPr>
            <w:r w:rsidRPr="00D618B7">
              <w:rPr>
                <w:color w:val="000000"/>
                <w:sz w:val="22"/>
                <w:szCs w:val="22"/>
              </w:rPr>
              <w:t> </w:t>
            </w:r>
          </w:p>
        </w:tc>
      </w:tr>
      <w:tr w:rsidR="00013295" w:rsidRPr="00D618B7" w14:paraId="5D3A9D57" w14:textId="77777777" w:rsidTr="00013295">
        <w:trPr>
          <w:trHeight w:val="303"/>
        </w:trPr>
        <w:tc>
          <w:tcPr>
            <w:tcW w:w="2731" w:type="pct"/>
            <w:tcBorders>
              <w:top w:val="nil"/>
              <w:left w:val="nil"/>
              <w:bottom w:val="single" w:sz="8" w:space="0" w:color="auto"/>
              <w:right w:val="nil"/>
            </w:tcBorders>
            <w:shd w:val="clear" w:color="000000" w:fill="FFFFFF"/>
            <w:vAlign w:val="center"/>
            <w:hideMark/>
          </w:tcPr>
          <w:p w14:paraId="27D83DCD" w14:textId="77777777" w:rsidR="00013295" w:rsidRPr="00D618B7" w:rsidRDefault="00013295" w:rsidP="00013295">
            <w:pPr>
              <w:jc w:val="center"/>
              <w:rPr>
                <w:color w:val="000000"/>
                <w:sz w:val="22"/>
                <w:szCs w:val="22"/>
              </w:rPr>
            </w:pPr>
            <w:r w:rsidRPr="00D618B7">
              <w:rPr>
                <w:color w:val="000000"/>
                <w:sz w:val="22"/>
                <w:szCs w:val="22"/>
              </w:rPr>
              <w:t>Week</w:t>
            </w:r>
          </w:p>
        </w:tc>
        <w:tc>
          <w:tcPr>
            <w:tcW w:w="1090" w:type="pct"/>
            <w:tcBorders>
              <w:top w:val="nil"/>
              <w:left w:val="nil"/>
              <w:bottom w:val="single" w:sz="8" w:space="0" w:color="auto"/>
              <w:right w:val="nil"/>
            </w:tcBorders>
            <w:shd w:val="clear" w:color="000000" w:fill="FFFFFF"/>
            <w:noWrap/>
            <w:vAlign w:val="center"/>
            <w:hideMark/>
          </w:tcPr>
          <w:p w14:paraId="2DC799F8" w14:textId="77777777" w:rsidR="00013295" w:rsidRPr="00D618B7" w:rsidRDefault="00013295" w:rsidP="00013295">
            <w:pPr>
              <w:jc w:val="right"/>
              <w:rPr>
                <w:color w:val="000000"/>
                <w:sz w:val="22"/>
                <w:szCs w:val="22"/>
              </w:rPr>
            </w:pPr>
            <w:r w:rsidRPr="00D618B7">
              <w:rPr>
                <w:color w:val="000000"/>
                <w:sz w:val="22"/>
                <w:szCs w:val="22"/>
              </w:rPr>
              <w:t>Mean</w:t>
            </w:r>
          </w:p>
        </w:tc>
        <w:tc>
          <w:tcPr>
            <w:tcW w:w="1179" w:type="pct"/>
            <w:tcBorders>
              <w:top w:val="nil"/>
              <w:left w:val="nil"/>
              <w:bottom w:val="single" w:sz="8" w:space="0" w:color="auto"/>
              <w:right w:val="nil"/>
            </w:tcBorders>
            <w:shd w:val="clear" w:color="000000" w:fill="FFFFFF"/>
            <w:noWrap/>
            <w:vAlign w:val="center"/>
            <w:hideMark/>
          </w:tcPr>
          <w:p w14:paraId="5D6A9748" w14:textId="77777777" w:rsidR="00013295" w:rsidRPr="00D618B7" w:rsidRDefault="00013295" w:rsidP="00013295">
            <w:pPr>
              <w:jc w:val="right"/>
              <w:rPr>
                <w:color w:val="000000"/>
                <w:sz w:val="22"/>
                <w:szCs w:val="22"/>
              </w:rPr>
            </w:pPr>
            <w:r w:rsidRPr="00D618B7">
              <w:rPr>
                <w:color w:val="000000"/>
                <w:sz w:val="22"/>
                <w:szCs w:val="22"/>
              </w:rPr>
              <w:t>Std. Error</w:t>
            </w:r>
          </w:p>
        </w:tc>
      </w:tr>
      <w:tr w:rsidR="00013295" w:rsidRPr="00D618B7" w14:paraId="0A034E54" w14:textId="77777777" w:rsidTr="00013295">
        <w:trPr>
          <w:trHeight w:val="303"/>
        </w:trPr>
        <w:tc>
          <w:tcPr>
            <w:tcW w:w="2731" w:type="pct"/>
            <w:tcBorders>
              <w:top w:val="nil"/>
              <w:left w:val="nil"/>
              <w:bottom w:val="nil"/>
              <w:right w:val="nil"/>
            </w:tcBorders>
            <w:shd w:val="clear" w:color="000000" w:fill="FFFFFF"/>
            <w:vAlign w:val="center"/>
            <w:hideMark/>
          </w:tcPr>
          <w:p w14:paraId="2CB2F9EF" w14:textId="77777777" w:rsidR="00013295" w:rsidRPr="00D618B7" w:rsidRDefault="00013295" w:rsidP="00013295">
            <w:pPr>
              <w:jc w:val="center"/>
              <w:rPr>
                <w:color w:val="000000"/>
                <w:sz w:val="22"/>
                <w:szCs w:val="22"/>
              </w:rPr>
            </w:pPr>
            <w:r w:rsidRPr="00D618B7">
              <w:rPr>
                <w:color w:val="000000"/>
                <w:sz w:val="22"/>
                <w:szCs w:val="22"/>
              </w:rPr>
              <w:t>-5</w:t>
            </w:r>
          </w:p>
        </w:tc>
        <w:tc>
          <w:tcPr>
            <w:tcW w:w="1090" w:type="pct"/>
            <w:tcBorders>
              <w:top w:val="nil"/>
              <w:left w:val="nil"/>
              <w:bottom w:val="nil"/>
              <w:right w:val="nil"/>
            </w:tcBorders>
            <w:shd w:val="clear" w:color="000000" w:fill="FFFFFF"/>
            <w:noWrap/>
            <w:vAlign w:val="center"/>
            <w:hideMark/>
          </w:tcPr>
          <w:p w14:paraId="692B0BCE" w14:textId="77777777" w:rsidR="00013295" w:rsidRPr="00D618B7" w:rsidRDefault="00013295" w:rsidP="00013295">
            <w:pPr>
              <w:jc w:val="right"/>
              <w:rPr>
                <w:color w:val="000000"/>
                <w:sz w:val="22"/>
                <w:szCs w:val="22"/>
              </w:rPr>
            </w:pPr>
            <w:r w:rsidRPr="00D618B7">
              <w:rPr>
                <w:color w:val="000000"/>
                <w:sz w:val="22"/>
                <w:szCs w:val="22"/>
              </w:rPr>
              <w:t>17868.45</w:t>
            </w:r>
          </w:p>
        </w:tc>
        <w:tc>
          <w:tcPr>
            <w:tcW w:w="1179" w:type="pct"/>
            <w:tcBorders>
              <w:top w:val="nil"/>
              <w:left w:val="nil"/>
              <w:bottom w:val="nil"/>
              <w:right w:val="nil"/>
            </w:tcBorders>
            <w:shd w:val="clear" w:color="000000" w:fill="FFFFFF"/>
            <w:noWrap/>
            <w:vAlign w:val="center"/>
            <w:hideMark/>
          </w:tcPr>
          <w:p w14:paraId="3370D0B4" w14:textId="77777777" w:rsidR="00013295" w:rsidRPr="00D618B7" w:rsidRDefault="00013295" w:rsidP="00013295">
            <w:pPr>
              <w:jc w:val="right"/>
              <w:rPr>
                <w:color w:val="000000"/>
                <w:sz w:val="22"/>
                <w:szCs w:val="22"/>
              </w:rPr>
            </w:pPr>
            <w:r w:rsidRPr="00D618B7">
              <w:rPr>
                <w:color w:val="000000"/>
                <w:sz w:val="22"/>
                <w:szCs w:val="22"/>
              </w:rPr>
              <w:t>1815.92</w:t>
            </w:r>
          </w:p>
        </w:tc>
      </w:tr>
      <w:tr w:rsidR="00013295" w:rsidRPr="00D618B7" w14:paraId="7D9A56EA" w14:textId="77777777" w:rsidTr="00013295">
        <w:trPr>
          <w:trHeight w:val="303"/>
        </w:trPr>
        <w:tc>
          <w:tcPr>
            <w:tcW w:w="2731" w:type="pct"/>
            <w:tcBorders>
              <w:top w:val="nil"/>
              <w:left w:val="nil"/>
              <w:bottom w:val="nil"/>
              <w:right w:val="nil"/>
            </w:tcBorders>
            <w:shd w:val="clear" w:color="000000" w:fill="FFFFFF"/>
            <w:vAlign w:val="center"/>
            <w:hideMark/>
          </w:tcPr>
          <w:p w14:paraId="3BE0A430" w14:textId="77777777" w:rsidR="00013295" w:rsidRPr="00D618B7" w:rsidRDefault="00013295" w:rsidP="00013295">
            <w:pPr>
              <w:jc w:val="center"/>
              <w:rPr>
                <w:color w:val="000000"/>
                <w:sz w:val="22"/>
                <w:szCs w:val="22"/>
              </w:rPr>
            </w:pPr>
            <w:r w:rsidRPr="00D618B7">
              <w:rPr>
                <w:color w:val="000000"/>
                <w:sz w:val="22"/>
                <w:szCs w:val="22"/>
              </w:rPr>
              <w:t>-4</w:t>
            </w:r>
          </w:p>
        </w:tc>
        <w:tc>
          <w:tcPr>
            <w:tcW w:w="1090" w:type="pct"/>
            <w:tcBorders>
              <w:top w:val="nil"/>
              <w:left w:val="nil"/>
              <w:bottom w:val="nil"/>
              <w:right w:val="nil"/>
            </w:tcBorders>
            <w:shd w:val="clear" w:color="000000" w:fill="FFFFFF"/>
            <w:noWrap/>
            <w:vAlign w:val="center"/>
            <w:hideMark/>
          </w:tcPr>
          <w:p w14:paraId="34079DB4" w14:textId="77777777" w:rsidR="00013295" w:rsidRPr="00D618B7" w:rsidRDefault="00013295" w:rsidP="00013295">
            <w:pPr>
              <w:jc w:val="right"/>
              <w:rPr>
                <w:color w:val="000000"/>
                <w:sz w:val="22"/>
                <w:szCs w:val="22"/>
              </w:rPr>
            </w:pPr>
            <w:r w:rsidRPr="00D618B7">
              <w:rPr>
                <w:color w:val="000000"/>
                <w:sz w:val="22"/>
                <w:szCs w:val="22"/>
              </w:rPr>
              <w:t>17489.39</w:t>
            </w:r>
          </w:p>
        </w:tc>
        <w:tc>
          <w:tcPr>
            <w:tcW w:w="1179" w:type="pct"/>
            <w:tcBorders>
              <w:top w:val="nil"/>
              <w:left w:val="nil"/>
              <w:bottom w:val="nil"/>
              <w:right w:val="nil"/>
            </w:tcBorders>
            <w:shd w:val="clear" w:color="000000" w:fill="FFFFFF"/>
            <w:noWrap/>
            <w:vAlign w:val="center"/>
            <w:hideMark/>
          </w:tcPr>
          <w:p w14:paraId="2339DB2F" w14:textId="77777777" w:rsidR="00013295" w:rsidRPr="00D618B7" w:rsidRDefault="00013295" w:rsidP="00013295">
            <w:pPr>
              <w:jc w:val="right"/>
              <w:rPr>
                <w:color w:val="000000"/>
                <w:sz w:val="22"/>
                <w:szCs w:val="22"/>
              </w:rPr>
            </w:pPr>
            <w:r w:rsidRPr="00D618B7">
              <w:rPr>
                <w:color w:val="000000"/>
                <w:sz w:val="22"/>
                <w:szCs w:val="22"/>
              </w:rPr>
              <w:t>1779.43</w:t>
            </w:r>
          </w:p>
        </w:tc>
      </w:tr>
      <w:tr w:rsidR="00013295" w:rsidRPr="00D618B7" w14:paraId="1B70ECD4" w14:textId="77777777" w:rsidTr="00013295">
        <w:trPr>
          <w:trHeight w:val="303"/>
        </w:trPr>
        <w:tc>
          <w:tcPr>
            <w:tcW w:w="2731" w:type="pct"/>
            <w:tcBorders>
              <w:top w:val="nil"/>
              <w:left w:val="nil"/>
              <w:bottom w:val="nil"/>
              <w:right w:val="nil"/>
            </w:tcBorders>
            <w:shd w:val="clear" w:color="000000" w:fill="FFFFFF"/>
            <w:vAlign w:val="center"/>
            <w:hideMark/>
          </w:tcPr>
          <w:p w14:paraId="25053BBB" w14:textId="77777777" w:rsidR="00013295" w:rsidRPr="00D618B7" w:rsidRDefault="00013295" w:rsidP="00013295">
            <w:pPr>
              <w:jc w:val="center"/>
              <w:rPr>
                <w:color w:val="000000"/>
                <w:sz w:val="22"/>
                <w:szCs w:val="22"/>
              </w:rPr>
            </w:pPr>
            <w:r w:rsidRPr="00D618B7">
              <w:rPr>
                <w:color w:val="000000"/>
                <w:sz w:val="22"/>
                <w:szCs w:val="22"/>
              </w:rPr>
              <w:t>-3</w:t>
            </w:r>
          </w:p>
        </w:tc>
        <w:tc>
          <w:tcPr>
            <w:tcW w:w="1090" w:type="pct"/>
            <w:tcBorders>
              <w:top w:val="nil"/>
              <w:left w:val="nil"/>
              <w:bottom w:val="nil"/>
              <w:right w:val="nil"/>
            </w:tcBorders>
            <w:shd w:val="clear" w:color="000000" w:fill="FFFFFF"/>
            <w:noWrap/>
            <w:vAlign w:val="center"/>
            <w:hideMark/>
          </w:tcPr>
          <w:p w14:paraId="54D13DFD" w14:textId="77777777" w:rsidR="00013295" w:rsidRPr="00D618B7" w:rsidRDefault="00013295" w:rsidP="00013295">
            <w:pPr>
              <w:jc w:val="right"/>
              <w:rPr>
                <w:color w:val="000000"/>
                <w:sz w:val="22"/>
                <w:szCs w:val="22"/>
              </w:rPr>
            </w:pPr>
            <w:r w:rsidRPr="00D618B7">
              <w:rPr>
                <w:color w:val="000000"/>
                <w:sz w:val="22"/>
                <w:szCs w:val="22"/>
              </w:rPr>
              <w:t>19717.68</w:t>
            </w:r>
          </w:p>
        </w:tc>
        <w:tc>
          <w:tcPr>
            <w:tcW w:w="1179" w:type="pct"/>
            <w:tcBorders>
              <w:top w:val="nil"/>
              <w:left w:val="nil"/>
              <w:bottom w:val="nil"/>
              <w:right w:val="nil"/>
            </w:tcBorders>
            <w:shd w:val="clear" w:color="000000" w:fill="FFFFFF"/>
            <w:noWrap/>
            <w:vAlign w:val="center"/>
            <w:hideMark/>
          </w:tcPr>
          <w:p w14:paraId="7A43F091" w14:textId="77777777" w:rsidR="00013295" w:rsidRPr="00D618B7" w:rsidRDefault="00013295" w:rsidP="00013295">
            <w:pPr>
              <w:jc w:val="right"/>
              <w:rPr>
                <w:color w:val="000000"/>
                <w:sz w:val="22"/>
                <w:szCs w:val="22"/>
              </w:rPr>
            </w:pPr>
            <w:r w:rsidRPr="00D618B7">
              <w:rPr>
                <w:color w:val="000000"/>
                <w:sz w:val="22"/>
                <w:szCs w:val="22"/>
              </w:rPr>
              <w:t>1777.30</w:t>
            </w:r>
          </w:p>
        </w:tc>
      </w:tr>
      <w:tr w:rsidR="00013295" w:rsidRPr="00D618B7" w14:paraId="0A46C731" w14:textId="77777777" w:rsidTr="00013295">
        <w:trPr>
          <w:trHeight w:val="303"/>
        </w:trPr>
        <w:tc>
          <w:tcPr>
            <w:tcW w:w="2731" w:type="pct"/>
            <w:tcBorders>
              <w:top w:val="nil"/>
              <w:left w:val="nil"/>
              <w:bottom w:val="nil"/>
              <w:right w:val="nil"/>
            </w:tcBorders>
            <w:shd w:val="clear" w:color="000000" w:fill="FFFFFF"/>
            <w:vAlign w:val="center"/>
            <w:hideMark/>
          </w:tcPr>
          <w:p w14:paraId="563A481F" w14:textId="77777777" w:rsidR="00013295" w:rsidRPr="00D618B7" w:rsidRDefault="00013295" w:rsidP="00013295">
            <w:pPr>
              <w:jc w:val="center"/>
              <w:rPr>
                <w:color w:val="000000"/>
                <w:sz w:val="22"/>
                <w:szCs w:val="22"/>
              </w:rPr>
            </w:pPr>
            <w:r w:rsidRPr="00D618B7">
              <w:rPr>
                <w:color w:val="000000"/>
                <w:sz w:val="22"/>
                <w:szCs w:val="22"/>
              </w:rPr>
              <w:t>-2</w:t>
            </w:r>
          </w:p>
        </w:tc>
        <w:tc>
          <w:tcPr>
            <w:tcW w:w="1090" w:type="pct"/>
            <w:tcBorders>
              <w:top w:val="nil"/>
              <w:left w:val="nil"/>
              <w:bottom w:val="nil"/>
              <w:right w:val="nil"/>
            </w:tcBorders>
            <w:shd w:val="clear" w:color="000000" w:fill="FFFFFF"/>
            <w:noWrap/>
            <w:vAlign w:val="center"/>
            <w:hideMark/>
          </w:tcPr>
          <w:p w14:paraId="14EDB591" w14:textId="77777777" w:rsidR="00013295" w:rsidRPr="00D618B7" w:rsidRDefault="00013295" w:rsidP="00013295">
            <w:pPr>
              <w:jc w:val="right"/>
              <w:rPr>
                <w:color w:val="000000"/>
                <w:sz w:val="22"/>
                <w:szCs w:val="22"/>
              </w:rPr>
            </w:pPr>
            <w:r w:rsidRPr="00D618B7">
              <w:rPr>
                <w:color w:val="000000"/>
                <w:sz w:val="22"/>
                <w:szCs w:val="22"/>
              </w:rPr>
              <w:t>14012.62</w:t>
            </w:r>
          </w:p>
        </w:tc>
        <w:tc>
          <w:tcPr>
            <w:tcW w:w="1179" w:type="pct"/>
            <w:tcBorders>
              <w:top w:val="nil"/>
              <w:left w:val="nil"/>
              <w:bottom w:val="nil"/>
              <w:right w:val="nil"/>
            </w:tcBorders>
            <w:shd w:val="clear" w:color="000000" w:fill="FFFFFF"/>
            <w:noWrap/>
            <w:vAlign w:val="center"/>
            <w:hideMark/>
          </w:tcPr>
          <w:p w14:paraId="7E5B2927" w14:textId="77777777" w:rsidR="00013295" w:rsidRPr="00D618B7" w:rsidRDefault="00013295" w:rsidP="00013295">
            <w:pPr>
              <w:jc w:val="right"/>
              <w:rPr>
                <w:color w:val="000000"/>
                <w:sz w:val="22"/>
                <w:szCs w:val="22"/>
              </w:rPr>
            </w:pPr>
            <w:r w:rsidRPr="00D618B7">
              <w:rPr>
                <w:color w:val="000000"/>
                <w:sz w:val="22"/>
                <w:szCs w:val="22"/>
              </w:rPr>
              <w:t>1666.93</w:t>
            </w:r>
          </w:p>
        </w:tc>
      </w:tr>
      <w:tr w:rsidR="00013295" w:rsidRPr="00D618B7" w14:paraId="288CF801" w14:textId="77777777" w:rsidTr="00013295">
        <w:trPr>
          <w:trHeight w:val="303"/>
        </w:trPr>
        <w:tc>
          <w:tcPr>
            <w:tcW w:w="2731" w:type="pct"/>
            <w:tcBorders>
              <w:top w:val="nil"/>
              <w:left w:val="nil"/>
              <w:bottom w:val="nil"/>
              <w:right w:val="nil"/>
            </w:tcBorders>
            <w:shd w:val="clear" w:color="000000" w:fill="FFFFFF"/>
            <w:vAlign w:val="center"/>
            <w:hideMark/>
          </w:tcPr>
          <w:p w14:paraId="58544664" w14:textId="77777777" w:rsidR="00013295" w:rsidRPr="00D618B7" w:rsidRDefault="00013295" w:rsidP="00013295">
            <w:pPr>
              <w:jc w:val="center"/>
              <w:rPr>
                <w:color w:val="000000"/>
                <w:sz w:val="22"/>
                <w:szCs w:val="22"/>
              </w:rPr>
            </w:pPr>
            <w:r w:rsidRPr="00D618B7">
              <w:rPr>
                <w:color w:val="000000"/>
                <w:sz w:val="22"/>
                <w:szCs w:val="22"/>
              </w:rPr>
              <w:t>-1</w:t>
            </w:r>
          </w:p>
        </w:tc>
        <w:tc>
          <w:tcPr>
            <w:tcW w:w="1090" w:type="pct"/>
            <w:tcBorders>
              <w:top w:val="nil"/>
              <w:left w:val="nil"/>
              <w:bottom w:val="nil"/>
              <w:right w:val="nil"/>
            </w:tcBorders>
            <w:shd w:val="clear" w:color="000000" w:fill="FFFFFF"/>
            <w:noWrap/>
            <w:vAlign w:val="center"/>
            <w:hideMark/>
          </w:tcPr>
          <w:p w14:paraId="341D4EE2" w14:textId="77777777" w:rsidR="00013295" w:rsidRPr="00D618B7" w:rsidRDefault="00013295" w:rsidP="00013295">
            <w:pPr>
              <w:jc w:val="right"/>
              <w:rPr>
                <w:color w:val="000000"/>
                <w:sz w:val="22"/>
                <w:szCs w:val="22"/>
              </w:rPr>
            </w:pPr>
            <w:r w:rsidRPr="00D618B7">
              <w:rPr>
                <w:color w:val="000000"/>
                <w:sz w:val="22"/>
                <w:szCs w:val="22"/>
              </w:rPr>
              <w:t>16796.04</w:t>
            </w:r>
          </w:p>
        </w:tc>
        <w:tc>
          <w:tcPr>
            <w:tcW w:w="1179" w:type="pct"/>
            <w:tcBorders>
              <w:top w:val="nil"/>
              <w:left w:val="nil"/>
              <w:bottom w:val="nil"/>
              <w:right w:val="nil"/>
            </w:tcBorders>
            <w:shd w:val="clear" w:color="000000" w:fill="FFFFFF"/>
            <w:noWrap/>
            <w:vAlign w:val="center"/>
            <w:hideMark/>
          </w:tcPr>
          <w:p w14:paraId="636804CC" w14:textId="77777777" w:rsidR="00013295" w:rsidRPr="00D618B7" w:rsidRDefault="00013295" w:rsidP="00013295">
            <w:pPr>
              <w:jc w:val="right"/>
              <w:rPr>
                <w:color w:val="000000"/>
                <w:sz w:val="22"/>
                <w:szCs w:val="22"/>
              </w:rPr>
            </w:pPr>
            <w:r w:rsidRPr="00D618B7">
              <w:rPr>
                <w:color w:val="000000"/>
                <w:sz w:val="22"/>
                <w:szCs w:val="22"/>
              </w:rPr>
              <w:t>1608.20</w:t>
            </w:r>
          </w:p>
        </w:tc>
      </w:tr>
      <w:tr w:rsidR="00013295" w:rsidRPr="00D618B7" w14:paraId="78FFF687" w14:textId="77777777" w:rsidTr="00013295">
        <w:trPr>
          <w:trHeight w:val="303"/>
        </w:trPr>
        <w:tc>
          <w:tcPr>
            <w:tcW w:w="2731" w:type="pct"/>
            <w:tcBorders>
              <w:top w:val="nil"/>
              <w:left w:val="nil"/>
              <w:bottom w:val="nil"/>
              <w:right w:val="nil"/>
            </w:tcBorders>
            <w:shd w:val="clear" w:color="000000" w:fill="FFFFFF"/>
            <w:vAlign w:val="center"/>
            <w:hideMark/>
          </w:tcPr>
          <w:p w14:paraId="4312F570" w14:textId="77777777" w:rsidR="00013295" w:rsidRPr="00D618B7" w:rsidRDefault="00013295" w:rsidP="00013295">
            <w:pPr>
              <w:jc w:val="center"/>
              <w:rPr>
                <w:color w:val="000000"/>
                <w:sz w:val="22"/>
                <w:szCs w:val="22"/>
              </w:rPr>
            </w:pPr>
            <w:r w:rsidRPr="00D618B7">
              <w:rPr>
                <w:color w:val="000000"/>
                <w:sz w:val="22"/>
                <w:szCs w:val="22"/>
              </w:rPr>
              <w:t>0</w:t>
            </w:r>
          </w:p>
        </w:tc>
        <w:tc>
          <w:tcPr>
            <w:tcW w:w="1090" w:type="pct"/>
            <w:tcBorders>
              <w:top w:val="nil"/>
              <w:left w:val="nil"/>
              <w:bottom w:val="nil"/>
              <w:right w:val="nil"/>
            </w:tcBorders>
            <w:shd w:val="clear" w:color="000000" w:fill="FFFFFF"/>
            <w:noWrap/>
            <w:vAlign w:val="center"/>
            <w:hideMark/>
          </w:tcPr>
          <w:p w14:paraId="495E9092" w14:textId="77777777" w:rsidR="00013295" w:rsidRPr="00D618B7" w:rsidRDefault="00013295" w:rsidP="00013295">
            <w:pPr>
              <w:jc w:val="right"/>
              <w:rPr>
                <w:color w:val="000000"/>
                <w:sz w:val="22"/>
                <w:szCs w:val="22"/>
              </w:rPr>
            </w:pPr>
            <w:r w:rsidRPr="00D618B7">
              <w:rPr>
                <w:color w:val="000000"/>
                <w:sz w:val="22"/>
                <w:szCs w:val="22"/>
              </w:rPr>
              <w:t>10209.53</w:t>
            </w:r>
          </w:p>
        </w:tc>
        <w:tc>
          <w:tcPr>
            <w:tcW w:w="1179" w:type="pct"/>
            <w:tcBorders>
              <w:top w:val="nil"/>
              <w:left w:val="nil"/>
              <w:bottom w:val="nil"/>
              <w:right w:val="nil"/>
            </w:tcBorders>
            <w:shd w:val="clear" w:color="000000" w:fill="FFFFFF"/>
            <w:noWrap/>
            <w:vAlign w:val="center"/>
            <w:hideMark/>
          </w:tcPr>
          <w:p w14:paraId="4BDD046F" w14:textId="77777777" w:rsidR="00013295" w:rsidRPr="00D618B7" w:rsidRDefault="00013295" w:rsidP="00013295">
            <w:pPr>
              <w:jc w:val="right"/>
              <w:rPr>
                <w:color w:val="000000"/>
                <w:sz w:val="22"/>
                <w:szCs w:val="22"/>
              </w:rPr>
            </w:pPr>
            <w:r w:rsidRPr="00D618B7">
              <w:rPr>
                <w:color w:val="000000"/>
                <w:sz w:val="22"/>
                <w:szCs w:val="22"/>
              </w:rPr>
              <w:t>1573.69</w:t>
            </w:r>
          </w:p>
        </w:tc>
      </w:tr>
      <w:tr w:rsidR="00013295" w:rsidRPr="00D618B7" w14:paraId="0ED6333F" w14:textId="77777777" w:rsidTr="00013295">
        <w:trPr>
          <w:trHeight w:val="303"/>
        </w:trPr>
        <w:tc>
          <w:tcPr>
            <w:tcW w:w="2731" w:type="pct"/>
            <w:tcBorders>
              <w:top w:val="nil"/>
              <w:left w:val="nil"/>
              <w:bottom w:val="nil"/>
              <w:right w:val="nil"/>
            </w:tcBorders>
            <w:shd w:val="clear" w:color="000000" w:fill="FFFFFF"/>
            <w:vAlign w:val="center"/>
            <w:hideMark/>
          </w:tcPr>
          <w:p w14:paraId="0EA1A1F1" w14:textId="77777777" w:rsidR="00013295" w:rsidRPr="00D618B7" w:rsidRDefault="00013295" w:rsidP="00013295">
            <w:pPr>
              <w:jc w:val="center"/>
              <w:rPr>
                <w:color w:val="000000"/>
                <w:sz w:val="22"/>
                <w:szCs w:val="22"/>
              </w:rPr>
            </w:pPr>
            <w:r w:rsidRPr="00D618B7">
              <w:rPr>
                <w:color w:val="000000"/>
                <w:sz w:val="22"/>
                <w:szCs w:val="22"/>
              </w:rPr>
              <w:t>1</w:t>
            </w:r>
          </w:p>
        </w:tc>
        <w:tc>
          <w:tcPr>
            <w:tcW w:w="1090" w:type="pct"/>
            <w:tcBorders>
              <w:top w:val="nil"/>
              <w:left w:val="nil"/>
              <w:bottom w:val="nil"/>
              <w:right w:val="nil"/>
            </w:tcBorders>
            <w:shd w:val="clear" w:color="000000" w:fill="FFFFFF"/>
            <w:noWrap/>
            <w:vAlign w:val="center"/>
            <w:hideMark/>
          </w:tcPr>
          <w:p w14:paraId="69CE48A1" w14:textId="77777777" w:rsidR="00013295" w:rsidRPr="00D618B7" w:rsidRDefault="00013295" w:rsidP="00013295">
            <w:pPr>
              <w:jc w:val="right"/>
              <w:rPr>
                <w:color w:val="000000"/>
                <w:sz w:val="22"/>
                <w:szCs w:val="22"/>
              </w:rPr>
            </w:pPr>
            <w:r w:rsidRPr="00D618B7">
              <w:rPr>
                <w:color w:val="000000"/>
                <w:sz w:val="22"/>
                <w:szCs w:val="22"/>
              </w:rPr>
              <w:t>14311.74</w:t>
            </w:r>
          </w:p>
        </w:tc>
        <w:tc>
          <w:tcPr>
            <w:tcW w:w="1179" w:type="pct"/>
            <w:tcBorders>
              <w:top w:val="nil"/>
              <w:left w:val="nil"/>
              <w:bottom w:val="nil"/>
              <w:right w:val="nil"/>
            </w:tcBorders>
            <w:shd w:val="clear" w:color="000000" w:fill="FFFFFF"/>
            <w:noWrap/>
            <w:vAlign w:val="center"/>
            <w:hideMark/>
          </w:tcPr>
          <w:p w14:paraId="29C53D87" w14:textId="77777777" w:rsidR="00013295" w:rsidRPr="00D618B7" w:rsidRDefault="00013295" w:rsidP="00013295">
            <w:pPr>
              <w:jc w:val="right"/>
              <w:rPr>
                <w:color w:val="000000"/>
                <w:sz w:val="22"/>
                <w:szCs w:val="22"/>
              </w:rPr>
            </w:pPr>
            <w:r w:rsidRPr="00D618B7">
              <w:rPr>
                <w:color w:val="000000"/>
                <w:sz w:val="22"/>
                <w:szCs w:val="22"/>
              </w:rPr>
              <w:t>1582.18</w:t>
            </w:r>
          </w:p>
        </w:tc>
      </w:tr>
      <w:tr w:rsidR="00013295" w:rsidRPr="00D618B7" w14:paraId="202B4BCF" w14:textId="77777777" w:rsidTr="00013295">
        <w:trPr>
          <w:trHeight w:val="303"/>
        </w:trPr>
        <w:tc>
          <w:tcPr>
            <w:tcW w:w="2731" w:type="pct"/>
            <w:tcBorders>
              <w:top w:val="nil"/>
              <w:left w:val="nil"/>
              <w:bottom w:val="nil"/>
              <w:right w:val="nil"/>
            </w:tcBorders>
            <w:shd w:val="clear" w:color="000000" w:fill="FFFFFF"/>
            <w:vAlign w:val="center"/>
            <w:hideMark/>
          </w:tcPr>
          <w:p w14:paraId="4A78AB23" w14:textId="77777777" w:rsidR="00013295" w:rsidRPr="00D618B7" w:rsidRDefault="00013295" w:rsidP="00013295">
            <w:pPr>
              <w:jc w:val="center"/>
              <w:rPr>
                <w:color w:val="000000"/>
                <w:sz w:val="22"/>
                <w:szCs w:val="22"/>
              </w:rPr>
            </w:pPr>
            <w:r w:rsidRPr="00D618B7">
              <w:rPr>
                <w:color w:val="000000"/>
                <w:sz w:val="22"/>
                <w:szCs w:val="22"/>
              </w:rPr>
              <w:t>2</w:t>
            </w:r>
          </w:p>
        </w:tc>
        <w:tc>
          <w:tcPr>
            <w:tcW w:w="1090" w:type="pct"/>
            <w:tcBorders>
              <w:top w:val="nil"/>
              <w:left w:val="nil"/>
              <w:bottom w:val="nil"/>
              <w:right w:val="nil"/>
            </w:tcBorders>
            <w:shd w:val="clear" w:color="000000" w:fill="FFFFFF"/>
            <w:noWrap/>
            <w:vAlign w:val="center"/>
            <w:hideMark/>
          </w:tcPr>
          <w:p w14:paraId="124A40D9" w14:textId="77777777" w:rsidR="00013295" w:rsidRPr="00D618B7" w:rsidRDefault="00013295" w:rsidP="00013295">
            <w:pPr>
              <w:jc w:val="right"/>
              <w:rPr>
                <w:color w:val="000000"/>
                <w:sz w:val="22"/>
                <w:szCs w:val="22"/>
              </w:rPr>
            </w:pPr>
            <w:r w:rsidRPr="00D618B7">
              <w:rPr>
                <w:color w:val="000000"/>
                <w:sz w:val="22"/>
                <w:szCs w:val="22"/>
              </w:rPr>
              <w:t>7722.32</w:t>
            </w:r>
          </w:p>
        </w:tc>
        <w:tc>
          <w:tcPr>
            <w:tcW w:w="1179" w:type="pct"/>
            <w:tcBorders>
              <w:top w:val="nil"/>
              <w:left w:val="nil"/>
              <w:bottom w:val="nil"/>
              <w:right w:val="nil"/>
            </w:tcBorders>
            <w:shd w:val="clear" w:color="000000" w:fill="FFFFFF"/>
            <w:noWrap/>
            <w:vAlign w:val="center"/>
            <w:hideMark/>
          </w:tcPr>
          <w:p w14:paraId="45A68439" w14:textId="77777777" w:rsidR="00013295" w:rsidRPr="00D618B7" w:rsidRDefault="00013295" w:rsidP="00013295">
            <w:pPr>
              <w:jc w:val="right"/>
              <w:rPr>
                <w:color w:val="000000"/>
                <w:sz w:val="22"/>
                <w:szCs w:val="22"/>
              </w:rPr>
            </w:pPr>
            <w:r w:rsidRPr="00D618B7">
              <w:rPr>
                <w:color w:val="000000"/>
                <w:sz w:val="22"/>
                <w:szCs w:val="22"/>
              </w:rPr>
              <w:t>1773.24</w:t>
            </w:r>
          </w:p>
        </w:tc>
      </w:tr>
      <w:tr w:rsidR="00013295" w:rsidRPr="00D618B7" w14:paraId="6508E843" w14:textId="77777777" w:rsidTr="00013295">
        <w:trPr>
          <w:trHeight w:val="303"/>
        </w:trPr>
        <w:tc>
          <w:tcPr>
            <w:tcW w:w="2731" w:type="pct"/>
            <w:tcBorders>
              <w:top w:val="nil"/>
              <w:left w:val="nil"/>
              <w:bottom w:val="nil"/>
              <w:right w:val="nil"/>
            </w:tcBorders>
            <w:shd w:val="clear" w:color="000000" w:fill="FFFFFF"/>
            <w:vAlign w:val="center"/>
            <w:hideMark/>
          </w:tcPr>
          <w:p w14:paraId="38081A84" w14:textId="77777777" w:rsidR="00013295" w:rsidRPr="00D618B7" w:rsidRDefault="00013295" w:rsidP="00013295">
            <w:pPr>
              <w:jc w:val="center"/>
              <w:rPr>
                <w:color w:val="000000"/>
                <w:sz w:val="22"/>
                <w:szCs w:val="22"/>
              </w:rPr>
            </w:pPr>
            <w:r w:rsidRPr="00D618B7">
              <w:rPr>
                <w:color w:val="000000"/>
                <w:sz w:val="22"/>
                <w:szCs w:val="22"/>
              </w:rPr>
              <w:t>3</w:t>
            </w:r>
          </w:p>
        </w:tc>
        <w:tc>
          <w:tcPr>
            <w:tcW w:w="1090" w:type="pct"/>
            <w:tcBorders>
              <w:top w:val="nil"/>
              <w:left w:val="nil"/>
              <w:bottom w:val="nil"/>
              <w:right w:val="nil"/>
            </w:tcBorders>
            <w:shd w:val="clear" w:color="000000" w:fill="FFFFFF"/>
            <w:noWrap/>
            <w:vAlign w:val="center"/>
            <w:hideMark/>
          </w:tcPr>
          <w:p w14:paraId="29EE1D62" w14:textId="77777777" w:rsidR="00013295" w:rsidRPr="00D618B7" w:rsidRDefault="00013295" w:rsidP="00013295">
            <w:pPr>
              <w:jc w:val="right"/>
              <w:rPr>
                <w:color w:val="000000"/>
                <w:sz w:val="22"/>
                <w:szCs w:val="22"/>
              </w:rPr>
            </w:pPr>
            <w:r w:rsidRPr="00D618B7">
              <w:rPr>
                <w:color w:val="000000"/>
                <w:sz w:val="22"/>
                <w:szCs w:val="22"/>
              </w:rPr>
              <w:t>9946.42</w:t>
            </w:r>
          </w:p>
        </w:tc>
        <w:tc>
          <w:tcPr>
            <w:tcW w:w="1179" w:type="pct"/>
            <w:tcBorders>
              <w:top w:val="nil"/>
              <w:left w:val="nil"/>
              <w:bottom w:val="nil"/>
              <w:right w:val="nil"/>
            </w:tcBorders>
            <w:shd w:val="clear" w:color="000000" w:fill="FFFFFF"/>
            <w:noWrap/>
            <w:vAlign w:val="center"/>
            <w:hideMark/>
          </w:tcPr>
          <w:p w14:paraId="2EEA13DE" w14:textId="77777777" w:rsidR="00013295" w:rsidRPr="00D618B7" w:rsidRDefault="00013295" w:rsidP="00013295">
            <w:pPr>
              <w:jc w:val="right"/>
              <w:rPr>
                <w:color w:val="000000"/>
                <w:sz w:val="22"/>
                <w:szCs w:val="22"/>
              </w:rPr>
            </w:pPr>
            <w:r w:rsidRPr="00D618B7">
              <w:rPr>
                <w:color w:val="000000"/>
                <w:sz w:val="22"/>
                <w:szCs w:val="22"/>
              </w:rPr>
              <w:t>1577.53</w:t>
            </w:r>
          </w:p>
        </w:tc>
      </w:tr>
      <w:tr w:rsidR="00013295" w:rsidRPr="00D618B7" w14:paraId="4AFEFAD7" w14:textId="77777777" w:rsidTr="00013295">
        <w:trPr>
          <w:trHeight w:val="303"/>
        </w:trPr>
        <w:tc>
          <w:tcPr>
            <w:tcW w:w="2731" w:type="pct"/>
            <w:tcBorders>
              <w:top w:val="nil"/>
              <w:left w:val="nil"/>
              <w:bottom w:val="nil"/>
              <w:right w:val="nil"/>
            </w:tcBorders>
            <w:shd w:val="clear" w:color="000000" w:fill="FFFFFF"/>
            <w:vAlign w:val="center"/>
            <w:hideMark/>
          </w:tcPr>
          <w:p w14:paraId="21C35085" w14:textId="77777777" w:rsidR="00013295" w:rsidRPr="00D618B7" w:rsidRDefault="00013295" w:rsidP="00013295">
            <w:pPr>
              <w:jc w:val="center"/>
              <w:rPr>
                <w:color w:val="000000"/>
                <w:sz w:val="22"/>
                <w:szCs w:val="22"/>
              </w:rPr>
            </w:pPr>
            <w:r w:rsidRPr="00D618B7">
              <w:rPr>
                <w:color w:val="000000"/>
                <w:sz w:val="22"/>
                <w:szCs w:val="22"/>
              </w:rPr>
              <w:t>4</w:t>
            </w:r>
          </w:p>
        </w:tc>
        <w:tc>
          <w:tcPr>
            <w:tcW w:w="1090" w:type="pct"/>
            <w:tcBorders>
              <w:top w:val="nil"/>
              <w:left w:val="nil"/>
              <w:bottom w:val="nil"/>
              <w:right w:val="nil"/>
            </w:tcBorders>
            <w:shd w:val="clear" w:color="000000" w:fill="FFFFFF"/>
            <w:noWrap/>
            <w:vAlign w:val="center"/>
            <w:hideMark/>
          </w:tcPr>
          <w:p w14:paraId="5CF4D3A9" w14:textId="77777777" w:rsidR="00013295" w:rsidRPr="00D618B7" w:rsidRDefault="00013295" w:rsidP="00013295">
            <w:pPr>
              <w:jc w:val="right"/>
              <w:rPr>
                <w:color w:val="000000"/>
                <w:sz w:val="22"/>
                <w:szCs w:val="22"/>
              </w:rPr>
            </w:pPr>
            <w:r w:rsidRPr="00D618B7">
              <w:rPr>
                <w:color w:val="000000"/>
                <w:sz w:val="22"/>
                <w:szCs w:val="22"/>
              </w:rPr>
              <w:t>7828.10</w:t>
            </w:r>
          </w:p>
        </w:tc>
        <w:tc>
          <w:tcPr>
            <w:tcW w:w="1179" w:type="pct"/>
            <w:tcBorders>
              <w:top w:val="nil"/>
              <w:left w:val="nil"/>
              <w:bottom w:val="nil"/>
              <w:right w:val="nil"/>
            </w:tcBorders>
            <w:shd w:val="clear" w:color="000000" w:fill="FFFFFF"/>
            <w:noWrap/>
            <w:vAlign w:val="center"/>
            <w:hideMark/>
          </w:tcPr>
          <w:p w14:paraId="3768CFF7" w14:textId="77777777" w:rsidR="00013295" w:rsidRPr="00D618B7" w:rsidRDefault="00013295" w:rsidP="00013295">
            <w:pPr>
              <w:jc w:val="right"/>
              <w:rPr>
                <w:color w:val="000000"/>
                <w:sz w:val="22"/>
                <w:szCs w:val="22"/>
              </w:rPr>
            </w:pPr>
            <w:r w:rsidRPr="00D618B7">
              <w:rPr>
                <w:color w:val="000000"/>
                <w:sz w:val="22"/>
                <w:szCs w:val="22"/>
              </w:rPr>
              <w:t>1662.04</w:t>
            </w:r>
          </w:p>
        </w:tc>
      </w:tr>
      <w:tr w:rsidR="00013295" w:rsidRPr="00D618B7" w14:paraId="03479AE3" w14:textId="77777777" w:rsidTr="00013295">
        <w:trPr>
          <w:trHeight w:val="303"/>
        </w:trPr>
        <w:tc>
          <w:tcPr>
            <w:tcW w:w="2731" w:type="pct"/>
            <w:tcBorders>
              <w:top w:val="nil"/>
              <w:left w:val="nil"/>
              <w:bottom w:val="single" w:sz="8" w:space="0" w:color="auto"/>
              <w:right w:val="nil"/>
            </w:tcBorders>
            <w:shd w:val="clear" w:color="000000" w:fill="FFFFFF"/>
            <w:vAlign w:val="center"/>
            <w:hideMark/>
          </w:tcPr>
          <w:p w14:paraId="32E9E837" w14:textId="77777777" w:rsidR="00013295" w:rsidRPr="00D618B7" w:rsidRDefault="00013295" w:rsidP="00013295">
            <w:pPr>
              <w:jc w:val="center"/>
              <w:rPr>
                <w:color w:val="000000"/>
                <w:sz w:val="22"/>
                <w:szCs w:val="22"/>
              </w:rPr>
            </w:pPr>
            <w:r w:rsidRPr="00D618B7">
              <w:rPr>
                <w:color w:val="000000"/>
                <w:sz w:val="22"/>
                <w:szCs w:val="22"/>
              </w:rPr>
              <w:t>5</w:t>
            </w:r>
          </w:p>
        </w:tc>
        <w:tc>
          <w:tcPr>
            <w:tcW w:w="1090" w:type="pct"/>
            <w:tcBorders>
              <w:top w:val="nil"/>
              <w:left w:val="nil"/>
              <w:bottom w:val="single" w:sz="8" w:space="0" w:color="auto"/>
              <w:right w:val="nil"/>
            </w:tcBorders>
            <w:shd w:val="clear" w:color="000000" w:fill="FFFFFF"/>
            <w:noWrap/>
            <w:vAlign w:val="center"/>
            <w:hideMark/>
          </w:tcPr>
          <w:p w14:paraId="527E6537" w14:textId="77777777" w:rsidR="00013295" w:rsidRPr="00D618B7" w:rsidRDefault="00013295" w:rsidP="00013295">
            <w:pPr>
              <w:jc w:val="right"/>
              <w:rPr>
                <w:color w:val="000000"/>
                <w:sz w:val="22"/>
                <w:szCs w:val="22"/>
              </w:rPr>
            </w:pPr>
            <w:r w:rsidRPr="00D618B7">
              <w:rPr>
                <w:color w:val="000000"/>
                <w:sz w:val="22"/>
                <w:szCs w:val="22"/>
              </w:rPr>
              <w:t>9225.02</w:t>
            </w:r>
          </w:p>
        </w:tc>
        <w:tc>
          <w:tcPr>
            <w:tcW w:w="1179" w:type="pct"/>
            <w:tcBorders>
              <w:top w:val="nil"/>
              <w:left w:val="nil"/>
              <w:bottom w:val="single" w:sz="8" w:space="0" w:color="auto"/>
              <w:right w:val="nil"/>
            </w:tcBorders>
            <w:shd w:val="clear" w:color="000000" w:fill="FFFFFF"/>
            <w:noWrap/>
            <w:vAlign w:val="center"/>
            <w:hideMark/>
          </w:tcPr>
          <w:p w14:paraId="55FDC3A6" w14:textId="77777777" w:rsidR="00013295" w:rsidRPr="00D618B7" w:rsidRDefault="00013295" w:rsidP="00013295">
            <w:pPr>
              <w:jc w:val="right"/>
              <w:rPr>
                <w:color w:val="000000"/>
                <w:sz w:val="22"/>
                <w:szCs w:val="22"/>
              </w:rPr>
            </w:pPr>
            <w:r w:rsidRPr="00D618B7">
              <w:rPr>
                <w:color w:val="000000"/>
                <w:sz w:val="22"/>
                <w:szCs w:val="22"/>
              </w:rPr>
              <w:t>1681.15</w:t>
            </w:r>
          </w:p>
        </w:tc>
      </w:tr>
    </w:tbl>
    <w:p w14:paraId="6D0DB94C" w14:textId="77777777" w:rsidR="00013295" w:rsidRPr="00D618B7" w:rsidRDefault="00013295" w:rsidP="00013295">
      <w:pPr>
        <w:spacing w:after="160" w:line="259" w:lineRule="auto"/>
        <w:rPr>
          <w:rFonts w:eastAsia="Aptos"/>
          <w:kern w:val="2"/>
          <w:sz w:val="22"/>
          <w:szCs w:val="22"/>
        </w:rPr>
      </w:pPr>
    </w:p>
    <w:p w14:paraId="428A99B7" w14:textId="77777777" w:rsidR="00013295" w:rsidRPr="00D618B7" w:rsidRDefault="00013295" w:rsidP="00013295">
      <w:pPr>
        <w:spacing w:after="160" w:line="259" w:lineRule="auto"/>
        <w:rPr>
          <w:rFonts w:eastAsia="Aptos"/>
          <w:kern w:val="2"/>
          <w:sz w:val="22"/>
          <w:szCs w:val="22"/>
        </w:rPr>
      </w:pPr>
      <w:r w:rsidRPr="00D618B7">
        <w:rPr>
          <w:rFonts w:eastAsia="Aptos"/>
          <w:i/>
          <w:iCs/>
          <w:kern w:val="2"/>
          <w:sz w:val="22"/>
          <w:szCs w:val="22"/>
        </w:rPr>
        <w:t>Note</w:t>
      </w:r>
      <w:r w:rsidRPr="00D618B7">
        <w:rPr>
          <w:rFonts w:eastAsia="Aptos"/>
          <w:kern w:val="2"/>
          <w:sz w:val="22"/>
          <w:szCs w:val="22"/>
        </w:rPr>
        <w:t>. This table lists the estimated mean duration and standard error in milliseconds for each week around reach-onset.</w:t>
      </w:r>
    </w:p>
    <w:p w14:paraId="5A37CAAF" w14:textId="77777777" w:rsidR="00013295" w:rsidRPr="00D618B7" w:rsidRDefault="00013295" w:rsidP="00013295">
      <w:pPr>
        <w:spacing w:after="160" w:line="259" w:lineRule="auto"/>
        <w:rPr>
          <w:rFonts w:eastAsia="Aptos"/>
          <w:kern w:val="2"/>
          <w:sz w:val="22"/>
          <w:szCs w:val="22"/>
        </w:rPr>
      </w:pPr>
      <w:r w:rsidRPr="00D618B7">
        <w:rPr>
          <w:rFonts w:eastAsia="Aptos"/>
          <w:kern w:val="2"/>
          <w:sz w:val="22"/>
          <w:szCs w:val="22"/>
        </w:rPr>
        <w:br w:type="page"/>
      </w:r>
    </w:p>
    <w:p w14:paraId="7D05072F" w14:textId="7ECB37B4" w:rsidR="00013295" w:rsidRPr="00D618B7" w:rsidRDefault="00013295" w:rsidP="00013295">
      <w:pPr>
        <w:spacing w:after="160" w:line="259" w:lineRule="auto"/>
        <w:rPr>
          <w:rFonts w:eastAsia="Aptos"/>
          <w:kern w:val="2"/>
          <w:sz w:val="22"/>
          <w:szCs w:val="22"/>
        </w:rPr>
      </w:pPr>
      <w:r w:rsidRPr="00D618B7">
        <w:rPr>
          <w:rFonts w:eastAsia="Aptos"/>
          <w:i/>
          <w:iCs/>
          <w:noProof/>
          <w:kern w:val="2"/>
          <w:sz w:val="22"/>
          <w:szCs w:val="22"/>
        </w:rPr>
        <w:lastRenderedPageBreak/>
        <w:drawing>
          <wp:inline distT="0" distB="0" distL="0" distR="0" wp14:anchorId="5524EDEC" wp14:editId="3F298807">
            <wp:extent cx="5486400" cy="5629734"/>
            <wp:effectExtent l="0" t="0" r="0" b="0"/>
            <wp:docPr id="150861188" name="Picture 1" descr="A screenshot of a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1188" name="Picture 1" descr="A screenshot of a toy&#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5629734"/>
                    </a:xfrm>
                    <a:prstGeom prst="rect">
                      <a:avLst/>
                    </a:prstGeom>
                    <a:noFill/>
                  </pic:spPr>
                </pic:pic>
              </a:graphicData>
            </a:graphic>
          </wp:inline>
        </w:drawing>
      </w:r>
    </w:p>
    <w:p w14:paraId="49BDA132" w14:textId="77777777" w:rsidR="001E3794" w:rsidRPr="00D618B7" w:rsidRDefault="001E3794" w:rsidP="007C5074">
      <w:pPr>
        <w:pStyle w:val="Caption"/>
        <w:rPr>
          <w:rFonts w:eastAsia="Aptos"/>
        </w:rPr>
      </w:pPr>
      <w:bookmarkStart w:id="127" w:name="_Toc172716946"/>
      <w:r w:rsidRPr="00D618B7">
        <w:t xml:space="preserve">Figure </w:t>
      </w:r>
      <w:r>
        <w:fldChar w:fldCharType="begin"/>
      </w:r>
      <w:r>
        <w:instrText xml:space="preserve"> SEQ Figure \* ARABIC </w:instrText>
      </w:r>
      <w:r>
        <w:fldChar w:fldCharType="separate"/>
      </w:r>
      <w:r>
        <w:rPr>
          <w:noProof/>
        </w:rPr>
        <w:t>6</w:t>
      </w:r>
      <w:r>
        <w:rPr>
          <w:noProof/>
        </w:rPr>
        <w:fldChar w:fldCharType="end"/>
      </w:r>
      <w:r w:rsidRPr="00D618B7">
        <w:t>:</w:t>
      </w:r>
      <w:r w:rsidRPr="00D618B7">
        <w:rPr>
          <w:rFonts w:eastAsia="Aptos"/>
        </w:rPr>
        <w:t xml:space="preserve"> Event duration by event toy, week, and proximity</w:t>
      </w:r>
      <w:bookmarkEnd w:id="127"/>
    </w:p>
    <w:p w14:paraId="1F925EF2" w14:textId="77777777" w:rsidR="001E3794" w:rsidRDefault="001E3794" w:rsidP="001E3794">
      <w:pPr>
        <w:rPr>
          <w:rFonts w:eastAsia="Aptos"/>
          <w:kern w:val="2"/>
          <w:sz w:val="22"/>
          <w:szCs w:val="22"/>
        </w:rPr>
      </w:pPr>
      <w:r w:rsidRPr="00D618B7">
        <w:rPr>
          <w:rFonts w:eastAsia="Aptos"/>
          <w:kern w:val="2"/>
          <w:sz w:val="22"/>
          <w:szCs w:val="22"/>
        </w:rPr>
        <w:t>Estimated Mean Duration of Event by Proximity and by Week</w:t>
      </w:r>
    </w:p>
    <w:p w14:paraId="0D9F46FF" w14:textId="59C2C1D1" w:rsidR="00013295" w:rsidRPr="00D618B7" w:rsidRDefault="00013295" w:rsidP="001E3794">
      <w:pPr>
        <w:rPr>
          <w:rFonts w:eastAsia="Aptos"/>
          <w:kern w:val="2"/>
          <w:sz w:val="22"/>
          <w:szCs w:val="22"/>
        </w:rPr>
      </w:pPr>
      <w:r w:rsidRPr="00D618B7">
        <w:rPr>
          <w:rFonts w:eastAsia="Aptos"/>
          <w:i/>
          <w:iCs/>
          <w:kern w:val="2"/>
          <w:sz w:val="22"/>
          <w:szCs w:val="22"/>
        </w:rPr>
        <w:t>Note</w:t>
      </w:r>
      <w:r w:rsidRPr="00D618B7">
        <w:rPr>
          <w:rFonts w:eastAsia="Aptos"/>
          <w:kern w:val="2"/>
          <w:sz w:val="22"/>
          <w:szCs w:val="22"/>
        </w:rPr>
        <w:t>. This figure illustrates the estimated mean duration in milliseconds of toy-out-of-reach, toy-moving-into-reach, and toy-in-reach across the weeks around reach-onset.</w:t>
      </w:r>
    </w:p>
    <w:p w14:paraId="32736D65" w14:textId="77777777" w:rsidR="00013295" w:rsidRPr="00D618B7" w:rsidRDefault="00013295" w:rsidP="00013295">
      <w:pPr>
        <w:spacing w:after="160" w:line="259" w:lineRule="auto"/>
        <w:rPr>
          <w:rFonts w:eastAsia="Aptos"/>
          <w:kern w:val="2"/>
          <w:sz w:val="22"/>
          <w:szCs w:val="22"/>
        </w:rPr>
      </w:pPr>
      <w:r w:rsidRPr="00D618B7">
        <w:rPr>
          <w:rFonts w:eastAsia="Aptos"/>
          <w:kern w:val="2"/>
          <w:sz w:val="22"/>
          <w:szCs w:val="22"/>
        </w:rPr>
        <w:br w:type="page"/>
      </w:r>
    </w:p>
    <w:p w14:paraId="11387D7B" w14:textId="6B920439" w:rsidR="00013295" w:rsidRPr="00D618B7" w:rsidRDefault="004B7288" w:rsidP="007C5074">
      <w:pPr>
        <w:pStyle w:val="Caption"/>
        <w:rPr>
          <w:rFonts w:eastAsia="Aptos"/>
          <w:kern w:val="2"/>
          <w:sz w:val="22"/>
          <w:szCs w:val="22"/>
        </w:rPr>
      </w:pPr>
      <w:bookmarkStart w:id="128" w:name="_Toc172716833"/>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5</w:t>
      </w:r>
      <w:r w:rsidR="00000000">
        <w:rPr>
          <w:noProof/>
        </w:rPr>
        <w:fldChar w:fldCharType="end"/>
      </w:r>
      <w:r w:rsidR="00145E6A" w:rsidRPr="00D618B7">
        <w:t>:</w:t>
      </w:r>
      <w:r w:rsidR="00B045D0" w:rsidRPr="00D618B7">
        <w:rPr>
          <w:rFonts w:eastAsia="Aptos"/>
          <w:kern w:val="2"/>
          <w:sz w:val="22"/>
          <w:szCs w:val="22"/>
        </w:rPr>
        <w:t xml:space="preserve"> Event duration by proximity</w:t>
      </w:r>
      <w:bookmarkEnd w:id="128"/>
    </w:p>
    <w:p w14:paraId="3F329D98" w14:textId="77777777" w:rsidR="00013295" w:rsidRPr="00D618B7" w:rsidRDefault="00013295" w:rsidP="00013295">
      <w:pPr>
        <w:spacing w:after="160" w:line="259" w:lineRule="auto"/>
        <w:rPr>
          <w:rFonts w:eastAsia="Aptos"/>
          <w:kern w:val="2"/>
          <w:sz w:val="22"/>
          <w:szCs w:val="22"/>
        </w:rPr>
      </w:pPr>
      <w:r w:rsidRPr="00D618B7">
        <w:rPr>
          <w:rFonts w:eastAsia="Aptos"/>
          <w:kern w:val="2"/>
          <w:sz w:val="22"/>
          <w:szCs w:val="22"/>
        </w:rPr>
        <w:t>Estimated Mean Duration of Event in milliseconds by Zone of Proximity</w:t>
      </w:r>
    </w:p>
    <w:tbl>
      <w:tblPr>
        <w:tblW w:w="8820" w:type="dxa"/>
        <w:tblLook w:val="04A0" w:firstRow="1" w:lastRow="0" w:firstColumn="1" w:lastColumn="0" w:noHBand="0" w:noVBand="1"/>
      </w:tblPr>
      <w:tblGrid>
        <w:gridCol w:w="1140"/>
        <w:gridCol w:w="1261"/>
        <w:gridCol w:w="1367"/>
        <w:gridCol w:w="1193"/>
        <w:gridCol w:w="1367"/>
        <w:gridCol w:w="1261"/>
        <w:gridCol w:w="1367"/>
      </w:tblGrid>
      <w:tr w:rsidR="00013295" w:rsidRPr="00D618B7" w14:paraId="0E7B30F3" w14:textId="77777777" w:rsidTr="004B11B7">
        <w:trPr>
          <w:trHeight w:val="615"/>
        </w:trPr>
        <w:tc>
          <w:tcPr>
            <w:tcW w:w="1140" w:type="dxa"/>
            <w:tcBorders>
              <w:top w:val="single" w:sz="18" w:space="0" w:color="auto"/>
              <w:left w:val="nil"/>
              <w:right w:val="nil"/>
            </w:tcBorders>
            <w:shd w:val="clear" w:color="000000" w:fill="FFFFFF"/>
            <w:vAlign w:val="center"/>
            <w:hideMark/>
          </w:tcPr>
          <w:p w14:paraId="13D495C1" w14:textId="77777777" w:rsidR="00013295" w:rsidRPr="00D618B7" w:rsidRDefault="00013295" w:rsidP="00013295">
            <w:pPr>
              <w:rPr>
                <w:color w:val="000000"/>
                <w:sz w:val="22"/>
                <w:szCs w:val="22"/>
              </w:rPr>
            </w:pPr>
            <w:r w:rsidRPr="00D618B7">
              <w:rPr>
                <w:color w:val="000000"/>
                <w:sz w:val="22"/>
                <w:szCs w:val="22"/>
              </w:rPr>
              <w:t>Week</w:t>
            </w:r>
          </w:p>
        </w:tc>
        <w:tc>
          <w:tcPr>
            <w:tcW w:w="2560" w:type="dxa"/>
            <w:gridSpan w:val="2"/>
            <w:tcBorders>
              <w:top w:val="single" w:sz="18" w:space="0" w:color="auto"/>
              <w:left w:val="nil"/>
              <w:bottom w:val="single" w:sz="18" w:space="0" w:color="auto"/>
              <w:right w:val="nil"/>
            </w:tcBorders>
            <w:shd w:val="clear" w:color="000000" w:fill="FFFFFF"/>
            <w:vAlign w:val="center"/>
            <w:hideMark/>
          </w:tcPr>
          <w:p w14:paraId="5D81D62B" w14:textId="77777777" w:rsidR="00013295" w:rsidRPr="00D618B7" w:rsidRDefault="00013295" w:rsidP="00013295">
            <w:pPr>
              <w:jc w:val="center"/>
              <w:rPr>
                <w:color w:val="000000"/>
                <w:sz w:val="22"/>
                <w:szCs w:val="22"/>
              </w:rPr>
            </w:pPr>
            <w:r w:rsidRPr="00D618B7">
              <w:rPr>
                <w:color w:val="000000"/>
                <w:sz w:val="22"/>
                <w:szCs w:val="22"/>
              </w:rPr>
              <w:t>Toy Out of Reach</w:t>
            </w:r>
          </w:p>
        </w:tc>
        <w:tc>
          <w:tcPr>
            <w:tcW w:w="2560" w:type="dxa"/>
            <w:gridSpan w:val="2"/>
            <w:tcBorders>
              <w:top w:val="single" w:sz="18" w:space="0" w:color="auto"/>
              <w:left w:val="nil"/>
              <w:bottom w:val="single" w:sz="18" w:space="0" w:color="auto"/>
              <w:right w:val="nil"/>
            </w:tcBorders>
            <w:shd w:val="clear" w:color="000000" w:fill="FFFFFF"/>
            <w:vAlign w:val="center"/>
            <w:hideMark/>
          </w:tcPr>
          <w:p w14:paraId="59020D48" w14:textId="77777777" w:rsidR="00013295" w:rsidRPr="00D618B7" w:rsidRDefault="00013295" w:rsidP="00013295">
            <w:pPr>
              <w:jc w:val="center"/>
              <w:rPr>
                <w:color w:val="000000"/>
                <w:sz w:val="22"/>
                <w:szCs w:val="22"/>
              </w:rPr>
            </w:pPr>
            <w:r w:rsidRPr="00D618B7">
              <w:rPr>
                <w:color w:val="000000"/>
                <w:sz w:val="22"/>
                <w:szCs w:val="22"/>
              </w:rPr>
              <w:t>Toy Moving into Reach</w:t>
            </w:r>
          </w:p>
        </w:tc>
        <w:tc>
          <w:tcPr>
            <w:tcW w:w="2560" w:type="dxa"/>
            <w:gridSpan w:val="2"/>
            <w:tcBorders>
              <w:top w:val="single" w:sz="18" w:space="0" w:color="auto"/>
              <w:left w:val="nil"/>
              <w:bottom w:val="single" w:sz="18" w:space="0" w:color="auto"/>
              <w:right w:val="nil"/>
            </w:tcBorders>
            <w:shd w:val="clear" w:color="000000" w:fill="FFFFFF"/>
            <w:vAlign w:val="center"/>
            <w:hideMark/>
          </w:tcPr>
          <w:p w14:paraId="3EC45EF2" w14:textId="77777777" w:rsidR="00013295" w:rsidRPr="00D618B7" w:rsidRDefault="00013295" w:rsidP="00013295">
            <w:pPr>
              <w:jc w:val="center"/>
              <w:rPr>
                <w:color w:val="000000"/>
                <w:sz w:val="22"/>
                <w:szCs w:val="22"/>
              </w:rPr>
            </w:pPr>
            <w:r w:rsidRPr="00D618B7">
              <w:rPr>
                <w:color w:val="000000"/>
                <w:sz w:val="22"/>
                <w:szCs w:val="22"/>
              </w:rPr>
              <w:t>Toy in Reach</w:t>
            </w:r>
          </w:p>
        </w:tc>
      </w:tr>
      <w:tr w:rsidR="00013295" w:rsidRPr="00D618B7" w14:paraId="03055371" w14:textId="77777777" w:rsidTr="004B11B7">
        <w:trPr>
          <w:trHeight w:val="315"/>
        </w:trPr>
        <w:tc>
          <w:tcPr>
            <w:tcW w:w="1140" w:type="dxa"/>
            <w:tcBorders>
              <w:top w:val="nil"/>
              <w:left w:val="nil"/>
              <w:bottom w:val="single" w:sz="18" w:space="0" w:color="auto"/>
              <w:right w:val="nil"/>
            </w:tcBorders>
            <w:shd w:val="clear" w:color="000000" w:fill="FFFFFF"/>
            <w:noWrap/>
            <w:vAlign w:val="bottom"/>
            <w:hideMark/>
          </w:tcPr>
          <w:p w14:paraId="2711953F" w14:textId="77777777" w:rsidR="00013295" w:rsidRPr="00D618B7" w:rsidRDefault="00013295" w:rsidP="00013295">
            <w:pPr>
              <w:rPr>
                <w:color w:val="000000"/>
                <w:sz w:val="22"/>
                <w:szCs w:val="22"/>
              </w:rPr>
            </w:pPr>
            <w:r w:rsidRPr="00D618B7">
              <w:rPr>
                <w:color w:val="000000"/>
                <w:sz w:val="22"/>
                <w:szCs w:val="22"/>
              </w:rPr>
              <w:t> </w:t>
            </w:r>
          </w:p>
        </w:tc>
        <w:tc>
          <w:tcPr>
            <w:tcW w:w="1193" w:type="dxa"/>
            <w:tcBorders>
              <w:top w:val="single" w:sz="18" w:space="0" w:color="auto"/>
              <w:left w:val="nil"/>
              <w:bottom w:val="single" w:sz="18" w:space="0" w:color="auto"/>
              <w:right w:val="nil"/>
            </w:tcBorders>
            <w:shd w:val="clear" w:color="000000" w:fill="FFFFFF"/>
            <w:noWrap/>
            <w:vAlign w:val="center"/>
            <w:hideMark/>
          </w:tcPr>
          <w:p w14:paraId="689769DA" w14:textId="77777777" w:rsidR="00013295" w:rsidRPr="00D618B7" w:rsidRDefault="00013295" w:rsidP="00013295">
            <w:pPr>
              <w:jc w:val="right"/>
              <w:rPr>
                <w:color w:val="000000"/>
                <w:sz w:val="22"/>
                <w:szCs w:val="22"/>
              </w:rPr>
            </w:pPr>
            <w:r w:rsidRPr="00D618B7">
              <w:rPr>
                <w:color w:val="000000"/>
                <w:sz w:val="22"/>
                <w:szCs w:val="22"/>
              </w:rPr>
              <w:t>Mean</w:t>
            </w:r>
          </w:p>
        </w:tc>
        <w:tc>
          <w:tcPr>
            <w:tcW w:w="1367" w:type="dxa"/>
            <w:tcBorders>
              <w:top w:val="single" w:sz="18" w:space="0" w:color="auto"/>
              <w:left w:val="nil"/>
              <w:bottom w:val="single" w:sz="18" w:space="0" w:color="auto"/>
              <w:right w:val="nil"/>
            </w:tcBorders>
            <w:shd w:val="clear" w:color="000000" w:fill="FFFFFF"/>
            <w:noWrap/>
            <w:vAlign w:val="center"/>
            <w:hideMark/>
          </w:tcPr>
          <w:p w14:paraId="13C4B37A" w14:textId="77777777" w:rsidR="00013295" w:rsidRPr="00D618B7" w:rsidRDefault="00013295" w:rsidP="00013295">
            <w:pPr>
              <w:jc w:val="right"/>
              <w:rPr>
                <w:color w:val="000000"/>
                <w:sz w:val="22"/>
                <w:szCs w:val="22"/>
              </w:rPr>
            </w:pPr>
            <w:r w:rsidRPr="00D618B7">
              <w:rPr>
                <w:color w:val="000000"/>
                <w:sz w:val="22"/>
                <w:szCs w:val="22"/>
              </w:rPr>
              <w:t>Std. Error</w:t>
            </w:r>
          </w:p>
        </w:tc>
        <w:tc>
          <w:tcPr>
            <w:tcW w:w="1193" w:type="dxa"/>
            <w:tcBorders>
              <w:top w:val="single" w:sz="18" w:space="0" w:color="auto"/>
              <w:left w:val="nil"/>
              <w:bottom w:val="single" w:sz="18" w:space="0" w:color="auto"/>
              <w:right w:val="nil"/>
            </w:tcBorders>
            <w:shd w:val="clear" w:color="000000" w:fill="FFFFFF"/>
            <w:noWrap/>
            <w:vAlign w:val="center"/>
            <w:hideMark/>
          </w:tcPr>
          <w:p w14:paraId="7C261CA5" w14:textId="77777777" w:rsidR="00013295" w:rsidRPr="00D618B7" w:rsidRDefault="00013295" w:rsidP="00013295">
            <w:pPr>
              <w:jc w:val="right"/>
              <w:rPr>
                <w:color w:val="000000"/>
                <w:sz w:val="22"/>
                <w:szCs w:val="22"/>
              </w:rPr>
            </w:pPr>
            <w:r w:rsidRPr="00D618B7">
              <w:rPr>
                <w:color w:val="000000"/>
                <w:sz w:val="22"/>
                <w:szCs w:val="22"/>
              </w:rPr>
              <w:t>Mean</w:t>
            </w:r>
          </w:p>
        </w:tc>
        <w:tc>
          <w:tcPr>
            <w:tcW w:w="1367" w:type="dxa"/>
            <w:tcBorders>
              <w:top w:val="single" w:sz="18" w:space="0" w:color="auto"/>
              <w:left w:val="nil"/>
              <w:bottom w:val="single" w:sz="18" w:space="0" w:color="auto"/>
              <w:right w:val="nil"/>
            </w:tcBorders>
            <w:shd w:val="clear" w:color="000000" w:fill="FFFFFF"/>
            <w:noWrap/>
            <w:vAlign w:val="center"/>
            <w:hideMark/>
          </w:tcPr>
          <w:p w14:paraId="5D25D12A" w14:textId="77777777" w:rsidR="00013295" w:rsidRPr="00D618B7" w:rsidRDefault="00013295" w:rsidP="00013295">
            <w:pPr>
              <w:jc w:val="right"/>
              <w:rPr>
                <w:color w:val="000000"/>
                <w:sz w:val="22"/>
                <w:szCs w:val="22"/>
              </w:rPr>
            </w:pPr>
            <w:r w:rsidRPr="00D618B7">
              <w:rPr>
                <w:color w:val="000000"/>
                <w:sz w:val="22"/>
                <w:szCs w:val="22"/>
              </w:rPr>
              <w:t>Std. Error</w:t>
            </w:r>
          </w:p>
        </w:tc>
        <w:tc>
          <w:tcPr>
            <w:tcW w:w="1193" w:type="dxa"/>
            <w:tcBorders>
              <w:top w:val="single" w:sz="18" w:space="0" w:color="auto"/>
              <w:left w:val="nil"/>
              <w:bottom w:val="single" w:sz="18" w:space="0" w:color="auto"/>
              <w:right w:val="nil"/>
            </w:tcBorders>
            <w:shd w:val="clear" w:color="000000" w:fill="FFFFFF"/>
            <w:noWrap/>
            <w:vAlign w:val="center"/>
            <w:hideMark/>
          </w:tcPr>
          <w:p w14:paraId="0ED60F67" w14:textId="77777777" w:rsidR="00013295" w:rsidRPr="00D618B7" w:rsidRDefault="00013295" w:rsidP="00013295">
            <w:pPr>
              <w:jc w:val="right"/>
              <w:rPr>
                <w:color w:val="000000"/>
                <w:sz w:val="22"/>
                <w:szCs w:val="22"/>
              </w:rPr>
            </w:pPr>
            <w:r w:rsidRPr="00D618B7">
              <w:rPr>
                <w:color w:val="000000"/>
                <w:sz w:val="22"/>
                <w:szCs w:val="22"/>
              </w:rPr>
              <w:t>Mean</w:t>
            </w:r>
          </w:p>
        </w:tc>
        <w:tc>
          <w:tcPr>
            <w:tcW w:w="1367" w:type="dxa"/>
            <w:tcBorders>
              <w:top w:val="single" w:sz="18" w:space="0" w:color="auto"/>
              <w:left w:val="nil"/>
              <w:bottom w:val="single" w:sz="18" w:space="0" w:color="auto"/>
              <w:right w:val="nil"/>
            </w:tcBorders>
            <w:shd w:val="clear" w:color="000000" w:fill="FFFFFF"/>
            <w:noWrap/>
            <w:vAlign w:val="center"/>
            <w:hideMark/>
          </w:tcPr>
          <w:p w14:paraId="45199F69" w14:textId="77777777" w:rsidR="00013295" w:rsidRPr="00D618B7" w:rsidRDefault="00013295" w:rsidP="00013295">
            <w:pPr>
              <w:jc w:val="right"/>
              <w:rPr>
                <w:color w:val="000000"/>
                <w:sz w:val="22"/>
                <w:szCs w:val="22"/>
              </w:rPr>
            </w:pPr>
            <w:r w:rsidRPr="00D618B7">
              <w:rPr>
                <w:color w:val="000000"/>
                <w:sz w:val="22"/>
                <w:szCs w:val="22"/>
              </w:rPr>
              <w:t>Std. Error</w:t>
            </w:r>
          </w:p>
        </w:tc>
      </w:tr>
      <w:tr w:rsidR="00013295" w:rsidRPr="00D618B7" w14:paraId="12E02A26" w14:textId="77777777" w:rsidTr="004B11B7">
        <w:trPr>
          <w:trHeight w:val="315"/>
        </w:trPr>
        <w:tc>
          <w:tcPr>
            <w:tcW w:w="1140" w:type="dxa"/>
            <w:tcBorders>
              <w:top w:val="single" w:sz="18" w:space="0" w:color="auto"/>
              <w:left w:val="nil"/>
              <w:bottom w:val="nil"/>
              <w:right w:val="nil"/>
            </w:tcBorders>
            <w:shd w:val="clear" w:color="000000" w:fill="FFFFFF"/>
            <w:vAlign w:val="center"/>
            <w:hideMark/>
          </w:tcPr>
          <w:p w14:paraId="7E5ED6C9" w14:textId="77777777" w:rsidR="00013295" w:rsidRPr="00D618B7" w:rsidRDefault="00013295" w:rsidP="00013295">
            <w:pPr>
              <w:jc w:val="right"/>
              <w:rPr>
                <w:color w:val="000000"/>
                <w:sz w:val="22"/>
                <w:szCs w:val="22"/>
              </w:rPr>
            </w:pPr>
            <w:r w:rsidRPr="00D618B7">
              <w:rPr>
                <w:color w:val="000000"/>
                <w:sz w:val="22"/>
                <w:szCs w:val="22"/>
              </w:rPr>
              <w:t>-5</w:t>
            </w:r>
          </w:p>
        </w:tc>
        <w:tc>
          <w:tcPr>
            <w:tcW w:w="1193" w:type="dxa"/>
            <w:tcBorders>
              <w:top w:val="single" w:sz="18" w:space="0" w:color="auto"/>
              <w:left w:val="nil"/>
              <w:bottom w:val="nil"/>
              <w:right w:val="nil"/>
            </w:tcBorders>
            <w:shd w:val="clear" w:color="000000" w:fill="FFFFFF"/>
            <w:noWrap/>
            <w:vAlign w:val="center"/>
            <w:hideMark/>
          </w:tcPr>
          <w:p w14:paraId="1762DAD4" w14:textId="77777777" w:rsidR="00013295" w:rsidRPr="00D618B7" w:rsidRDefault="00013295" w:rsidP="00013295">
            <w:pPr>
              <w:jc w:val="right"/>
              <w:rPr>
                <w:color w:val="000000"/>
                <w:sz w:val="22"/>
                <w:szCs w:val="22"/>
              </w:rPr>
            </w:pPr>
            <w:r w:rsidRPr="00D618B7">
              <w:rPr>
                <w:rFonts w:eastAsia="Aptos"/>
                <w:color w:val="000000"/>
                <w:kern w:val="2"/>
                <w:sz w:val="22"/>
                <w:szCs w:val="22"/>
              </w:rPr>
              <w:t>33466.7745</w:t>
            </w:r>
          </w:p>
        </w:tc>
        <w:tc>
          <w:tcPr>
            <w:tcW w:w="1367" w:type="dxa"/>
            <w:tcBorders>
              <w:top w:val="single" w:sz="18" w:space="0" w:color="auto"/>
              <w:left w:val="nil"/>
              <w:bottom w:val="nil"/>
              <w:right w:val="nil"/>
            </w:tcBorders>
            <w:shd w:val="clear" w:color="000000" w:fill="FFFFFF"/>
            <w:noWrap/>
            <w:vAlign w:val="center"/>
            <w:hideMark/>
          </w:tcPr>
          <w:p w14:paraId="4671C085" w14:textId="77777777" w:rsidR="00013295" w:rsidRPr="00D618B7" w:rsidRDefault="00013295" w:rsidP="00013295">
            <w:pPr>
              <w:jc w:val="right"/>
              <w:rPr>
                <w:color w:val="000000"/>
                <w:sz w:val="22"/>
                <w:szCs w:val="22"/>
              </w:rPr>
            </w:pPr>
            <w:r w:rsidRPr="00D618B7">
              <w:rPr>
                <w:rFonts w:eastAsia="Aptos"/>
                <w:color w:val="000000"/>
                <w:kern w:val="2"/>
                <w:sz w:val="22"/>
                <w:szCs w:val="22"/>
              </w:rPr>
              <w:t>3023.96638</w:t>
            </w:r>
          </w:p>
        </w:tc>
        <w:tc>
          <w:tcPr>
            <w:tcW w:w="1193" w:type="dxa"/>
            <w:tcBorders>
              <w:top w:val="single" w:sz="18" w:space="0" w:color="auto"/>
              <w:left w:val="nil"/>
              <w:bottom w:val="nil"/>
              <w:right w:val="nil"/>
            </w:tcBorders>
            <w:shd w:val="clear" w:color="000000" w:fill="FFFFFF"/>
            <w:noWrap/>
            <w:vAlign w:val="center"/>
            <w:hideMark/>
          </w:tcPr>
          <w:p w14:paraId="14F38F6D" w14:textId="77777777" w:rsidR="00013295" w:rsidRPr="00D618B7" w:rsidRDefault="00013295" w:rsidP="00013295">
            <w:pPr>
              <w:jc w:val="right"/>
              <w:rPr>
                <w:color w:val="000000"/>
                <w:sz w:val="22"/>
                <w:szCs w:val="22"/>
              </w:rPr>
            </w:pPr>
            <w:r w:rsidRPr="00D618B7">
              <w:rPr>
                <w:rFonts w:eastAsia="Aptos"/>
                <w:color w:val="000000"/>
                <w:kern w:val="2"/>
                <w:sz w:val="22"/>
                <w:szCs w:val="22"/>
              </w:rPr>
              <w:t>340.8415</w:t>
            </w:r>
          </w:p>
        </w:tc>
        <w:tc>
          <w:tcPr>
            <w:tcW w:w="1367" w:type="dxa"/>
            <w:tcBorders>
              <w:top w:val="single" w:sz="18" w:space="0" w:color="auto"/>
              <w:left w:val="nil"/>
              <w:bottom w:val="nil"/>
              <w:right w:val="nil"/>
            </w:tcBorders>
            <w:shd w:val="clear" w:color="000000" w:fill="FFFFFF"/>
            <w:noWrap/>
            <w:vAlign w:val="center"/>
            <w:hideMark/>
          </w:tcPr>
          <w:p w14:paraId="5ED20BA8" w14:textId="77777777" w:rsidR="00013295" w:rsidRPr="00D618B7" w:rsidRDefault="00013295" w:rsidP="00013295">
            <w:pPr>
              <w:jc w:val="right"/>
              <w:rPr>
                <w:color w:val="000000"/>
                <w:sz w:val="22"/>
                <w:szCs w:val="22"/>
              </w:rPr>
            </w:pPr>
            <w:r w:rsidRPr="00D618B7">
              <w:rPr>
                <w:rFonts w:eastAsia="Aptos"/>
                <w:color w:val="000000"/>
                <w:kern w:val="2"/>
                <w:sz w:val="22"/>
                <w:szCs w:val="22"/>
              </w:rPr>
              <w:t>2800.59304</w:t>
            </w:r>
          </w:p>
        </w:tc>
        <w:tc>
          <w:tcPr>
            <w:tcW w:w="1193" w:type="dxa"/>
            <w:tcBorders>
              <w:top w:val="single" w:sz="18" w:space="0" w:color="auto"/>
              <w:left w:val="nil"/>
              <w:bottom w:val="nil"/>
              <w:right w:val="nil"/>
            </w:tcBorders>
            <w:shd w:val="clear" w:color="000000" w:fill="FFFFFF"/>
            <w:noWrap/>
            <w:vAlign w:val="center"/>
            <w:hideMark/>
          </w:tcPr>
          <w:p w14:paraId="3B161BAD" w14:textId="77777777" w:rsidR="00013295" w:rsidRPr="00D618B7" w:rsidRDefault="00013295" w:rsidP="00013295">
            <w:pPr>
              <w:jc w:val="right"/>
              <w:rPr>
                <w:color w:val="000000"/>
                <w:sz w:val="22"/>
                <w:szCs w:val="22"/>
              </w:rPr>
            </w:pPr>
            <w:r w:rsidRPr="00D618B7">
              <w:rPr>
                <w:rFonts w:eastAsia="Aptos"/>
                <w:color w:val="000000"/>
                <w:kern w:val="2"/>
                <w:sz w:val="22"/>
                <w:szCs w:val="22"/>
              </w:rPr>
              <w:t>19797.7476</w:t>
            </w:r>
          </w:p>
        </w:tc>
        <w:tc>
          <w:tcPr>
            <w:tcW w:w="1367" w:type="dxa"/>
            <w:tcBorders>
              <w:top w:val="single" w:sz="18" w:space="0" w:color="auto"/>
              <w:left w:val="nil"/>
              <w:bottom w:val="nil"/>
              <w:right w:val="nil"/>
            </w:tcBorders>
            <w:shd w:val="clear" w:color="000000" w:fill="FFFFFF"/>
            <w:noWrap/>
            <w:vAlign w:val="center"/>
            <w:hideMark/>
          </w:tcPr>
          <w:p w14:paraId="5A30880C" w14:textId="77777777" w:rsidR="00013295" w:rsidRPr="00D618B7" w:rsidRDefault="00013295" w:rsidP="00013295">
            <w:pPr>
              <w:jc w:val="right"/>
              <w:rPr>
                <w:color w:val="000000"/>
                <w:sz w:val="22"/>
                <w:szCs w:val="22"/>
              </w:rPr>
            </w:pPr>
            <w:r w:rsidRPr="00D618B7">
              <w:rPr>
                <w:rFonts w:eastAsia="Aptos"/>
                <w:color w:val="000000"/>
                <w:kern w:val="2"/>
                <w:sz w:val="22"/>
                <w:szCs w:val="22"/>
              </w:rPr>
              <w:t>2919.36355</w:t>
            </w:r>
          </w:p>
        </w:tc>
      </w:tr>
      <w:tr w:rsidR="00013295" w:rsidRPr="00D618B7" w14:paraId="634DD6D9" w14:textId="77777777" w:rsidTr="004B11B7">
        <w:trPr>
          <w:trHeight w:val="300"/>
        </w:trPr>
        <w:tc>
          <w:tcPr>
            <w:tcW w:w="1140" w:type="dxa"/>
            <w:tcBorders>
              <w:top w:val="nil"/>
              <w:left w:val="nil"/>
              <w:bottom w:val="nil"/>
              <w:right w:val="nil"/>
            </w:tcBorders>
            <w:shd w:val="clear" w:color="000000" w:fill="FFFFFF"/>
            <w:vAlign w:val="center"/>
            <w:hideMark/>
          </w:tcPr>
          <w:p w14:paraId="3CBDBBF6" w14:textId="77777777" w:rsidR="00013295" w:rsidRPr="00D618B7" w:rsidRDefault="00013295" w:rsidP="00013295">
            <w:pPr>
              <w:jc w:val="right"/>
              <w:rPr>
                <w:color w:val="000000"/>
                <w:sz w:val="22"/>
                <w:szCs w:val="22"/>
              </w:rPr>
            </w:pPr>
            <w:r w:rsidRPr="00D618B7">
              <w:rPr>
                <w:color w:val="000000"/>
                <w:sz w:val="22"/>
                <w:szCs w:val="22"/>
              </w:rPr>
              <w:t>-4</w:t>
            </w:r>
          </w:p>
        </w:tc>
        <w:tc>
          <w:tcPr>
            <w:tcW w:w="1193" w:type="dxa"/>
            <w:tcBorders>
              <w:top w:val="nil"/>
              <w:left w:val="nil"/>
              <w:bottom w:val="nil"/>
              <w:right w:val="nil"/>
            </w:tcBorders>
            <w:shd w:val="clear" w:color="000000" w:fill="FFFFFF"/>
            <w:noWrap/>
            <w:vAlign w:val="center"/>
            <w:hideMark/>
          </w:tcPr>
          <w:p w14:paraId="55E0A322" w14:textId="77777777" w:rsidR="00013295" w:rsidRPr="00D618B7" w:rsidRDefault="00013295" w:rsidP="00013295">
            <w:pPr>
              <w:jc w:val="right"/>
              <w:rPr>
                <w:color w:val="000000"/>
                <w:sz w:val="22"/>
                <w:szCs w:val="22"/>
              </w:rPr>
            </w:pPr>
            <w:r w:rsidRPr="00D618B7">
              <w:rPr>
                <w:rFonts w:eastAsia="Aptos"/>
                <w:color w:val="000000"/>
                <w:kern w:val="2"/>
                <w:sz w:val="22"/>
                <w:szCs w:val="22"/>
              </w:rPr>
              <w:t>23268.7595</w:t>
            </w:r>
          </w:p>
        </w:tc>
        <w:tc>
          <w:tcPr>
            <w:tcW w:w="1367" w:type="dxa"/>
            <w:tcBorders>
              <w:top w:val="nil"/>
              <w:left w:val="nil"/>
              <w:bottom w:val="nil"/>
              <w:right w:val="nil"/>
            </w:tcBorders>
            <w:shd w:val="clear" w:color="000000" w:fill="FFFFFF"/>
            <w:noWrap/>
            <w:vAlign w:val="center"/>
            <w:hideMark/>
          </w:tcPr>
          <w:p w14:paraId="25DF363B" w14:textId="77777777" w:rsidR="00013295" w:rsidRPr="00D618B7" w:rsidRDefault="00013295" w:rsidP="00013295">
            <w:pPr>
              <w:jc w:val="right"/>
              <w:rPr>
                <w:color w:val="000000"/>
                <w:sz w:val="22"/>
                <w:szCs w:val="22"/>
              </w:rPr>
            </w:pPr>
            <w:r w:rsidRPr="00D618B7">
              <w:rPr>
                <w:rFonts w:eastAsia="Aptos"/>
                <w:color w:val="000000"/>
                <w:kern w:val="2"/>
                <w:sz w:val="22"/>
                <w:szCs w:val="22"/>
              </w:rPr>
              <w:t>2920.3875</w:t>
            </w:r>
          </w:p>
        </w:tc>
        <w:tc>
          <w:tcPr>
            <w:tcW w:w="1193" w:type="dxa"/>
            <w:tcBorders>
              <w:top w:val="nil"/>
              <w:left w:val="nil"/>
              <w:bottom w:val="nil"/>
              <w:right w:val="nil"/>
            </w:tcBorders>
            <w:shd w:val="clear" w:color="000000" w:fill="FFFFFF"/>
            <w:noWrap/>
            <w:vAlign w:val="center"/>
            <w:hideMark/>
          </w:tcPr>
          <w:p w14:paraId="7F3037F7" w14:textId="77777777" w:rsidR="00013295" w:rsidRPr="00D618B7" w:rsidRDefault="00013295" w:rsidP="00013295">
            <w:pPr>
              <w:jc w:val="right"/>
              <w:rPr>
                <w:color w:val="000000"/>
                <w:sz w:val="22"/>
                <w:szCs w:val="22"/>
              </w:rPr>
            </w:pPr>
            <w:r w:rsidRPr="00D618B7">
              <w:rPr>
                <w:rFonts w:eastAsia="Aptos"/>
                <w:color w:val="000000"/>
                <w:kern w:val="2"/>
                <w:sz w:val="22"/>
                <w:szCs w:val="22"/>
              </w:rPr>
              <w:t>3880.4367</w:t>
            </w:r>
          </w:p>
        </w:tc>
        <w:tc>
          <w:tcPr>
            <w:tcW w:w="1367" w:type="dxa"/>
            <w:tcBorders>
              <w:top w:val="nil"/>
              <w:left w:val="nil"/>
              <w:bottom w:val="nil"/>
              <w:right w:val="nil"/>
            </w:tcBorders>
            <w:shd w:val="clear" w:color="000000" w:fill="FFFFFF"/>
            <w:noWrap/>
            <w:vAlign w:val="center"/>
            <w:hideMark/>
          </w:tcPr>
          <w:p w14:paraId="77E00A52" w14:textId="77777777" w:rsidR="00013295" w:rsidRPr="00D618B7" w:rsidRDefault="00013295" w:rsidP="00013295">
            <w:pPr>
              <w:jc w:val="right"/>
              <w:rPr>
                <w:color w:val="000000"/>
                <w:sz w:val="22"/>
                <w:szCs w:val="22"/>
              </w:rPr>
            </w:pPr>
            <w:r w:rsidRPr="00D618B7">
              <w:rPr>
                <w:rFonts w:eastAsia="Aptos"/>
                <w:color w:val="000000"/>
                <w:kern w:val="2"/>
                <w:sz w:val="22"/>
                <w:szCs w:val="22"/>
              </w:rPr>
              <w:t>2727.45556</w:t>
            </w:r>
          </w:p>
        </w:tc>
        <w:tc>
          <w:tcPr>
            <w:tcW w:w="1193" w:type="dxa"/>
            <w:tcBorders>
              <w:top w:val="nil"/>
              <w:left w:val="nil"/>
              <w:bottom w:val="nil"/>
              <w:right w:val="nil"/>
            </w:tcBorders>
            <w:shd w:val="clear" w:color="000000" w:fill="FFFFFF"/>
            <w:noWrap/>
            <w:vAlign w:val="center"/>
            <w:hideMark/>
          </w:tcPr>
          <w:p w14:paraId="68F8D4E9" w14:textId="77777777" w:rsidR="00013295" w:rsidRPr="00D618B7" w:rsidRDefault="00013295" w:rsidP="00013295">
            <w:pPr>
              <w:jc w:val="right"/>
              <w:rPr>
                <w:color w:val="000000"/>
                <w:sz w:val="22"/>
                <w:szCs w:val="22"/>
              </w:rPr>
            </w:pPr>
            <w:r w:rsidRPr="00D618B7">
              <w:rPr>
                <w:rFonts w:eastAsia="Aptos"/>
                <w:color w:val="000000"/>
                <w:kern w:val="2"/>
                <w:sz w:val="22"/>
                <w:szCs w:val="22"/>
              </w:rPr>
              <w:t>25318.9656</w:t>
            </w:r>
          </w:p>
        </w:tc>
        <w:tc>
          <w:tcPr>
            <w:tcW w:w="1367" w:type="dxa"/>
            <w:tcBorders>
              <w:top w:val="nil"/>
              <w:left w:val="nil"/>
              <w:bottom w:val="nil"/>
              <w:right w:val="nil"/>
            </w:tcBorders>
            <w:shd w:val="clear" w:color="000000" w:fill="FFFFFF"/>
            <w:noWrap/>
            <w:vAlign w:val="center"/>
            <w:hideMark/>
          </w:tcPr>
          <w:p w14:paraId="2D0CE8DB" w14:textId="77777777" w:rsidR="00013295" w:rsidRPr="00D618B7" w:rsidRDefault="00013295" w:rsidP="00013295">
            <w:pPr>
              <w:jc w:val="right"/>
              <w:rPr>
                <w:color w:val="000000"/>
                <w:sz w:val="22"/>
                <w:szCs w:val="22"/>
              </w:rPr>
            </w:pPr>
            <w:r w:rsidRPr="00D618B7">
              <w:rPr>
                <w:rFonts w:eastAsia="Aptos"/>
                <w:color w:val="000000"/>
                <w:kern w:val="2"/>
                <w:sz w:val="22"/>
                <w:szCs w:val="22"/>
              </w:rPr>
              <w:t>2769.42373</w:t>
            </w:r>
          </w:p>
        </w:tc>
      </w:tr>
      <w:tr w:rsidR="00013295" w:rsidRPr="00D618B7" w14:paraId="5DA2E699" w14:textId="77777777" w:rsidTr="004B11B7">
        <w:trPr>
          <w:trHeight w:val="300"/>
        </w:trPr>
        <w:tc>
          <w:tcPr>
            <w:tcW w:w="1140" w:type="dxa"/>
            <w:tcBorders>
              <w:top w:val="nil"/>
              <w:left w:val="nil"/>
              <w:bottom w:val="nil"/>
              <w:right w:val="nil"/>
            </w:tcBorders>
            <w:shd w:val="clear" w:color="000000" w:fill="FFFFFF"/>
            <w:vAlign w:val="center"/>
            <w:hideMark/>
          </w:tcPr>
          <w:p w14:paraId="3C383300" w14:textId="77777777" w:rsidR="00013295" w:rsidRPr="00D618B7" w:rsidRDefault="00013295" w:rsidP="00013295">
            <w:pPr>
              <w:jc w:val="right"/>
              <w:rPr>
                <w:color w:val="000000"/>
                <w:sz w:val="22"/>
                <w:szCs w:val="22"/>
              </w:rPr>
            </w:pPr>
            <w:r w:rsidRPr="00D618B7">
              <w:rPr>
                <w:color w:val="000000"/>
                <w:sz w:val="22"/>
                <w:szCs w:val="22"/>
              </w:rPr>
              <w:t>-3</w:t>
            </w:r>
          </w:p>
        </w:tc>
        <w:tc>
          <w:tcPr>
            <w:tcW w:w="1193" w:type="dxa"/>
            <w:tcBorders>
              <w:top w:val="nil"/>
              <w:left w:val="nil"/>
              <w:bottom w:val="nil"/>
              <w:right w:val="nil"/>
            </w:tcBorders>
            <w:shd w:val="clear" w:color="000000" w:fill="FFFFFF"/>
            <w:noWrap/>
            <w:vAlign w:val="center"/>
            <w:hideMark/>
          </w:tcPr>
          <w:p w14:paraId="53095D9E" w14:textId="77777777" w:rsidR="00013295" w:rsidRPr="00D618B7" w:rsidRDefault="00013295" w:rsidP="00013295">
            <w:pPr>
              <w:jc w:val="right"/>
              <w:rPr>
                <w:color w:val="000000"/>
                <w:sz w:val="22"/>
                <w:szCs w:val="22"/>
              </w:rPr>
            </w:pPr>
            <w:r w:rsidRPr="00D618B7">
              <w:rPr>
                <w:rFonts w:eastAsia="Aptos"/>
                <w:color w:val="000000"/>
                <w:kern w:val="2"/>
                <w:sz w:val="22"/>
                <w:szCs w:val="22"/>
              </w:rPr>
              <w:t>24085.0392</w:t>
            </w:r>
          </w:p>
        </w:tc>
        <w:tc>
          <w:tcPr>
            <w:tcW w:w="1367" w:type="dxa"/>
            <w:tcBorders>
              <w:top w:val="nil"/>
              <w:left w:val="nil"/>
              <w:bottom w:val="nil"/>
              <w:right w:val="nil"/>
            </w:tcBorders>
            <w:shd w:val="clear" w:color="000000" w:fill="FFFFFF"/>
            <w:noWrap/>
            <w:vAlign w:val="center"/>
            <w:hideMark/>
          </w:tcPr>
          <w:p w14:paraId="29594F57" w14:textId="77777777" w:rsidR="00013295" w:rsidRPr="00D618B7" w:rsidRDefault="00013295" w:rsidP="00013295">
            <w:pPr>
              <w:jc w:val="right"/>
              <w:rPr>
                <w:color w:val="000000"/>
                <w:sz w:val="22"/>
                <w:szCs w:val="22"/>
              </w:rPr>
            </w:pPr>
            <w:r w:rsidRPr="00D618B7">
              <w:rPr>
                <w:rFonts w:eastAsia="Aptos"/>
                <w:color w:val="000000"/>
                <w:kern w:val="2"/>
                <w:sz w:val="22"/>
                <w:szCs w:val="22"/>
              </w:rPr>
              <w:t>2905.22986</w:t>
            </w:r>
          </w:p>
        </w:tc>
        <w:tc>
          <w:tcPr>
            <w:tcW w:w="1193" w:type="dxa"/>
            <w:tcBorders>
              <w:top w:val="nil"/>
              <w:left w:val="nil"/>
              <w:bottom w:val="nil"/>
              <w:right w:val="nil"/>
            </w:tcBorders>
            <w:shd w:val="clear" w:color="000000" w:fill="FFFFFF"/>
            <w:noWrap/>
            <w:vAlign w:val="center"/>
            <w:hideMark/>
          </w:tcPr>
          <w:p w14:paraId="62458762" w14:textId="77777777" w:rsidR="00013295" w:rsidRPr="00D618B7" w:rsidRDefault="00013295" w:rsidP="00013295">
            <w:pPr>
              <w:jc w:val="right"/>
              <w:rPr>
                <w:color w:val="000000"/>
                <w:sz w:val="22"/>
                <w:szCs w:val="22"/>
              </w:rPr>
            </w:pPr>
            <w:r w:rsidRPr="00D618B7">
              <w:rPr>
                <w:rFonts w:eastAsia="Aptos"/>
                <w:color w:val="000000"/>
                <w:kern w:val="2"/>
                <w:sz w:val="22"/>
                <w:szCs w:val="22"/>
              </w:rPr>
              <w:t>6142.574</w:t>
            </w:r>
          </w:p>
        </w:tc>
        <w:tc>
          <w:tcPr>
            <w:tcW w:w="1367" w:type="dxa"/>
            <w:tcBorders>
              <w:top w:val="nil"/>
              <w:left w:val="nil"/>
              <w:bottom w:val="nil"/>
              <w:right w:val="nil"/>
            </w:tcBorders>
            <w:shd w:val="clear" w:color="000000" w:fill="FFFFFF"/>
            <w:noWrap/>
            <w:vAlign w:val="center"/>
            <w:hideMark/>
          </w:tcPr>
          <w:p w14:paraId="20679F15" w14:textId="77777777" w:rsidR="00013295" w:rsidRPr="00D618B7" w:rsidRDefault="00013295" w:rsidP="00013295">
            <w:pPr>
              <w:jc w:val="right"/>
              <w:rPr>
                <w:color w:val="000000"/>
                <w:sz w:val="22"/>
                <w:szCs w:val="22"/>
              </w:rPr>
            </w:pPr>
            <w:r w:rsidRPr="00D618B7">
              <w:rPr>
                <w:rFonts w:eastAsia="Aptos"/>
                <w:color w:val="000000"/>
                <w:kern w:val="2"/>
                <w:sz w:val="22"/>
                <w:szCs w:val="22"/>
              </w:rPr>
              <w:t>2720.83202</w:t>
            </w:r>
          </w:p>
        </w:tc>
        <w:tc>
          <w:tcPr>
            <w:tcW w:w="1193" w:type="dxa"/>
            <w:tcBorders>
              <w:top w:val="nil"/>
              <w:left w:val="nil"/>
              <w:bottom w:val="nil"/>
              <w:right w:val="nil"/>
            </w:tcBorders>
            <w:shd w:val="clear" w:color="000000" w:fill="FFFFFF"/>
            <w:noWrap/>
            <w:vAlign w:val="center"/>
            <w:hideMark/>
          </w:tcPr>
          <w:p w14:paraId="424EB25C" w14:textId="77777777" w:rsidR="00013295" w:rsidRPr="00D618B7" w:rsidRDefault="00013295" w:rsidP="00013295">
            <w:pPr>
              <w:jc w:val="right"/>
              <w:rPr>
                <w:color w:val="000000"/>
                <w:sz w:val="22"/>
                <w:szCs w:val="22"/>
              </w:rPr>
            </w:pPr>
            <w:r w:rsidRPr="00D618B7">
              <w:rPr>
                <w:rFonts w:eastAsia="Aptos"/>
                <w:color w:val="000000"/>
                <w:kern w:val="2"/>
                <w:sz w:val="22"/>
                <w:szCs w:val="22"/>
              </w:rPr>
              <w:t>28925.4189</w:t>
            </w:r>
          </w:p>
        </w:tc>
        <w:tc>
          <w:tcPr>
            <w:tcW w:w="1367" w:type="dxa"/>
            <w:tcBorders>
              <w:top w:val="nil"/>
              <w:left w:val="nil"/>
              <w:bottom w:val="nil"/>
              <w:right w:val="nil"/>
            </w:tcBorders>
            <w:shd w:val="clear" w:color="000000" w:fill="FFFFFF"/>
            <w:noWrap/>
            <w:vAlign w:val="center"/>
            <w:hideMark/>
          </w:tcPr>
          <w:p w14:paraId="601D4312" w14:textId="77777777" w:rsidR="00013295" w:rsidRPr="00D618B7" w:rsidRDefault="00013295" w:rsidP="00013295">
            <w:pPr>
              <w:jc w:val="right"/>
              <w:rPr>
                <w:color w:val="000000"/>
                <w:sz w:val="22"/>
                <w:szCs w:val="22"/>
              </w:rPr>
            </w:pPr>
            <w:r w:rsidRPr="00D618B7">
              <w:rPr>
                <w:rFonts w:eastAsia="Aptos"/>
                <w:color w:val="000000"/>
                <w:kern w:val="2"/>
                <w:sz w:val="22"/>
                <w:szCs w:val="22"/>
              </w:rPr>
              <w:t>2796.36159</w:t>
            </w:r>
          </w:p>
        </w:tc>
      </w:tr>
      <w:tr w:rsidR="00013295" w:rsidRPr="00D618B7" w14:paraId="19885709" w14:textId="77777777" w:rsidTr="004B11B7">
        <w:trPr>
          <w:trHeight w:val="300"/>
        </w:trPr>
        <w:tc>
          <w:tcPr>
            <w:tcW w:w="1140" w:type="dxa"/>
            <w:tcBorders>
              <w:top w:val="nil"/>
              <w:left w:val="nil"/>
              <w:bottom w:val="nil"/>
              <w:right w:val="nil"/>
            </w:tcBorders>
            <w:shd w:val="clear" w:color="000000" w:fill="FFFFFF"/>
            <w:vAlign w:val="center"/>
            <w:hideMark/>
          </w:tcPr>
          <w:p w14:paraId="4D756C59" w14:textId="77777777" w:rsidR="00013295" w:rsidRPr="00D618B7" w:rsidRDefault="00013295" w:rsidP="00013295">
            <w:pPr>
              <w:jc w:val="right"/>
              <w:rPr>
                <w:color w:val="000000"/>
                <w:sz w:val="22"/>
                <w:szCs w:val="22"/>
              </w:rPr>
            </w:pPr>
            <w:r w:rsidRPr="00D618B7">
              <w:rPr>
                <w:color w:val="000000"/>
                <w:sz w:val="22"/>
                <w:szCs w:val="22"/>
              </w:rPr>
              <w:t>-2</w:t>
            </w:r>
          </w:p>
        </w:tc>
        <w:tc>
          <w:tcPr>
            <w:tcW w:w="1193" w:type="dxa"/>
            <w:tcBorders>
              <w:top w:val="nil"/>
              <w:left w:val="nil"/>
              <w:bottom w:val="nil"/>
              <w:right w:val="nil"/>
            </w:tcBorders>
            <w:shd w:val="clear" w:color="000000" w:fill="FFFFFF"/>
            <w:noWrap/>
            <w:vAlign w:val="center"/>
            <w:hideMark/>
          </w:tcPr>
          <w:p w14:paraId="2CCA7A56" w14:textId="77777777" w:rsidR="00013295" w:rsidRPr="00D618B7" w:rsidRDefault="00013295" w:rsidP="00013295">
            <w:pPr>
              <w:jc w:val="right"/>
              <w:rPr>
                <w:color w:val="000000"/>
                <w:sz w:val="22"/>
                <w:szCs w:val="22"/>
              </w:rPr>
            </w:pPr>
            <w:r w:rsidRPr="00D618B7">
              <w:rPr>
                <w:rFonts w:eastAsia="Aptos"/>
                <w:color w:val="000000"/>
                <w:kern w:val="2"/>
                <w:sz w:val="22"/>
                <w:szCs w:val="22"/>
              </w:rPr>
              <w:t>17563.507</w:t>
            </w:r>
          </w:p>
        </w:tc>
        <w:tc>
          <w:tcPr>
            <w:tcW w:w="1367" w:type="dxa"/>
            <w:tcBorders>
              <w:top w:val="nil"/>
              <w:left w:val="nil"/>
              <w:bottom w:val="nil"/>
              <w:right w:val="nil"/>
            </w:tcBorders>
            <w:shd w:val="clear" w:color="000000" w:fill="FFFFFF"/>
            <w:noWrap/>
            <w:vAlign w:val="center"/>
            <w:hideMark/>
          </w:tcPr>
          <w:p w14:paraId="6EC3ED36" w14:textId="77777777" w:rsidR="00013295" w:rsidRPr="00D618B7" w:rsidRDefault="00013295" w:rsidP="00013295">
            <w:pPr>
              <w:jc w:val="right"/>
              <w:rPr>
                <w:color w:val="000000"/>
                <w:sz w:val="22"/>
                <w:szCs w:val="22"/>
              </w:rPr>
            </w:pPr>
            <w:r w:rsidRPr="00D618B7">
              <w:rPr>
                <w:rFonts w:eastAsia="Aptos"/>
                <w:color w:val="000000"/>
                <w:kern w:val="2"/>
                <w:sz w:val="22"/>
                <w:szCs w:val="22"/>
              </w:rPr>
              <w:t>2717.40572</w:t>
            </w:r>
          </w:p>
        </w:tc>
        <w:tc>
          <w:tcPr>
            <w:tcW w:w="1193" w:type="dxa"/>
            <w:tcBorders>
              <w:top w:val="nil"/>
              <w:left w:val="nil"/>
              <w:bottom w:val="nil"/>
              <w:right w:val="nil"/>
            </w:tcBorders>
            <w:shd w:val="clear" w:color="000000" w:fill="FFFFFF"/>
            <w:noWrap/>
            <w:vAlign w:val="center"/>
            <w:hideMark/>
          </w:tcPr>
          <w:p w14:paraId="6D7024C1" w14:textId="77777777" w:rsidR="00013295" w:rsidRPr="00D618B7" w:rsidRDefault="00013295" w:rsidP="00013295">
            <w:pPr>
              <w:jc w:val="right"/>
              <w:rPr>
                <w:color w:val="000000"/>
                <w:sz w:val="22"/>
                <w:szCs w:val="22"/>
              </w:rPr>
            </w:pPr>
            <w:r w:rsidRPr="00D618B7">
              <w:rPr>
                <w:rFonts w:eastAsia="Aptos"/>
                <w:color w:val="000000"/>
                <w:kern w:val="2"/>
                <w:sz w:val="22"/>
                <w:szCs w:val="22"/>
              </w:rPr>
              <w:t>-744.1654</w:t>
            </w:r>
          </w:p>
        </w:tc>
        <w:tc>
          <w:tcPr>
            <w:tcW w:w="1367" w:type="dxa"/>
            <w:tcBorders>
              <w:top w:val="nil"/>
              <w:left w:val="nil"/>
              <w:bottom w:val="nil"/>
              <w:right w:val="nil"/>
            </w:tcBorders>
            <w:shd w:val="clear" w:color="000000" w:fill="FFFFFF"/>
            <w:noWrap/>
            <w:vAlign w:val="center"/>
            <w:hideMark/>
          </w:tcPr>
          <w:p w14:paraId="023EEEF0" w14:textId="77777777" w:rsidR="00013295" w:rsidRPr="00D618B7" w:rsidRDefault="00013295" w:rsidP="00013295">
            <w:pPr>
              <w:jc w:val="right"/>
              <w:rPr>
                <w:color w:val="000000"/>
                <w:sz w:val="22"/>
                <w:szCs w:val="22"/>
              </w:rPr>
            </w:pPr>
            <w:r w:rsidRPr="00D618B7">
              <w:rPr>
                <w:rFonts w:eastAsia="Aptos"/>
                <w:color w:val="000000"/>
                <w:kern w:val="2"/>
                <w:sz w:val="22"/>
                <w:szCs w:val="22"/>
              </w:rPr>
              <w:t>2590.958</w:t>
            </w:r>
          </w:p>
        </w:tc>
        <w:tc>
          <w:tcPr>
            <w:tcW w:w="1193" w:type="dxa"/>
            <w:tcBorders>
              <w:top w:val="nil"/>
              <w:left w:val="nil"/>
              <w:bottom w:val="nil"/>
              <w:right w:val="nil"/>
            </w:tcBorders>
            <w:shd w:val="clear" w:color="000000" w:fill="FFFFFF"/>
            <w:noWrap/>
            <w:vAlign w:val="center"/>
            <w:hideMark/>
          </w:tcPr>
          <w:p w14:paraId="4361132D" w14:textId="77777777" w:rsidR="00013295" w:rsidRPr="00D618B7" w:rsidRDefault="00013295" w:rsidP="00013295">
            <w:pPr>
              <w:jc w:val="right"/>
              <w:rPr>
                <w:color w:val="000000"/>
                <w:sz w:val="22"/>
                <w:szCs w:val="22"/>
              </w:rPr>
            </w:pPr>
            <w:r w:rsidRPr="00D618B7">
              <w:rPr>
                <w:rFonts w:eastAsia="Aptos"/>
                <w:color w:val="000000"/>
                <w:kern w:val="2"/>
                <w:sz w:val="22"/>
                <w:szCs w:val="22"/>
              </w:rPr>
              <w:t>25218.5322</w:t>
            </w:r>
          </w:p>
        </w:tc>
        <w:tc>
          <w:tcPr>
            <w:tcW w:w="1367" w:type="dxa"/>
            <w:tcBorders>
              <w:top w:val="nil"/>
              <w:left w:val="nil"/>
              <w:bottom w:val="nil"/>
              <w:right w:val="nil"/>
            </w:tcBorders>
            <w:shd w:val="clear" w:color="000000" w:fill="FFFFFF"/>
            <w:noWrap/>
            <w:vAlign w:val="center"/>
            <w:hideMark/>
          </w:tcPr>
          <w:p w14:paraId="7E2982B5" w14:textId="77777777" w:rsidR="00013295" w:rsidRPr="00D618B7" w:rsidRDefault="00013295" w:rsidP="00013295">
            <w:pPr>
              <w:jc w:val="right"/>
              <w:rPr>
                <w:color w:val="000000"/>
                <w:sz w:val="22"/>
                <w:szCs w:val="22"/>
              </w:rPr>
            </w:pPr>
            <w:r w:rsidRPr="00D618B7">
              <w:rPr>
                <w:rFonts w:eastAsia="Aptos"/>
                <w:color w:val="000000"/>
                <w:kern w:val="2"/>
                <w:sz w:val="22"/>
                <w:szCs w:val="22"/>
              </w:rPr>
              <w:t>2662.51526</w:t>
            </w:r>
          </w:p>
        </w:tc>
      </w:tr>
      <w:tr w:rsidR="00013295" w:rsidRPr="00D618B7" w14:paraId="43BDCD22" w14:textId="77777777" w:rsidTr="004B11B7">
        <w:trPr>
          <w:trHeight w:val="300"/>
        </w:trPr>
        <w:tc>
          <w:tcPr>
            <w:tcW w:w="1140" w:type="dxa"/>
            <w:tcBorders>
              <w:top w:val="nil"/>
              <w:left w:val="nil"/>
              <w:bottom w:val="nil"/>
              <w:right w:val="nil"/>
            </w:tcBorders>
            <w:shd w:val="clear" w:color="000000" w:fill="FFFFFF"/>
            <w:vAlign w:val="center"/>
            <w:hideMark/>
          </w:tcPr>
          <w:p w14:paraId="1E7FC2B9" w14:textId="77777777" w:rsidR="00013295" w:rsidRPr="00D618B7" w:rsidRDefault="00013295" w:rsidP="00013295">
            <w:pPr>
              <w:jc w:val="right"/>
              <w:rPr>
                <w:color w:val="000000"/>
                <w:sz w:val="22"/>
                <w:szCs w:val="22"/>
              </w:rPr>
            </w:pPr>
            <w:r w:rsidRPr="00D618B7">
              <w:rPr>
                <w:color w:val="000000"/>
                <w:sz w:val="22"/>
                <w:szCs w:val="22"/>
              </w:rPr>
              <w:t>-1</w:t>
            </w:r>
          </w:p>
        </w:tc>
        <w:tc>
          <w:tcPr>
            <w:tcW w:w="1193" w:type="dxa"/>
            <w:tcBorders>
              <w:top w:val="nil"/>
              <w:left w:val="nil"/>
              <w:bottom w:val="nil"/>
              <w:right w:val="nil"/>
            </w:tcBorders>
            <w:shd w:val="clear" w:color="000000" w:fill="FFFFFF"/>
            <w:noWrap/>
            <w:vAlign w:val="center"/>
            <w:hideMark/>
          </w:tcPr>
          <w:p w14:paraId="265DED81" w14:textId="77777777" w:rsidR="00013295" w:rsidRPr="00D618B7" w:rsidRDefault="00013295" w:rsidP="00013295">
            <w:pPr>
              <w:jc w:val="right"/>
              <w:rPr>
                <w:color w:val="000000"/>
                <w:sz w:val="22"/>
                <w:szCs w:val="22"/>
              </w:rPr>
            </w:pPr>
            <w:r w:rsidRPr="00D618B7">
              <w:rPr>
                <w:rFonts w:eastAsia="Aptos"/>
                <w:color w:val="000000"/>
                <w:kern w:val="2"/>
                <w:sz w:val="22"/>
                <w:szCs w:val="22"/>
              </w:rPr>
              <w:t>20570.5312</w:t>
            </w:r>
          </w:p>
        </w:tc>
        <w:tc>
          <w:tcPr>
            <w:tcW w:w="1367" w:type="dxa"/>
            <w:tcBorders>
              <w:top w:val="nil"/>
              <w:left w:val="nil"/>
              <w:bottom w:val="nil"/>
              <w:right w:val="nil"/>
            </w:tcBorders>
            <w:shd w:val="clear" w:color="000000" w:fill="FFFFFF"/>
            <w:noWrap/>
            <w:vAlign w:val="center"/>
            <w:hideMark/>
          </w:tcPr>
          <w:p w14:paraId="7C6D2D79" w14:textId="77777777" w:rsidR="00013295" w:rsidRPr="00D618B7" w:rsidRDefault="00013295" w:rsidP="00013295">
            <w:pPr>
              <w:jc w:val="right"/>
              <w:rPr>
                <w:color w:val="000000"/>
                <w:sz w:val="22"/>
                <w:szCs w:val="22"/>
              </w:rPr>
            </w:pPr>
            <w:r w:rsidRPr="00D618B7">
              <w:rPr>
                <w:rFonts w:eastAsia="Aptos"/>
                <w:color w:val="000000"/>
                <w:kern w:val="2"/>
                <w:sz w:val="22"/>
                <w:szCs w:val="22"/>
              </w:rPr>
              <w:t>2636.38854</w:t>
            </w:r>
          </w:p>
        </w:tc>
        <w:tc>
          <w:tcPr>
            <w:tcW w:w="1193" w:type="dxa"/>
            <w:tcBorders>
              <w:top w:val="nil"/>
              <w:left w:val="nil"/>
              <w:bottom w:val="nil"/>
              <w:right w:val="nil"/>
            </w:tcBorders>
            <w:shd w:val="clear" w:color="000000" w:fill="FFFFFF"/>
            <w:noWrap/>
            <w:vAlign w:val="center"/>
            <w:hideMark/>
          </w:tcPr>
          <w:p w14:paraId="03768355" w14:textId="77777777" w:rsidR="00013295" w:rsidRPr="00D618B7" w:rsidRDefault="00013295" w:rsidP="00013295">
            <w:pPr>
              <w:jc w:val="right"/>
              <w:rPr>
                <w:color w:val="000000"/>
                <w:sz w:val="22"/>
                <w:szCs w:val="22"/>
              </w:rPr>
            </w:pPr>
            <w:r w:rsidRPr="00D618B7">
              <w:rPr>
                <w:rFonts w:eastAsia="Aptos"/>
                <w:color w:val="000000"/>
                <w:kern w:val="2"/>
                <w:sz w:val="22"/>
                <w:szCs w:val="22"/>
              </w:rPr>
              <w:t>6100.088</w:t>
            </w:r>
          </w:p>
        </w:tc>
        <w:tc>
          <w:tcPr>
            <w:tcW w:w="1367" w:type="dxa"/>
            <w:tcBorders>
              <w:top w:val="nil"/>
              <w:left w:val="nil"/>
              <w:bottom w:val="nil"/>
              <w:right w:val="nil"/>
            </w:tcBorders>
            <w:shd w:val="clear" w:color="000000" w:fill="FFFFFF"/>
            <w:noWrap/>
            <w:vAlign w:val="center"/>
            <w:hideMark/>
          </w:tcPr>
          <w:p w14:paraId="7498F778" w14:textId="77777777" w:rsidR="00013295" w:rsidRPr="00D618B7" w:rsidRDefault="00013295" w:rsidP="00013295">
            <w:pPr>
              <w:jc w:val="right"/>
              <w:rPr>
                <w:color w:val="000000"/>
                <w:sz w:val="22"/>
                <w:szCs w:val="22"/>
              </w:rPr>
            </w:pPr>
            <w:r w:rsidRPr="00D618B7">
              <w:rPr>
                <w:rFonts w:eastAsia="Aptos"/>
                <w:color w:val="000000"/>
                <w:kern w:val="2"/>
                <w:sz w:val="22"/>
                <w:szCs w:val="22"/>
              </w:rPr>
              <w:t>2513.31456</w:t>
            </w:r>
          </w:p>
        </w:tc>
        <w:tc>
          <w:tcPr>
            <w:tcW w:w="1193" w:type="dxa"/>
            <w:tcBorders>
              <w:top w:val="nil"/>
              <w:left w:val="nil"/>
              <w:bottom w:val="nil"/>
              <w:right w:val="nil"/>
            </w:tcBorders>
            <w:shd w:val="clear" w:color="000000" w:fill="FFFFFF"/>
            <w:noWrap/>
            <w:vAlign w:val="center"/>
            <w:hideMark/>
          </w:tcPr>
          <w:p w14:paraId="2B5A9B26" w14:textId="77777777" w:rsidR="00013295" w:rsidRPr="00D618B7" w:rsidRDefault="00013295" w:rsidP="00013295">
            <w:pPr>
              <w:jc w:val="right"/>
              <w:rPr>
                <w:color w:val="000000"/>
                <w:sz w:val="22"/>
                <w:szCs w:val="22"/>
              </w:rPr>
            </w:pPr>
            <w:r w:rsidRPr="00D618B7">
              <w:rPr>
                <w:rFonts w:eastAsia="Aptos"/>
                <w:color w:val="000000"/>
                <w:kern w:val="2"/>
                <w:sz w:val="22"/>
                <w:szCs w:val="22"/>
              </w:rPr>
              <w:t>23717.4879</w:t>
            </w:r>
          </w:p>
        </w:tc>
        <w:tc>
          <w:tcPr>
            <w:tcW w:w="1367" w:type="dxa"/>
            <w:tcBorders>
              <w:top w:val="nil"/>
              <w:left w:val="nil"/>
              <w:bottom w:val="nil"/>
              <w:right w:val="nil"/>
            </w:tcBorders>
            <w:shd w:val="clear" w:color="000000" w:fill="FFFFFF"/>
            <w:noWrap/>
            <w:vAlign w:val="center"/>
            <w:hideMark/>
          </w:tcPr>
          <w:p w14:paraId="4DFED1A7" w14:textId="77777777" w:rsidR="00013295" w:rsidRPr="00D618B7" w:rsidRDefault="00013295" w:rsidP="00013295">
            <w:pPr>
              <w:jc w:val="right"/>
              <w:rPr>
                <w:color w:val="000000"/>
                <w:sz w:val="22"/>
                <w:szCs w:val="22"/>
              </w:rPr>
            </w:pPr>
            <w:r w:rsidRPr="00D618B7">
              <w:rPr>
                <w:rFonts w:eastAsia="Aptos"/>
                <w:color w:val="000000"/>
                <w:kern w:val="2"/>
                <w:sz w:val="22"/>
                <w:szCs w:val="22"/>
              </w:rPr>
              <w:t>2617.30916</w:t>
            </w:r>
          </w:p>
        </w:tc>
      </w:tr>
      <w:tr w:rsidR="00013295" w:rsidRPr="00D618B7" w14:paraId="64303644" w14:textId="77777777" w:rsidTr="004B11B7">
        <w:trPr>
          <w:trHeight w:val="300"/>
        </w:trPr>
        <w:tc>
          <w:tcPr>
            <w:tcW w:w="1140" w:type="dxa"/>
            <w:tcBorders>
              <w:top w:val="nil"/>
              <w:left w:val="nil"/>
              <w:bottom w:val="nil"/>
              <w:right w:val="nil"/>
            </w:tcBorders>
            <w:shd w:val="clear" w:color="000000" w:fill="FFFFFF"/>
            <w:vAlign w:val="center"/>
            <w:hideMark/>
          </w:tcPr>
          <w:p w14:paraId="6373668B" w14:textId="77777777" w:rsidR="00013295" w:rsidRPr="00D618B7" w:rsidRDefault="00013295" w:rsidP="00013295">
            <w:pPr>
              <w:jc w:val="right"/>
              <w:rPr>
                <w:color w:val="000000"/>
                <w:sz w:val="22"/>
                <w:szCs w:val="22"/>
              </w:rPr>
            </w:pPr>
            <w:r w:rsidRPr="00D618B7">
              <w:rPr>
                <w:color w:val="000000"/>
                <w:sz w:val="22"/>
                <w:szCs w:val="22"/>
              </w:rPr>
              <w:t>0</w:t>
            </w:r>
          </w:p>
        </w:tc>
        <w:tc>
          <w:tcPr>
            <w:tcW w:w="1193" w:type="dxa"/>
            <w:tcBorders>
              <w:top w:val="nil"/>
              <w:left w:val="nil"/>
              <w:bottom w:val="nil"/>
              <w:right w:val="nil"/>
            </w:tcBorders>
            <w:shd w:val="clear" w:color="000000" w:fill="FFFFFF"/>
            <w:noWrap/>
            <w:vAlign w:val="center"/>
            <w:hideMark/>
          </w:tcPr>
          <w:p w14:paraId="5D31D07D" w14:textId="77777777" w:rsidR="00013295" w:rsidRPr="00D618B7" w:rsidRDefault="00013295" w:rsidP="00013295">
            <w:pPr>
              <w:jc w:val="right"/>
              <w:rPr>
                <w:color w:val="000000"/>
                <w:sz w:val="22"/>
                <w:szCs w:val="22"/>
              </w:rPr>
            </w:pPr>
            <w:r w:rsidRPr="00D618B7">
              <w:rPr>
                <w:rFonts w:eastAsia="Aptos"/>
                <w:color w:val="000000"/>
                <w:kern w:val="2"/>
                <w:sz w:val="22"/>
                <w:szCs w:val="22"/>
              </w:rPr>
              <w:t>12906.6809</w:t>
            </w:r>
          </w:p>
        </w:tc>
        <w:tc>
          <w:tcPr>
            <w:tcW w:w="1367" w:type="dxa"/>
            <w:tcBorders>
              <w:top w:val="nil"/>
              <w:left w:val="nil"/>
              <w:bottom w:val="nil"/>
              <w:right w:val="nil"/>
            </w:tcBorders>
            <w:shd w:val="clear" w:color="000000" w:fill="FFFFFF"/>
            <w:noWrap/>
            <w:vAlign w:val="center"/>
            <w:hideMark/>
          </w:tcPr>
          <w:p w14:paraId="5B183E20" w14:textId="77777777" w:rsidR="00013295" w:rsidRPr="00D618B7" w:rsidRDefault="00013295" w:rsidP="00013295">
            <w:pPr>
              <w:jc w:val="right"/>
              <w:rPr>
                <w:color w:val="000000"/>
                <w:sz w:val="22"/>
                <w:szCs w:val="22"/>
              </w:rPr>
            </w:pPr>
            <w:r w:rsidRPr="00D618B7">
              <w:rPr>
                <w:rFonts w:eastAsia="Aptos"/>
                <w:color w:val="000000"/>
                <w:kern w:val="2"/>
                <w:sz w:val="22"/>
                <w:szCs w:val="22"/>
              </w:rPr>
              <w:t>2528.03805</w:t>
            </w:r>
          </w:p>
        </w:tc>
        <w:tc>
          <w:tcPr>
            <w:tcW w:w="1193" w:type="dxa"/>
            <w:tcBorders>
              <w:top w:val="nil"/>
              <w:left w:val="nil"/>
              <w:bottom w:val="nil"/>
              <w:right w:val="nil"/>
            </w:tcBorders>
            <w:shd w:val="clear" w:color="000000" w:fill="FFFFFF"/>
            <w:noWrap/>
            <w:vAlign w:val="center"/>
            <w:hideMark/>
          </w:tcPr>
          <w:p w14:paraId="4C142EFC" w14:textId="77777777" w:rsidR="00013295" w:rsidRPr="00D618B7" w:rsidRDefault="00013295" w:rsidP="00013295">
            <w:pPr>
              <w:jc w:val="right"/>
              <w:rPr>
                <w:color w:val="000000"/>
                <w:sz w:val="22"/>
                <w:szCs w:val="22"/>
              </w:rPr>
            </w:pPr>
            <w:r w:rsidRPr="00D618B7">
              <w:rPr>
                <w:rFonts w:eastAsia="Aptos"/>
                <w:color w:val="000000"/>
                <w:kern w:val="2"/>
                <w:sz w:val="22"/>
                <w:szCs w:val="22"/>
              </w:rPr>
              <w:t>1568.0924</w:t>
            </w:r>
          </w:p>
        </w:tc>
        <w:tc>
          <w:tcPr>
            <w:tcW w:w="1367" w:type="dxa"/>
            <w:tcBorders>
              <w:top w:val="nil"/>
              <w:left w:val="nil"/>
              <w:bottom w:val="nil"/>
              <w:right w:val="nil"/>
            </w:tcBorders>
            <w:shd w:val="clear" w:color="000000" w:fill="FFFFFF"/>
            <w:noWrap/>
            <w:vAlign w:val="center"/>
            <w:hideMark/>
          </w:tcPr>
          <w:p w14:paraId="3D5B5FD3" w14:textId="77777777" w:rsidR="00013295" w:rsidRPr="00D618B7" w:rsidRDefault="00013295" w:rsidP="00013295">
            <w:pPr>
              <w:jc w:val="right"/>
              <w:rPr>
                <w:color w:val="000000"/>
                <w:sz w:val="22"/>
                <w:szCs w:val="22"/>
              </w:rPr>
            </w:pPr>
            <w:r w:rsidRPr="00D618B7">
              <w:rPr>
                <w:rFonts w:eastAsia="Aptos"/>
                <w:color w:val="000000"/>
                <w:kern w:val="2"/>
                <w:sz w:val="22"/>
                <w:szCs w:val="22"/>
              </w:rPr>
              <w:t>2464.20659</w:t>
            </w:r>
          </w:p>
        </w:tc>
        <w:tc>
          <w:tcPr>
            <w:tcW w:w="1193" w:type="dxa"/>
            <w:tcBorders>
              <w:top w:val="nil"/>
              <w:left w:val="nil"/>
              <w:bottom w:val="nil"/>
              <w:right w:val="nil"/>
            </w:tcBorders>
            <w:shd w:val="clear" w:color="000000" w:fill="FFFFFF"/>
            <w:noWrap/>
            <w:vAlign w:val="center"/>
            <w:hideMark/>
          </w:tcPr>
          <w:p w14:paraId="7577F92A" w14:textId="77777777" w:rsidR="00013295" w:rsidRPr="00D618B7" w:rsidRDefault="00013295" w:rsidP="00013295">
            <w:pPr>
              <w:jc w:val="right"/>
              <w:rPr>
                <w:color w:val="000000"/>
                <w:sz w:val="22"/>
                <w:szCs w:val="22"/>
              </w:rPr>
            </w:pPr>
            <w:r w:rsidRPr="00D618B7">
              <w:rPr>
                <w:rFonts w:eastAsia="Aptos"/>
                <w:color w:val="000000"/>
                <w:kern w:val="2"/>
                <w:sz w:val="22"/>
                <w:szCs w:val="22"/>
              </w:rPr>
              <w:t>16153.8261</w:t>
            </w:r>
          </w:p>
        </w:tc>
        <w:tc>
          <w:tcPr>
            <w:tcW w:w="1367" w:type="dxa"/>
            <w:tcBorders>
              <w:top w:val="nil"/>
              <w:left w:val="nil"/>
              <w:bottom w:val="nil"/>
              <w:right w:val="nil"/>
            </w:tcBorders>
            <w:shd w:val="clear" w:color="000000" w:fill="FFFFFF"/>
            <w:noWrap/>
            <w:vAlign w:val="center"/>
            <w:hideMark/>
          </w:tcPr>
          <w:p w14:paraId="169EC675" w14:textId="77777777" w:rsidR="00013295" w:rsidRPr="00D618B7" w:rsidRDefault="00013295" w:rsidP="00013295">
            <w:pPr>
              <w:jc w:val="right"/>
              <w:rPr>
                <w:color w:val="000000"/>
                <w:sz w:val="22"/>
                <w:szCs w:val="22"/>
              </w:rPr>
            </w:pPr>
            <w:r w:rsidRPr="00D618B7">
              <w:rPr>
                <w:rFonts w:eastAsia="Aptos"/>
                <w:color w:val="000000"/>
                <w:kern w:val="2"/>
                <w:sz w:val="22"/>
                <w:szCs w:val="22"/>
              </w:rPr>
              <w:t>2526.54897</w:t>
            </w:r>
          </w:p>
        </w:tc>
      </w:tr>
      <w:tr w:rsidR="00013295" w:rsidRPr="00D618B7" w14:paraId="2C872A20" w14:textId="77777777" w:rsidTr="004B11B7">
        <w:trPr>
          <w:trHeight w:val="300"/>
        </w:trPr>
        <w:tc>
          <w:tcPr>
            <w:tcW w:w="1140" w:type="dxa"/>
            <w:tcBorders>
              <w:top w:val="nil"/>
              <w:left w:val="nil"/>
              <w:bottom w:val="nil"/>
              <w:right w:val="nil"/>
            </w:tcBorders>
            <w:shd w:val="clear" w:color="000000" w:fill="FFFFFF"/>
            <w:vAlign w:val="center"/>
            <w:hideMark/>
          </w:tcPr>
          <w:p w14:paraId="289EBEA6" w14:textId="77777777" w:rsidR="00013295" w:rsidRPr="00D618B7" w:rsidRDefault="00013295" w:rsidP="00013295">
            <w:pPr>
              <w:jc w:val="right"/>
              <w:rPr>
                <w:color w:val="000000"/>
                <w:sz w:val="22"/>
                <w:szCs w:val="22"/>
              </w:rPr>
            </w:pPr>
            <w:r w:rsidRPr="00D618B7">
              <w:rPr>
                <w:color w:val="000000"/>
                <w:sz w:val="22"/>
                <w:szCs w:val="22"/>
              </w:rPr>
              <w:t>1</w:t>
            </w:r>
          </w:p>
        </w:tc>
        <w:tc>
          <w:tcPr>
            <w:tcW w:w="1193" w:type="dxa"/>
            <w:tcBorders>
              <w:top w:val="nil"/>
              <w:left w:val="nil"/>
              <w:bottom w:val="nil"/>
              <w:right w:val="nil"/>
            </w:tcBorders>
            <w:shd w:val="clear" w:color="000000" w:fill="FFFFFF"/>
            <w:noWrap/>
            <w:vAlign w:val="center"/>
            <w:hideMark/>
          </w:tcPr>
          <w:p w14:paraId="6D04A804" w14:textId="77777777" w:rsidR="00013295" w:rsidRPr="00D618B7" w:rsidRDefault="00013295" w:rsidP="00013295">
            <w:pPr>
              <w:jc w:val="right"/>
              <w:rPr>
                <w:color w:val="000000"/>
                <w:sz w:val="22"/>
                <w:szCs w:val="22"/>
              </w:rPr>
            </w:pPr>
            <w:r w:rsidRPr="00D618B7">
              <w:rPr>
                <w:rFonts w:eastAsia="Aptos"/>
                <w:color w:val="000000"/>
                <w:kern w:val="2"/>
                <w:sz w:val="22"/>
                <w:szCs w:val="22"/>
              </w:rPr>
              <w:t>20126.2028</w:t>
            </w:r>
          </w:p>
        </w:tc>
        <w:tc>
          <w:tcPr>
            <w:tcW w:w="1367" w:type="dxa"/>
            <w:tcBorders>
              <w:top w:val="nil"/>
              <w:left w:val="nil"/>
              <w:bottom w:val="nil"/>
              <w:right w:val="nil"/>
            </w:tcBorders>
            <w:shd w:val="clear" w:color="000000" w:fill="FFFFFF"/>
            <w:noWrap/>
            <w:vAlign w:val="center"/>
            <w:hideMark/>
          </w:tcPr>
          <w:p w14:paraId="66AE86C1" w14:textId="77777777" w:rsidR="00013295" w:rsidRPr="00D618B7" w:rsidRDefault="00013295" w:rsidP="00013295">
            <w:pPr>
              <w:jc w:val="right"/>
              <w:rPr>
                <w:color w:val="000000"/>
                <w:sz w:val="22"/>
                <w:szCs w:val="22"/>
              </w:rPr>
            </w:pPr>
            <w:r w:rsidRPr="00D618B7">
              <w:rPr>
                <w:rFonts w:eastAsia="Aptos"/>
                <w:color w:val="000000"/>
                <w:kern w:val="2"/>
                <w:sz w:val="22"/>
                <w:szCs w:val="22"/>
              </w:rPr>
              <w:t>2547.4287</w:t>
            </w:r>
          </w:p>
        </w:tc>
        <w:tc>
          <w:tcPr>
            <w:tcW w:w="1193" w:type="dxa"/>
            <w:tcBorders>
              <w:top w:val="nil"/>
              <w:left w:val="nil"/>
              <w:bottom w:val="nil"/>
              <w:right w:val="nil"/>
            </w:tcBorders>
            <w:shd w:val="clear" w:color="000000" w:fill="FFFFFF"/>
            <w:noWrap/>
            <w:vAlign w:val="center"/>
            <w:hideMark/>
          </w:tcPr>
          <w:p w14:paraId="50748A21" w14:textId="77777777" w:rsidR="00013295" w:rsidRPr="00D618B7" w:rsidRDefault="00013295" w:rsidP="00013295">
            <w:pPr>
              <w:jc w:val="right"/>
              <w:rPr>
                <w:color w:val="000000"/>
                <w:sz w:val="22"/>
                <w:szCs w:val="22"/>
              </w:rPr>
            </w:pPr>
            <w:r w:rsidRPr="00D618B7">
              <w:rPr>
                <w:rFonts w:eastAsia="Aptos"/>
                <w:color w:val="000000"/>
                <w:kern w:val="2"/>
                <w:sz w:val="22"/>
                <w:szCs w:val="22"/>
              </w:rPr>
              <w:t>6806.5792</w:t>
            </w:r>
          </w:p>
        </w:tc>
        <w:tc>
          <w:tcPr>
            <w:tcW w:w="1367" w:type="dxa"/>
            <w:tcBorders>
              <w:top w:val="nil"/>
              <w:left w:val="nil"/>
              <w:bottom w:val="nil"/>
              <w:right w:val="nil"/>
            </w:tcBorders>
            <w:shd w:val="clear" w:color="000000" w:fill="FFFFFF"/>
            <w:noWrap/>
            <w:vAlign w:val="center"/>
            <w:hideMark/>
          </w:tcPr>
          <w:p w14:paraId="21E40309" w14:textId="77777777" w:rsidR="00013295" w:rsidRPr="00D618B7" w:rsidRDefault="00013295" w:rsidP="00013295">
            <w:pPr>
              <w:jc w:val="right"/>
              <w:rPr>
                <w:color w:val="000000"/>
                <w:sz w:val="22"/>
                <w:szCs w:val="22"/>
              </w:rPr>
            </w:pPr>
            <w:r w:rsidRPr="00D618B7">
              <w:rPr>
                <w:rFonts w:eastAsia="Aptos"/>
                <w:color w:val="000000"/>
                <w:kern w:val="2"/>
                <w:sz w:val="22"/>
                <w:szCs w:val="22"/>
              </w:rPr>
              <w:t>2482.69004</w:t>
            </w:r>
          </w:p>
        </w:tc>
        <w:tc>
          <w:tcPr>
            <w:tcW w:w="1193" w:type="dxa"/>
            <w:tcBorders>
              <w:top w:val="nil"/>
              <w:left w:val="nil"/>
              <w:bottom w:val="nil"/>
              <w:right w:val="nil"/>
            </w:tcBorders>
            <w:shd w:val="clear" w:color="000000" w:fill="FFFFFF"/>
            <w:noWrap/>
            <w:vAlign w:val="center"/>
            <w:hideMark/>
          </w:tcPr>
          <w:p w14:paraId="43552B17" w14:textId="77777777" w:rsidR="00013295" w:rsidRPr="00D618B7" w:rsidRDefault="00013295" w:rsidP="00013295">
            <w:pPr>
              <w:jc w:val="right"/>
              <w:rPr>
                <w:color w:val="000000"/>
                <w:sz w:val="22"/>
                <w:szCs w:val="22"/>
              </w:rPr>
            </w:pPr>
            <w:r w:rsidRPr="00D618B7">
              <w:rPr>
                <w:rFonts w:eastAsia="Aptos"/>
                <w:color w:val="000000"/>
                <w:kern w:val="2"/>
                <w:sz w:val="22"/>
                <w:szCs w:val="22"/>
              </w:rPr>
              <w:t>16002.4264</w:t>
            </w:r>
          </w:p>
        </w:tc>
        <w:tc>
          <w:tcPr>
            <w:tcW w:w="1367" w:type="dxa"/>
            <w:tcBorders>
              <w:top w:val="nil"/>
              <w:left w:val="nil"/>
              <w:bottom w:val="nil"/>
              <w:right w:val="nil"/>
            </w:tcBorders>
            <w:shd w:val="clear" w:color="000000" w:fill="FFFFFF"/>
            <w:noWrap/>
            <w:vAlign w:val="center"/>
            <w:hideMark/>
          </w:tcPr>
          <w:p w14:paraId="3562DB63" w14:textId="77777777" w:rsidR="00013295" w:rsidRPr="00D618B7" w:rsidRDefault="00013295" w:rsidP="00013295">
            <w:pPr>
              <w:jc w:val="right"/>
              <w:rPr>
                <w:color w:val="000000"/>
                <w:sz w:val="22"/>
                <w:szCs w:val="22"/>
              </w:rPr>
            </w:pPr>
            <w:r w:rsidRPr="00D618B7">
              <w:rPr>
                <w:rFonts w:eastAsia="Aptos"/>
                <w:color w:val="000000"/>
                <w:kern w:val="2"/>
                <w:sz w:val="22"/>
                <w:szCs w:val="22"/>
              </w:rPr>
              <w:t>2570.48504</w:t>
            </w:r>
          </w:p>
        </w:tc>
      </w:tr>
      <w:tr w:rsidR="00013295" w:rsidRPr="00D618B7" w14:paraId="0F8D53C8" w14:textId="77777777" w:rsidTr="004B11B7">
        <w:trPr>
          <w:trHeight w:val="300"/>
        </w:trPr>
        <w:tc>
          <w:tcPr>
            <w:tcW w:w="1140" w:type="dxa"/>
            <w:tcBorders>
              <w:top w:val="nil"/>
              <w:left w:val="nil"/>
              <w:bottom w:val="nil"/>
              <w:right w:val="nil"/>
            </w:tcBorders>
            <w:shd w:val="clear" w:color="000000" w:fill="FFFFFF"/>
            <w:vAlign w:val="center"/>
            <w:hideMark/>
          </w:tcPr>
          <w:p w14:paraId="5867DA33" w14:textId="77777777" w:rsidR="00013295" w:rsidRPr="00D618B7" w:rsidRDefault="00013295" w:rsidP="00013295">
            <w:pPr>
              <w:jc w:val="right"/>
              <w:rPr>
                <w:color w:val="000000"/>
                <w:sz w:val="22"/>
                <w:szCs w:val="22"/>
              </w:rPr>
            </w:pPr>
            <w:r w:rsidRPr="00D618B7">
              <w:rPr>
                <w:color w:val="000000"/>
                <w:sz w:val="22"/>
                <w:szCs w:val="22"/>
              </w:rPr>
              <w:t>2</w:t>
            </w:r>
          </w:p>
        </w:tc>
        <w:tc>
          <w:tcPr>
            <w:tcW w:w="1193" w:type="dxa"/>
            <w:tcBorders>
              <w:top w:val="nil"/>
              <w:left w:val="nil"/>
              <w:bottom w:val="nil"/>
              <w:right w:val="nil"/>
            </w:tcBorders>
            <w:shd w:val="clear" w:color="000000" w:fill="FFFFFF"/>
            <w:noWrap/>
            <w:vAlign w:val="center"/>
            <w:hideMark/>
          </w:tcPr>
          <w:p w14:paraId="232AC8CC" w14:textId="77777777" w:rsidR="00013295" w:rsidRPr="00D618B7" w:rsidRDefault="00013295" w:rsidP="00013295">
            <w:pPr>
              <w:jc w:val="right"/>
              <w:rPr>
                <w:color w:val="000000"/>
                <w:sz w:val="22"/>
                <w:szCs w:val="22"/>
              </w:rPr>
            </w:pPr>
            <w:r w:rsidRPr="00D618B7">
              <w:rPr>
                <w:rFonts w:eastAsia="Aptos"/>
                <w:color w:val="000000"/>
                <w:kern w:val="2"/>
                <w:sz w:val="22"/>
                <w:szCs w:val="22"/>
              </w:rPr>
              <w:t>12132.0993</w:t>
            </w:r>
          </w:p>
        </w:tc>
        <w:tc>
          <w:tcPr>
            <w:tcW w:w="1367" w:type="dxa"/>
            <w:tcBorders>
              <w:top w:val="nil"/>
              <w:left w:val="nil"/>
              <w:bottom w:val="nil"/>
              <w:right w:val="nil"/>
            </w:tcBorders>
            <w:shd w:val="clear" w:color="000000" w:fill="FFFFFF"/>
            <w:noWrap/>
            <w:vAlign w:val="center"/>
            <w:hideMark/>
          </w:tcPr>
          <w:p w14:paraId="3B65EDA9" w14:textId="77777777" w:rsidR="00013295" w:rsidRPr="00D618B7" w:rsidRDefault="00013295" w:rsidP="00013295">
            <w:pPr>
              <w:jc w:val="right"/>
              <w:rPr>
                <w:color w:val="000000"/>
                <w:sz w:val="22"/>
                <w:szCs w:val="22"/>
              </w:rPr>
            </w:pPr>
            <w:r w:rsidRPr="00D618B7">
              <w:rPr>
                <w:rFonts w:eastAsia="Aptos"/>
                <w:color w:val="000000"/>
                <w:kern w:val="2"/>
                <w:sz w:val="22"/>
                <w:szCs w:val="22"/>
              </w:rPr>
              <w:t>2835.25826</w:t>
            </w:r>
          </w:p>
        </w:tc>
        <w:tc>
          <w:tcPr>
            <w:tcW w:w="1193" w:type="dxa"/>
            <w:tcBorders>
              <w:top w:val="nil"/>
              <w:left w:val="nil"/>
              <w:bottom w:val="nil"/>
              <w:right w:val="nil"/>
            </w:tcBorders>
            <w:shd w:val="clear" w:color="000000" w:fill="FFFFFF"/>
            <w:noWrap/>
            <w:vAlign w:val="center"/>
            <w:hideMark/>
          </w:tcPr>
          <w:p w14:paraId="505B4509" w14:textId="77777777" w:rsidR="00013295" w:rsidRPr="00D618B7" w:rsidRDefault="00013295" w:rsidP="00013295">
            <w:pPr>
              <w:jc w:val="right"/>
              <w:rPr>
                <w:color w:val="000000"/>
                <w:sz w:val="22"/>
                <w:szCs w:val="22"/>
              </w:rPr>
            </w:pPr>
            <w:r w:rsidRPr="00D618B7">
              <w:rPr>
                <w:rFonts w:eastAsia="Aptos"/>
                <w:color w:val="000000"/>
                <w:kern w:val="2"/>
                <w:sz w:val="22"/>
                <w:szCs w:val="22"/>
              </w:rPr>
              <w:t>2023.2573</w:t>
            </w:r>
          </w:p>
        </w:tc>
        <w:tc>
          <w:tcPr>
            <w:tcW w:w="1367" w:type="dxa"/>
            <w:tcBorders>
              <w:top w:val="nil"/>
              <w:left w:val="nil"/>
              <w:bottom w:val="nil"/>
              <w:right w:val="nil"/>
            </w:tcBorders>
            <w:shd w:val="clear" w:color="000000" w:fill="FFFFFF"/>
            <w:noWrap/>
            <w:vAlign w:val="center"/>
            <w:hideMark/>
          </w:tcPr>
          <w:p w14:paraId="58743F89" w14:textId="77777777" w:rsidR="00013295" w:rsidRPr="00D618B7" w:rsidRDefault="00013295" w:rsidP="00013295">
            <w:pPr>
              <w:jc w:val="right"/>
              <w:rPr>
                <w:color w:val="000000"/>
                <w:sz w:val="22"/>
                <w:szCs w:val="22"/>
              </w:rPr>
            </w:pPr>
            <w:r w:rsidRPr="00D618B7">
              <w:rPr>
                <w:rFonts w:eastAsia="Aptos"/>
                <w:color w:val="000000"/>
                <w:kern w:val="2"/>
                <w:sz w:val="22"/>
                <w:szCs w:val="22"/>
              </w:rPr>
              <w:t>2671.18128</w:t>
            </w:r>
          </w:p>
        </w:tc>
        <w:tc>
          <w:tcPr>
            <w:tcW w:w="1193" w:type="dxa"/>
            <w:tcBorders>
              <w:top w:val="nil"/>
              <w:left w:val="nil"/>
              <w:bottom w:val="nil"/>
              <w:right w:val="nil"/>
            </w:tcBorders>
            <w:shd w:val="clear" w:color="000000" w:fill="FFFFFF"/>
            <w:noWrap/>
            <w:vAlign w:val="center"/>
            <w:hideMark/>
          </w:tcPr>
          <w:p w14:paraId="7EB65FBB" w14:textId="77777777" w:rsidR="00013295" w:rsidRPr="00D618B7" w:rsidRDefault="00013295" w:rsidP="00013295">
            <w:pPr>
              <w:jc w:val="right"/>
              <w:rPr>
                <w:color w:val="000000"/>
                <w:sz w:val="22"/>
                <w:szCs w:val="22"/>
              </w:rPr>
            </w:pPr>
            <w:r w:rsidRPr="00D618B7">
              <w:rPr>
                <w:rFonts w:eastAsia="Aptos"/>
                <w:color w:val="000000"/>
                <w:kern w:val="2"/>
                <w:sz w:val="22"/>
                <w:szCs w:val="22"/>
              </w:rPr>
              <w:t>9011.608</w:t>
            </w:r>
          </w:p>
        </w:tc>
        <w:tc>
          <w:tcPr>
            <w:tcW w:w="1367" w:type="dxa"/>
            <w:tcBorders>
              <w:top w:val="nil"/>
              <w:left w:val="nil"/>
              <w:bottom w:val="nil"/>
              <w:right w:val="nil"/>
            </w:tcBorders>
            <w:shd w:val="clear" w:color="000000" w:fill="FFFFFF"/>
            <w:noWrap/>
            <w:vAlign w:val="center"/>
            <w:hideMark/>
          </w:tcPr>
          <w:p w14:paraId="35837787" w14:textId="77777777" w:rsidR="00013295" w:rsidRPr="00D618B7" w:rsidRDefault="00013295" w:rsidP="00013295">
            <w:pPr>
              <w:jc w:val="right"/>
              <w:rPr>
                <w:color w:val="000000"/>
                <w:sz w:val="22"/>
                <w:szCs w:val="22"/>
              </w:rPr>
            </w:pPr>
            <w:r w:rsidRPr="00D618B7">
              <w:rPr>
                <w:rFonts w:eastAsia="Aptos"/>
                <w:color w:val="000000"/>
                <w:kern w:val="2"/>
                <w:sz w:val="22"/>
                <w:szCs w:val="22"/>
              </w:rPr>
              <w:t>2842.88376</w:t>
            </w:r>
          </w:p>
        </w:tc>
      </w:tr>
      <w:tr w:rsidR="00013295" w:rsidRPr="00D618B7" w14:paraId="07C43EEB" w14:textId="77777777" w:rsidTr="004B11B7">
        <w:trPr>
          <w:trHeight w:val="300"/>
        </w:trPr>
        <w:tc>
          <w:tcPr>
            <w:tcW w:w="1140" w:type="dxa"/>
            <w:tcBorders>
              <w:top w:val="nil"/>
              <w:left w:val="nil"/>
              <w:bottom w:val="nil"/>
              <w:right w:val="nil"/>
            </w:tcBorders>
            <w:shd w:val="clear" w:color="000000" w:fill="FFFFFF"/>
            <w:vAlign w:val="center"/>
            <w:hideMark/>
          </w:tcPr>
          <w:p w14:paraId="3BD3DC0D" w14:textId="77777777" w:rsidR="00013295" w:rsidRPr="00D618B7" w:rsidRDefault="00013295" w:rsidP="00013295">
            <w:pPr>
              <w:jc w:val="right"/>
              <w:rPr>
                <w:color w:val="000000"/>
                <w:sz w:val="22"/>
                <w:szCs w:val="22"/>
              </w:rPr>
            </w:pPr>
            <w:r w:rsidRPr="00D618B7">
              <w:rPr>
                <w:color w:val="000000"/>
                <w:sz w:val="22"/>
                <w:szCs w:val="22"/>
              </w:rPr>
              <w:t>3</w:t>
            </w:r>
          </w:p>
        </w:tc>
        <w:tc>
          <w:tcPr>
            <w:tcW w:w="1193" w:type="dxa"/>
            <w:tcBorders>
              <w:top w:val="nil"/>
              <w:left w:val="nil"/>
              <w:bottom w:val="nil"/>
              <w:right w:val="nil"/>
            </w:tcBorders>
            <w:shd w:val="clear" w:color="000000" w:fill="FFFFFF"/>
            <w:noWrap/>
            <w:vAlign w:val="center"/>
            <w:hideMark/>
          </w:tcPr>
          <w:p w14:paraId="49ADA1A2" w14:textId="77777777" w:rsidR="00013295" w:rsidRPr="00D618B7" w:rsidRDefault="00013295" w:rsidP="00013295">
            <w:pPr>
              <w:jc w:val="right"/>
              <w:rPr>
                <w:color w:val="000000"/>
                <w:sz w:val="22"/>
                <w:szCs w:val="22"/>
              </w:rPr>
            </w:pPr>
            <w:r w:rsidRPr="00D618B7">
              <w:rPr>
                <w:rFonts w:eastAsia="Aptos"/>
                <w:color w:val="000000"/>
                <w:kern w:val="2"/>
                <w:sz w:val="22"/>
                <w:szCs w:val="22"/>
              </w:rPr>
              <w:t>18064.5774</w:t>
            </w:r>
          </w:p>
        </w:tc>
        <w:tc>
          <w:tcPr>
            <w:tcW w:w="1367" w:type="dxa"/>
            <w:tcBorders>
              <w:top w:val="nil"/>
              <w:left w:val="nil"/>
              <w:bottom w:val="nil"/>
              <w:right w:val="nil"/>
            </w:tcBorders>
            <w:shd w:val="clear" w:color="000000" w:fill="FFFFFF"/>
            <w:noWrap/>
            <w:vAlign w:val="center"/>
            <w:hideMark/>
          </w:tcPr>
          <w:p w14:paraId="251EA58F" w14:textId="77777777" w:rsidR="00013295" w:rsidRPr="00D618B7" w:rsidRDefault="00013295" w:rsidP="00013295">
            <w:pPr>
              <w:jc w:val="right"/>
              <w:rPr>
                <w:color w:val="000000"/>
                <w:sz w:val="22"/>
                <w:szCs w:val="22"/>
              </w:rPr>
            </w:pPr>
            <w:r w:rsidRPr="00D618B7">
              <w:rPr>
                <w:rFonts w:eastAsia="Aptos"/>
                <w:color w:val="000000"/>
                <w:kern w:val="2"/>
                <w:sz w:val="22"/>
                <w:szCs w:val="22"/>
              </w:rPr>
              <w:t>2513.39932</w:t>
            </w:r>
          </w:p>
        </w:tc>
        <w:tc>
          <w:tcPr>
            <w:tcW w:w="1193" w:type="dxa"/>
            <w:tcBorders>
              <w:top w:val="nil"/>
              <w:left w:val="nil"/>
              <w:bottom w:val="nil"/>
              <w:right w:val="nil"/>
            </w:tcBorders>
            <w:shd w:val="clear" w:color="000000" w:fill="FFFFFF"/>
            <w:noWrap/>
            <w:vAlign w:val="center"/>
            <w:hideMark/>
          </w:tcPr>
          <w:p w14:paraId="23C23365" w14:textId="77777777" w:rsidR="00013295" w:rsidRPr="00D618B7" w:rsidRDefault="00013295" w:rsidP="00013295">
            <w:pPr>
              <w:jc w:val="right"/>
              <w:rPr>
                <w:color w:val="000000"/>
                <w:sz w:val="22"/>
                <w:szCs w:val="22"/>
              </w:rPr>
            </w:pPr>
            <w:r w:rsidRPr="00D618B7">
              <w:rPr>
                <w:rFonts w:eastAsia="Aptos"/>
                <w:color w:val="000000"/>
                <w:kern w:val="2"/>
                <w:sz w:val="22"/>
                <w:szCs w:val="22"/>
              </w:rPr>
              <w:t>3041.6607</w:t>
            </w:r>
          </w:p>
        </w:tc>
        <w:tc>
          <w:tcPr>
            <w:tcW w:w="1367" w:type="dxa"/>
            <w:tcBorders>
              <w:top w:val="nil"/>
              <w:left w:val="nil"/>
              <w:bottom w:val="nil"/>
              <w:right w:val="nil"/>
            </w:tcBorders>
            <w:shd w:val="clear" w:color="000000" w:fill="FFFFFF"/>
            <w:noWrap/>
            <w:vAlign w:val="center"/>
            <w:hideMark/>
          </w:tcPr>
          <w:p w14:paraId="6C3A785D" w14:textId="77777777" w:rsidR="00013295" w:rsidRPr="00D618B7" w:rsidRDefault="00013295" w:rsidP="00013295">
            <w:pPr>
              <w:jc w:val="right"/>
              <w:rPr>
                <w:color w:val="000000"/>
                <w:sz w:val="22"/>
                <w:szCs w:val="22"/>
              </w:rPr>
            </w:pPr>
            <w:r w:rsidRPr="00D618B7">
              <w:rPr>
                <w:rFonts w:eastAsia="Aptos"/>
                <w:color w:val="000000"/>
                <w:kern w:val="2"/>
                <w:sz w:val="22"/>
                <w:szCs w:val="22"/>
              </w:rPr>
              <w:t>2461.10434</w:t>
            </w:r>
          </w:p>
        </w:tc>
        <w:tc>
          <w:tcPr>
            <w:tcW w:w="1193" w:type="dxa"/>
            <w:tcBorders>
              <w:top w:val="nil"/>
              <w:left w:val="nil"/>
              <w:bottom w:val="nil"/>
              <w:right w:val="nil"/>
            </w:tcBorders>
            <w:shd w:val="clear" w:color="000000" w:fill="FFFFFF"/>
            <w:noWrap/>
            <w:vAlign w:val="center"/>
            <w:hideMark/>
          </w:tcPr>
          <w:p w14:paraId="1A287D5A" w14:textId="77777777" w:rsidR="00013295" w:rsidRPr="00D618B7" w:rsidRDefault="00013295" w:rsidP="00013295">
            <w:pPr>
              <w:jc w:val="right"/>
              <w:rPr>
                <w:color w:val="000000"/>
                <w:sz w:val="22"/>
                <w:szCs w:val="22"/>
              </w:rPr>
            </w:pPr>
            <w:r w:rsidRPr="00D618B7">
              <w:rPr>
                <w:rFonts w:eastAsia="Aptos"/>
                <w:color w:val="000000"/>
                <w:kern w:val="2"/>
                <w:sz w:val="22"/>
                <w:szCs w:val="22"/>
              </w:rPr>
              <w:t>8733.0352</w:t>
            </w:r>
          </w:p>
        </w:tc>
        <w:tc>
          <w:tcPr>
            <w:tcW w:w="1367" w:type="dxa"/>
            <w:tcBorders>
              <w:top w:val="nil"/>
              <w:left w:val="nil"/>
              <w:bottom w:val="nil"/>
              <w:right w:val="nil"/>
            </w:tcBorders>
            <w:shd w:val="clear" w:color="000000" w:fill="FFFFFF"/>
            <w:noWrap/>
            <w:vAlign w:val="center"/>
            <w:hideMark/>
          </w:tcPr>
          <w:p w14:paraId="1E5D9906" w14:textId="77777777" w:rsidR="00013295" w:rsidRPr="00D618B7" w:rsidRDefault="00013295" w:rsidP="00013295">
            <w:pPr>
              <w:jc w:val="right"/>
              <w:rPr>
                <w:color w:val="000000"/>
                <w:sz w:val="22"/>
                <w:szCs w:val="22"/>
              </w:rPr>
            </w:pPr>
            <w:r w:rsidRPr="00D618B7">
              <w:rPr>
                <w:rFonts w:eastAsia="Aptos"/>
                <w:color w:val="000000"/>
                <w:kern w:val="2"/>
                <w:sz w:val="22"/>
                <w:szCs w:val="22"/>
              </w:rPr>
              <w:t>2564.02076</w:t>
            </w:r>
          </w:p>
        </w:tc>
      </w:tr>
      <w:tr w:rsidR="00013295" w:rsidRPr="00D618B7" w14:paraId="7D371019" w14:textId="77777777" w:rsidTr="004B11B7">
        <w:trPr>
          <w:trHeight w:val="300"/>
        </w:trPr>
        <w:tc>
          <w:tcPr>
            <w:tcW w:w="1140" w:type="dxa"/>
            <w:tcBorders>
              <w:top w:val="nil"/>
              <w:left w:val="nil"/>
              <w:right w:val="nil"/>
            </w:tcBorders>
            <w:shd w:val="clear" w:color="000000" w:fill="FFFFFF"/>
            <w:vAlign w:val="center"/>
            <w:hideMark/>
          </w:tcPr>
          <w:p w14:paraId="0EAE78A5" w14:textId="77777777" w:rsidR="00013295" w:rsidRPr="00D618B7" w:rsidRDefault="00013295" w:rsidP="00013295">
            <w:pPr>
              <w:jc w:val="right"/>
              <w:rPr>
                <w:color w:val="000000"/>
                <w:sz w:val="22"/>
                <w:szCs w:val="22"/>
              </w:rPr>
            </w:pPr>
            <w:r w:rsidRPr="00D618B7">
              <w:rPr>
                <w:color w:val="000000"/>
                <w:sz w:val="22"/>
                <w:szCs w:val="22"/>
              </w:rPr>
              <w:t>4</w:t>
            </w:r>
          </w:p>
        </w:tc>
        <w:tc>
          <w:tcPr>
            <w:tcW w:w="1193" w:type="dxa"/>
            <w:tcBorders>
              <w:top w:val="nil"/>
              <w:left w:val="nil"/>
              <w:right w:val="nil"/>
            </w:tcBorders>
            <w:shd w:val="clear" w:color="000000" w:fill="FFFFFF"/>
            <w:noWrap/>
            <w:vAlign w:val="center"/>
            <w:hideMark/>
          </w:tcPr>
          <w:p w14:paraId="5656F90E" w14:textId="77777777" w:rsidR="00013295" w:rsidRPr="00D618B7" w:rsidRDefault="00013295" w:rsidP="00013295">
            <w:pPr>
              <w:jc w:val="right"/>
              <w:rPr>
                <w:color w:val="000000"/>
                <w:sz w:val="22"/>
                <w:szCs w:val="22"/>
              </w:rPr>
            </w:pPr>
            <w:r w:rsidRPr="00D618B7">
              <w:rPr>
                <w:rFonts w:eastAsia="Aptos"/>
                <w:color w:val="000000"/>
                <w:kern w:val="2"/>
                <w:sz w:val="22"/>
                <w:szCs w:val="22"/>
              </w:rPr>
              <w:t>14555.0822</w:t>
            </w:r>
          </w:p>
        </w:tc>
        <w:tc>
          <w:tcPr>
            <w:tcW w:w="1367" w:type="dxa"/>
            <w:tcBorders>
              <w:top w:val="nil"/>
              <w:left w:val="nil"/>
              <w:right w:val="nil"/>
            </w:tcBorders>
            <w:shd w:val="clear" w:color="000000" w:fill="FFFFFF"/>
            <w:noWrap/>
            <w:vAlign w:val="center"/>
            <w:hideMark/>
          </w:tcPr>
          <w:p w14:paraId="619D60E1" w14:textId="77777777" w:rsidR="00013295" w:rsidRPr="00D618B7" w:rsidRDefault="00013295" w:rsidP="00013295">
            <w:pPr>
              <w:jc w:val="right"/>
              <w:rPr>
                <w:color w:val="000000"/>
                <w:sz w:val="22"/>
                <w:szCs w:val="22"/>
              </w:rPr>
            </w:pPr>
            <w:r w:rsidRPr="00D618B7">
              <w:rPr>
                <w:rFonts w:eastAsia="Aptos"/>
                <w:color w:val="000000"/>
                <w:kern w:val="2"/>
                <w:sz w:val="22"/>
                <w:szCs w:val="22"/>
              </w:rPr>
              <w:t>2648.88954</w:t>
            </w:r>
          </w:p>
        </w:tc>
        <w:tc>
          <w:tcPr>
            <w:tcW w:w="1193" w:type="dxa"/>
            <w:tcBorders>
              <w:top w:val="nil"/>
              <w:left w:val="nil"/>
              <w:right w:val="nil"/>
            </w:tcBorders>
            <w:shd w:val="clear" w:color="000000" w:fill="FFFFFF"/>
            <w:noWrap/>
            <w:vAlign w:val="center"/>
            <w:hideMark/>
          </w:tcPr>
          <w:p w14:paraId="6D9A8CEC" w14:textId="77777777" w:rsidR="00013295" w:rsidRPr="00D618B7" w:rsidRDefault="00013295" w:rsidP="00013295">
            <w:pPr>
              <w:jc w:val="right"/>
              <w:rPr>
                <w:color w:val="000000"/>
                <w:sz w:val="22"/>
                <w:szCs w:val="22"/>
              </w:rPr>
            </w:pPr>
            <w:r w:rsidRPr="00D618B7">
              <w:rPr>
                <w:rFonts w:eastAsia="Aptos"/>
                <w:color w:val="000000"/>
                <w:kern w:val="2"/>
                <w:sz w:val="22"/>
                <w:szCs w:val="22"/>
              </w:rPr>
              <w:t>1340.7681</w:t>
            </w:r>
          </w:p>
        </w:tc>
        <w:tc>
          <w:tcPr>
            <w:tcW w:w="1367" w:type="dxa"/>
            <w:tcBorders>
              <w:top w:val="nil"/>
              <w:left w:val="nil"/>
              <w:right w:val="nil"/>
            </w:tcBorders>
            <w:shd w:val="clear" w:color="000000" w:fill="FFFFFF"/>
            <w:noWrap/>
            <w:vAlign w:val="center"/>
            <w:hideMark/>
          </w:tcPr>
          <w:p w14:paraId="5D1D3D3B" w14:textId="77777777" w:rsidR="00013295" w:rsidRPr="00D618B7" w:rsidRDefault="00013295" w:rsidP="00013295">
            <w:pPr>
              <w:jc w:val="right"/>
              <w:rPr>
                <w:color w:val="000000"/>
                <w:sz w:val="22"/>
                <w:szCs w:val="22"/>
              </w:rPr>
            </w:pPr>
            <w:r w:rsidRPr="00D618B7">
              <w:rPr>
                <w:rFonts w:eastAsia="Aptos"/>
                <w:color w:val="000000"/>
                <w:kern w:val="2"/>
                <w:sz w:val="22"/>
                <w:szCs w:val="22"/>
              </w:rPr>
              <w:t>2561.01632</w:t>
            </w:r>
          </w:p>
        </w:tc>
        <w:tc>
          <w:tcPr>
            <w:tcW w:w="1193" w:type="dxa"/>
            <w:tcBorders>
              <w:top w:val="nil"/>
              <w:left w:val="nil"/>
              <w:right w:val="nil"/>
            </w:tcBorders>
            <w:shd w:val="clear" w:color="000000" w:fill="FFFFFF"/>
            <w:noWrap/>
            <w:vAlign w:val="center"/>
            <w:hideMark/>
          </w:tcPr>
          <w:p w14:paraId="45C2F83E" w14:textId="77777777" w:rsidR="00013295" w:rsidRPr="00D618B7" w:rsidRDefault="00013295" w:rsidP="00013295">
            <w:pPr>
              <w:jc w:val="right"/>
              <w:rPr>
                <w:color w:val="000000"/>
                <w:sz w:val="22"/>
                <w:szCs w:val="22"/>
              </w:rPr>
            </w:pPr>
            <w:r w:rsidRPr="00D618B7">
              <w:rPr>
                <w:rFonts w:eastAsia="Aptos"/>
                <w:color w:val="000000"/>
                <w:kern w:val="2"/>
                <w:sz w:val="22"/>
                <w:szCs w:val="22"/>
              </w:rPr>
              <w:t>7588.4366</w:t>
            </w:r>
          </w:p>
        </w:tc>
        <w:tc>
          <w:tcPr>
            <w:tcW w:w="1367" w:type="dxa"/>
            <w:tcBorders>
              <w:top w:val="nil"/>
              <w:left w:val="nil"/>
              <w:right w:val="nil"/>
            </w:tcBorders>
            <w:shd w:val="clear" w:color="000000" w:fill="FFFFFF"/>
            <w:noWrap/>
            <w:vAlign w:val="center"/>
            <w:hideMark/>
          </w:tcPr>
          <w:p w14:paraId="63BA4D5F" w14:textId="77777777" w:rsidR="00013295" w:rsidRPr="00D618B7" w:rsidRDefault="00013295" w:rsidP="00013295">
            <w:pPr>
              <w:jc w:val="right"/>
              <w:rPr>
                <w:color w:val="000000"/>
                <w:sz w:val="22"/>
                <w:szCs w:val="22"/>
              </w:rPr>
            </w:pPr>
            <w:r w:rsidRPr="00D618B7">
              <w:rPr>
                <w:rFonts w:eastAsia="Aptos"/>
                <w:color w:val="000000"/>
                <w:kern w:val="2"/>
                <w:sz w:val="22"/>
                <w:szCs w:val="22"/>
              </w:rPr>
              <w:t>2692.4598</w:t>
            </w:r>
          </w:p>
        </w:tc>
      </w:tr>
      <w:tr w:rsidR="00013295" w:rsidRPr="00D618B7" w14:paraId="528A5601" w14:textId="77777777" w:rsidTr="004B11B7">
        <w:trPr>
          <w:trHeight w:val="315"/>
        </w:trPr>
        <w:tc>
          <w:tcPr>
            <w:tcW w:w="1140" w:type="dxa"/>
            <w:tcBorders>
              <w:top w:val="nil"/>
              <w:left w:val="nil"/>
              <w:bottom w:val="single" w:sz="18" w:space="0" w:color="auto"/>
              <w:right w:val="nil"/>
            </w:tcBorders>
            <w:shd w:val="clear" w:color="000000" w:fill="FFFFFF"/>
            <w:vAlign w:val="center"/>
            <w:hideMark/>
          </w:tcPr>
          <w:p w14:paraId="44718013" w14:textId="77777777" w:rsidR="00013295" w:rsidRPr="00D618B7" w:rsidRDefault="00013295" w:rsidP="00013295">
            <w:pPr>
              <w:jc w:val="right"/>
              <w:rPr>
                <w:color w:val="000000"/>
                <w:sz w:val="22"/>
                <w:szCs w:val="22"/>
              </w:rPr>
            </w:pPr>
            <w:r w:rsidRPr="00D618B7">
              <w:rPr>
                <w:color w:val="000000"/>
                <w:sz w:val="22"/>
                <w:szCs w:val="22"/>
              </w:rPr>
              <w:t>5</w:t>
            </w:r>
          </w:p>
        </w:tc>
        <w:tc>
          <w:tcPr>
            <w:tcW w:w="1193" w:type="dxa"/>
            <w:tcBorders>
              <w:top w:val="nil"/>
              <w:left w:val="nil"/>
              <w:bottom w:val="single" w:sz="18" w:space="0" w:color="auto"/>
              <w:right w:val="nil"/>
            </w:tcBorders>
            <w:shd w:val="clear" w:color="000000" w:fill="FFFFFF"/>
            <w:noWrap/>
            <w:vAlign w:val="center"/>
            <w:hideMark/>
          </w:tcPr>
          <w:p w14:paraId="514B2F72" w14:textId="77777777" w:rsidR="00013295" w:rsidRPr="00D618B7" w:rsidRDefault="00013295" w:rsidP="00013295">
            <w:pPr>
              <w:jc w:val="right"/>
              <w:rPr>
                <w:color w:val="000000"/>
                <w:sz w:val="22"/>
                <w:szCs w:val="22"/>
              </w:rPr>
            </w:pPr>
            <w:r w:rsidRPr="00D618B7">
              <w:rPr>
                <w:rFonts w:eastAsia="Aptos"/>
                <w:color w:val="000000"/>
                <w:kern w:val="2"/>
                <w:sz w:val="22"/>
                <w:szCs w:val="22"/>
              </w:rPr>
              <w:t>15395.1477</w:t>
            </w:r>
          </w:p>
        </w:tc>
        <w:tc>
          <w:tcPr>
            <w:tcW w:w="1367" w:type="dxa"/>
            <w:tcBorders>
              <w:top w:val="nil"/>
              <w:left w:val="nil"/>
              <w:bottom w:val="single" w:sz="18" w:space="0" w:color="auto"/>
              <w:right w:val="nil"/>
            </w:tcBorders>
            <w:shd w:val="clear" w:color="000000" w:fill="FFFFFF"/>
            <w:noWrap/>
            <w:vAlign w:val="center"/>
            <w:hideMark/>
          </w:tcPr>
          <w:p w14:paraId="4C67FA63" w14:textId="77777777" w:rsidR="00013295" w:rsidRPr="00D618B7" w:rsidRDefault="00013295" w:rsidP="00013295">
            <w:pPr>
              <w:jc w:val="right"/>
              <w:rPr>
                <w:color w:val="000000"/>
                <w:sz w:val="22"/>
                <w:szCs w:val="22"/>
              </w:rPr>
            </w:pPr>
            <w:r w:rsidRPr="00D618B7">
              <w:rPr>
                <w:rFonts w:eastAsia="Aptos"/>
                <w:color w:val="000000"/>
                <w:kern w:val="2"/>
                <w:sz w:val="22"/>
                <w:szCs w:val="22"/>
              </w:rPr>
              <w:t>2660.40265</w:t>
            </w:r>
          </w:p>
        </w:tc>
        <w:tc>
          <w:tcPr>
            <w:tcW w:w="1193" w:type="dxa"/>
            <w:tcBorders>
              <w:top w:val="nil"/>
              <w:left w:val="nil"/>
              <w:bottom w:val="single" w:sz="18" w:space="0" w:color="auto"/>
              <w:right w:val="nil"/>
            </w:tcBorders>
            <w:shd w:val="clear" w:color="000000" w:fill="FFFFFF"/>
            <w:noWrap/>
            <w:vAlign w:val="center"/>
            <w:hideMark/>
          </w:tcPr>
          <w:p w14:paraId="4BFD76DD" w14:textId="77777777" w:rsidR="00013295" w:rsidRPr="00D618B7" w:rsidRDefault="00013295" w:rsidP="00013295">
            <w:pPr>
              <w:jc w:val="right"/>
              <w:rPr>
                <w:color w:val="000000"/>
                <w:sz w:val="22"/>
                <w:szCs w:val="22"/>
              </w:rPr>
            </w:pPr>
            <w:r w:rsidRPr="00D618B7">
              <w:rPr>
                <w:rFonts w:eastAsia="Aptos"/>
                <w:color w:val="000000"/>
                <w:kern w:val="2"/>
                <w:sz w:val="22"/>
                <w:szCs w:val="22"/>
              </w:rPr>
              <w:t>5490.8717</w:t>
            </w:r>
          </w:p>
        </w:tc>
        <w:tc>
          <w:tcPr>
            <w:tcW w:w="1367" w:type="dxa"/>
            <w:tcBorders>
              <w:top w:val="nil"/>
              <w:left w:val="nil"/>
              <w:bottom w:val="single" w:sz="18" w:space="0" w:color="auto"/>
              <w:right w:val="nil"/>
            </w:tcBorders>
            <w:shd w:val="clear" w:color="000000" w:fill="FFFFFF"/>
            <w:noWrap/>
            <w:vAlign w:val="center"/>
            <w:hideMark/>
          </w:tcPr>
          <w:p w14:paraId="55C5E063" w14:textId="77777777" w:rsidR="00013295" w:rsidRPr="00D618B7" w:rsidRDefault="00013295" w:rsidP="00013295">
            <w:pPr>
              <w:jc w:val="right"/>
              <w:rPr>
                <w:color w:val="000000"/>
                <w:sz w:val="22"/>
                <w:szCs w:val="22"/>
              </w:rPr>
            </w:pPr>
            <w:r w:rsidRPr="00D618B7">
              <w:rPr>
                <w:rFonts w:eastAsia="Aptos"/>
                <w:color w:val="000000"/>
                <w:kern w:val="2"/>
                <w:sz w:val="22"/>
                <w:szCs w:val="22"/>
              </w:rPr>
              <w:t>2625.00298</w:t>
            </w:r>
          </w:p>
        </w:tc>
        <w:tc>
          <w:tcPr>
            <w:tcW w:w="1193" w:type="dxa"/>
            <w:tcBorders>
              <w:top w:val="nil"/>
              <w:left w:val="nil"/>
              <w:bottom w:val="single" w:sz="18" w:space="0" w:color="auto"/>
              <w:right w:val="nil"/>
            </w:tcBorders>
            <w:shd w:val="clear" w:color="000000" w:fill="FFFFFF"/>
            <w:noWrap/>
            <w:vAlign w:val="center"/>
            <w:hideMark/>
          </w:tcPr>
          <w:p w14:paraId="233E2995" w14:textId="77777777" w:rsidR="00013295" w:rsidRPr="00D618B7" w:rsidRDefault="00013295" w:rsidP="00013295">
            <w:pPr>
              <w:jc w:val="right"/>
              <w:rPr>
                <w:color w:val="000000"/>
                <w:sz w:val="22"/>
                <w:szCs w:val="22"/>
              </w:rPr>
            </w:pPr>
            <w:r w:rsidRPr="00D618B7">
              <w:rPr>
                <w:rFonts w:eastAsia="Aptos"/>
                <w:color w:val="000000"/>
                <w:kern w:val="2"/>
                <w:sz w:val="22"/>
                <w:szCs w:val="22"/>
              </w:rPr>
              <w:t>6789.029</w:t>
            </w:r>
          </w:p>
        </w:tc>
        <w:tc>
          <w:tcPr>
            <w:tcW w:w="1367" w:type="dxa"/>
            <w:tcBorders>
              <w:top w:val="nil"/>
              <w:left w:val="nil"/>
              <w:bottom w:val="single" w:sz="18" w:space="0" w:color="auto"/>
              <w:right w:val="nil"/>
            </w:tcBorders>
            <w:shd w:val="clear" w:color="000000" w:fill="FFFFFF"/>
            <w:noWrap/>
            <w:vAlign w:val="center"/>
            <w:hideMark/>
          </w:tcPr>
          <w:p w14:paraId="22CDF706" w14:textId="77777777" w:rsidR="00013295" w:rsidRPr="00D618B7" w:rsidRDefault="00013295" w:rsidP="00013295">
            <w:pPr>
              <w:jc w:val="right"/>
              <w:rPr>
                <w:color w:val="000000"/>
                <w:sz w:val="22"/>
                <w:szCs w:val="22"/>
              </w:rPr>
            </w:pPr>
            <w:r w:rsidRPr="00D618B7">
              <w:rPr>
                <w:rFonts w:eastAsia="Aptos"/>
                <w:color w:val="000000"/>
                <w:kern w:val="2"/>
                <w:sz w:val="22"/>
                <w:szCs w:val="22"/>
              </w:rPr>
              <w:t>2813.36771</w:t>
            </w:r>
          </w:p>
        </w:tc>
      </w:tr>
    </w:tbl>
    <w:p w14:paraId="20124061" w14:textId="77777777" w:rsidR="00013295" w:rsidRPr="00D618B7" w:rsidRDefault="00013295" w:rsidP="00013295">
      <w:pPr>
        <w:spacing w:after="160" w:line="259" w:lineRule="auto"/>
        <w:rPr>
          <w:rFonts w:eastAsia="Aptos"/>
          <w:kern w:val="2"/>
          <w:sz w:val="22"/>
          <w:szCs w:val="22"/>
        </w:rPr>
      </w:pPr>
    </w:p>
    <w:p w14:paraId="773C7ECF" w14:textId="6B26B74C" w:rsidR="007E1678" w:rsidRPr="00D618B7" w:rsidRDefault="00013295" w:rsidP="00013295">
      <w:pPr>
        <w:spacing w:after="160" w:line="259" w:lineRule="auto"/>
        <w:rPr>
          <w:rFonts w:eastAsia="Aptos"/>
          <w:kern w:val="2"/>
          <w:sz w:val="22"/>
          <w:szCs w:val="22"/>
        </w:rPr>
      </w:pPr>
      <w:r w:rsidRPr="00D618B7">
        <w:rPr>
          <w:rFonts w:eastAsia="Aptos"/>
          <w:i/>
          <w:iCs/>
          <w:kern w:val="2"/>
          <w:sz w:val="22"/>
          <w:szCs w:val="22"/>
        </w:rPr>
        <w:t>Note</w:t>
      </w:r>
      <w:r w:rsidRPr="00D618B7">
        <w:rPr>
          <w:rFonts w:eastAsia="Aptos"/>
          <w:kern w:val="2"/>
          <w:sz w:val="22"/>
          <w:szCs w:val="22"/>
        </w:rPr>
        <w:t>: This table lists the estimated mean duration and standard error in milliseconds for the toy-out-of-reach, toy-moving-into-reach, and toy-in-reach proximity for each week of observation around reach-onset.</w:t>
      </w:r>
    </w:p>
    <w:p w14:paraId="4A6A4D5D" w14:textId="520CA2DB" w:rsidR="00013295" w:rsidRPr="00D618B7" w:rsidRDefault="007E1678" w:rsidP="001E3794">
      <w:pPr>
        <w:rPr>
          <w:rFonts w:eastAsia="Aptos"/>
          <w:kern w:val="2"/>
          <w:sz w:val="22"/>
          <w:szCs w:val="22"/>
        </w:rPr>
      </w:pPr>
      <w:r w:rsidRPr="00D618B7">
        <w:rPr>
          <w:rFonts w:eastAsia="Aptos"/>
          <w:kern w:val="2"/>
          <w:sz w:val="22"/>
          <w:szCs w:val="22"/>
        </w:rPr>
        <w:br w:type="page"/>
      </w:r>
      <w:bookmarkStart w:id="129" w:name="_Hlk169769492"/>
    </w:p>
    <w:p w14:paraId="4304F75F" w14:textId="77777777" w:rsidR="007E1678" w:rsidRPr="00D618B7" w:rsidRDefault="007E1678" w:rsidP="007E1678">
      <w:r w:rsidRPr="00D618B7">
        <w:rPr>
          <w:noProof/>
        </w:rPr>
        <w:lastRenderedPageBreak/>
        <w:drawing>
          <wp:inline distT="0" distB="0" distL="0" distR="0" wp14:anchorId="0AEF3874" wp14:editId="04ECDA39">
            <wp:extent cx="5592417" cy="5080000"/>
            <wp:effectExtent l="0" t="0" r="8890" b="6350"/>
            <wp:docPr id="1562553635" name="Chart 1">
              <a:extLst xmlns:a="http://schemas.openxmlformats.org/drawingml/2006/main">
                <a:ext uri="{FF2B5EF4-FFF2-40B4-BE49-F238E27FC236}">
                  <a16:creationId xmlns:a16="http://schemas.microsoft.com/office/drawing/2014/main" id="{84450D3B-70B3-4C6B-B85A-E2ACB7B329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38E785B" w14:textId="77777777" w:rsidR="001E3794" w:rsidRPr="00D618B7" w:rsidRDefault="001E3794" w:rsidP="007C5074">
      <w:pPr>
        <w:pStyle w:val="Caption"/>
      </w:pPr>
      <w:bookmarkStart w:id="130" w:name="_Toc172716947"/>
      <w:r w:rsidRPr="00D618B7">
        <w:t xml:space="preserve">Figure </w:t>
      </w:r>
      <w:r>
        <w:fldChar w:fldCharType="begin"/>
      </w:r>
      <w:r>
        <w:instrText xml:space="preserve"> SEQ Figure \* ARABIC </w:instrText>
      </w:r>
      <w:r>
        <w:fldChar w:fldCharType="separate"/>
      </w:r>
      <w:r>
        <w:rPr>
          <w:noProof/>
        </w:rPr>
        <w:t>7</w:t>
      </w:r>
      <w:r>
        <w:rPr>
          <w:noProof/>
        </w:rPr>
        <w:fldChar w:fldCharType="end"/>
      </w:r>
      <w:r w:rsidRPr="00D618B7">
        <w:t>:</w:t>
      </w:r>
      <w:r w:rsidRPr="00D618B7">
        <w:rPr>
          <w:rFonts w:eastAsia="Aptos"/>
          <w:kern w:val="2"/>
          <w:sz w:val="22"/>
          <w:szCs w:val="22"/>
        </w:rPr>
        <w:t xml:space="preserve"> Event frequency by type</w:t>
      </w:r>
      <w:bookmarkEnd w:id="130"/>
    </w:p>
    <w:p w14:paraId="7BAC0AB4" w14:textId="77777777" w:rsidR="001E3794" w:rsidRPr="00D618B7" w:rsidRDefault="001E3794" w:rsidP="001E3794">
      <w:r w:rsidRPr="00D618B7">
        <w:t>Estimated Mean Frequency of Event by Type and Week</w:t>
      </w:r>
    </w:p>
    <w:p w14:paraId="3092CDD5" w14:textId="581015FD" w:rsidR="007E1678" w:rsidRPr="00D618B7" w:rsidRDefault="007E1678" w:rsidP="001E3794">
      <w:r w:rsidRPr="00D618B7">
        <w:rPr>
          <w:i/>
          <w:iCs/>
        </w:rPr>
        <w:t>Note</w:t>
      </w:r>
      <w:r w:rsidRPr="00D618B7">
        <w:t>. This figure illustrates the estimated mean frequency of face, hand, and mouth events for each week of observation around reach-onset. Error bars show standard error.</w:t>
      </w:r>
    </w:p>
    <w:p w14:paraId="1407DC2F" w14:textId="77777777" w:rsidR="00013295" w:rsidRPr="00D618B7" w:rsidRDefault="00013295">
      <w:pPr>
        <w:rPr>
          <w:rFonts w:eastAsia="Aptos"/>
          <w:kern w:val="2"/>
          <w:sz w:val="22"/>
          <w:szCs w:val="22"/>
        </w:rPr>
      </w:pPr>
      <w:r w:rsidRPr="00D618B7">
        <w:rPr>
          <w:rFonts w:eastAsia="Aptos"/>
          <w:kern w:val="2"/>
          <w:sz w:val="22"/>
          <w:szCs w:val="22"/>
        </w:rPr>
        <w:br w:type="page"/>
      </w:r>
    </w:p>
    <w:p w14:paraId="742C62CF" w14:textId="26DF3CA4" w:rsidR="007E1678" w:rsidRPr="00D618B7" w:rsidRDefault="004B7288" w:rsidP="007C5074">
      <w:pPr>
        <w:pStyle w:val="Caption"/>
      </w:pPr>
      <w:bookmarkStart w:id="131" w:name="_Toc172716834"/>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6</w:t>
      </w:r>
      <w:r w:rsidR="00000000">
        <w:rPr>
          <w:noProof/>
        </w:rPr>
        <w:fldChar w:fldCharType="end"/>
      </w:r>
      <w:r w:rsidR="00145E6A" w:rsidRPr="00D618B7">
        <w:t>:</w:t>
      </w:r>
      <w:r w:rsidR="00B045D0" w:rsidRPr="00D618B7">
        <w:rPr>
          <w:rFonts w:eastAsia="Aptos"/>
          <w:kern w:val="2"/>
          <w:sz w:val="22"/>
          <w:szCs w:val="22"/>
        </w:rPr>
        <w:t xml:space="preserve"> Event frequency by week</w:t>
      </w:r>
      <w:bookmarkEnd w:id="131"/>
    </w:p>
    <w:p w14:paraId="65D79103" w14:textId="77777777" w:rsidR="007E1678" w:rsidRPr="00D618B7" w:rsidRDefault="007E1678" w:rsidP="007E1678">
      <w:r w:rsidRPr="00D618B7">
        <w:t>Estimated Mean Event Frequency by Week</w:t>
      </w:r>
    </w:p>
    <w:tbl>
      <w:tblPr>
        <w:tblW w:w="5000" w:type="pct"/>
        <w:tblLook w:val="04A0" w:firstRow="1" w:lastRow="0" w:firstColumn="1" w:lastColumn="0" w:noHBand="0" w:noVBand="1"/>
      </w:tblPr>
      <w:tblGrid>
        <w:gridCol w:w="3846"/>
        <w:gridCol w:w="2397"/>
        <w:gridCol w:w="2397"/>
      </w:tblGrid>
      <w:tr w:rsidR="007E1678" w:rsidRPr="00D618B7" w14:paraId="598AAC24" w14:textId="77777777" w:rsidTr="004B11B7">
        <w:trPr>
          <w:trHeight w:val="307"/>
        </w:trPr>
        <w:tc>
          <w:tcPr>
            <w:tcW w:w="2226" w:type="pct"/>
            <w:tcBorders>
              <w:top w:val="single" w:sz="4" w:space="0" w:color="auto"/>
              <w:left w:val="nil"/>
              <w:bottom w:val="single" w:sz="8" w:space="0" w:color="auto"/>
              <w:right w:val="nil"/>
            </w:tcBorders>
            <w:shd w:val="clear" w:color="000000" w:fill="FFFFFF"/>
            <w:vAlign w:val="center"/>
            <w:hideMark/>
          </w:tcPr>
          <w:p w14:paraId="19E31CFF" w14:textId="77777777" w:rsidR="007E1678" w:rsidRPr="00D618B7" w:rsidRDefault="007E1678" w:rsidP="004B11B7">
            <w:pPr>
              <w:rPr>
                <w:color w:val="000000"/>
              </w:rPr>
            </w:pPr>
            <w:r w:rsidRPr="00D618B7">
              <w:rPr>
                <w:color w:val="000000"/>
              </w:rPr>
              <w:t>Week</w:t>
            </w:r>
          </w:p>
        </w:tc>
        <w:tc>
          <w:tcPr>
            <w:tcW w:w="1387" w:type="pct"/>
            <w:tcBorders>
              <w:top w:val="single" w:sz="4" w:space="0" w:color="auto"/>
              <w:left w:val="nil"/>
              <w:bottom w:val="single" w:sz="8" w:space="0" w:color="auto"/>
              <w:right w:val="nil"/>
            </w:tcBorders>
            <w:shd w:val="clear" w:color="000000" w:fill="FFFFFF"/>
            <w:noWrap/>
            <w:vAlign w:val="center"/>
            <w:hideMark/>
          </w:tcPr>
          <w:p w14:paraId="38DC349C" w14:textId="77777777" w:rsidR="007E1678" w:rsidRPr="00D618B7" w:rsidRDefault="007E1678" w:rsidP="004B11B7">
            <w:pPr>
              <w:jc w:val="right"/>
              <w:rPr>
                <w:color w:val="000000"/>
              </w:rPr>
            </w:pPr>
            <w:r w:rsidRPr="00D618B7">
              <w:rPr>
                <w:color w:val="000000"/>
              </w:rPr>
              <w:t>Mean</w:t>
            </w:r>
          </w:p>
        </w:tc>
        <w:tc>
          <w:tcPr>
            <w:tcW w:w="1387" w:type="pct"/>
            <w:tcBorders>
              <w:top w:val="single" w:sz="4" w:space="0" w:color="auto"/>
              <w:left w:val="nil"/>
              <w:bottom w:val="single" w:sz="8" w:space="0" w:color="auto"/>
              <w:right w:val="nil"/>
            </w:tcBorders>
            <w:shd w:val="clear" w:color="000000" w:fill="FFFFFF"/>
            <w:noWrap/>
            <w:vAlign w:val="center"/>
            <w:hideMark/>
          </w:tcPr>
          <w:p w14:paraId="72DB1392" w14:textId="77777777" w:rsidR="007E1678" w:rsidRPr="00D618B7" w:rsidRDefault="007E1678" w:rsidP="004B11B7">
            <w:pPr>
              <w:jc w:val="right"/>
              <w:rPr>
                <w:color w:val="000000"/>
              </w:rPr>
            </w:pPr>
            <w:r w:rsidRPr="00D618B7">
              <w:rPr>
                <w:color w:val="000000"/>
              </w:rPr>
              <w:t>Std. Error</w:t>
            </w:r>
          </w:p>
        </w:tc>
      </w:tr>
      <w:tr w:rsidR="007E1678" w:rsidRPr="00D618B7" w14:paraId="52573FF1" w14:textId="77777777" w:rsidTr="004B11B7">
        <w:trPr>
          <w:trHeight w:val="307"/>
        </w:trPr>
        <w:tc>
          <w:tcPr>
            <w:tcW w:w="2226" w:type="pct"/>
            <w:tcBorders>
              <w:top w:val="nil"/>
              <w:left w:val="nil"/>
              <w:bottom w:val="nil"/>
              <w:right w:val="nil"/>
            </w:tcBorders>
            <w:shd w:val="clear" w:color="000000" w:fill="FFFFFF"/>
            <w:vAlign w:val="center"/>
            <w:hideMark/>
          </w:tcPr>
          <w:p w14:paraId="37FAD4B1" w14:textId="77777777" w:rsidR="007E1678" w:rsidRPr="00D618B7" w:rsidRDefault="007E1678" w:rsidP="004B11B7">
            <w:pPr>
              <w:jc w:val="center"/>
              <w:rPr>
                <w:color w:val="000000"/>
              </w:rPr>
            </w:pPr>
            <w:r w:rsidRPr="00D618B7">
              <w:rPr>
                <w:color w:val="000000"/>
              </w:rPr>
              <w:t>-5</w:t>
            </w:r>
          </w:p>
        </w:tc>
        <w:tc>
          <w:tcPr>
            <w:tcW w:w="1387" w:type="pct"/>
            <w:tcBorders>
              <w:top w:val="nil"/>
              <w:left w:val="nil"/>
              <w:bottom w:val="nil"/>
              <w:right w:val="nil"/>
            </w:tcBorders>
            <w:shd w:val="clear" w:color="000000" w:fill="FFFFFF"/>
            <w:noWrap/>
            <w:vAlign w:val="center"/>
            <w:hideMark/>
          </w:tcPr>
          <w:p w14:paraId="2CBE6E8E" w14:textId="77777777" w:rsidR="007E1678" w:rsidRPr="00D618B7" w:rsidRDefault="007E1678" w:rsidP="004B11B7">
            <w:pPr>
              <w:jc w:val="right"/>
              <w:rPr>
                <w:color w:val="000000"/>
              </w:rPr>
            </w:pPr>
            <w:r w:rsidRPr="00D618B7">
              <w:rPr>
                <w:color w:val="000000"/>
              </w:rPr>
              <w:t>0.49</w:t>
            </w:r>
          </w:p>
        </w:tc>
        <w:tc>
          <w:tcPr>
            <w:tcW w:w="1387" w:type="pct"/>
            <w:tcBorders>
              <w:top w:val="nil"/>
              <w:left w:val="nil"/>
              <w:bottom w:val="nil"/>
              <w:right w:val="nil"/>
            </w:tcBorders>
            <w:shd w:val="clear" w:color="000000" w:fill="FFFFFF"/>
            <w:noWrap/>
            <w:vAlign w:val="center"/>
            <w:hideMark/>
          </w:tcPr>
          <w:p w14:paraId="20A418C7" w14:textId="77777777" w:rsidR="007E1678" w:rsidRPr="00D618B7" w:rsidRDefault="007E1678" w:rsidP="004B11B7">
            <w:pPr>
              <w:jc w:val="right"/>
              <w:rPr>
                <w:color w:val="000000"/>
              </w:rPr>
            </w:pPr>
            <w:r w:rsidRPr="00D618B7">
              <w:rPr>
                <w:color w:val="000000"/>
              </w:rPr>
              <w:t>0.44</w:t>
            </w:r>
          </w:p>
        </w:tc>
      </w:tr>
      <w:tr w:rsidR="007E1678" w:rsidRPr="00D618B7" w14:paraId="46C624F9" w14:textId="77777777" w:rsidTr="004B11B7">
        <w:trPr>
          <w:trHeight w:val="307"/>
        </w:trPr>
        <w:tc>
          <w:tcPr>
            <w:tcW w:w="2226" w:type="pct"/>
            <w:tcBorders>
              <w:top w:val="nil"/>
              <w:left w:val="nil"/>
              <w:bottom w:val="nil"/>
              <w:right w:val="nil"/>
            </w:tcBorders>
            <w:shd w:val="clear" w:color="000000" w:fill="FFFFFF"/>
            <w:vAlign w:val="center"/>
            <w:hideMark/>
          </w:tcPr>
          <w:p w14:paraId="783CDC7C" w14:textId="77777777" w:rsidR="007E1678" w:rsidRPr="00D618B7" w:rsidRDefault="007E1678" w:rsidP="004B11B7">
            <w:pPr>
              <w:jc w:val="center"/>
              <w:rPr>
                <w:color w:val="000000"/>
              </w:rPr>
            </w:pPr>
            <w:r w:rsidRPr="00D618B7">
              <w:rPr>
                <w:color w:val="000000"/>
              </w:rPr>
              <w:t>-4</w:t>
            </w:r>
          </w:p>
        </w:tc>
        <w:tc>
          <w:tcPr>
            <w:tcW w:w="1387" w:type="pct"/>
            <w:tcBorders>
              <w:top w:val="nil"/>
              <w:left w:val="nil"/>
              <w:bottom w:val="nil"/>
              <w:right w:val="nil"/>
            </w:tcBorders>
            <w:shd w:val="clear" w:color="000000" w:fill="FFFFFF"/>
            <w:noWrap/>
            <w:vAlign w:val="center"/>
            <w:hideMark/>
          </w:tcPr>
          <w:p w14:paraId="51E37C61" w14:textId="77777777" w:rsidR="007E1678" w:rsidRPr="00D618B7" w:rsidRDefault="007E1678" w:rsidP="004B11B7">
            <w:pPr>
              <w:jc w:val="right"/>
              <w:rPr>
                <w:color w:val="000000"/>
              </w:rPr>
            </w:pPr>
            <w:r w:rsidRPr="00D618B7">
              <w:rPr>
                <w:color w:val="000000"/>
              </w:rPr>
              <w:t>0.48</w:t>
            </w:r>
          </w:p>
        </w:tc>
        <w:tc>
          <w:tcPr>
            <w:tcW w:w="1387" w:type="pct"/>
            <w:tcBorders>
              <w:top w:val="nil"/>
              <w:left w:val="nil"/>
              <w:bottom w:val="nil"/>
              <w:right w:val="nil"/>
            </w:tcBorders>
            <w:shd w:val="clear" w:color="000000" w:fill="FFFFFF"/>
            <w:noWrap/>
            <w:vAlign w:val="center"/>
            <w:hideMark/>
          </w:tcPr>
          <w:p w14:paraId="1F276E7B" w14:textId="77777777" w:rsidR="007E1678" w:rsidRPr="00D618B7" w:rsidRDefault="007E1678" w:rsidP="004B11B7">
            <w:pPr>
              <w:jc w:val="right"/>
              <w:rPr>
                <w:color w:val="000000"/>
              </w:rPr>
            </w:pPr>
            <w:r w:rsidRPr="00D618B7">
              <w:rPr>
                <w:color w:val="000000"/>
              </w:rPr>
              <w:t>0.45</w:t>
            </w:r>
          </w:p>
        </w:tc>
      </w:tr>
      <w:tr w:rsidR="007E1678" w:rsidRPr="00D618B7" w14:paraId="7AD66344" w14:textId="77777777" w:rsidTr="004B11B7">
        <w:trPr>
          <w:trHeight w:val="307"/>
        </w:trPr>
        <w:tc>
          <w:tcPr>
            <w:tcW w:w="2226" w:type="pct"/>
            <w:tcBorders>
              <w:top w:val="nil"/>
              <w:left w:val="nil"/>
              <w:bottom w:val="nil"/>
              <w:right w:val="nil"/>
            </w:tcBorders>
            <w:shd w:val="clear" w:color="000000" w:fill="FFFFFF"/>
            <w:vAlign w:val="center"/>
            <w:hideMark/>
          </w:tcPr>
          <w:p w14:paraId="3A853874" w14:textId="77777777" w:rsidR="007E1678" w:rsidRPr="00D618B7" w:rsidRDefault="007E1678" w:rsidP="004B11B7">
            <w:pPr>
              <w:jc w:val="center"/>
              <w:rPr>
                <w:color w:val="000000"/>
              </w:rPr>
            </w:pPr>
            <w:r w:rsidRPr="00D618B7">
              <w:rPr>
                <w:color w:val="000000"/>
              </w:rPr>
              <w:t>-3</w:t>
            </w:r>
          </w:p>
        </w:tc>
        <w:tc>
          <w:tcPr>
            <w:tcW w:w="1387" w:type="pct"/>
            <w:tcBorders>
              <w:top w:val="nil"/>
              <w:left w:val="nil"/>
              <w:bottom w:val="nil"/>
              <w:right w:val="nil"/>
            </w:tcBorders>
            <w:shd w:val="clear" w:color="000000" w:fill="FFFFFF"/>
            <w:noWrap/>
            <w:vAlign w:val="center"/>
            <w:hideMark/>
          </w:tcPr>
          <w:p w14:paraId="23D3855F" w14:textId="77777777" w:rsidR="007E1678" w:rsidRPr="00D618B7" w:rsidRDefault="007E1678" w:rsidP="004B11B7">
            <w:pPr>
              <w:jc w:val="right"/>
              <w:rPr>
                <w:color w:val="000000"/>
              </w:rPr>
            </w:pPr>
            <w:r w:rsidRPr="00D618B7">
              <w:rPr>
                <w:color w:val="000000"/>
              </w:rPr>
              <w:t>1.88</w:t>
            </w:r>
          </w:p>
        </w:tc>
        <w:tc>
          <w:tcPr>
            <w:tcW w:w="1387" w:type="pct"/>
            <w:tcBorders>
              <w:top w:val="nil"/>
              <w:left w:val="nil"/>
              <w:bottom w:val="nil"/>
              <w:right w:val="nil"/>
            </w:tcBorders>
            <w:shd w:val="clear" w:color="000000" w:fill="FFFFFF"/>
            <w:noWrap/>
            <w:vAlign w:val="center"/>
            <w:hideMark/>
          </w:tcPr>
          <w:p w14:paraId="04B04F14" w14:textId="77777777" w:rsidR="007E1678" w:rsidRPr="00D618B7" w:rsidRDefault="007E1678" w:rsidP="004B11B7">
            <w:pPr>
              <w:jc w:val="right"/>
              <w:rPr>
                <w:color w:val="000000"/>
              </w:rPr>
            </w:pPr>
            <w:r w:rsidRPr="00D618B7">
              <w:rPr>
                <w:color w:val="000000"/>
              </w:rPr>
              <w:t>0.46</w:t>
            </w:r>
          </w:p>
        </w:tc>
      </w:tr>
      <w:tr w:rsidR="007E1678" w:rsidRPr="00D618B7" w14:paraId="26977788" w14:textId="77777777" w:rsidTr="004B11B7">
        <w:trPr>
          <w:trHeight w:val="307"/>
        </w:trPr>
        <w:tc>
          <w:tcPr>
            <w:tcW w:w="2226" w:type="pct"/>
            <w:tcBorders>
              <w:top w:val="nil"/>
              <w:left w:val="nil"/>
              <w:bottom w:val="nil"/>
              <w:right w:val="nil"/>
            </w:tcBorders>
            <w:shd w:val="clear" w:color="000000" w:fill="FFFFFF"/>
            <w:vAlign w:val="center"/>
            <w:hideMark/>
          </w:tcPr>
          <w:p w14:paraId="0DAB1FF7" w14:textId="77777777" w:rsidR="007E1678" w:rsidRPr="00D618B7" w:rsidRDefault="007E1678" w:rsidP="004B11B7">
            <w:pPr>
              <w:jc w:val="center"/>
              <w:rPr>
                <w:color w:val="000000"/>
              </w:rPr>
            </w:pPr>
            <w:r w:rsidRPr="00D618B7">
              <w:rPr>
                <w:color w:val="000000"/>
              </w:rPr>
              <w:t>-2</w:t>
            </w:r>
          </w:p>
        </w:tc>
        <w:tc>
          <w:tcPr>
            <w:tcW w:w="1387" w:type="pct"/>
            <w:tcBorders>
              <w:top w:val="nil"/>
              <w:left w:val="nil"/>
              <w:bottom w:val="nil"/>
              <w:right w:val="nil"/>
            </w:tcBorders>
            <w:shd w:val="clear" w:color="000000" w:fill="FFFFFF"/>
            <w:noWrap/>
            <w:vAlign w:val="center"/>
            <w:hideMark/>
          </w:tcPr>
          <w:p w14:paraId="78F60EBC" w14:textId="77777777" w:rsidR="007E1678" w:rsidRPr="00D618B7" w:rsidRDefault="007E1678" w:rsidP="004B11B7">
            <w:pPr>
              <w:jc w:val="right"/>
              <w:rPr>
                <w:color w:val="000000"/>
              </w:rPr>
            </w:pPr>
            <w:r w:rsidRPr="00D618B7">
              <w:rPr>
                <w:color w:val="000000"/>
              </w:rPr>
              <w:t>1.20</w:t>
            </w:r>
          </w:p>
        </w:tc>
        <w:tc>
          <w:tcPr>
            <w:tcW w:w="1387" w:type="pct"/>
            <w:tcBorders>
              <w:top w:val="nil"/>
              <w:left w:val="nil"/>
              <w:bottom w:val="nil"/>
              <w:right w:val="nil"/>
            </w:tcBorders>
            <w:shd w:val="clear" w:color="000000" w:fill="FFFFFF"/>
            <w:noWrap/>
            <w:vAlign w:val="center"/>
            <w:hideMark/>
          </w:tcPr>
          <w:p w14:paraId="12A0317E" w14:textId="77777777" w:rsidR="007E1678" w:rsidRPr="00D618B7" w:rsidRDefault="007E1678" w:rsidP="004B11B7">
            <w:pPr>
              <w:jc w:val="right"/>
              <w:rPr>
                <w:color w:val="000000"/>
              </w:rPr>
            </w:pPr>
            <w:r w:rsidRPr="00D618B7">
              <w:rPr>
                <w:color w:val="000000"/>
              </w:rPr>
              <w:t>0.42</w:t>
            </w:r>
          </w:p>
        </w:tc>
      </w:tr>
      <w:tr w:rsidR="007E1678" w:rsidRPr="00D618B7" w14:paraId="4CE231BE" w14:textId="77777777" w:rsidTr="004B11B7">
        <w:trPr>
          <w:trHeight w:val="307"/>
        </w:trPr>
        <w:tc>
          <w:tcPr>
            <w:tcW w:w="2226" w:type="pct"/>
            <w:tcBorders>
              <w:top w:val="nil"/>
              <w:left w:val="nil"/>
              <w:bottom w:val="nil"/>
              <w:right w:val="nil"/>
            </w:tcBorders>
            <w:shd w:val="clear" w:color="000000" w:fill="FFFFFF"/>
            <w:vAlign w:val="center"/>
            <w:hideMark/>
          </w:tcPr>
          <w:p w14:paraId="1BD15E32" w14:textId="77777777" w:rsidR="007E1678" w:rsidRPr="00D618B7" w:rsidRDefault="007E1678" w:rsidP="004B11B7">
            <w:pPr>
              <w:jc w:val="center"/>
              <w:rPr>
                <w:color w:val="000000"/>
              </w:rPr>
            </w:pPr>
            <w:r w:rsidRPr="00D618B7">
              <w:rPr>
                <w:color w:val="000000"/>
              </w:rPr>
              <w:t>-1</w:t>
            </w:r>
          </w:p>
        </w:tc>
        <w:tc>
          <w:tcPr>
            <w:tcW w:w="1387" w:type="pct"/>
            <w:tcBorders>
              <w:top w:val="nil"/>
              <w:left w:val="nil"/>
              <w:bottom w:val="nil"/>
              <w:right w:val="nil"/>
            </w:tcBorders>
            <w:shd w:val="clear" w:color="000000" w:fill="FFFFFF"/>
            <w:noWrap/>
            <w:vAlign w:val="center"/>
            <w:hideMark/>
          </w:tcPr>
          <w:p w14:paraId="4A176A12" w14:textId="77777777" w:rsidR="007E1678" w:rsidRPr="00D618B7" w:rsidRDefault="007E1678" w:rsidP="004B11B7">
            <w:pPr>
              <w:jc w:val="right"/>
              <w:rPr>
                <w:color w:val="000000"/>
              </w:rPr>
            </w:pPr>
            <w:r w:rsidRPr="00D618B7">
              <w:rPr>
                <w:color w:val="000000"/>
              </w:rPr>
              <w:t>1.38</w:t>
            </w:r>
          </w:p>
        </w:tc>
        <w:tc>
          <w:tcPr>
            <w:tcW w:w="1387" w:type="pct"/>
            <w:tcBorders>
              <w:top w:val="nil"/>
              <w:left w:val="nil"/>
              <w:bottom w:val="nil"/>
              <w:right w:val="nil"/>
            </w:tcBorders>
            <w:shd w:val="clear" w:color="000000" w:fill="FFFFFF"/>
            <w:noWrap/>
            <w:vAlign w:val="center"/>
            <w:hideMark/>
          </w:tcPr>
          <w:p w14:paraId="7F4D206F" w14:textId="77777777" w:rsidR="007E1678" w:rsidRPr="00D618B7" w:rsidRDefault="007E1678" w:rsidP="004B11B7">
            <w:pPr>
              <w:jc w:val="right"/>
              <w:rPr>
                <w:color w:val="000000"/>
              </w:rPr>
            </w:pPr>
            <w:r w:rsidRPr="00D618B7">
              <w:rPr>
                <w:color w:val="000000"/>
              </w:rPr>
              <w:t>0.42</w:t>
            </w:r>
          </w:p>
        </w:tc>
      </w:tr>
      <w:tr w:rsidR="007E1678" w:rsidRPr="00D618B7" w14:paraId="60C0CD75" w14:textId="77777777" w:rsidTr="004B11B7">
        <w:trPr>
          <w:trHeight w:val="307"/>
        </w:trPr>
        <w:tc>
          <w:tcPr>
            <w:tcW w:w="2226" w:type="pct"/>
            <w:tcBorders>
              <w:top w:val="nil"/>
              <w:left w:val="nil"/>
              <w:bottom w:val="nil"/>
              <w:right w:val="nil"/>
            </w:tcBorders>
            <w:shd w:val="clear" w:color="000000" w:fill="FFFFFF"/>
            <w:vAlign w:val="center"/>
            <w:hideMark/>
          </w:tcPr>
          <w:p w14:paraId="1C9B23C3" w14:textId="77777777" w:rsidR="007E1678" w:rsidRPr="00D618B7" w:rsidRDefault="007E1678" w:rsidP="004B11B7">
            <w:pPr>
              <w:jc w:val="center"/>
              <w:rPr>
                <w:color w:val="000000"/>
              </w:rPr>
            </w:pPr>
            <w:r w:rsidRPr="00D618B7">
              <w:rPr>
                <w:color w:val="000000"/>
              </w:rPr>
              <w:t>0</w:t>
            </w:r>
          </w:p>
        </w:tc>
        <w:tc>
          <w:tcPr>
            <w:tcW w:w="1387" w:type="pct"/>
            <w:tcBorders>
              <w:top w:val="nil"/>
              <w:left w:val="nil"/>
              <w:bottom w:val="nil"/>
              <w:right w:val="nil"/>
            </w:tcBorders>
            <w:shd w:val="clear" w:color="000000" w:fill="FFFFFF"/>
            <w:noWrap/>
            <w:vAlign w:val="center"/>
            <w:hideMark/>
          </w:tcPr>
          <w:p w14:paraId="06B7AC3C" w14:textId="77777777" w:rsidR="007E1678" w:rsidRPr="00D618B7" w:rsidRDefault="007E1678" w:rsidP="004B11B7">
            <w:pPr>
              <w:jc w:val="right"/>
              <w:rPr>
                <w:color w:val="000000"/>
              </w:rPr>
            </w:pPr>
            <w:r w:rsidRPr="00D618B7">
              <w:rPr>
                <w:color w:val="000000"/>
              </w:rPr>
              <w:t>1.40</w:t>
            </w:r>
          </w:p>
        </w:tc>
        <w:tc>
          <w:tcPr>
            <w:tcW w:w="1387" w:type="pct"/>
            <w:tcBorders>
              <w:top w:val="nil"/>
              <w:left w:val="nil"/>
              <w:bottom w:val="nil"/>
              <w:right w:val="nil"/>
            </w:tcBorders>
            <w:shd w:val="clear" w:color="000000" w:fill="FFFFFF"/>
            <w:noWrap/>
            <w:vAlign w:val="center"/>
            <w:hideMark/>
          </w:tcPr>
          <w:p w14:paraId="4F573CB5" w14:textId="77777777" w:rsidR="007E1678" w:rsidRPr="00D618B7" w:rsidRDefault="007E1678" w:rsidP="004B11B7">
            <w:pPr>
              <w:jc w:val="right"/>
              <w:rPr>
                <w:color w:val="000000"/>
              </w:rPr>
            </w:pPr>
            <w:r w:rsidRPr="00D618B7">
              <w:rPr>
                <w:color w:val="000000"/>
              </w:rPr>
              <w:t>0.40</w:t>
            </w:r>
          </w:p>
        </w:tc>
      </w:tr>
      <w:tr w:rsidR="007E1678" w:rsidRPr="00D618B7" w14:paraId="242E1D8A" w14:textId="77777777" w:rsidTr="004B11B7">
        <w:trPr>
          <w:trHeight w:val="307"/>
        </w:trPr>
        <w:tc>
          <w:tcPr>
            <w:tcW w:w="2226" w:type="pct"/>
            <w:tcBorders>
              <w:top w:val="nil"/>
              <w:left w:val="nil"/>
              <w:bottom w:val="nil"/>
              <w:right w:val="nil"/>
            </w:tcBorders>
            <w:shd w:val="clear" w:color="000000" w:fill="FFFFFF"/>
            <w:vAlign w:val="center"/>
            <w:hideMark/>
          </w:tcPr>
          <w:p w14:paraId="5F96FC4F" w14:textId="77777777" w:rsidR="007E1678" w:rsidRPr="00D618B7" w:rsidRDefault="007E1678" w:rsidP="004B11B7">
            <w:pPr>
              <w:jc w:val="center"/>
              <w:rPr>
                <w:color w:val="000000"/>
              </w:rPr>
            </w:pPr>
            <w:r w:rsidRPr="00D618B7">
              <w:rPr>
                <w:color w:val="000000"/>
              </w:rPr>
              <w:t>1</w:t>
            </w:r>
          </w:p>
        </w:tc>
        <w:tc>
          <w:tcPr>
            <w:tcW w:w="1387" w:type="pct"/>
            <w:tcBorders>
              <w:top w:val="nil"/>
              <w:left w:val="nil"/>
              <w:bottom w:val="nil"/>
              <w:right w:val="nil"/>
            </w:tcBorders>
            <w:shd w:val="clear" w:color="000000" w:fill="FFFFFF"/>
            <w:noWrap/>
            <w:vAlign w:val="center"/>
            <w:hideMark/>
          </w:tcPr>
          <w:p w14:paraId="3E5A57BD" w14:textId="77777777" w:rsidR="007E1678" w:rsidRPr="00D618B7" w:rsidRDefault="007E1678" w:rsidP="004B11B7">
            <w:pPr>
              <w:jc w:val="right"/>
              <w:rPr>
                <w:color w:val="000000"/>
              </w:rPr>
            </w:pPr>
            <w:r w:rsidRPr="00D618B7">
              <w:rPr>
                <w:color w:val="000000"/>
              </w:rPr>
              <w:t>0.91</w:t>
            </w:r>
          </w:p>
        </w:tc>
        <w:tc>
          <w:tcPr>
            <w:tcW w:w="1387" w:type="pct"/>
            <w:tcBorders>
              <w:top w:val="nil"/>
              <w:left w:val="nil"/>
              <w:bottom w:val="nil"/>
              <w:right w:val="nil"/>
            </w:tcBorders>
            <w:shd w:val="clear" w:color="000000" w:fill="FFFFFF"/>
            <w:noWrap/>
            <w:vAlign w:val="center"/>
            <w:hideMark/>
          </w:tcPr>
          <w:p w14:paraId="2AE4BCDC" w14:textId="77777777" w:rsidR="007E1678" w:rsidRPr="00D618B7" w:rsidRDefault="007E1678" w:rsidP="004B11B7">
            <w:pPr>
              <w:jc w:val="right"/>
              <w:rPr>
                <w:color w:val="000000"/>
              </w:rPr>
            </w:pPr>
            <w:r w:rsidRPr="00D618B7">
              <w:rPr>
                <w:color w:val="000000"/>
              </w:rPr>
              <w:t>0.40</w:t>
            </w:r>
          </w:p>
        </w:tc>
      </w:tr>
      <w:tr w:rsidR="007E1678" w:rsidRPr="00D618B7" w14:paraId="05F189CC" w14:textId="77777777" w:rsidTr="004B11B7">
        <w:trPr>
          <w:trHeight w:val="307"/>
        </w:trPr>
        <w:tc>
          <w:tcPr>
            <w:tcW w:w="2226" w:type="pct"/>
            <w:tcBorders>
              <w:top w:val="nil"/>
              <w:left w:val="nil"/>
              <w:bottom w:val="nil"/>
              <w:right w:val="nil"/>
            </w:tcBorders>
            <w:shd w:val="clear" w:color="000000" w:fill="FFFFFF"/>
            <w:vAlign w:val="center"/>
            <w:hideMark/>
          </w:tcPr>
          <w:p w14:paraId="182FF3E7" w14:textId="77777777" w:rsidR="007E1678" w:rsidRPr="00D618B7" w:rsidRDefault="007E1678" w:rsidP="004B11B7">
            <w:pPr>
              <w:jc w:val="center"/>
              <w:rPr>
                <w:color w:val="000000"/>
              </w:rPr>
            </w:pPr>
            <w:r w:rsidRPr="00D618B7">
              <w:rPr>
                <w:color w:val="000000"/>
              </w:rPr>
              <w:t>2</w:t>
            </w:r>
          </w:p>
        </w:tc>
        <w:tc>
          <w:tcPr>
            <w:tcW w:w="1387" w:type="pct"/>
            <w:tcBorders>
              <w:top w:val="nil"/>
              <w:left w:val="nil"/>
              <w:bottom w:val="nil"/>
              <w:right w:val="nil"/>
            </w:tcBorders>
            <w:shd w:val="clear" w:color="000000" w:fill="FFFFFF"/>
            <w:noWrap/>
            <w:vAlign w:val="center"/>
            <w:hideMark/>
          </w:tcPr>
          <w:p w14:paraId="02ACA450" w14:textId="77777777" w:rsidR="007E1678" w:rsidRPr="00D618B7" w:rsidRDefault="007E1678" w:rsidP="004B11B7">
            <w:pPr>
              <w:jc w:val="right"/>
              <w:rPr>
                <w:color w:val="000000"/>
              </w:rPr>
            </w:pPr>
            <w:r w:rsidRPr="00D618B7">
              <w:rPr>
                <w:color w:val="000000"/>
              </w:rPr>
              <w:t>0.88</w:t>
            </w:r>
          </w:p>
        </w:tc>
        <w:tc>
          <w:tcPr>
            <w:tcW w:w="1387" w:type="pct"/>
            <w:tcBorders>
              <w:top w:val="nil"/>
              <w:left w:val="nil"/>
              <w:bottom w:val="nil"/>
              <w:right w:val="nil"/>
            </w:tcBorders>
            <w:shd w:val="clear" w:color="000000" w:fill="FFFFFF"/>
            <w:noWrap/>
            <w:vAlign w:val="center"/>
            <w:hideMark/>
          </w:tcPr>
          <w:p w14:paraId="342837CD" w14:textId="77777777" w:rsidR="007E1678" w:rsidRPr="00D618B7" w:rsidRDefault="007E1678" w:rsidP="004B11B7">
            <w:pPr>
              <w:jc w:val="right"/>
              <w:rPr>
                <w:color w:val="000000"/>
              </w:rPr>
            </w:pPr>
            <w:r w:rsidRPr="00D618B7">
              <w:rPr>
                <w:color w:val="000000"/>
              </w:rPr>
              <w:t>0.46</w:t>
            </w:r>
          </w:p>
        </w:tc>
      </w:tr>
      <w:tr w:rsidR="007E1678" w:rsidRPr="00D618B7" w14:paraId="396080EB" w14:textId="77777777" w:rsidTr="004B11B7">
        <w:trPr>
          <w:trHeight w:val="307"/>
        </w:trPr>
        <w:tc>
          <w:tcPr>
            <w:tcW w:w="2226" w:type="pct"/>
            <w:tcBorders>
              <w:top w:val="nil"/>
              <w:left w:val="nil"/>
              <w:bottom w:val="nil"/>
              <w:right w:val="nil"/>
            </w:tcBorders>
            <w:shd w:val="clear" w:color="000000" w:fill="FFFFFF"/>
            <w:vAlign w:val="center"/>
            <w:hideMark/>
          </w:tcPr>
          <w:p w14:paraId="1E4004D1" w14:textId="77777777" w:rsidR="007E1678" w:rsidRPr="00D618B7" w:rsidRDefault="007E1678" w:rsidP="004B11B7">
            <w:pPr>
              <w:jc w:val="center"/>
              <w:rPr>
                <w:color w:val="000000"/>
              </w:rPr>
            </w:pPr>
            <w:r w:rsidRPr="00D618B7">
              <w:rPr>
                <w:color w:val="000000"/>
              </w:rPr>
              <w:t>3</w:t>
            </w:r>
          </w:p>
        </w:tc>
        <w:tc>
          <w:tcPr>
            <w:tcW w:w="1387" w:type="pct"/>
            <w:tcBorders>
              <w:top w:val="nil"/>
              <w:left w:val="nil"/>
              <w:bottom w:val="nil"/>
              <w:right w:val="nil"/>
            </w:tcBorders>
            <w:shd w:val="clear" w:color="000000" w:fill="FFFFFF"/>
            <w:noWrap/>
            <w:vAlign w:val="center"/>
            <w:hideMark/>
          </w:tcPr>
          <w:p w14:paraId="19059820" w14:textId="77777777" w:rsidR="007E1678" w:rsidRPr="00D618B7" w:rsidRDefault="007E1678" w:rsidP="004B11B7">
            <w:pPr>
              <w:jc w:val="right"/>
              <w:rPr>
                <w:color w:val="000000"/>
              </w:rPr>
            </w:pPr>
            <w:r w:rsidRPr="00D618B7">
              <w:rPr>
                <w:color w:val="000000"/>
              </w:rPr>
              <w:t>0.83</w:t>
            </w:r>
          </w:p>
        </w:tc>
        <w:tc>
          <w:tcPr>
            <w:tcW w:w="1387" w:type="pct"/>
            <w:tcBorders>
              <w:top w:val="nil"/>
              <w:left w:val="nil"/>
              <w:bottom w:val="nil"/>
              <w:right w:val="nil"/>
            </w:tcBorders>
            <w:shd w:val="clear" w:color="000000" w:fill="FFFFFF"/>
            <w:noWrap/>
            <w:vAlign w:val="center"/>
            <w:hideMark/>
          </w:tcPr>
          <w:p w14:paraId="06A9C112" w14:textId="77777777" w:rsidR="007E1678" w:rsidRPr="00D618B7" w:rsidRDefault="007E1678" w:rsidP="004B11B7">
            <w:pPr>
              <w:jc w:val="right"/>
              <w:rPr>
                <w:color w:val="000000"/>
              </w:rPr>
            </w:pPr>
            <w:r w:rsidRPr="00D618B7">
              <w:rPr>
                <w:color w:val="000000"/>
              </w:rPr>
              <w:t>0.40</w:t>
            </w:r>
          </w:p>
        </w:tc>
      </w:tr>
      <w:tr w:rsidR="007E1678" w:rsidRPr="00D618B7" w14:paraId="55BE52A1" w14:textId="77777777" w:rsidTr="004B11B7">
        <w:trPr>
          <w:trHeight w:val="307"/>
        </w:trPr>
        <w:tc>
          <w:tcPr>
            <w:tcW w:w="2226" w:type="pct"/>
            <w:tcBorders>
              <w:top w:val="nil"/>
              <w:left w:val="nil"/>
              <w:bottom w:val="nil"/>
              <w:right w:val="nil"/>
            </w:tcBorders>
            <w:shd w:val="clear" w:color="000000" w:fill="FFFFFF"/>
            <w:vAlign w:val="center"/>
            <w:hideMark/>
          </w:tcPr>
          <w:p w14:paraId="463E85BF" w14:textId="77777777" w:rsidR="007E1678" w:rsidRPr="00D618B7" w:rsidRDefault="007E1678" w:rsidP="004B11B7">
            <w:pPr>
              <w:jc w:val="center"/>
              <w:rPr>
                <w:color w:val="000000"/>
              </w:rPr>
            </w:pPr>
            <w:r w:rsidRPr="00D618B7">
              <w:rPr>
                <w:color w:val="000000"/>
              </w:rPr>
              <w:t>4</w:t>
            </w:r>
          </w:p>
        </w:tc>
        <w:tc>
          <w:tcPr>
            <w:tcW w:w="1387" w:type="pct"/>
            <w:tcBorders>
              <w:top w:val="nil"/>
              <w:left w:val="nil"/>
              <w:bottom w:val="nil"/>
              <w:right w:val="nil"/>
            </w:tcBorders>
            <w:shd w:val="clear" w:color="000000" w:fill="FFFFFF"/>
            <w:noWrap/>
            <w:vAlign w:val="center"/>
            <w:hideMark/>
          </w:tcPr>
          <w:p w14:paraId="679DCA13" w14:textId="77777777" w:rsidR="007E1678" w:rsidRPr="00D618B7" w:rsidRDefault="007E1678" w:rsidP="004B11B7">
            <w:pPr>
              <w:jc w:val="right"/>
              <w:rPr>
                <w:color w:val="000000"/>
              </w:rPr>
            </w:pPr>
            <w:r w:rsidRPr="00D618B7">
              <w:rPr>
                <w:color w:val="000000"/>
              </w:rPr>
              <w:t>1.62</w:t>
            </w:r>
          </w:p>
        </w:tc>
        <w:tc>
          <w:tcPr>
            <w:tcW w:w="1387" w:type="pct"/>
            <w:tcBorders>
              <w:top w:val="nil"/>
              <w:left w:val="nil"/>
              <w:bottom w:val="nil"/>
              <w:right w:val="nil"/>
            </w:tcBorders>
            <w:shd w:val="clear" w:color="000000" w:fill="FFFFFF"/>
            <w:noWrap/>
            <w:vAlign w:val="center"/>
            <w:hideMark/>
          </w:tcPr>
          <w:p w14:paraId="2B5E2501" w14:textId="77777777" w:rsidR="007E1678" w:rsidRPr="00D618B7" w:rsidRDefault="007E1678" w:rsidP="004B11B7">
            <w:pPr>
              <w:jc w:val="right"/>
              <w:rPr>
                <w:color w:val="000000"/>
              </w:rPr>
            </w:pPr>
            <w:r w:rsidRPr="00D618B7">
              <w:rPr>
                <w:color w:val="000000"/>
              </w:rPr>
              <w:t>0.42</w:t>
            </w:r>
          </w:p>
        </w:tc>
      </w:tr>
      <w:tr w:rsidR="007E1678" w:rsidRPr="00D618B7" w14:paraId="50837324" w14:textId="77777777" w:rsidTr="004B11B7">
        <w:trPr>
          <w:trHeight w:val="307"/>
        </w:trPr>
        <w:tc>
          <w:tcPr>
            <w:tcW w:w="2226" w:type="pct"/>
            <w:tcBorders>
              <w:top w:val="nil"/>
              <w:left w:val="nil"/>
              <w:bottom w:val="single" w:sz="8" w:space="0" w:color="auto"/>
              <w:right w:val="nil"/>
            </w:tcBorders>
            <w:shd w:val="clear" w:color="000000" w:fill="FFFFFF"/>
            <w:vAlign w:val="center"/>
            <w:hideMark/>
          </w:tcPr>
          <w:p w14:paraId="0174DE55" w14:textId="77777777" w:rsidR="007E1678" w:rsidRPr="00D618B7" w:rsidRDefault="007E1678" w:rsidP="004B11B7">
            <w:pPr>
              <w:jc w:val="center"/>
              <w:rPr>
                <w:color w:val="000000"/>
              </w:rPr>
            </w:pPr>
            <w:r w:rsidRPr="00D618B7">
              <w:rPr>
                <w:color w:val="000000"/>
              </w:rPr>
              <w:t>5</w:t>
            </w:r>
          </w:p>
        </w:tc>
        <w:tc>
          <w:tcPr>
            <w:tcW w:w="1387" w:type="pct"/>
            <w:tcBorders>
              <w:top w:val="nil"/>
              <w:left w:val="nil"/>
              <w:bottom w:val="single" w:sz="8" w:space="0" w:color="auto"/>
              <w:right w:val="nil"/>
            </w:tcBorders>
            <w:shd w:val="clear" w:color="000000" w:fill="FFFFFF"/>
            <w:noWrap/>
            <w:vAlign w:val="center"/>
            <w:hideMark/>
          </w:tcPr>
          <w:p w14:paraId="7B820F4F" w14:textId="77777777" w:rsidR="007E1678" w:rsidRPr="00D618B7" w:rsidRDefault="007E1678" w:rsidP="004B11B7">
            <w:pPr>
              <w:jc w:val="right"/>
              <w:rPr>
                <w:color w:val="000000"/>
              </w:rPr>
            </w:pPr>
            <w:r w:rsidRPr="00D618B7">
              <w:rPr>
                <w:color w:val="000000"/>
              </w:rPr>
              <w:t>0.44</w:t>
            </w:r>
          </w:p>
        </w:tc>
        <w:tc>
          <w:tcPr>
            <w:tcW w:w="1387" w:type="pct"/>
            <w:tcBorders>
              <w:top w:val="nil"/>
              <w:left w:val="nil"/>
              <w:bottom w:val="single" w:sz="8" w:space="0" w:color="auto"/>
              <w:right w:val="nil"/>
            </w:tcBorders>
            <w:shd w:val="clear" w:color="000000" w:fill="FFFFFF"/>
            <w:noWrap/>
            <w:vAlign w:val="center"/>
            <w:hideMark/>
          </w:tcPr>
          <w:p w14:paraId="47923EE3" w14:textId="77777777" w:rsidR="007E1678" w:rsidRPr="00D618B7" w:rsidRDefault="007E1678" w:rsidP="004B11B7">
            <w:pPr>
              <w:jc w:val="right"/>
              <w:rPr>
                <w:color w:val="000000"/>
              </w:rPr>
            </w:pPr>
            <w:r w:rsidRPr="00D618B7">
              <w:rPr>
                <w:color w:val="000000"/>
              </w:rPr>
              <w:t>0.44</w:t>
            </w:r>
          </w:p>
        </w:tc>
      </w:tr>
    </w:tbl>
    <w:p w14:paraId="5DE4FC66" w14:textId="77777777" w:rsidR="007E1678" w:rsidRPr="00D618B7" w:rsidRDefault="007E1678" w:rsidP="007E1678">
      <w:pPr>
        <w:rPr>
          <w:i/>
          <w:iCs/>
        </w:rPr>
      </w:pPr>
    </w:p>
    <w:p w14:paraId="34B3CA78" w14:textId="77777777" w:rsidR="007E1678" w:rsidRPr="00D618B7" w:rsidRDefault="007E1678" w:rsidP="007E1678">
      <w:r w:rsidRPr="00D618B7">
        <w:rPr>
          <w:i/>
          <w:iCs/>
        </w:rPr>
        <w:t>Note</w:t>
      </w:r>
      <w:r w:rsidRPr="00D618B7">
        <w:t>: This table lists the estimated mean event frequency and standard errors for each week of observation around reach-onset.</w:t>
      </w:r>
    </w:p>
    <w:p w14:paraId="011800CE" w14:textId="77777777" w:rsidR="00EE3953" w:rsidRPr="00D618B7" w:rsidRDefault="00EE3953" w:rsidP="00EE3953"/>
    <w:p w14:paraId="35215AE3" w14:textId="77777777" w:rsidR="007E1678" w:rsidRPr="00D618B7" w:rsidRDefault="007E1678" w:rsidP="00EE3953"/>
    <w:p w14:paraId="6403A34E" w14:textId="01D74611" w:rsidR="007E1678" w:rsidRPr="00D618B7" w:rsidRDefault="004B7288" w:rsidP="007C5074">
      <w:pPr>
        <w:pStyle w:val="Caption"/>
      </w:pPr>
      <w:bookmarkStart w:id="132" w:name="_Toc172716835"/>
      <w:r w:rsidRPr="00D618B7">
        <w:t xml:space="preserve">Table </w:t>
      </w:r>
      <w:r w:rsidR="00000000">
        <w:fldChar w:fldCharType="begin"/>
      </w:r>
      <w:r w:rsidR="00000000">
        <w:instrText xml:space="preserve"> SEQ Table \* ARABIC </w:instrText>
      </w:r>
      <w:r w:rsidR="00000000">
        <w:fldChar w:fldCharType="separate"/>
      </w:r>
      <w:r w:rsidR="000C6E43">
        <w:rPr>
          <w:noProof/>
        </w:rPr>
        <w:t>7</w:t>
      </w:r>
      <w:r w:rsidR="00000000">
        <w:rPr>
          <w:noProof/>
        </w:rPr>
        <w:fldChar w:fldCharType="end"/>
      </w:r>
      <w:r w:rsidR="00145E6A" w:rsidRPr="00D618B7">
        <w:t>:</w:t>
      </w:r>
      <w:r w:rsidR="00B045D0" w:rsidRPr="00D618B7">
        <w:rPr>
          <w:rFonts w:eastAsia="Aptos"/>
          <w:kern w:val="2"/>
          <w:sz w:val="22"/>
          <w:szCs w:val="22"/>
        </w:rPr>
        <w:t xml:space="preserve"> Event frequency by type</w:t>
      </w:r>
      <w:bookmarkEnd w:id="132"/>
    </w:p>
    <w:tbl>
      <w:tblPr>
        <w:tblW w:w="5000" w:type="pct"/>
        <w:tblLook w:val="04A0" w:firstRow="1" w:lastRow="0" w:firstColumn="1" w:lastColumn="0" w:noHBand="0" w:noVBand="1"/>
      </w:tblPr>
      <w:tblGrid>
        <w:gridCol w:w="4329"/>
        <w:gridCol w:w="1436"/>
        <w:gridCol w:w="1437"/>
        <w:gridCol w:w="1438"/>
      </w:tblGrid>
      <w:tr w:rsidR="007E1678" w:rsidRPr="00D618B7" w14:paraId="50918161" w14:textId="77777777" w:rsidTr="004B11B7">
        <w:trPr>
          <w:trHeight w:val="345"/>
        </w:trPr>
        <w:tc>
          <w:tcPr>
            <w:tcW w:w="2246" w:type="pct"/>
            <w:tcBorders>
              <w:top w:val="nil"/>
              <w:left w:val="nil"/>
              <w:bottom w:val="single" w:sz="8" w:space="0" w:color="auto"/>
              <w:right w:val="nil"/>
            </w:tcBorders>
            <w:shd w:val="clear" w:color="auto" w:fill="auto"/>
            <w:noWrap/>
            <w:vAlign w:val="bottom"/>
            <w:hideMark/>
          </w:tcPr>
          <w:p w14:paraId="7A9CC61E" w14:textId="77777777" w:rsidR="007E1678" w:rsidRPr="00D618B7" w:rsidRDefault="007E1678" w:rsidP="004B11B7">
            <w:r w:rsidRPr="00D618B7">
              <w:t>Estimated Mean Event Frequency by Type</w:t>
            </w:r>
          </w:p>
          <w:p w14:paraId="6B69647B" w14:textId="77777777" w:rsidR="007E1678" w:rsidRPr="00D618B7" w:rsidRDefault="007E1678" w:rsidP="004B11B7">
            <w:pPr>
              <w:rPr>
                <w:color w:val="000000"/>
              </w:rPr>
            </w:pPr>
            <w:r w:rsidRPr="00D618B7">
              <w:rPr>
                <w:color w:val="000000"/>
              </w:rPr>
              <w:t> </w:t>
            </w:r>
          </w:p>
        </w:tc>
        <w:tc>
          <w:tcPr>
            <w:tcW w:w="917" w:type="pct"/>
            <w:tcBorders>
              <w:top w:val="nil"/>
              <w:left w:val="nil"/>
              <w:bottom w:val="single" w:sz="8" w:space="0" w:color="auto"/>
              <w:right w:val="nil"/>
            </w:tcBorders>
            <w:shd w:val="clear" w:color="auto" w:fill="auto"/>
            <w:noWrap/>
            <w:vAlign w:val="bottom"/>
            <w:hideMark/>
          </w:tcPr>
          <w:p w14:paraId="4540BEFD" w14:textId="77777777" w:rsidR="007E1678" w:rsidRPr="00D618B7" w:rsidRDefault="007E1678" w:rsidP="004B11B7">
            <w:pPr>
              <w:rPr>
                <w:color w:val="000000"/>
              </w:rPr>
            </w:pPr>
            <w:r w:rsidRPr="00D618B7">
              <w:rPr>
                <w:color w:val="000000"/>
              </w:rPr>
              <w:t> </w:t>
            </w:r>
          </w:p>
        </w:tc>
        <w:tc>
          <w:tcPr>
            <w:tcW w:w="918" w:type="pct"/>
            <w:tcBorders>
              <w:top w:val="nil"/>
              <w:left w:val="nil"/>
              <w:bottom w:val="single" w:sz="8" w:space="0" w:color="auto"/>
              <w:right w:val="nil"/>
            </w:tcBorders>
          </w:tcPr>
          <w:p w14:paraId="5FEBD6EF" w14:textId="77777777" w:rsidR="007E1678" w:rsidRPr="00D618B7" w:rsidRDefault="007E1678" w:rsidP="004B11B7">
            <w:pPr>
              <w:rPr>
                <w:color w:val="000000"/>
              </w:rPr>
            </w:pPr>
          </w:p>
        </w:tc>
        <w:tc>
          <w:tcPr>
            <w:tcW w:w="918" w:type="pct"/>
            <w:tcBorders>
              <w:top w:val="nil"/>
              <w:left w:val="nil"/>
              <w:bottom w:val="single" w:sz="8" w:space="0" w:color="auto"/>
              <w:right w:val="nil"/>
            </w:tcBorders>
            <w:shd w:val="clear" w:color="auto" w:fill="auto"/>
            <w:noWrap/>
            <w:vAlign w:val="bottom"/>
            <w:hideMark/>
          </w:tcPr>
          <w:p w14:paraId="75A185A8" w14:textId="77777777" w:rsidR="007E1678" w:rsidRPr="00D618B7" w:rsidRDefault="007E1678" w:rsidP="004B11B7">
            <w:pPr>
              <w:rPr>
                <w:color w:val="000000"/>
              </w:rPr>
            </w:pPr>
            <w:r w:rsidRPr="00D618B7">
              <w:rPr>
                <w:color w:val="000000"/>
              </w:rPr>
              <w:t> </w:t>
            </w:r>
          </w:p>
        </w:tc>
      </w:tr>
      <w:tr w:rsidR="007E1678" w:rsidRPr="00D618B7" w14:paraId="3CF493DD" w14:textId="77777777" w:rsidTr="004B11B7">
        <w:trPr>
          <w:trHeight w:val="345"/>
        </w:trPr>
        <w:tc>
          <w:tcPr>
            <w:tcW w:w="2246" w:type="pct"/>
            <w:tcBorders>
              <w:top w:val="nil"/>
              <w:left w:val="nil"/>
              <w:bottom w:val="single" w:sz="8" w:space="0" w:color="auto"/>
              <w:right w:val="nil"/>
            </w:tcBorders>
            <w:shd w:val="clear" w:color="000000" w:fill="FFFFFF"/>
            <w:vAlign w:val="center"/>
            <w:hideMark/>
          </w:tcPr>
          <w:p w14:paraId="791D501C" w14:textId="77777777" w:rsidR="007E1678" w:rsidRPr="00D618B7" w:rsidRDefault="007E1678" w:rsidP="004B11B7">
            <w:pPr>
              <w:rPr>
                <w:color w:val="000000"/>
              </w:rPr>
            </w:pPr>
            <w:r w:rsidRPr="00D618B7">
              <w:rPr>
                <w:color w:val="000000"/>
              </w:rPr>
              <w:t>Week</w:t>
            </w:r>
          </w:p>
        </w:tc>
        <w:tc>
          <w:tcPr>
            <w:tcW w:w="917" w:type="pct"/>
            <w:tcBorders>
              <w:top w:val="nil"/>
              <w:left w:val="nil"/>
              <w:bottom w:val="single" w:sz="8" w:space="0" w:color="auto"/>
              <w:right w:val="nil"/>
            </w:tcBorders>
            <w:shd w:val="clear" w:color="000000" w:fill="FFFFFF"/>
            <w:noWrap/>
            <w:vAlign w:val="center"/>
            <w:hideMark/>
          </w:tcPr>
          <w:p w14:paraId="74973542" w14:textId="77777777" w:rsidR="007E1678" w:rsidRPr="00D618B7" w:rsidRDefault="007E1678" w:rsidP="004B11B7">
            <w:pPr>
              <w:jc w:val="right"/>
              <w:rPr>
                <w:color w:val="000000"/>
              </w:rPr>
            </w:pPr>
            <w:r w:rsidRPr="00D618B7">
              <w:rPr>
                <w:color w:val="000000"/>
              </w:rPr>
              <w:t>Mean</w:t>
            </w:r>
          </w:p>
        </w:tc>
        <w:tc>
          <w:tcPr>
            <w:tcW w:w="918" w:type="pct"/>
            <w:tcBorders>
              <w:top w:val="nil"/>
              <w:left w:val="nil"/>
              <w:bottom w:val="single" w:sz="8" w:space="0" w:color="auto"/>
              <w:right w:val="nil"/>
            </w:tcBorders>
            <w:shd w:val="clear" w:color="000000" w:fill="FFFFFF"/>
          </w:tcPr>
          <w:p w14:paraId="67E3252D" w14:textId="77777777" w:rsidR="007E1678" w:rsidRPr="00D618B7" w:rsidRDefault="007E1678" w:rsidP="004B11B7">
            <w:pPr>
              <w:jc w:val="right"/>
              <w:rPr>
                <w:color w:val="000000"/>
              </w:rPr>
            </w:pPr>
          </w:p>
        </w:tc>
        <w:tc>
          <w:tcPr>
            <w:tcW w:w="918" w:type="pct"/>
            <w:tcBorders>
              <w:top w:val="nil"/>
              <w:left w:val="nil"/>
              <w:bottom w:val="single" w:sz="8" w:space="0" w:color="auto"/>
              <w:right w:val="nil"/>
            </w:tcBorders>
            <w:shd w:val="clear" w:color="000000" w:fill="FFFFFF"/>
            <w:noWrap/>
            <w:vAlign w:val="center"/>
            <w:hideMark/>
          </w:tcPr>
          <w:p w14:paraId="10162776" w14:textId="77777777" w:rsidR="007E1678" w:rsidRPr="00D618B7" w:rsidRDefault="007E1678" w:rsidP="004B11B7">
            <w:pPr>
              <w:jc w:val="right"/>
              <w:rPr>
                <w:color w:val="000000"/>
              </w:rPr>
            </w:pPr>
            <w:r w:rsidRPr="00D618B7">
              <w:rPr>
                <w:color w:val="000000"/>
              </w:rPr>
              <w:t>Std. Error</w:t>
            </w:r>
          </w:p>
        </w:tc>
      </w:tr>
      <w:tr w:rsidR="007E1678" w:rsidRPr="00D618B7" w14:paraId="68202C55" w14:textId="77777777" w:rsidTr="004B11B7">
        <w:trPr>
          <w:trHeight w:val="345"/>
        </w:trPr>
        <w:tc>
          <w:tcPr>
            <w:tcW w:w="2246" w:type="pct"/>
            <w:tcBorders>
              <w:top w:val="nil"/>
              <w:left w:val="nil"/>
              <w:bottom w:val="nil"/>
              <w:right w:val="nil"/>
            </w:tcBorders>
            <w:shd w:val="clear" w:color="000000" w:fill="FFFFFF"/>
            <w:vAlign w:val="center"/>
            <w:hideMark/>
          </w:tcPr>
          <w:p w14:paraId="0DD94F65" w14:textId="77777777" w:rsidR="007E1678" w:rsidRPr="00D618B7" w:rsidRDefault="007E1678" w:rsidP="004B11B7">
            <w:pPr>
              <w:rPr>
                <w:color w:val="000000"/>
              </w:rPr>
            </w:pPr>
            <w:r w:rsidRPr="00D618B7">
              <w:rPr>
                <w:color w:val="000000"/>
              </w:rPr>
              <w:t>Face</w:t>
            </w:r>
          </w:p>
        </w:tc>
        <w:tc>
          <w:tcPr>
            <w:tcW w:w="917" w:type="pct"/>
            <w:tcBorders>
              <w:top w:val="nil"/>
              <w:left w:val="nil"/>
              <w:bottom w:val="nil"/>
              <w:right w:val="nil"/>
            </w:tcBorders>
            <w:shd w:val="clear" w:color="000000" w:fill="FFFFFF"/>
            <w:noWrap/>
            <w:vAlign w:val="center"/>
            <w:hideMark/>
          </w:tcPr>
          <w:p w14:paraId="64C77B74" w14:textId="77777777" w:rsidR="007E1678" w:rsidRPr="00D618B7" w:rsidRDefault="007E1678" w:rsidP="004B11B7">
            <w:pPr>
              <w:jc w:val="right"/>
              <w:rPr>
                <w:color w:val="000000"/>
              </w:rPr>
            </w:pPr>
            <w:r w:rsidRPr="00D618B7">
              <w:rPr>
                <w:color w:val="000000"/>
              </w:rPr>
              <w:t>0.26</w:t>
            </w:r>
          </w:p>
        </w:tc>
        <w:tc>
          <w:tcPr>
            <w:tcW w:w="918" w:type="pct"/>
            <w:tcBorders>
              <w:top w:val="nil"/>
              <w:left w:val="nil"/>
              <w:bottom w:val="nil"/>
              <w:right w:val="nil"/>
            </w:tcBorders>
            <w:shd w:val="clear" w:color="000000" w:fill="FFFFFF"/>
          </w:tcPr>
          <w:p w14:paraId="53D7FFF5" w14:textId="77777777" w:rsidR="007E1678" w:rsidRPr="00D618B7" w:rsidRDefault="007E1678" w:rsidP="004B11B7">
            <w:pPr>
              <w:jc w:val="right"/>
              <w:rPr>
                <w:color w:val="000000"/>
              </w:rPr>
            </w:pPr>
          </w:p>
        </w:tc>
        <w:tc>
          <w:tcPr>
            <w:tcW w:w="918" w:type="pct"/>
            <w:tcBorders>
              <w:top w:val="nil"/>
              <w:left w:val="nil"/>
              <w:bottom w:val="nil"/>
              <w:right w:val="nil"/>
            </w:tcBorders>
            <w:shd w:val="clear" w:color="000000" w:fill="FFFFFF"/>
            <w:noWrap/>
            <w:vAlign w:val="center"/>
            <w:hideMark/>
          </w:tcPr>
          <w:p w14:paraId="20834CA5" w14:textId="77777777" w:rsidR="007E1678" w:rsidRPr="00D618B7" w:rsidRDefault="007E1678" w:rsidP="004B11B7">
            <w:pPr>
              <w:jc w:val="right"/>
              <w:rPr>
                <w:color w:val="000000"/>
              </w:rPr>
            </w:pPr>
            <w:r w:rsidRPr="00D618B7">
              <w:rPr>
                <w:color w:val="000000"/>
              </w:rPr>
              <w:t>0.39</w:t>
            </w:r>
          </w:p>
        </w:tc>
      </w:tr>
      <w:tr w:rsidR="007E1678" w:rsidRPr="00D618B7" w14:paraId="25CF0B77" w14:textId="77777777" w:rsidTr="004B11B7">
        <w:trPr>
          <w:trHeight w:val="345"/>
        </w:trPr>
        <w:tc>
          <w:tcPr>
            <w:tcW w:w="2246" w:type="pct"/>
            <w:tcBorders>
              <w:top w:val="nil"/>
              <w:left w:val="nil"/>
              <w:bottom w:val="nil"/>
              <w:right w:val="nil"/>
            </w:tcBorders>
            <w:shd w:val="clear" w:color="000000" w:fill="FFFFFF"/>
            <w:vAlign w:val="center"/>
            <w:hideMark/>
          </w:tcPr>
          <w:p w14:paraId="3551A347" w14:textId="77777777" w:rsidR="007E1678" w:rsidRPr="00D618B7" w:rsidRDefault="007E1678" w:rsidP="004B11B7">
            <w:pPr>
              <w:rPr>
                <w:color w:val="000000"/>
              </w:rPr>
            </w:pPr>
            <w:r w:rsidRPr="00D618B7">
              <w:rPr>
                <w:color w:val="000000"/>
              </w:rPr>
              <w:t>Hand</w:t>
            </w:r>
          </w:p>
        </w:tc>
        <w:tc>
          <w:tcPr>
            <w:tcW w:w="917" w:type="pct"/>
            <w:tcBorders>
              <w:top w:val="nil"/>
              <w:left w:val="nil"/>
              <w:bottom w:val="nil"/>
              <w:right w:val="nil"/>
            </w:tcBorders>
            <w:shd w:val="clear" w:color="000000" w:fill="FFFFFF"/>
            <w:noWrap/>
            <w:vAlign w:val="center"/>
            <w:hideMark/>
          </w:tcPr>
          <w:p w14:paraId="17F1B1F0" w14:textId="77777777" w:rsidR="007E1678" w:rsidRPr="00D618B7" w:rsidRDefault="007E1678" w:rsidP="004B11B7">
            <w:pPr>
              <w:jc w:val="right"/>
              <w:rPr>
                <w:color w:val="000000"/>
              </w:rPr>
            </w:pPr>
            <w:r w:rsidRPr="00D618B7">
              <w:rPr>
                <w:color w:val="000000"/>
              </w:rPr>
              <w:t>0.21</w:t>
            </w:r>
          </w:p>
        </w:tc>
        <w:tc>
          <w:tcPr>
            <w:tcW w:w="918" w:type="pct"/>
            <w:tcBorders>
              <w:top w:val="nil"/>
              <w:left w:val="nil"/>
              <w:bottom w:val="nil"/>
              <w:right w:val="nil"/>
            </w:tcBorders>
            <w:shd w:val="clear" w:color="000000" w:fill="FFFFFF"/>
          </w:tcPr>
          <w:p w14:paraId="2E44012E" w14:textId="77777777" w:rsidR="007E1678" w:rsidRPr="00D618B7" w:rsidRDefault="007E1678" w:rsidP="004B11B7">
            <w:pPr>
              <w:jc w:val="right"/>
              <w:rPr>
                <w:color w:val="000000"/>
              </w:rPr>
            </w:pPr>
          </w:p>
        </w:tc>
        <w:tc>
          <w:tcPr>
            <w:tcW w:w="918" w:type="pct"/>
            <w:tcBorders>
              <w:top w:val="nil"/>
              <w:left w:val="nil"/>
              <w:bottom w:val="nil"/>
              <w:right w:val="nil"/>
            </w:tcBorders>
            <w:shd w:val="clear" w:color="000000" w:fill="FFFFFF"/>
            <w:noWrap/>
            <w:vAlign w:val="center"/>
            <w:hideMark/>
          </w:tcPr>
          <w:p w14:paraId="01EE1602" w14:textId="77777777" w:rsidR="007E1678" w:rsidRPr="00D618B7" w:rsidRDefault="007E1678" w:rsidP="004B11B7">
            <w:pPr>
              <w:jc w:val="right"/>
              <w:rPr>
                <w:color w:val="000000"/>
              </w:rPr>
            </w:pPr>
            <w:r w:rsidRPr="00D618B7">
              <w:rPr>
                <w:color w:val="000000"/>
              </w:rPr>
              <w:t>0.39</w:t>
            </w:r>
          </w:p>
        </w:tc>
      </w:tr>
      <w:tr w:rsidR="007E1678" w:rsidRPr="00D618B7" w14:paraId="5F3BEBD5" w14:textId="77777777" w:rsidTr="004B11B7">
        <w:trPr>
          <w:trHeight w:val="345"/>
        </w:trPr>
        <w:tc>
          <w:tcPr>
            <w:tcW w:w="2246" w:type="pct"/>
            <w:tcBorders>
              <w:top w:val="nil"/>
              <w:left w:val="nil"/>
              <w:bottom w:val="single" w:sz="8" w:space="0" w:color="auto"/>
              <w:right w:val="nil"/>
            </w:tcBorders>
            <w:shd w:val="clear" w:color="000000" w:fill="FFFFFF"/>
            <w:vAlign w:val="center"/>
            <w:hideMark/>
          </w:tcPr>
          <w:p w14:paraId="12F7ABAD" w14:textId="77777777" w:rsidR="007E1678" w:rsidRPr="00D618B7" w:rsidRDefault="007E1678" w:rsidP="004B11B7">
            <w:pPr>
              <w:rPr>
                <w:color w:val="000000"/>
              </w:rPr>
            </w:pPr>
            <w:r w:rsidRPr="00D618B7">
              <w:rPr>
                <w:color w:val="000000"/>
              </w:rPr>
              <w:t>Mouth</w:t>
            </w:r>
          </w:p>
        </w:tc>
        <w:tc>
          <w:tcPr>
            <w:tcW w:w="917" w:type="pct"/>
            <w:tcBorders>
              <w:top w:val="nil"/>
              <w:left w:val="nil"/>
              <w:bottom w:val="single" w:sz="8" w:space="0" w:color="auto"/>
              <w:right w:val="nil"/>
            </w:tcBorders>
            <w:shd w:val="clear" w:color="000000" w:fill="FFFFFF"/>
            <w:noWrap/>
            <w:vAlign w:val="center"/>
            <w:hideMark/>
          </w:tcPr>
          <w:p w14:paraId="4281D55A" w14:textId="77777777" w:rsidR="007E1678" w:rsidRPr="00D618B7" w:rsidRDefault="007E1678" w:rsidP="004B11B7">
            <w:pPr>
              <w:jc w:val="right"/>
              <w:rPr>
                <w:color w:val="000000"/>
              </w:rPr>
            </w:pPr>
            <w:r w:rsidRPr="00D618B7">
              <w:rPr>
                <w:color w:val="000000"/>
              </w:rPr>
              <w:t>2.67</w:t>
            </w:r>
          </w:p>
        </w:tc>
        <w:tc>
          <w:tcPr>
            <w:tcW w:w="918" w:type="pct"/>
            <w:tcBorders>
              <w:top w:val="nil"/>
              <w:left w:val="nil"/>
              <w:bottom w:val="single" w:sz="8" w:space="0" w:color="auto"/>
              <w:right w:val="nil"/>
            </w:tcBorders>
            <w:shd w:val="clear" w:color="000000" w:fill="FFFFFF"/>
          </w:tcPr>
          <w:p w14:paraId="09E2BECE" w14:textId="77777777" w:rsidR="007E1678" w:rsidRPr="00D618B7" w:rsidRDefault="007E1678" w:rsidP="004B11B7">
            <w:pPr>
              <w:jc w:val="right"/>
              <w:rPr>
                <w:color w:val="000000"/>
              </w:rPr>
            </w:pPr>
          </w:p>
        </w:tc>
        <w:tc>
          <w:tcPr>
            <w:tcW w:w="918" w:type="pct"/>
            <w:tcBorders>
              <w:top w:val="nil"/>
              <w:left w:val="nil"/>
              <w:bottom w:val="single" w:sz="8" w:space="0" w:color="auto"/>
              <w:right w:val="nil"/>
            </w:tcBorders>
            <w:shd w:val="clear" w:color="000000" w:fill="FFFFFF"/>
            <w:noWrap/>
            <w:vAlign w:val="center"/>
            <w:hideMark/>
          </w:tcPr>
          <w:p w14:paraId="5ABEA7E5" w14:textId="77777777" w:rsidR="007E1678" w:rsidRPr="00D618B7" w:rsidRDefault="007E1678" w:rsidP="004B11B7">
            <w:pPr>
              <w:jc w:val="right"/>
              <w:rPr>
                <w:color w:val="000000"/>
              </w:rPr>
            </w:pPr>
            <w:r w:rsidRPr="00D618B7">
              <w:rPr>
                <w:color w:val="000000"/>
              </w:rPr>
              <w:t>0.39</w:t>
            </w:r>
          </w:p>
        </w:tc>
      </w:tr>
      <w:tr w:rsidR="007E1678" w:rsidRPr="00D618B7" w14:paraId="469FE821" w14:textId="77777777" w:rsidTr="004B11B7">
        <w:trPr>
          <w:trHeight w:val="345"/>
        </w:trPr>
        <w:tc>
          <w:tcPr>
            <w:tcW w:w="2246" w:type="pct"/>
            <w:tcBorders>
              <w:top w:val="nil"/>
              <w:left w:val="nil"/>
              <w:bottom w:val="nil"/>
              <w:right w:val="nil"/>
            </w:tcBorders>
            <w:shd w:val="clear" w:color="auto" w:fill="auto"/>
            <w:noWrap/>
            <w:vAlign w:val="bottom"/>
            <w:hideMark/>
          </w:tcPr>
          <w:p w14:paraId="18D33CF2" w14:textId="77777777" w:rsidR="007E1678" w:rsidRPr="00D618B7" w:rsidRDefault="007E1678" w:rsidP="004B11B7">
            <w:pPr>
              <w:jc w:val="right"/>
              <w:rPr>
                <w:color w:val="000000"/>
              </w:rPr>
            </w:pPr>
          </w:p>
        </w:tc>
        <w:tc>
          <w:tcPr>
            <w:tcW w:w="917" w:type="pct"/>
            <w:tcBorders>
              <w:top w:val="nil"/>
              <w:left w:val="nil"/>
              <w:bottom w:val="nil"/>
              <w:right w:val="nil"/>
            </w:tcBorders>
            <w:shd w:val="clear" w:color="auto" w:fill="auto"/>
            <w:noWrap/>
            <w:vAlign w:val="bottom"/>
            <w:hideMark/>
          </w:tcPr>
          <w:p w14:paraId="7AD5DF56" w14:textId="77777777" w:rsidR="007E1678" w:rsidRPr="00D618B7" w:rsidRDefault="007E1678" w:rsidP="004B11B7">
            <w:pPr>
              <w:rPr>
                <w:sz w:val="20"/>
                <w:szCs w:val="20"/>
              </w:rPr>
            </w:pPr>
          </w:p>
        </w:tc>
        <w:tc>
          <w:tcPr>
            <w:tcW w:w="918" w:type="pct"/>
            <w:tcBorders>
              <w:top w:val="nil"/>
              <w:left w:val="nil"/>
              <w:bottom w:val="nil"/>
              <w:right w:val="nil"/>
            </w:tcBorders>
          </w:tcPr>
          <w:p w14:paraId="79E5D4C2" w14:textId="77777777" w:rsidR="007E1678" w:rsidRPr="00D618B7" w:rsidRDefault="007E1678" w:rsidP="004B11B7">
            <w:pPr>
              <w:rPr>
                <w:sz w:val="20"/>
                <w:szCs w:val="20"/>
              </w:rPr>
            </w:pPr>
          </w:p>
        </w:tc>
        <w:tc>
          <w:tcPr>
            <w:tcW w:w="918" w:type="pct"/>
            <w:tcBorders>
              <w:top w:val="nil"/>
              <w:left w:val="nil"/>
              <w:bottom w:val="nil"/>
              <w:right w:val="nil"/>
            </w:tcBorders>
            <w:shd w:val="clear" w:color="auto" w:fill="auto"/>
            <w:noWrap/>
            <w:vAlign w:val="bottom"/>
            <w:hideMark/>
          </w:tcPr>
          <w:p w14:paraId="012013B0" w14:textId="77777777" w:rsidR="007E1678" w:rsidRPr="00D618B7" w:rsidRDefault="007E1678" w:rsidP="004B11B7">
            <w:pPr>
              <w:rPr>
                <w:sz w:val="20"/>
                <w:szCs w:val="20"/>
              </w:rPr>
            </w:pPr>
          </w:p>
        </w:tc>
      </w:tr>
    </w:tbl>
    <w:p w14:paraId="7F9925BC" w14:textId="77777777" w:rsidR="007E1678" w:rsidRPr="00D618B7" w:rsidRDefault="007E1678" w:rsidP="007E1678">
      <w:r w:rsidRPr="00D618B7">
        <w:rPr>
          <w:i/>
          <w:iCs/>
        </w:rPr>
        <w:t>Note</w:t>
      </w:r>
      <w:r w:rsidRPr="00D618B7">
        <w:t>: This table lists the estimated mean frequency and standard errors for face, hand, and mouth events.</w:t>
      </w:r>
    </w:p>
    <w:p w14:paraId="4EE14C92" w14:textId="77777777" w:rsidR="007E1678" w:rsidRPr="00D618B7" w:rsidRDefault="007E1678" w:rsidP="007E1678"/>
    <w:p w14:paraId="1AEA7246" w14:textId="77777777" w:rsidR="00B045D0" w:rsidRPr="00D618B7" w:rsidRDefault="00B045D0" w:rsidP="00B045D0"/>
    <w:p w14:paraId="2EB69161" w14:textId="77777777" w:rsidR="00B045D0" w:rsidRPr="00D618B7" w:rsidRDefault="00B045D0" w:rsidP="00B045D0"/>
    <w:p w14:paraId="281FB7B3" w14:textId="77777777" w:rsidR="00B045D0" w:rsidRPr="00D618B7" w:rsidRDefault="00B045D0" w:rsidP="00B045D0"/>
    <w:p w14:paraId="08D8BF05" w14:textId="77777777" w:rsidR="00B045D0" w:rsidRPr="00D618B7" w:rsidRDefault="00B045D0" w:rsidP="00B045D0"/>
    <w:p w14:paraId="6432A474" w14:textId="77777777" w:rsidR="00B045D0" w:rsidRPr="00D618B7" w:rsidRDefault="00B045D0" w:rsidP="00B045D0"/>
    <w:p w14:paraId="5FDFFE29" w14:textId="77777777" w:rsidR="00B045D0" w:rsidRDefault="00B045D0" w:rsidP="00B045D0"/>
    <w:p w14:paraId="37FFE7E6" w14:textId="77777777" w:rsidR="000B5C72" w:rsidRDefault="000B5C72" w:rsidP="00B045D0"/>
    <w:p w14:paraId="414AEF09" w14:textId="77777777" w:rsidR="000B5C72" w:rsidRDefault="000B5C72" w:rsidP="00B045D0"/>
    <w:p w14:paraId="6FBE4CBE" w14:textId="77777777" w:rsidR="000B5C72" w:rsidRPr="00D618B7" w:rsidRDefault="000B5C72" w:rsidP="00B045D0"/>
    <w:p w14:paraId="6C1BDB77" w14:textId="77777777" w:rsidR="00B045D0" w:rsidRPr="00D618B7" w:rsidRDefault="00B045D0" w:rsidP="00B045D0"/>
    <w:p w14:paraId="0DE88CC8" w14:textId="7A6E6878" w:rsidR="007E1678" w:rsidRPr="00D618B7" w:rsidRDefault="004B7288" w:rsidP="007C5074">
      <w:pPr>
        <w:pStyle w:val="Caption"/>
      </w:pPr>
      <w:bookmarkStart w:id="133" w:name="_Toc172716836"/>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8</w:t>
      </w:r>
      <w:r w:rsidR="00000000">
        <w:rPr>
          <w:noProof/>
        </w:rPr>
        <w:fldChar w:fldCharType="end"/>
      </w:r>
      <w:r w:rsidR="00145E6A" w:rsidRPr="00D618B7">
        <w:t>:</w:t>
      </w:r>
      <w:r w:rsidR="00B045D0" w:rsidRPr="00D618B7">
        <w:rPr>
          <w:rFonts w:eastAsia="Aptos"/>
          <w:kern w:val="2"/>
          <w:sz w:val="22"/>
          <w:szCs w:val="22"/>
        </w:rPr>
        <w:t xml:space="preserve"> Event frequency by proximity</w:t>
      </w:r>
      <w:bookmarkEnd w:id="133"/>
    </w:p>
    <w:p w14:paraId="2D6D9F49" w14:textId="77777777" w:rsidR="007E1678" w:rsidRPr="00D618B7" w:rsidRDefault="007E1678" w:rsidP="007E1678">
      <w:r w:rsidRPr="00D618B7">
        <w:t>Estimated Mean Event Frequency by Proximity</w:t>
      </w:r>
    </w:p>
    <w:tbl>
      <w:tblPr>
        <w:tblW w:w="5000" w:type="pct"/>
        <w:tblLook w:val="04A0" w:firstRow="1" w:lastRow="0" w:firstColumn="1" w:lastColumn="0" w:noHBand="0" w:noVBand="1"/>
      </w:tblPr>
      <w:tblGrid>
        <w:gridCol w:w="3074"/>
        <w:gridCol w:w="2409"/>
        <w:gridCol w:w="3157"/>
      </w:tblGrid>
      <w:tr w:rsidR="007E1678" w:rsidRPr="00D618B7" w14:paraId="0DEA157B" w14:textId="77777777" w:rsidTr="004B11B7">
        <w:trPr>
          <w:trHeight w:val="386"/>
        </w:trPr>
        <w:tc>
          <w:tcPr>
            <w:tcW w:w="1779" w:type="pct"/>
            <w:tcBorders>
              <w:top w:val="single" w:sz="4" w:space="0" w:color="auto"/>
              <w:left w:val="nil"/>
              <w:bottom w:val="single" w:sz="8" w:space="0" w:color="auto"/>
              <w:right w:val="nil"/>
            </w:tcBorders>
            <w:shd w:val="clear" w:color="000000" w:fill="FFFFFF"/>
            <w:vAlign w:val="center"/>
            <w:hideMark/>
          </w:tcPr>
          <w:p w14:paraId="61848A0F" w14:textId="77777777" w:rsidR="007E1678" w:rsidRPr="00D618B7" w:rsidRDefault="007E1678" w:rsidP="004B11B7">
            <w:pPr>
              <w:rPr>
                <w:color w:val="000000"/>
              </w:rPr>
            </w:pPr>
            <w:r w:rsidRPr="00D618B7">
              <w:rPr>
                <w:color w:val="000000"/>
              </w:rPr>
              <w:t>Week</w:t>
            </w:r>
          </w:p>
        </w:tc>
        <w:tc>
          <w:tcPr>
            <w:tcW w:w="1394" w:type="pct"/>
            <w:tcBorders>
              <w:top w:val="single" w:sz="4" w:space="0" w:color="auto"/>
              <w:left w:val="nil"/>
              <w:bottom w:val="single" w:sz="8" w:space="0" w:color="auto"/>
              <w:right w:val="nil"/>
            </w:tcBorders>
            <w:shd w:val="clear" w:color="000000" w:fill="FFFFFF"/>
            <w:noWrap/>
            <w:vAlign w:val="center"/>
            <w:hideMark/>
          </w:tcPr>
          <w:p w14:paraId="34B159C9" w14:textId="77777777" w:rsidR="007E1678" w:rsidRPr="00D618B7" w:rsidRDefault="007E1678" w:rsidP="004B11B7">
            <w:pPr>
              <w:jc w:val="right"/>
              <w:rPr>
                <w:color w:val="000000"/>
              </w:rPr>
            </w:pPr>
            <w:r w:rsidRPr="00D618B7">
              <w:rPr>
                <w:color w:val="000000"/>
              </w:rPr>
              <w:t>Mean</w:t>
            </w:r>
          </w:p>
        </w:tc>
        <w:tc>
          <w:tcPr>
            <w:tcW w:w="1827" w:type="pct"/>
            <w:tcBorders>
              <w:top w:val="single" w:sz="4" w:space="0" w:color="auto"/>
              <w:left w:val="nil"/>
              <w:bottom w:val="single" w:sz="8" w:space="0" w:color="auto"/>
              <w:right w:val="nil"/>
            </w:tcBorders>
            <w:shd w:val="clear" w:color="000000" w:fill="FFFFFF"/>
            <w:noWrap/>
            <w:vAlign w:val="center"/>
            <w:hideMark/>
          </w:tcPr>
          <w:p w14:paraId="12CE42EC" w14:textId="77777777" w:rsidR="007E1678" w:rsidRPr="00D618B7" w:rsidRDefault="007E1678" w:rsidP="004B11B7">
            <w:pPr>
              <w:jc w:val="right"/>
              <w:rPr>
                <w:color w:val="000000"/>
              </w:rPr>
            </w:pPr>
            <w:r w:rsidRPr="00D618B7">
              <w:rPr>
                <w:color w:val="000000"/>
              </w:rPr>
              <w:t>Std. Error</w:t>
            </w:r>
          </w:p>
        </w:tc>
      </w:tr>
      <w:tr w:rsidR="00F91AEA" w:rsidRPr="00D618B7" w14:paraId="44BD7169" w14:textId="77777777" w:rsidTr="004B11B7">
        <w:trPr>
          <w:trHeight w:val="386"/>
        </w:trPr>
        <w:tc>
          <w:tcPr>
            <w:tcW w:w="1779" w:type="pct"/>
            <w:tcBorders>
              <w:top w:val="nil"/>
              <w:left w:val="nil"/>
              <w:bottom w:val="nil"/>
              <w:right w:val="nil"/>
            </w:tcBorders>
            <w:shd w:val="clear" w:color="000000" w:fill="FFFFFF"/>
            <w:vAlign w:val="center"/>
            <w:hideMark/>
          </w:tcPr>
          <w:p w14:paraId="6846B692" w14:textId="77777777" w:rsidR="00F91AEA" w:rsidRPr="00D618B7" w:rsidRDefault="00F91AEA" w:rsidP="00F91AEA">
            <w:pPr>
              <w:rPr>
                <w:color w:val="000000"/>
              </w:rPr>
            </w:pPr>
            <w:r w:rsidRPr="00D618B7">
              <w:rPr>
                <w:color w:val="000000"/>
              </w:rPr>
              <w:t>Toy-out-of-Reach</w:t>
            </w:r>
          </w:p>
        </w:tc>
        <w:tc>
          <w:tcPr>
            <w:tcW w:w="1394" w:type="pct"/>
            <w:tcBorders>
              <w:top w:val="nil"/>
              <w:left w:val="nil"/>
              <w:bottom w:val="nil"/>
              <w:right w:val="nil"/>
            </w:tcBorders>
            <w:shd w:val="clear" w:color="000000" w:fill="FFFFFF"/>
            <w:noWrap/>
            <w:vAlign w:val="center"/>
            <w:hideMark/>
          </w:tcPr>
          <w:p w14:paraId="7BD6E34A" w14:textId="4311FB5A" w:rsidR="00F91AEA" w:rsidRPr="00D618B7" w:rsidRDefault="00F91AEA" w:rsidP="00F91AEA">
            <w:pPr>
              <w:jc w:val="right"/>
              <w:rPr>
                <w:color w:val="000000"/>
              </w:rPr>
            </w:pPr>
            <w:r w:rsidRPr="00D618B7">
              <w:rPr>
                <w:color w:val="000000"/>
                <w:sz w:val="22"/>
                <w:szCs w:val="22"/>
              </w:rPr>
              <w:t>1.73</w:t>
            </w:r>
          </w:p>
        </w:tc>
        <w:tc>
          <w:tcPr>
            <w:tcW w:w="1827" w:type="pct"/>
            <w:tcBorders>
              <w:top w:val="nil"/>
              <w:left w:val="nil"/>
              <w:bottom w:val="nil"/>
              <w:right w:val="nil"/>
            </w:tcBorders>
            <w:shd w:val="clear" w:color="000000" w:fill="FFFFFF"/>
            <w:noWrap/>
            <w:vAlign w:val="center"/>
            <w:hideMark/>
          </w:tcPr>
          <w:p w14:paraId="7DDA8F6E" w14:textId="0E1ACA84" w:rsidR="00F91AEA" w:rsidRPr="00D618B7" w:rsidRDefault="00F91AEA" w:rsidP="00F91AEA">
            <w:pPr>
              <w:jc w:val="right"/>
              <w:rPr>
                <w:color w:val="000000"/>
              </w:rPr>
            </w:pPr>
            <w:r w:rsidRPr="00D618B7">
              <w:rPr>
                <w:color w:val="000000"/>
                <w:sz w:val="22"/>
                <w:szCs w:val="22"/>
              </w:rPr>
              <w:t>0.37</w:t>
            </w:r>
          </w:p>
        </w:tc>
      </w:tr>
      <w:tr w:rsidR="00F91AEA" w:rsidRPr="00D618B7" w14:paraId="2B1B8343" w14:textId="77777777" w:rsidTr="004B11B7">
        <w:trPr>
          <w:trHeight w:val="386"/>
        </w:trPr>
        <w:tc>
          <w:tcPr>
            <w:tcW w:w="1779" w:type="pct"/>
            <w:tcBorders>
              <w:top w:val="nil"/>
              <w:left w:val="nil"/>
              <w:bottom w:val="nil"/>
              <w:right w:val="nil"/>
            </w:tcBorders>
            <w:shd w:val="clear" w:color="000000" w:fill="FFFFFF"/>
            <w:vAlign w:val="center"/>
            <w:hideMark/>
          </w:tcPr>
          <w:p w14:paraId="32B4AC20" w14:textId="77777777" w:rsidR="00F91AEA" w:rsidRPr="00D618B7" w:rsidRDefault="00F91AEA" w:rsidP="00F91AEA">
            <w:pPr>
              <w:rPr>
                <w:color w:val="000000"/>
              </w:rPr>
            </w:pPr>
            <w:r w:rsidRPr="00D618B7">
              <w:rPr>
                <w:color w:val="000000"/>
              </w:rPr>
              <w:t>Toy-Moving-into-Reach</w:t>
            </w:r>
          </w:p>
        </w:tc>
        <w:tc>
          <w:tcPr>
            <w:tcW w:w="1394" w:type="pct"/>
            <w:tcBorders>
              <w:top w:val="nil"/>
              <w:left w:val="nil"/>
              <w:bottom w:val="nil"/>
              <w:right w:val="nil"/>
            </w:tcBorders>
            <w:shd w:val="clear" w:color="000000" w:fill="FFFFFF"/>
            <w:noWrap/>
            <w:vAlign w:val="center"/>
            <w:hideMark/>
          </w:tcPr>
          <w:p w14:paraId="583C1F71" w14:textId="5BF42CFD" w:rsidR="00F91AEA" w:rsidRPr="00D618B7" w:rsidRDefault="00F91AEA" w:rsidP="00F91AEA">
            <w:pPr>
              <w:jc w:val="right"/>
              <w:rPr>
                <w:color w:val="000000"/>
              </w:rPr>
            </w:pPr>
            <w:r w:rsidRPr="00D618B7">
              <w:rPr>
                <w:color w:val="000000"/>
                <w:sz w:val="22"/>
                <w:szCs w:val="22"/>
              </w:rPr>
              <w:t>0.21</w:t>
            </w:r>
          </w:p>
        </w:tc>
        <w:tc>
          <w:tcPr>
            <w:tcW w:w="1827" w:type="pct"/>
            <w:tcBorders>
              <w:top w:val="nil"/>
              <w:left w:val="nil"/>
              <w:bottom w:val="nil"/>
              <w:right w:val="nil"/>
            </w:tcBorders>
            <w:shd w:val="clear" w:color="000000" w:fill="FFFFFF"/>
            <w:noWrap/>
            <w:vAlign w:val="center"/>
            <w:hideMark/>
          </w:tcPr>
          <w:p w14:paraId="158F0766" w14:textId="5309600A" w:rsidR="00F91AEA" w:rsidRPr="00D618B7" w:rsidRDefault="00F91AEA" w:rsidP="00F91AEA">
            <w:pPr>
              <w:jc w:val="right"/>
              <w:rPr>
                <w:color w:val="000000"/>
              </w:rPr>
            </w:pPr>
            <w:r w:rsidRPr="00D618B7">
              <w:rPr>
                <w:color w:val="000000"/>
                <w:sz w:val="22"/>
                <w:szCs w:val="22"/>
              </w:rPr>
              <w:t>0.37</w:t>
            </w:r>
          </w:p>
        </w:tc>
      </w:tr>
      <w:tr w:rsidR="00F91AEA" w:rsidRPr="00D618B7" w14:paraId="6085B8B2" w14:textId="77777777" w:rsidTr="004B11B7">
        <w:trPr>
          <w:trHeight w:val="386"/>
        </w:trPr>
        <w:tc>
          <w:tcPr>
            <w:tcW w:w="1779" w:type="pct"/>
            <w:tcBorders>
              <w:top w:val="nil"/>
              <w:left w:val="nil"/>
              <w:bottom w:val="single" w:sz="8" w:space="0" w:color="auto"/>
              <w:right w:val="nil"/>
            </w:tcBorders>
            <w:shd w:val="clear" w:color="000000" w:fill="FFFFFF"/>
            <w:vAlign w:val="center"/>
            <w:hideMark/>
          </w:tcPr>
          <w:p w14:paraId="59876573" w14:textId="77777777" w:rsidR="00F91AEA" w:rsidRPr="00D618B7" w:rsidRDefault="00F91AEA" w:rsidP="00F91AEA">
            <w:pPr>
              <w:rPr>
                <w:color w:val="000000"/>
              </w:rPr>
            </w:pPr>
            <w:r w:rsidRPr="00D618B7">
              <w:rPr>
                <w:color w:val="000000"/>
              </w:rPr>
              <w:t>Toy-in-Reach</w:t>
            </w:r>
          </w:p>
        </w:tc>
        <w:tc>
          <w:tcPr>
            <w:tcW w:w="1394" w:type="pct"/>
            <w:tcBorders>
              <w:top w:val="nil"/>
              <w:left w:val="nil"/>
              <w:bottom w:val="single" w:sz="8" w:space="0" w:color="auto"/>
              <w:right w:val="nil"/>
            </w:tcBorders>
            <w:shd w:val="clear" w:color="000000" w:fill="FFFFFF"/>
            <w:noWrap/>
            <w:vAlign w:val="center"/>
            <w:hideMark/>
          </w:tcPr>
          <w:p w14:paraId="3A4BCAE3" w14:textId="4F34E3B7" w:rsidR="00F91AEA" w:rsidRPr="00D618B7" w:rsidRDefault="00F91AEA" w:rsidP="00F91AEA">
            <w:pPr>
              <w:jc w:val="right"/>
              <w:rPr>
                <w:color w:val="000000"/>
              </w:rPr>
            </w:pPr>
            <w:r w:rsidRPr="00D618B7">
              <w:rPr>
                <w:color w:val="000000"/>
                <w:sz w:val="22"/>
                <w:szCs w:val="22"/>
              </w:rPr>
              <w:t>1.20</w:t>
            </w:r>
          </w:p>
        </w:tc>
        <w:tc>
          <w:tcPr>
            <w:tcW w:w="1827" w:type="pct"/>
            <w:tcBorders>
              <w:top w:val="nil"/>
              <w:left w:val="nil"/>
              <w:bottom w:val="single" w:sz="8" w:space="0" w:color="auto"/>
              <w:right w:val="nil"/>
            </w:tcBorders>
            <w:shd w:val="clear" w:color="000000" w:fill="FFFFFF"/>
            <w:noWrap/>
            <w:vAlign w:val="center"/>
            <w:hideMark/>
          </w:tcPr>
          <w:p w14:paraId="08B345B4" w14:textId="0BB1CAAC" w:rsidR="00F91AEA" w:rsidRPr="00D618B7" w:rsidRDefault="00F91AEA" w:rsidP="00F91AEA">
            <w:pPr>
              <w:jc w:val="right"/>
              <w:rPr>
                <w:color w:val="000000"/>
              </w:rPr>
            </w:pPr>
            <w:r w:rsidRPr="00D618B7">
              <w:rPr>
                <w:color w:val="000000"/>
                <w:sz w:val="22"/>
                <w:szCs w:val="22"/>
              </w:rPr>
              <w:t>0.37</w:t>
            </w:r>
          </w:p>
        </w:tc>
      </w:tr>
    </w:tbl>
    <w:p w14:paraId="050B683F" w14:textId="77777777" w:rsidR="007E1678" w:rsidRPr="00D618B7" w:rsidRDefault="007E1678" w:rsidP="007E1678">
      <w:pPr>
        <w:rPr>
          <w:i/>
          <w:iCs/>
        </w:rPr>
      </w:pPr>
    </w:p>
    <w:p w14:paraId="21AAFBBA" w14:textId="1CF89329" w:rsidR="00766C27" w:rsidRPr="00D618B7" w:rsidRDefault="007E1678" w:rsidP="007E1678">
      <w:r w:rsidRPr="00D618B7">
        <w:rPr>
          <w:i/>
          <w:iCs/>
        </w:rPr>
        <w:t>Note</w:t>
      </w:r>
      <w:r w:rsidRPr="00D618B7">
        <w:t>: This table lists the estimated mean even frequency and standard errors for toy-out-of-reach, toy-moving-into-reach, and toy-in-reach.</w:t>
      </w:r>
    </w:p>
    <w:p w14:paraId="31310918" w14:textId="3477F33E" w:rsidR="00766C27" w:rsidRPr="00D618B7" w:rsidRDefault="00766C27" w:rsidP="00766C27">
      <w:r w:rsidRPr="00D618B7">
        <w:br w:type="page"/>
      </w:r>
    </w:p>
    <w:p w14:paraId="46554003" w14:textId="41362CFE" w:rsidR="004B7288" w:rsidRPr="00D618B7" w:rsidRDefault="004B7288" w:rsidP="007C5074">
      <w:pPr>
        <w:pStyle w:val="Caption"/>
      </w:pPr>
      <w:bookmarkStart w:id="134" w:name="_Toc172716837"/>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9</w:t>
      </w:r>
      <w:r w:rsidR="00000000">
        <w:rPr>
          <w:noProof/>
        </w:rPr>
        <w:fldChar w:fldCharType="end"/>
      </w:r>
      <w:r w:rsidR="00B045D0" w:rsidRPr="00D618B7">
        <w:t xml:space="preserve">: </w:t>
      </w:r>
      <w:r w:rsidR="00B045D0" w:rsidRPr="00D618B7">
        <w:rPr>
          <w:rFonts w:eastAsia="Aptos"/>
          <w:kern w:val="2"/>
          <w:sz w:val="22"/>
          <w:szCs w:val="22"/>
        </w:rPr>
        <w:t>Event frequency by type</w:t>
      </w:r>
      <w:bookmarkEnd w:id="134"/>
    </w:p>
    <w:p w14:paraId="4136AB92" w14:textId="77777777" w:rsidR="00766C27" w:rsidRPr="00D618B7" w:rsidRDefault="00766C27" w:rsidP="00766C27">
      <w:r w:rsidRPr="00D618B7">
        <w:t>Estimated Mean Event Frequency by Type and Week</w:t>
      </w:r>
    </w:p>
    <w:tbl>
      <w:tblPr>
        <w:tblW w:w="5000" w:type="pct"/>
        <w:tblLook w:val="04A0" w:firstRow="1" w:lastRow="0" w:firstColumn="1" w:lastColumn="0" w:noHBand="0" w:noVBand="1"/>
      </w:tblPr>
      <w:tblGrid>
        <w:gridCol w:w="1630"/>
        <w:gridCol w:w="1094"/>
        <w:gridCol w:w="1559"/>
        <w:gridCol w:w="982"/>
        <w:gridCol w:w="1187"/>
        <w:gridCol w:w="1001"/>
        <w:gridCol w:w="1187"/>
      </w:tblGrid>
      <w:tr w:rsidR="00766C27" w:rsidRPr="00D618B7" w14:paraId="03FC3DB6" w14:textId="77777777" w:rsidTr="004B11B7">
        <w:trPr>
          <w:trHeight w:val="278"/>
        </w:trPr>
        <w:tc>
          <w:tcPr>
            <w:tcW w:w="944" w:type="pct"/>
            <w:tcBorders>
              <w:top w:val="nil"/>
              <w:left w:val="nil"/>
              <w:bottom w:val="single" w:sz="8" w:space="0" w:color="auto"/>
              <w:right w:val="nil"/>
            </w:tcBorders>
            <w:shd w:val="clear" w:color="auto" w:fill="auto"/>
            <w:noWrap/>
            <w:vAlign w:val="bottom"/>
            <w:hideMark/>
          </w:tcPr>
          <w:p w14:paraId="6960CF50" w14:textId="77777777" w:rsidR="00766C27" w:rsidRPr="00D618B7" w:rsidRDefault="00766C27" w:rsidP="004B11B7">
            <w:pPr>
              <w:rPr>
                <w:color w:val="000000"/>
              </w:rPr>
            </w:pPr>
            <w:r w:rsidRPr="00D618B7">
              <w:rPr>
                <w:color w:val="000000"/>
              </w:rPr>
              <w:t> </w:t>
            </w:r>
          </w:p>
        </w:tc>
        <w:tc>
          <w:tcPr>
            <w:tcW w:w="633" w:type="pct"/>
            <w:tcBorders>
              <w:top w:val="nil"/>
              <w:left w:val="nil"/>
              <w:bottom w:val="single" w:sz="8" w:space="0" w:color="auto"/>
              <w:right w:val="nil"/>
            </w:tcBorders>
            <w:shd w:val="clear" w:color="auto" w:fill="auto"/>
            <w:noWrap/>
            <w:vAlign w:val="bottom"/>
            <w:hideMark/>
          </w:tcPr>
          <w:p w14:paraId="41FE10A5" w14:textId="77777777" w:rsidR="00766C27" w:rsidRPr="00D618B7" w:rsidRDefault="00766C27" w:rsidP="004B11B7">
            <w:pPr>
              <w:rPr>
                <w:color w:val="000000"/>
              </w:rPr>
            </w:pPr>
            <w:r w:rsidRPr="00D618B7">
              <w:rPr>
                <w:color w:val="000000"/>
              </w:rPr>
              <w:t> </w:t>
            </w:r>
          </w:p>
        </w:tc>
        <w:tc>
          <w:tcPr>
            <w:tcW w:w="902" w:type="pct"/>
            <w:tcBorders>
              <w:top w:val="nil"/>
              <w:left w:val="nil"/>
              <w:bottom w:val="single" w:sz="8" w:space="0" w:color="auto"/>
              <w:right w:val="nil"/>
            </w:tcBorders>
            <w:shd w:val="clear" w:color="auto" w:fill="auto"/>
            <w:noWrap/>
            <w:vAlign w:val="bottom"/>
            <w:hideMark/>
          </w:tcPr>
          <w:p w14:paraId="4AD168F3" w14:textId="77777777" w:rsidR="00766C27" w:rsidRPr="00D618B7" w:rsidRDefault="00766C27" w:rsidP="004B11B7">
            <w:pPr>
              <w:rPr>
                <w:color w:val="000000"/>
              </w:rPr>
            </w:pPr>
            <w:r w:rsidRPr="00D618B7">
              <w:rPr>
                <w:color w:val="000000"/>
              </w:rPr>
              <w:t> </w:t>
            </w:r>
          </w:p>
        </w:tc>
        <w:tc>
          <w:tcPr>
            <w:tcW w:w="568" w:type="pct"/>
            <w:tcBorders>
              <w:top w:val="nil"/>
              <w:left w:val="nil"/>
              <w:bottom w:val="single" w:sz="8" w:space="0" w:color="auto"/>
              <w:right w:val="nil"/>
            </w:tcBorders>
            <w:shd w:val="clear" w:color="auto" w:fill="auto"/>
            <w:noWrap/>
            <w:vAlign w:val="bottom"/>
            <w:hideMark/>
          </w:tcPr>
          <w:p w14:paraId="5EB41867" w14:textId="77777777" w:rsidR="00766C27" w:rsidRPr="00D618B7" w:rsidRDefault="00766C27" w:rsidP="004B11B7">
            <w:pPr>
              <w:rPr>
                <w:color w:val="000000"/>
              </w:rPr>
            </w:pPr>
            <w:r w:rsidRPr="00D618B7">
              <w:rPr>
                <w:color w:val="000000"/>
              </w:rPr>
              <w:t> </w:t>
            </w:r>
          </w:p>
        </w:tc>
        <w:tc>
          <w:tcPr>
            <w:tcW w:w="687" w:type="pct"/>
            <w:tcBorders>
              <w:top w:val="nil"/>
              <w:left w:val="nil"/>
              <w:bottom w:val="single" w:sz="8" w:space="0" w:color="auto"/>
              <w:right w:val="nil"/>
            </w:tcBorders>
            <w:shd w:val="clear" w:color="auto" w:fill="auto"/>
            <w:noWrap/>
            <w:vAlign w:val="bottom"/>
            <w:hideMark/>
          </w:tcPr>
          <w:p w14:paraId="3E19175C" w14:textId="77777777" w:rsidR="00766C27" w:rsidRPr="00D618B7" w:rsidRDefault="00766C27" w:rsidP="004B11B7">
            <w:pPr>
              <w:rPr>
                <w:color w:val="000000"/>
              </w:rPr>
            </w:pPr>
            <w:r w:rsidRPr="00D618B7">
              <w:rPr>
                <w:color w:val="000000"/>
              </w:rPr>
              <w:t> </w:t>
            </w:r>
          </w:p>
        </w:tc>
        <w:tc>
          <w:tcPr>
            <w:tcW w:w="579" w:type="pct"/>
            <w:tcBorders>
              <w:top w:val="nil"/>
              <w:left w:val="nil"/>
              <w:bottom w:val="single" w:sz="8" w:space="0" w:color="auto"/>
              <w:right w:val="nil"/>
            </w:tcBorders>
            <w:shd w:val="clear" w:color="auto" w:fill="auto"/>
            <w:noWrap/>
            <w:vAlign w:val="bottom"/>
            <w:hideMark/>
          </w:tcPr>
          <w:p w14:paraId="63A20C7F" w14:textId="77777777" w:rsidR="00766C27" w:rsidRPr="00D618B7" w:rsidRDefault="00766C27" w:rsidP="004B11B7">
            <w:pPr>
              <w:rPr>
                <w:color w:val="000000"/>
              </w:rPr>
            </w:pPr>
            <w:r w:rsidRPr="00D618B7">
              <w:rPr>
                <w:color w:val="000000"/>
              </w:rPr>
              <w:t> </w:t>
            </w:r>
          </w:p>
        </w:tc>
        <w:tc>
          <w:tcPr>
            <w:tcW w:w="687" w:type="pct"/>
            <w:tcBorders>
              <w:top w:val="nil"/>
              <w:left w:val="nil"/>
              <w:bottom w:val="single" w:sz="8" w:space="0" w:color="auto"/>
              <w:right w:val="nil"/>
            </w:tcBorders>
            <w:shd w:val="clear" w:color="auto" w:fill="auto"/>
            <w:noWrap/>
            <w:vAlign w:val="bottom"/>
            <w:hideMark/>
          </w:tcPr>
          <w:p w14:paraId="5AC64970" w14:textId="77777777" w:rsidR="00766C27" w:rsidRPr="00D618B7" w:rsidRDefault="00766C27" w:rsidP="004B11B7">
            <w:pPr>
              <w:rPr>
                <w:color w:val="000000"/>
              </w:rPr>
            </w:pPr>
            <w:r w:rsidRPr="00D618B7">
              <w:rPr>
                <w:color w:val="000000"/>
              </w:rPr>
              <w:t> </w:t>
            </w:r>
          </w:p>
        </w:tc>
      </w:tr>
      <w:tr w:rsidR="00766C27" w:rsidRPr="00D618B7" w14:paraId="04197730" w14:textId="77777777" w:rsidTr="004B11B7">
        <w:trPr>
          <w:trHeight w:val="278"/>
        </w:trPr>
        <w:tc>
          <w:tcPr>
            <w:tcW w:w="944" w:type="pct"/>
            <w:tcBorders>
              <w:top w:val="nil"/>
              <w:left w:val="nil"/>
              <w:bottom w:val="nil"/>
              <w:right w:val="nil"/>
            </w:tcBorders>
            <w:shd w:val="clear" w:color="000000" w:fill="FFFFFF"/>
            <w:vAlign w:val="center"/>
            <w:hideMark/>
          </w:tcPr>
          <w:p w14:paraId="7ED8116E" w14:textId="77777777" w:rsidR="00766C27" w:rsidRPr="00D618B7" w:rsidRDefault="00766C27" w:rsidP="004B11B7">
            <w:pPr>
              <w:rPr>
                <w:color w:val="000000"/>
              </w:rPr>
            </w:pPr>
            <w:r w:rsidRPr="00D618B7">
              <w:rPr>
                <w:color w:val="000000"/>
              </w:rPr>
              <w:t>Week</w:t>
            </w:r>
          </w:p>
        </w:tc>
        <w:tc>
          <w:tcPr>
            <w:tcW w:w="1535" w:type="pct"/>
            <w:gridSpan w:val="2"/>
            <w:tcBorders>
              <w:top w:val="nil"/>
              <w:left w:val="nil"/>
              <w:bottom w:val="single" w:sz="8" w:space="0" w:color="auto"/>
              <w:right w:val="nil"/>
            </w:tcBorders>
            <w:shd w:val="clear" w:color="000000" w:fill="FFFFFF"/>
            <w:vAlign w:val="center"/>
            <w:hideMark/>
          </w:tcPr>
          <w:p w14:paraId="4221B082" w14:textId="77777777" w:rsidR="00766C27" w:rsidRPr="00D618B7" w:rsidRDefault="00766C27" w:rsidP="004B11B7">
            <w:pPr>
              <w:jc w:val="center"/>
              <w:rPr>
                <w:color w:val="000000"/>
              </w:rPr>
            </w:pPr>
            <w:r w:rsidRPr="00D618B7">
              <w:rPr>
                <w:color w:val="000000"/>
              </w:rPr>
              <w:t>Face</w:t>
            </w:r>
          </w:p>
        </w:tc>
        <w:tc>
          <w:tcPr>
            <w:tcW w:w="1255" w:type="pct"/>
            <w:gridSpan w:val="2"/>
            <w:tcBorders>
              <w:top w:val="nil"/>
              <w:left w:val="nil"/>
              <w:bottom w:val="single" w:sz="8" w:space="0" w:color="auto"/>
              <w:right w:val="nil"/>
            </w:tcBorders>
            <w:shd w:val="clear" w:color="000000" w:fill="FFFFFF"/>
            <w:vAlign w:val="center"/>
            <w:hideMark/>
          </w:tcPr>
          <w:p w14:paraId="217D3555" w14:textId="77777777" w:rsidR="00766C27" w:rsidRPr="00D618B7" w:rsidRDefault="00766C27" w:rsidP="004B11B7">
            <w:pPr>
              <w:jc w:val="center"/>
              <w:rPr>
                <w:color w:val="000000"/>
              </w:rPr>
            </w:pPr>
            <w:r w:rsidRPr="00D618B7">
              <w:rPr>
                <w:color w:val="000000"/>
              </w:rPr>
              <w:t>Hand</w:t>
            </w:r>
          </w:p>
        </w:tc>
        <w:tc>
          <w:tcPr>
            <w:tcW w:w="1266" w:type="pct"/>
            <w:gridSpan w:val="2"/>
            <w:tcBorders>
              <w:top w:val="nil"/>
              <w:left w:val="nil"/>
              <w:bottom w:val="single" w:sz="8" w:space="0" w:color="auto"/>
              <w:right w:val="nil"/>
            </w:tcBorders>
            <w:shd w:val="clear" w:color="000000" w:fill="FFFFFF"/>
            <w:vAlign w:val="center"/>
            <w:hideMark/>
          </w:tcPr>
          <w:p w14:paraId="5B73CA01" w14:textId="77777777" w:rsidR="00766C27" w:rsidRPr="00D618B7" w:rsidRDefault="00766C27" w:rsidP="004B11B7">
            <w:pPr>
              <w:jc w:val="center"/>
              <w:rPr>
                <w:color w:val="000000"/>
              </w:rPr>
            </w:pPr>
            <w:r w:rsidRPr="00D618B7">
              <w:rPr>
                <w:color w:val="000000"/>
              </w:rPr>
              <w:t>Mouth</w:t>
            </w:r>
          </w:p>
        </w:tc>
      </w:tr>
      <w:tr w:rsidR="00766C27" w:rsidRPr="00D618B7" w14:paraId="028F9E65" w14:textId="77777777" w:rsidTr="004B11B7">
        <w:trPr>
          <w:trHeight w:val="278"/>
        </w:trPr>
        <w:tc>
          <w:tcPr>
            <w:tcW w:w="944" w:type="pct"/>
            <w:tcBorders>
              <w:top w:val="nil"/>
              <w:left w:val="nil"/>
              <w:bottom w:val="single" w:sz="8" w:space="0" w:color="auto"/>
              <w:right w:val="nil"/>
            </w:tcBorders>
            <w:shd w:val="clear" w:color="000000" w:fill="FFFFFF"/>
            <w:noWrap/>
            <w:vAlign w:val="bottom"/>
            <w:hideMark/>
          </w:tcPr>
          <w:p w14:paraId="5FFE1259" w14:textId="77777777" w:rsidR="00766C27" w:rsidRPr="00D618B7" w:rsidRDefault="00766C27" w:rsidP="004B11B7">
            <w:pPr>
              <w:rPr>
                <w:color w:val="000000"/>
              </w:rPr>
            </w:pPr>
            <w:r w:rsidRPr="00D618B7">
              <w:rPr>
                <w:color w:val="000000"/>
              </w:rPr>
              <w:t> </w:t>
            </w:r>
          </w:p>
        </w:tc>
        <w:tc>
          <w:tcPr>
            <w:tcW w:w="633" w:type="pct"/>
            <w:tcBorders>
              <w:top w:val="nil"/>
              <w:left w:val="nil"/>
              <w:bottom w:val="single" w:sz="8" w:space="0" w:color="auto"/>
              <w:right w:val="nil"/>
            </w:tcBorders>
            <w:shd w:val="clear" w:color="000000" w:fill="FFFFFF"/>
            <w:noWrap/>
            <w:vAlign w:val="center"/>
            <w:hideMark/>
          </w:tcPr>
          <w:p w14:paraId="3112DD17" w14:textId="77777777" w:rsidR="00766C27" w:rsidRPr="00D618B7" w:rsidRDefault="00766C27" w:rsidP="004B11B7">
            <w:pPr>
              <w:jc w:val="right"/>
              <w:rPr>
                <w:color w:val="000000"/>
              </w:rPr>
            </w:pPr>
            <w:r w:rsidRPr="00D618B7">
              <w:rPr>
                <w:color w:val="000000"/>
              </w:rPr>
              <w:t>Mean</w:t>
            </w:r>
          </w:p>
        </w:tc>
        <w:tc>
          <w:tcPr>
            <w:tcW w:w="902" w:type="pct"/>
            <w:tcBorders>
              <w:top w:val="nil"/>
              <w:left w:val="nil"/>
              <w:bottom w:val="single" w:sz="8" w:space="0" w:color="auto"/>
              <w:right w:val="nil"/>
            </w:tcBorders>
            <w:shd w:val="clear" w:color="000000" w:fill="FFFFFF"/>
            <w:noWrap/>
            <w:vAlign w:val="center"/>
            <w:hideMark/>
          </w:tcPr>
          <w:p w14:paraId="3BB87F64" w14:textId="77777777" w:rsidR="00766C27" w:rsidRPr="00D618B7" w:rsidRDefault="00766C27" w:rsidP="004B11B7">
            <w:pPr>
              <w:jc w:val="right"/>
              <w:rPr>
                <w:color w:val="000000"/>
              </w:rPr>
            </w:pPr>
            <w:r w:rsidRPr="00D618B7">
              <w:rPr>
                <w:color w:val="000000"/>
              </w:rPr>
              <w:t>Std. Error</w:t>
            </w:r>
          </w:p>
        </w:tc>
        <w:tc>
          <w:tcPr>
            <w:tcW w:w="568" w:type="pct"/>
            <w:tcBorders>
              <w:top w:val="nil"/>
              <w:left w:val="nil"/>
              <w:bottom w:val="single" w:sz="8" w:space="0" w:color="auto"/>
              <w:right w:val="nil"/>
            </w:tcBorders>
            <w:shd w:val="clear" w:color="000000" w:fill="FFFFFF"/>
            <w:noWrap/>
            <w:vAlign w:val="center"/>
            <w:hideMark/>
          </w:tcPr>
          <w:p w14:paraId="2FFBF679" w14:textId="77777777" w:rsidR="00766C27" w:rsidRPr="00D618B7" w:rsidRDefault="00766C27" w:rsidP="004B11B7">
            <w:pPr>
              <w:jc w:val="right"/>
              <w:rPr>
                <w:color w:val="000000"/>
              </w:rPr>
            </w:pPr>
            <w:r w:rsidRPr="00D618B7">
              <w:rPr>
                <w:color w:val="000000"/>
              </w:rPr>
              <w:t>Mean</w:t>
            </w:r>
          </w:p>
        </w:tc>
        <w:tc>
          <w:tcPr>
            <w:tcW w:w="687" w:type="pct"/>
            <w:tcBorders>
              <w:top w:val="nil"/>
              <w:left w:val="nil"/>
              <w:bottom w:val="single" w:sz="8" w:space="0" w:color="auto"/>
              <w:right w:val="nil"/>
            </w:tcBorders>
            <w:shd w:val="clear" w:color="000000" w:fill="FFFFFF"/>
            <w:noWrap/>
            <w:vAlign w:val="center"/>
            <w:hideMark/>
          </w:tcPr>
          <w:p w14:paraId="702B3CF2" w14:textId="77777777" w:rsidR="00766C27" w:rsidRPr="00D618B7" w:rsidRDefault="00766C27" w:rsidP="004B11B7">
            <w:pPr>
              <w:jc w:val="right"/>
              <w:rPr>
                <w:color w:val="000000"/>
              </w:rPr>
            </w:pPr>
            <w:r w:rsidRPr="00D618B7">
              <w:rPr>
                <w:color w:val="000000"/>
              </w:rPr>
              <w:t>Std. Error</w:t>
            </w:r>
          </w:p>
        </w:tc>
        <w:tc>
          <w:tcPr>
            <w:tcW w:w="579" w:type="pct"/>
            <w:tcBorders>
              <w:top w:val="nil"/>
              <w:left w:val="nil"/>
              <w:bottom w:val="single" w:sz="8" w:space="0" w:color="auto"/>
              <w:right w:val="nil"/>
            </w:tcBorders>
            <w:shd w:val="clear" w:color="000000" w:fill="FFFFFF"/>
            <w:noWrap/>
            <w:vAlign w:val="center"/>
            <w:hideMark/>
          </w:tcPr>
          <w:p w14:paraId="45CE0A92" w14:textId="77777777" w:rsidR="00766C27" w:rsidRPr="00D618B7" w:rsidRDefault="00766C27" w:rsidP="004B11B7">
            <w:pPr>
              <w:jc w:val="right"/>
              <w:rPr>
                <w:color w:val="000000"/>
              </w:rPr>
            </w:pPr>
            <w:r w:rsidRPr="00D618B7">
              <w:rPr>
                <w:color w:val="000000"/>
              </w:rPr>
              <w:t>Mean</w:t>
            </w:r>
          </w:p>
        </w:tc>
        <w:tc>
          <w:tcPr>
            <w:tcW w:w="687" w:type="pct"/>
            <w:tcBorders>
              <w:top w:val="nil"/>
              <w:left w:val="nil"/>
              <w:bottom w:val="single" w:sz="8" w:space="0" w:color="auto"/>
              <w:right w:val="nil"/>
            </w:tcBorders>
            <w:shd w:val="clear" w:color="000000" w:fill="FFFFFF"/>
            <w:noWrap/>
            <w:vAlign w:val="center"/>
            <w:hideMark/>
          </w:tcPr>
          <w:p w14:paraId="0C786A38" w14:textId="77777777" w:rsidR="00766C27" w:rsidRPr="00D618B7" w:rsidRDefault="00766C27" w:rsidP="004B11B7">
            <w:pPr>
              <w:jc w:val="right"/>
              <w:rPr>
                <w:color w:val="000000"/>
              </w:rPr>
            </w:pPr>
            <w:r w:rsidRPr="00D618B7">
              <w:rPr>
                <w:color w:val="000000"/>
              </w:rPr>
              <w:t>Std. Error</w:t>
            </w:r>
          </w:p>
        </w:tc>
      </w:tr>
      <w:tr w:rsidR="00766C27" w:rsidRPr="00D618B7" w14:paraId="3C1F3EDE" w14:textId="77777777" w:rsidTr="004B11B7">
        <w:trPr>
          <w:trHeight w:val="278"/>
        </w:trPr>
        <w:tc>
          <w:tcPr>
            <w:tcW w:w="944" w:type="pct"/>
            <w:tcBorders>
              <w:top w:val="nil"/>
              <w:left w:val="nil"/>
              <w:bottom w:val="nil"/>
              <w:right w:val="nil"/>
            </w:tcBorders>
            <w:shd w:val="clear" w:color="000000" w:fill="FFFFFF"/>
            <w:vAlign w:val="center"/>
            <w:hideMark/>
          </w:tcPr>
          <w:p w14:paraId="5ABC3712" w14:textId="77777777" w:rsidR="00766C27" w:rsidRPr="00D618B7" w:rsidRDefault="00766C27" w:rsidP="004B11B7">
            <w:pPr>
              <w:jc w:val="right"/>
              <w:rPr>
                <w:color w:val="000000"/>
              </w:rPr>
            </w:pPr>
            <w:r w:rsidRPr="00D618B7">
              <w:rPr>
                <w:color w:val="000000"/>
              </w:rPr>
              <w:t>-5</w:t>
            </w:r>
          </w:p>
        </w:tc>
        <w:tc>
          <w:tcPr>
            <w:tcW w:w="633" w:type="pct"/>
            <w:tcBorders>
              <w:top w:val="nil"/>
              <w:left w:val="nil"/>
              <w:bottom w:val="nil"/>
              <w:right w:val="nil"/>
            </w:tcBorders>
            <w:shd w:val="clear" w:color="000000" w:fill="FFFFFF"/>
            <w:noWrap/>
            <w:vAlign w:val="center"/>
            <w:hideMark/>
          </w:tcPr>
          <w:p w14:paraId="01999818" w14:textId="77777777" w:rsidR="00766C27" w:rsidRPr="00D618B7" w:rsidRDefault="00766C27" w:rsidP="004B11B7">
            <w:pPr>
              <w:jc w:val="right"/>
              <w:rPr>
                <w:color w:val="000000"/>
              </w:rPr>
            </w:pPr>
            <w:r w:rsidRPr="00D618B7">
              <w:rPr>
                <w:color w:val="000000"/>
              </w:rPr>
              <w:t>1.05</w:t>
            </w:r>
          </w:p>
        </w:tc>
        <w:tc>
          <w:tcPr>
            <w:tcW w:w="902" w:type="pct"/>
            <w:tcBorders>
              <w:top w:val="nil"/>
              <w:left w:val="nil"/>
              <w:bottom w:val="nil"/>
              <w:right w:val="nil"/>
            </w:tcBorders>
            <w:shd w:val="clear" w:color="000000" w:fill="FFFFFF"/>
            <w:noWrap/>
            <w:vAlign w:val="center"/>
            <w:hideMark/>
          </w:tcPr>
          <w:p w14:paraId="7C6C8012" w14:textId="77777777" w:rsidR="00766C27" w:rsidRPr="00D618B7" w:rsidRDefault="00766C27" w:rsidP="004B11B7">
            <w:pPr>
              <w:jc w:val="right"/>
              <w:rPr>
                <w:color w:val="000000"/>
              </w:rPr>
            </w:pPr>
            <w:r w:rsidRPr="00D618B7">
              <w:rPr>
                <w:color w:val="000000"/>
              </w:rPr>
              <w:t>0.78</w:t>
            </w:r>
          </w:p>
        </w:tc>
        <w:tc>
          <w:tcPr>
            <w:tcW w:w="568" w:type="pct"/>
            <w:tcBorders>
              <w:top w:val="nil"/>
              <w:left w:val="nil"/>
              <w:bottom w:val="nil"/>
              <w:right w:val="nil"/>
            </w:tcBorders>
            <w:shd w:val="clear" w:color="000000" w:fill="FFFFFF"/>
            <w:noWrap/>
            <w:vAlign w:val="center"/>
            <w:hideMark/>
          </w:tcPr>
          <w:p w14:paraId="697A2AF3" w14:textId="77777777" w:rsidR="00766C27" w:rsidRPr="00D618B7" w:rsidRDefault="00766C27" w:rsidP="004B11B7">
            <w:pPr>
              <w:jc w:val="right"/>
              <w:rPr>
                <w:color w:val="000000"/>
              </w:rPr>
            </w:pPr>
            <w:r w:rsidRPr="00D618B7">
              <w:rPr>
                <w:color w:val="000000"/>
              </w:rPr>
              <w:t>-0.14</w:t>
            </w:r>
          </w:p>
        </w:tc>
        <w:tc>
          <w:tcPr>
            <w:tcW w:w="687" w:type="pct"/>
            <w:tcBorders>
              <w:top w:val="nil"/>
              <w:left w:val="nil"/>
              <w:bottom w:val="nil"/>
              <w:right w:val="nil"/>
            </w:tcBorders>
            <w:shd w:val="clear" w:color="000000" w:fill="FFFFFF"/>
            <w:noWrap/>
            <w:vAlign w:val="center"/>
            <w:hideMark/>
          </w:tcPr>
          <w:p w14:paraId="0ECE8DC3" w14:textId="77777777" w:rsidR="00766C27" w:rsidRPr="00D618B7" w:rsidRDefault="00766C27" w:rsidP="004B11B7">
            <w:pPr>
              <w:jc w:val="right"/>
              <w:rPr>
                <w:color w:val="000000"/>
              </w:rPr>
            </w:pPr>
            <w:r w:rsidRPr="00D618B7">
              <w:rPr>
                <w:color w:val="000000"/>
              </w:rPr>
              <w:t>0.76</w:t>
            </w:r>
          </w:p>
        </w:tc>
        <w:tc>
          <w:tcPr>
            <w:tcW w:w="579" w:type="pct"/>
            <w:tcBorders>
              <w:top w:val="nil"/>
              <w:left w:val="nil"/>
              <w:bottom w:val="nil"/>
              <w:right w:val="nil"/>
            </w:tcBorders>
            <w:shd w:val="clear" w:color="000000" w:fill="FFFFFF"/>
            <w:noWrap/>
            <w:vAlign w:val="center"/>
            <w:hideMark/>
          </w:tcPr>
          <w:p w14:paraId="25213162" w14:textId="77777777" w:rsidR="00766C27" w:rsidRPr="00D618B7" w:rsidRDefault="00766C27" w:rsidP="004B11B7">
            <w:pPr>
              <w:jc w:val="right"/>
              <w:rPr>
                <w:color w:val="000000"/>
              </w:rPr>
            </w:pPr>
            <w:r w:rsidRPr="00D618B7">
              <w:rPr>
                <w:color w:val="000000"/>
              </w:rPr>
              <w:t>0.55</w:t>
            </w:r>
          </w:p>
        </w:tc>
        <w:tc>
          <w:tcPr>
            <w:tcW w:w="687" w:type="pct"/>
            <w:tcBorders>
              <w:top w:val="nil"/>
              <w:left w:val="nil"/>
              <w:bottom w:val="nil"/>
              <w:right w:val="nil"/>
            </w:tcBorders>
            <w:shd w:val="clear" w:color="000000" w:fill="FFFFFF"/>
            <w:noWrap/>
            <w:vAlign w:val="center"/>
            <w:hideMark/>
          </w:tcPr>
          <w:p w14:paraId="05703148" w14:textId="77777777" w:rsidR="00766C27" w:rsidRPr="00D618B7" w:rsidRDefault="00766C27" w:rsidP="004B11B7">
            <w:pPr>
              <w:jc w:val="right"/>
              <w:rPr>
                <w:color w:val="000000"/>
              </w:rPr>
            </w:pPr>
            <w:r w:rsidRPr="00D618B7">
              <w:rPr>
                <w:color w:val="000000"/>
              </w:rPr>
              <w:t>0.76</w:t>
            </w:r>
          </w:p>
        </w:tc>
      </w:tr>
      <w:tr w:rsidR="00766C27" w:rsidRPr="00D618B7" w14:paraId="440A760C" w14:textId="77777777" w:rsidTr="004B11B7">
        <w:trPr>
          <w:trHeight w:val="278"/>
        </w:trPr>
        <w:tc>
          <w:tcPr>
            <w:tcW w:w="944" w:type="pct"/>
            <w:tcBorders>
              <w:top w:val="nil"/>
              <w:left w:val="nil"/>
              <w:bottom w:val="nil"/>
              <w:right w:val="nil"/>
            </w:tcBorders>
            <w:shd w:val="clear" w:color="000000" w:fill="FFFFFF"/>
            <w:vAlign w:val="center"/>
            <w:hideMark/>
          </w:tcPr>
          <w:p w14:paraId="15BBAED5" w14:textId="77777777" w:rsidR="00766C27" w:rsidRPr="00D618B7" w:rsidRDefault="00766C27" w:rsidP="004B11B7">
            <w:pPr>
              <w:jc w:val="right"/>
              <w:rPr>
                <w:color w:val="000000"/>
              </w:rPr>
            </w:pPr>
            <w:r w:rsidRPr="00D618B7">
              <w:rPr>
                <w:color w:val="000000"/>
              </w:rPr>
              <w:t>-4</w:t>
            </w:r>
          </w:p>
        </w:tc>
        <w:tc>
          <w:tcPr>
            <w:tcW w:w="633" w:type="pct"/>
            <w:tcBorders>
              <w:top w:val="nil"/>
              <w:left w:val="nil"/>
              <w:bottom w:val="nil"/>
              <w:right w:val="nil"/>
            </w:tcBorders>
            <w:shd w:val="clear" w:color="000000" w:fill="FFFFFF"/>
            <w:noWrap/>
            <w:vAlign w:val="center"/>
            <w:hideMark/>
          </w:tcPr>
          <w:p w14:paraId="5C2ECF3C" w14:textId="77777777" w:rsidR="00766C27" w:rsidRPr="00D618B7" w:rsidRDefault="00766C27" w:rsidP="004B11B7">
            <w:pPr>
              <w:jc w:val="right"/>
              <w:rPr>
                <w:color w:val="000000"/>
              </w:rPr>
            </w:pPr>
            <w:r w:rsidRPr="00D618B7">
              <w:rPr>
                <w:color w:val="000000"/>
              </w:rPr>
              <w:t>-0.06</w:t>
            </w:r>
          </w:p>
        </w:tc>
        <w:tc>
          <w:tcPr>
            <w:tcW w:w="902" w:type="pct"/>
            <w:tcBorders>
              <w:top w:val="nil"/>
              <w:left w:val="nil"/>
              <w:bottom w:val="nil"/>
              <w:right w:val="nil"/>
            </w:tcBorders>
            <w:shd w:val="clear" w:color="000000" w:fill="FFFFFF"/>
            <w:noWrap/>
            <w:vAlign w:val="center"/>
            <w:hideMark/>
          </w:tcPr>
          <w:p w14:paraId="0AD110EF" w14:textId="77777777" w:rsidR="00766C27" w:rsidRPr="00D618B7" w:rsidRDefault="00766C27" w:rsidP="004B11B7">
            <w:pPr>
              <w:jc w:val="right"/>
              <w:rPr>
                <w:color w:val="000000"/>
              </w:rPr>
            </w:pPr>
            <w:r w:rsidRPr="00D618B7">
              <w:rPr>
                <w:color w:val="000000"/>
              </w:rPr>
              <w:t>0.79</w:t>
            </w:r>
          </w:p>
        </w:tc>
        <w:tc>
          <w:tcPr>
            <w:tcW w:w="568" w:type="pct"/>
            <w:tcBorders>
              <w:top w:val="nil"/>
              <w:left w:val="nil"/>
              <w:bottom w:val="nil"/>
              <w:right w:val="nil"/>
            </w:tcBorders>
            <w:shd w:val="clear" w:color="000000" w:fill="FFFFFF"/>
            <w:noWrap/>
            <w:vAlign w:val="center"/>
            <w:hideMark/>
          </w:tcPr>
          <w:p w14:paraId="11835607" w14:textId="77777777" w:rsidR="00766C27" w:rsidRPr="00D618B7" w:rsidRDefault="00766C27" w:rsidP="004B11B7">
            <w:pPr>
              <w:jc w:val="right"/>
              <w:rPr>
                <w:color w:val="000000"/>
              </w:rPr>
            </w:pPr>
            <w:r w:rsidRPr="00D618B7">
              <w:rPr>
                <w:color w:val="000000"/>
              </w:rPr>
              <w:t>0.08</w:t>
            </w:r>
          </w:p>
        </w:tc>
        <w:tc>
          <w:tcPr>
            <w:tcW w:w="687" w:type="pct"/>
            <w:tcBorders>
              <w:top w:val="nil"/>
              <w:left w:val="nil"/>
              <w:bottom w:val="nil"/>
              <w:right w:val="nil"/>
            </w:tcBorders>
            <w:shd w:val="clear" w:color="000000" w:fill="FFFFFF"/>
            <w:noWrap/>
            <w:vAlign w:val="center"/>
            <w:hideMark/>
          </w:tcPr>
          <w:p w14:paraId="7687FCAB" w14:textId="77777777" w:rsidR="00766C27" w:rsidRPr="00D618B7" w:rsidRDefault="00766C27" w:rsidP="004B11B7">
            <w:pPr>
              <w:jc w:val="right"/>
              <w:rPr>
                <w:color w:val="000000"/>
              </w:rPr>
            </w:pPr>
            <w:r w:rsidRPr="00D618B7">
              <w:rPr>
                <w:color w:val="000000"/>
              </w:rPr>
              <w:t>0.79</w:t>
            </w:r>
          </w:p>
        </w:tc>
        <w:tc>
          <w:tcPr>
            <w:tcW w:w="579" w:type="pct"/>
            <w:tcBorders>
              <w:top w:val="nil"/>
              <w:left w:val="nil"/>
              <w:bottom w:val="nil"/>
              <w:right w:val="nil"/>
            </w:tcBorders>
            <w:shd w:val="clear" w:color="000000" w:fill="FFFFFF"/>
            <w:noWrap/>
            <w:vAlign w:val="center"/>
            <w:hideMark/>
          </w:tcPr>
          <w:p w14:paraId="59F519D1" w14:textId="77777777" w:rsidR="00766C27" w:rsidRPr="00D618B7" w:rsidRDefault="00766C27" w:rsidP="004B11B7">
            <w:pPr>
              <w:jc w:val="right"/>
              <w:rPr>
                <w:color w:val="000000"/>
              </w:rPr>
            </w:pPr>
            <w:r w:rsidRPr="00D618B7">
              <w:rPr>
                <w:color w:val="000000"/>
              </w:rPr>
              <w:t>1.42</w:t>
            </w:r>
          </w:p>
        </w:tc>
        <w:tc>
          <w:tcPr>
            <w:tcW w:w="687" w:type="pct"/>
            <w:tcBorders>
              <w:top w:val="nil"/>
              <w:left w:val="nil"/>
              <w:bottom w:val="nil"/>
              <w:right w:val="nil"/>
            </w:tcBorders>
            <w:shd w:val="clear" w:color="000000" w:fill="FFFFFF"/>
            <w:noWrap/>
            <w:vAlign w:val="center"/>
            <w:hideMark/>
          </w:tcPr>
          <w:p w14:paraId="2AEC3DC5" w14:textId="77777777" w:rsidR="00766C27" w:rsidRPr="00D618B7" w:rsidRDefault="00766C27" w:rsidP="004B11B7">
            <w:pPr>
              <w:jc w:val="right"/>
              <w:rPr>
                <w:color w:val="000000"/>
              </w:rPr>
            </w:pPr>
            <w:r w:rsidRPr="00D618B7">
              <w:rPr>
                <w:color w:val="000000"/>
              </w:rPr>
              <w:t>0.79</w:t>
            </w:r>
          </w:p>
        </w:tc>
      </w:tr>
      <w:tr w:rsidR="00766C27" w:rsidRPr="00D618B7" w14:paraId="4F02615D" w14:textId="77777777" w:rsidTr="004B11B7">
        <w:trPr>
          <w:trHeight w:val="278"/>
        </w:trPr>
        <w:tc>
          <w:tcPr>
            <w:tcW w:w="944" w:type="pct"/>
            <w:tcBorders>
              <w:top w:val="nil"/>
              <w:left w:val="nil"/>
              <w:bottom w:val="nil"/>
              <w:right w:val="nil"/>
            </w:tcBorders>
            <w:shd w:val="clear" w:color="000000" w:fill="FFFFFF"/>
            <w:vAlign w:val="center"/>
            <w:hideMark/>
          </w:tcPr>
          <w:p w14:paraId="605F8F23" w14:textId="77777777" w:rsidR="00766C27" w:rsidRPr="00D618B7" w:rsidRDefault="00766C27" w:rsidP="004B11B7">
            <w:pPr>
              <w:jc w:val="right"/>
              <w:rPr>
                <w:color w:val="000000"/>
              </w:rPr>
            </w:pPr>
            <w:r w:rsidRPr="00D618B7">
              <w:rPr>
                <w:color w:val="000000"/>
              </w:rPr>
              <w:t>-3</w:t>
            </w:r>
          </w:p>
        </w:tc>
        <w:tc>
          <w:tcPr>
            <w:tcW w:w="633" w:type="pct"/>
            <w:tcBorders>
              <w:top w:val="nil"/>
              <w:left w:val="nil"/>
              <w:bottom w:val="nil"/>
              <w:right w:val="nil"/>
            </w:tcBorders>
            <w:shd w:val="clear" w:color="000000" w:fill="FFFFFF"/>
            <w:noWrap/>
            <w:vAlign w:val="center"/>
            <w:hideMark/>
          </w:tcPr>
          <w:p w14:paraId="4D031751" w14:textId="77777777" w:rsidR="00766C27" w:rsidRPr="00D618B7" w:rsidRDefault="00766C27" w:rsidP="004B11B7">
            <w:pPr>
              <w:jc w:val="right"/>
              <w:rPr>
                <w:color w:val="000000"/>
              </w:rPr>
            </w:pPr>
            <w:r w:rsidRPr="00D618B7">
              <w:rPr>
                <w:color w:val="000000"/>
              </w:rPr>
              <w:t>0.44</w:t>
            </w:r>
          </w:p>
        </w:tc>
        <w:tc>
          <w:tcPr>
            <w:tcW w:w="902" w:type="pct"/>
            <w:tcBorders>
              <w:top w:val="nil"/>
              <w:left w:val="nil"/>
              <w:bottom w:val="nil"/>
              <w:right w:val="nil"/>
            </w:tcBorders>
            <w:shd w:val="clear" w:color="000000" w:fill="FFFFFF"/>
            <w:noWrap/>
            <w:vAlign w:val="center"/>
            <w:hideMark/>
          </w:tcPr>
          <w:p w14:paraId="0AA263F5" w14:textId="77777777" w:rsidR="00766C27" w:rsidRPr="00D618B7" w:rsidRDefault="00766C27" w:rsidP="004B11B7">
            <w:pPr>
              <w:jc w:val="right"/>
              <w:rPr>
                <w:color w:val="000000"/>
              </w:rPr>
            </w:pPr>
            <w:r w:rsidRPr="00D618B7">
              <w:rPr>
                <w:color w:val="000000"/>
              </w:rPr>
              <w:t>0.81</w:t>
            </w:r>
          </w:p>
        </w:tc>
        <w:tc>
          <w:tcPr>
            <w:tcW w:w="568" w:type="pct"/>
            <w:tcBorders>
              <w:top w:val="nil"/>
              <w:left w:val="nil"/>
              <w:bottom w:val="nil"/>
              <w:right w:val="nil"/>
            </w:tcBorders>
            <w:shd w:val="clear" w:color="000000" w:fill="FFFFFF"/>
            <w:noWrap/>
            <w:vAlign w:val="center"/>
            <w:hideMark/>
          </w:tcPr>
          <w:p w14:paraId="12E16634" w14:textId="77777777" w:rsidR="00766C27" w:rsidRPr="00D618B7" w:rsidRDefault="00766C27" w:rsidP="004B11B7">
            <w:pPr>
              <w:jc w:val="right"/>
              <w:rPr>
                <w:color w:val="000000"/>
              </w:rPr>
            </w:pPr>
            <w:r w:rsidRPr="00D618B7">
              <w:rPr>
                <w:color w:val="000000"/>
              </w:rPr>
              <w:t>0.20</w:t>
            </w:r>
          </w:p>
        </w:tc>
        <w:tc>
          <w:tcPr>
            <w:tcW w:w="687" w:type="pct"/>
            <w:tcBorders>
              <w:top w:val="nil"/>
              <w:left w:val="nil"/>
              <w:bottom w:val="nil"/>
              <w:right w:val="nil"/>
            </w:tcBorders>
            <w:shd w:val="clear" w:color="000000" w:fill="FFFFFF"/>
            <w:noWrap/>
            <w:vAlign w:val="center"/>
            <w:hideMark/>
          </w:tcPr>
          <w:p w14:paraId="6C1A9535" w14:textId="77777777" w:rsidR="00766C27" w:rsidRPr="00D618B7" w:rsidRDefault="00766C27" w:rsidP="004B11B7">
            <w:pPr>
              <w:jc w:val="right"/>
              <w:rPr>
                <w:color w:val="000000"/>
              </w:rPr>
            </w:pPr>
            <w:r w:rsidRPr="00D618B7">
              <w:rPr>
                <w:color w:val="000000"/>
              </w:rPr>
              <w:t>0.80</w:t>
            </w:r>
          </w:p>
        </w:tc>
        <w:tc>
          <w:tcPr>
            <w:tcW w:w="579" w:type="pct"/>
            <w:tcBorders>
              <w:top w:val="nil"/>
              <w:left w:val="nil"/>
              <w:bottom w:val="nil"/>
              <w:right w:val="nil"/>
            </w:tcBorders>
            <w:shd w:val="clear" w:color="000000" w:fill="FFFFFF"/>
            <w:noWrap/>
            <w:vAlign w:val="center"/>
            <w:hideMark/>
          </w:tcPr>
          <w:p w14:paraId="52DAF48F" w14:textId="77777777" w:rsidR="00766C27" w:rsidRPr="00D618B7" w:rsidRDefault="00766C27" w:rsidP="004B11B7">
            <w:pPr>
              <w:jc w:val="right"/>
              <w:rPr>
                <w:color w:val="000000"/>
              </w:rPr>
            </w:pPr>
            <w:r w:rsidRPr="00D618B7">
              <w:rPr>
                <w:color w:val="000000"/>
              </w:rPr>
              <w:t>4.99</w:t>
            </w:r>
          </w:p>
        </w:tc>
        <w:tc>
          <w:tcPr>
            <w:tcW w:w="687" w:type="pct"/>
            <w:tcBorders>
              <w:top w:val="nil"/>
              <w:left w:val="nil"/>
              <w:bottom w:val="nil"/>
              <w:right w:val="nil"/>
            </w:tcBorders>
            <w:shd w:val="clear" w:color="000000" w:fill="FFFFFF"/>
            <w:noWrap/>
            <w:vAlign w:val="center"/>
            <w:hideMark/>
          </w:tcPr>
          <w:p w14:paraId="34E4F7C7" w14:textId="77777777" w:rsidR="00766C27" w:rsidRPr="00D618B7" w:rsidRDefault="00766C27" w:rsidP="004B11B7">
            <w:pPr>
              <w:jc w:val="right"/>
              <w:rPr>
                <w:color w:val="000000"/>
              </w:rPr>
            </w:pPr>
            <w:r w:rsidRPr="00D618B7">
              <w:rPr>
                <w:color w:val="000000"/>
              </w:rPr>
              <w:t>0.80</w:t>
            </w:r>
          </w:p>
        </w:tc>
      </w:tr>
      <w:tr w:rsidR="00766C27" w:rsidRPr="00D618B7" w14:paraId="4A733273" w14:textId="77777777" w:rsidTr="004B11B7">
        <w:trPr>
          <w:trHeight w:val="278"/>
        </w:trPr>
        <w:tc>
          <w:tcPr>
            <w:tcW w:w="944" w:type="pct"/>
            <w:tcBorders>
              <w:top w:val="nil"/>
              <w:left w:val="nil"/>
              <w:bottom w:val="nil"/>
              <w:right w:val="nil"/>
            </w:tcBorders>
            <w:shd w:val="clear" w:color="000000" w:fill="FFFFFF"/>
            <w:vAlign w:val="center"/>
            <w:hideMark/>
          </w:tcPr>
          <w:p w14:paraId="295DFEFC" w14:textId="77777777" w:rsidR="00766C27" w:rsidRPr="00D618B7" w:rsidRDefault="00766C27" w:rsidP="004B11B7">
            <w:pPr>
              <w:jc w:val="right"/>
              <w:rPr>
                <w:color w:val="000000"/>
              </w:rPr>
            </w:pPr>
            <w:r w:rsidRPr="00D618B7">
              <w:rPr>
                <w:color w:val="000000"/>
              </w:rPr>
              <w:t>-2</w:t>
            </w:r>
          </w:p>
        </w:tc>
        <w:tc>
          <w:tcPr>
            <w:tcW w:w="633" w:type="pct"/>
            <w:tcBorders>
              <w:top w:val="nil"/>
              <w:left w:val="nil"/>
              <w:bottom w:val="nil"/>
              <w:right w:val="nil"/>
            </w:tcBorders>
            <w:shd w:val="clear" w:color="000000" w:fill="FFFFFF"/>
            <w:noWrap/>
            <w:vAlign w:val="center"/>
            <w:hideMark/>
          </w:tcPr>
          <w:p w14:paraId="160BC6FE" w14:textId="77777777" w:rsidR="00766C27" w:rsidRPr="00D618B7" w:rsidRDefault="00766C27" w:rsidP="004B11B7">
            <w:pPr>
              <w:jc w:val="right"/>
              <w:rPr>
                <w:color w:val="000000"/>
              </w:rPr>
            </w:pPr>
            <w:r w:rsidRPr="00D618B7">
              <w:rPr>
                <w:color w:val="000000"/>
              </w:rPr>
              <w:t>0.35</w:t>
            </w:r>
          </w:p>
        </w:tc>
        <w:tc>
          <w:tcPr>
            <w:tcW w:w="902" w:type="pct"/>
            <w:tcBorders>
              <w:top w:val="nil"/>
              <w:left w:val="nil"/>
              <w:bottom w:val="nil"/>
              <w:right w:val="nil"/>
            </w:tcBorders>
            <w:shd w:val="clear" w:color="000000" w:fill="FFFFFF"/>
            <w:noWrap/>
            <w:vAlign w:val="center"/>
            <w:hideMark/>
          </w:tcPr>
          <w:p w14:paraId="5CDDAFA6" w14:textId="77777777" w:rsidR="00766C27" w:rsidRPr="00D618B7" w:rsidRDefault="00766C27" w:rsidP="004B11B7">
            <w:pPr>
              <w:jc w:val="right"/>
              <w:rPr>
                <w:color w:val="000000"/>
              </w:rPr>
            </w:pPr>
            <w:r w:rsidRPr="00D618B7">
              <w:rPr>
                <w:color w:val="000000"/>
              </w:rPr>
              <w:t>0.74</w:t>
            </w:r>
          </w:p>
        </w:tc>
        <w:tc>
          <w:tcPr>
            <w:tcW w:w="568" w:type="pct"/>
            <w:tcBorders>
              <w:top w:val="nil"/>
              <w:left w:val="nil"/>
              <w:bottom w:val="nil"/>
              <w:right w:val="nil"/>
            </w:tcBorders>
            <w:shd w:val="clear" w:color="000000" w:fill="FFFFFF"/>
            <w:noWrap/>
            <w:vAlign w:val="center"/>
            <w:hideMark/>
          </w:tcPr>
          <w:p w14:paraId="3FA8680B" w14:textId="77777777" w:rsidR="00766C27" w:rsidRPr="00D618B7" w:rsidRDefault="00766C27" w:rsidP="004B11B7">
            <w:pPr>
              <w:jc w:val="right"/>
              <w:rPr>
                <w:color w:val="000000"/>
              </w:rPr>
            </w:pPr>
            <w:r w:rsidRPr="00D618B7">
              <w:rPr>
                <w:color w:val="000000"/>
              </w:rPr>
              <w:t>0.17</w:t>
            </w:r>
          </w:p>
        </w:tc>
        <w:tc>
          <w:tcPr>
            <w:tcW w:w="687" w:type="pct"/>
            <w:tcBorders>
              <w:top w:val="nil"/>
              <w:left w:val="nil"/>
              <w:bottom w:val="nil"/>
              <w:right w:val="nil"/>
            </w:tcBorders>
            <w:shd w:val="clear" w:color="000000" w:fill="FFFFFF"/>
            <w:noWrap/>
            <w:vAlign w:val="center"/>
            <w:hideMark/>
          </w:tcPr>
          <w:p w14:paraId="3AAC47B0" w14:textId="77777777" w:rsidR="00766C27" w:rsidRPr="00D618B7" w:rsidRDefault="00766C27" w:rsidP="004B11B7">
            <w:pPr>
              <w:jc w:val="right"/>
              <w:rPr>
                <w:color w:val="000000"/>
              </w:rPr>
            </w:pPr>
            <w:r w:rsidRPr="00D618B7">
              <w:rPr>
                <w:color w:val="000000"/>
              </w:rPr>
              <w:t>0.73</w:t>
            </w:r>
          </w:p>
        </w:tc>
        <w:tc>
          <w:tcPr>
            <w:tcW w:w="579" w:type="pct"/>
            <w:tcBorders>
              <w:top w:val="nil"/>
              <w:left w:val="nil"/>
              <w:bottom w:val="nil"/>
              <w:right w:val="nil"/>
            </w:tcBorders>
            <w:shd w:val="clear" w:color="000000" w:fill="FFFFFF"/>
            <w:noWrap/>
            <w:vAlign w:val="center"/>
            <w:hideMark/>
          </w:tcPr>
          <w:p w14:paraId="7E46EEAB" w14:textId="77777777" w:rsidR="00766C27" w:rsidRPr="00D618B7" w:rsidRDefault="00766C27" w:rsidP="004B11B7">
            <w:pPr>
              <w:jc w:val="right"/>
              <w:rPr>
                <w:color w:val="000000"/>
              </w:rPr>
            </w:pPr>
            <w:r w:rsidRPr="00D618B7">
              <w:rPr>
                <w:color w:val="000000"/>
              </w:rPr>
              <w:t>3.09</w:t>
            </w:r>
          </w:p>
        </w:tc>
        <w:tc>
          <w:tcPr>
            <w:tcW w:w="687" w:type="pct"/>
            <w:tcBorders>
              <w:top w:val="nil"/>
              <w:left w:val="nil"/>
              <w:bottom w:val="nil"/>
              <w:right w:val="nil"/>
            </w:tcBorders>
            <w:shd w:val="clear" w:color="000000" w:fill="FFFFFF"/>
            <w:noWrap/>
            <w:vAlign w:val="center"/>
            <w:hideMark/>
          </w:tcPr>
          <w:p w14:paraId="023F1E1F" w14:textId="77777777" w:rsidR="00766C27" w:rsidRPr="00D618B7" w:rsidRDefault="00766C27" w:rsidP="004B11B7">
            <w:pPr>
              <w:jc w:val="right"/>
              <w:rPr>
                <w:color w:val="000000"/>
              </w:rPr>
            </w:pPr>
            <w:r w:rsidRPr="00D618B7">
              <w:rPr>
                <w:color w:val="000000"/>
              </w:rPr>
              <w:t>0.74</w:t>
            </w:r>
          </w:p>
        </w:tc>
      </w:tr>
      <w:tr w:rsidR="00766C27" w:rsidRPr="00D618B7" w14:paraId="2E88E9DD" w14:textId="77777777" w:rsidTr="004B11B7">
        <w:trPr>
          <w:trHeight w:val="278"/>
        </w:trPr>
        <w:tc>
          <w:tcPr>
            <w:tcW w:w="944" w:type="pct"/>
            <w:tcBorders>
              <w:top w:val="nil"/>
              <w:left w:val="nil"/>
              <w:bottom w:val="nil"/>
              <w:right w:val="nil"/>
            </w:tcBorders>
            <w:shd w:val="clear" w:color="000000" w:fill="FFFFFF"/>
            <w:vAlign w:val="center"/>
            <w:hideMark/>
          </w:tcPr>
          <w:p w14:paraId="40633F8B" w14:textId="77777777" w:rsidR="00766C27" w:rsidRPr="00D618B7" w:rsidRDefault="00766C27" w:rsidP="004B11B7">
            <w:pPr>
              <w:jc w:val="right"/>
              <w:rPr>
                <w:color w:val="000000"/>
              </w:rPr>
            </w:pPr>
            <w:r w:rsidRPr="00D618B7">
              <w:rPr>
                <w:color w:val="000000"/>
              </w:rPr>
              <w:t>-1</w:t>
            </w:r>
          </w:p>
        </w:tc>
        <w:tc>
          <w:tcPr>
            <w:tcW w:w="633" w:type="pct"/>
            <w:tcBorders>
              <w:top w:val="nil"/>
              <w:left w:val="nil"/>
              <w:bottom w:val="nil"/>
              <w:right w:val="nil"/>
            </w:tcBorders>
            <w:shd w:val="clear" w:color="000000" w:fill="FFFFFF"/>
            <w:noWrap/>
            <w:vAlign w:val="center"/>
            <w:hideMark/>
          </w:tcPr>
          <w:p w14:paraId="3A899934" w14:textId="77777777" w:rsidR="00766C27" w:rsidRPr="00D618B7" w:rsidRDefault="00766C27" w:rsidP="004B11B7">
            <w:pPr>
              <w:jc w:val="right"/>
              <w:rPr>
                <w:color w:val="000000"/>
              </w:rPr>
            </w:pPr>
            <w:r w:rsidRPr="00D618B7">
              <w:rPr>
                <w:color w:val="000000"/>
              </w:rPr>
              <w:t>0.14</w:t>
            </w:r>
          </w:p>
        </w:tc>
        <w:tc>
          <w:tcPr>
            <w:tcW w:w="902" w:type="pct"/>
            <w:tcBorders>
              <w:top w:val="nil"/>
              <w:left w:val="nil"/>
              <w:bottom w:val="nil"/>
              <w:right w:val="nil"/>
            </w:tcBorders>
            <w:shd w:val="clear" w:color="000000" w:fill="FFFFFF"/>
            <w:noWrap/>
            <w:vAlign w:val="center"/>
            <w:hideMark/>
          </w:tcPr>
          <w:p w14:paraId="4BC73456" w14:textId="77777777" w:rsidR="00766C27" w:rsidRPr="00D618B7" w:rsidRDefault="00766C27" w:rsidP="004B11B7">
            <w:pPr>
              <w:jc w:val="right"/>
              <w:rPr>
                <w:color w:val="000000"/>
              </w:rPr>
            </w:pPr>
            <w:r w:rsidRPr="00D618B7">
              <w:rPr>
                <w:color w:val="000000"/>
              </w:rPr>
              <w:t>0.73</w:t>
            </w:r>
          </w:p>
        </w:tc>
        <w:tc>
          <w:tcPr>
            <w:tcW w:w="568" w:type="pct"/>
            <w:tcBorders>
              <w:top w:val="nil"/>
              <w:left w:val="nil"/>
              <w:bottom w:val="nil"/>
              <w:right w:val="nil"/>
            </w:tcBorders>
            <w:shd w:val="clear" w:color="000000" w:fill="FFFFFF"/>
            <w:noWrap/>
            <w:vAlign w:val="center"/>
            <w:hideMark/>
          </w:tcPr>
          <w:p w14:paraId="342F95EB" w14:textId="77777777" w:rsidR="00766C27" w:rsidRPr="00D618B7" w:rsidRDefault="00766C27" w:rsidP="004B11B7">
            <w:pPr>
              <w:jc w:val="right"/>
              <w:rPr>
                <w:color w:val="000000"/>
              </w:rPr>
            </w:pPr>
            <w:r w:rsidRPr="00D618B7">
              <w:rPr>
                <w:color w:val="000000"/>
              </w:rPr>
              <w:t>0.09</w:t>
            </w:r>
          </w:p>
        </w:tc>
        <w:tc>
          <w:tcPr>
            <w:tcW w:w="687" w:type="pct"/>
            <w:tcBorders>
              <w:top w:val="nil"/>
              <w:left w:val="nil"/>
              <w:bottom w:val="nil"/>
              <w:right w:val="nil"/>
            </w:tcBorders>
            <w:shd w:val="clear" w:color="000000" w:fill="FFFFFF"/>
            <w:noWrap/>
            <w:vAlign w:val="center"/>
            <w:hideMark/>
          </w:tcPr>
          <w:p w14:paraId="20972793" w14:textId="77777777" w:rsidR="00766C27" w:rsidRPr="00D618B7" w:rsidRDefault="00766C27" w:rsidP="004B11B7">
            <w:pPr>
              <w:jc w:val="right"/>
              <w:rPr>
                <w:color w:val="000000"/>
              </w:rPr>
            </w:pPr>
            <w:r w:rsidRPr="00D618B7">
              <w:rPr>
                <w:color w:val="000000"/>
              </w:rPr>
              <w:t>0.73</w:t>
            </w:r>
          </w:p>
        </w:tc>
        <w:tc>
          <w:tcPr>
            <w:tcW w:w="579" w:type="pct"/>
            <w:tcBorders>
              <w:top w:val="nil"/>
              <w:left w:val="nil"/>
              <w:bottom w:val="nil"/>
              <w:right w:val="nil"/>
            </w:tcBorders>
            <w:shd w:val="clear" w:color="000000" w:fill="FFFFFF"/>
            <w:noWrap/>
            <w:vAlign w:val="center"/>
            <w:hideMark/>
          </w:tcPr>
          <w:p w14:paraId="61D5E5A7" w14:textId="77777777" w:rsidR="00766C27" w:rsidRPr="00D618B7" w:rsidRDefault="00766C27" w:rsidP="004B11B7">
            <w:pPr>
              <w:jc w:val="right"/>
              <w:rPr>
                <w:color w:val="000000"/>
              </w:rPr>
            </w:pPr>
            <w:r w:rsidRPr="00D618B7">
              <w:rPr>
                <w:color w:val="000000"/>
              </w:rPr>
              <w:t>3.92</w:t>
            </w:r>
          </w:p>
        </w:tc>
        <w:tc>
          <w:tcPr>
            <w:tcW w:w="687" w:type="pct"/>
            <w:tcBorders>
              <w:top w:val="nil"/>
              <w:left w:val="nil"/>
              <w:bottom w:val="nil"/>
              <w:right w:val="nil"/>
            </w:tcBorders>
            <w:shd w:val="clear" w:color="000000" w:fill="FFFFFF"/>
            <w:noWrap/>
            <w:vAlign w:val="center"/>
            <w:hideMark/>
          </w:tcPr>
          <w:p w14:paraId="65D81ACC" w14:textId="77777777" w:rsidR="00766C27" w:rsidRPr="00D618B7" w:rsidRDefault="00766C27" w:rsidP="004B11B7">
            <w:pPr>
              <w:jc w:val="right"/>
              <w:rPr>
                <w:color w:val="000000"/>
              </w:rPr>
            </w:pPr>
            <w:r w:rsidRPr="00D618B7">
              <w:rPr>
                <w:color w:val="000000"/>
              </w:rPr>
              <w:t>0.73</w:t>
            </w:r>
          </w:p>
        </w:tc>
      </w:tr>
      <w:tr w:rsidR="00766C27" w:rsidRPr="00D618B7" w14:paraId="65911C1A" w14:textId="77777777" w:rsidTr="004B11B7">
        <w:trPr>
          <w:trHeight w:val="278"/>
        </w:trPr>
        <w:tc>
          <w:tcPr>
            <w:tcW w:w="944" w:type="pct"/>
            <w:tcBorders>
              <w:top w:val="nil"/>
              <w:left w:val="nil"/>
              <w:bottom w:val="nil"/>
              <w:right w:val="nil"/>
            </w:tcBorders>
            <w:shd w:val="clear" w:color="000000" w:fill="FFFFFF"/>
            <w:vAlign w:val="center"/>
            <w:hideMark/>
          </w:tcPr>
          <w:p w14:paraId="55809063" w14:textId="77777777" w:rsidR="00766C27" w:rsidRPr="00D618B7" w:rsidRDefault="00766C27" w:rsidP="004B11B7">
            <w:pPr>
              <w:jc w:val="right"/>
              <w:rPr>
                <w:color w:val="000000"/>
              </w:rPr>
            </w:pPr>
            <w:r w:rsidRPr="00D618B7">
              <w:rPr>
                <w:color w:val="000000"/>
              </w:rPr>
              <w:t>0</w:t>
            </w:r>
          </w:p>
        </w:tc>
        <w:tc>
          <w:tcPr>
            <w:tcW w:w="633" w:type="pct"/>
            <w:tcBorders>
              <w:top w:val="nil"/>
              <w:left w:val="nil"/>
              <w:bottom w:val="nil"/>
              <w:right w:val="nil"/>
            </w:tcBorders>
            <w:shd w:val="clear" w:color="000000" w:fill="FFFFFF"/>
            <w:noWrap/>
            <w:vAlign w:val="center"/>
            <w:hideMark/>
          </w:tcPr>
          <w:p w14:paraId="402FFC48" w14:textId="77777777" w:rsidR="00766C27" w:rsidRPr="00D618B7" w:rsidRDefault="00766C27" w:rsidP="004B11B7">
            <w:pPr>
              <w:jc w:val="right"/>
              <w:rPr>
                <w:color w:val="000000"/>
              </w:rPr>
            </w:pPr>
            <w:r w:rsidRPr="00D618B7">
              <w:rPr>
                <w:color w:val="000000"/>
              </w:rPr>
              <w:t>0.26</w:t>
            </w:r>
          </w:p>
        </w:tc>
        <w:tc>
          <w:tcPr>
            <w:tcW w:w="902" w:type="pct"/>
            <w:tcBorders>
              <w:top w:val="nil"/>
              <w:left w:val="nil"/>
              <w:bottom w:val="nil"/>
              <w:right w:val="nil"/>
            </w:tcBorders>
            <w:shd w:val="clear" w:color="000000" w:fill="FFFFFF"/>
            <w:noWrap/>
            <w:vAlign w:val="center"/>
            <w:hideMark/>
          </w:tcPr>
          <w:p w14:paraId="0BEE3997" w14:textId="77777777" w:rsidR="00766C27" w:rsidRPr="00D618B7" w:rsidRDefault="00766C27" w:rsidP="004B11B7">
            <w:pPr>
              <w:jc w:val="right"/>
              <w:rPr>
                <w:color w:val="000000"/>
              </w:rPr>
            </w:pPr>
            <w:r w:rsidRPr="00D618B7">
              <w:rPr>
                <w:color w:val="000000"/>
              </w:rPr>
              <w:t>0.70</w:t>
            </w:r>
          </w:p>
        </w:tc>
        <w:tc>
          <w:tcPr>
            <w:tcW w:w="568" w:type="pct"/>
            <w:tcBorders>
              <w:top w:val="nil"/>
              <w:left w:val="nil"/>
              <w:bottom w:val="nil"/>
              <w:right w:val="nil"/>
            </w:tcBorders>
            <w:shd w:val="clear" w:color="000000" w:fill="FFFFFF"/>
            <w:noWrap/>
            <w:vAlign w:val="center"/>
            <w:hideMark/>
          </w:tcPr>
          <w:p w14:paraId="4D240AC1" w14:textId="77777777" w:rsidR="00766C27" w:rsidRPr="00D618B7" w:rsidRDefault="00766C27" w:rsidP="004B11B7">
            <w:pPr>
              <w:jc w:val="right"/>
              <w:rPr>
                <w:color w:val="000000"/>
              </w:rPr>
            </w:pPr>
            <w:r w:rsidRPr="00D618B7">
              <w:rPr>
                <w:color w:val="000000"/>
              </w:rPr>
              <w:t>0.19</w:t>
            </w:r>
          </w:p>
        </w:tc>
        <w:tc>
          <w:tcPr>
            <w:tcW w:w="687" w:type="pct"/>
            <w:tcBorders>
              <w:top w:val="nil"/>
              <w:left w:val="nil"/>
              <w:bottom w:val="nil"/>
              <w:right w:val="nil"/>
            </w:tcBorders>
            <w:shd w:val="clear" w:color="000000" w:fill="FFFFFF"/>
            <w:noWrap/>
            <w:vAlign w:val="center"/>
            <w:hideMark/>
          </w:tcPr>
          <w:p w14:paraId="7ABD7117" w14:textId="77777777" w:rsidR="00766C27" w:rsidRPr="00D618B7" w:rsidRDefault="00766C27" w:rsidP="004B11B7">
            <w:pPr>
              <w:jc w:val="right"/>
              <w:rPr>
                <w:color w:val="000000"/>
              </w:rPr>
            </w:pPr>
            <w:r w:rsidRPr="00D618B7">
              <w:rPr>
                <w:color w:val="000000"/>
              </w:rPr>
              <w:t>0.70</w:t>
            </w:r>
          </w:p>
        </w:tc>
        <w:tc>
          <w:tcPr>
            <w:tcW w:w="579" w:type="pct"/>
            <w:tcBorders>
              <w:top w:val="nil"/>
              <w:left w:val="nil"/>
              <w:bottom w:val="nil"/>
              <w:right w:val="nil"/>
            </w:tcBorders>
            <w:shd w:val="clear" w:color="000000" w:fill="FFFFFF"/>
            <w:noWrap/>
            <w:vAlign w:val="center"/>
            <w:hideMark/>
          </w:tcPr>
          <w:p w14:paraId="50A87D89" w14:textId="77777777" w:rsidR="00766C27" w:rsidRPr="00D618B7" w:rsidRDefault="00766C27" w:rsidP="004B11B7">
            <w:pPr>
              <w:jc w:val="right"/>
              <w:rPr>
                <w:color w:val="000000"/>
              </w:rPr>
            </w:pPr>
            <w:r w:rsidRPr="00D618B7">
              <w:rPr>
                <w:color w:val="000000"/>
              </w:rPr>
              <w:t>3.74</w:t>
            </w:r>
          </w:p>
        </w:tc>
        <w:tc>
          <w:tcPr>
            <w:tcW w:w="687" w:type="pct"/>
            <w:tcBorders>
              <w:top w:val="nil"/>
              <w:left w:val="nil"/>
              <w:bottom w:val="nil"/>
              <w:right w:val="nil"/>
            </w:tcBorders>
            <w:shd w:val="clear" w:color="000000" w:fill="FFFFFF"/>
            <w:noWrap/>
            <w:vAlign w:val="center"/>
            <w:hideMark/>
          </w:tcPr>
          <w:p w14:paraId="6AE4C61C" w14:textId="77777777" w:rsidR="00766C27" w:rsidRPr="00D618B7" w:rsidRDefault="00766C27" w:rsidP="004B11B7">
            <w:pPr>
              <w:jc w:val="right"/>
              <w:rPr>
                <w:color w:val="000000"/>
              </w:rPr>
            </w:pPr>
            <w:r w:rsidRPr="00D618B7">
              <w:rPr>
                <w:color w:val="000000"/>
              </w:rPr>
              <w:t>0.70</w:t>
            </w:r>
          </w:p>
        </w:tc>
      </w:tr>
      <w:tr w:rsidR="00766C27" w:rsidRPr="00D618B7" w14:paraId="0AE24C9B" w14:textId="77777777" w:rsidTr="004B11B7">
        <w:trPr>
          <w:trHeight w:val="278"/>
        </w:trPr>
        <w:tc>
          <w:tcPr>
            <w:tcW w:w="944" w:type="pct"/>
            <w:tcBorders>
              <w:top w:val="nil"/>
              <w:left w:val="nil"/>
              <w:bottom w:val="nil"/>
              <w:right w:val="nil"/>
            </w:tcBorders>
            <w:shd w:val="clear" w:color="000000" w:fill="FFFFFF"/>
            <w:vAlign w:val="center"/>
            <w:hideMark/>
          </w:tcPr>
          <w:p w14:paraId="0AEFFC12" w14:textId="77777777" w:rsidR="00766C27" w:rsidRPr="00D618B7" w:rsidRDefault="00766C27" w:rsidP="004B11B7">
            <w:pPr>
              <w:jc w:val="right"/>
              <w:rPr>
                <w:color w:val="000000"/>
              </w:rPr>
            </w:pPr>
            <w:r w:rsidRPr="00D618B7">
              <w:rPr>
                <w:color w:val="000000"/>
              </w:rPr>
              <w:t>1</w:t>
            </w:r>
          </w:p>
        </w:tc>
        <w:tc>
          <w:tcPr>
            <w:tcW w:w="633" w:type="pct"/>
            <w:tcBorders>
              <w:top w:val="nil"/>
              <w:left w:val="nil"/>
              <w:bottom w:val="nil"/>
              <w:right w:val="nil"/>
            </w:tcBorders>
            <w:shd w:val="clear" w:color="000000" w:fill="FFFFFF"/>
            <w:noWrap/>
            <w:vAlign w:val="center"/>
            <w:hideMark/>
          </w:tcPr>
          <w:p w14:paraId="33A60439" w14:textId="77777777" w:rsidR="00766C27" w:rsidRPr="00D618B7" w:rsidRDefault="00766C27" w:rsidP="004B11B7">
            <w:pPr>
              <w:jc w:val="right"/>
              <w:rPr>
                <w:color w:val="000000"/>
              </w:rPr>
            </w:pPr>
            <w:r w:rsidRPr="00D618B7">
              <w:rPr>
                <w:color w:val="000000"/>
              </w:rPr>
              <w:t>0.15</w:t>
            </w:r>
          </w:p>
        </w:tc>
        <w:tc>
          <w:tcPr>
            <w:tcW w:w="902" w:type="pct"/>
            <w:tcBorders>
              <w:top w:val="nil"/>
              <w:left w:val="nil"/>
              <w:bottom w:val="nil"/>
              <w:right w:val="nil"/>
            </w:tcBorders>
            <w:shd w:val="clear" w:color="000000" w:fill="FFFFFF"/>
            <w:noWrap/>
            <w:vAlign w:val="center"/>
            <w:hideMark/>
          </w:tcPr>
          <w:p w14:paraId="02FCD5B4" w14:textId="77777777" w:rsidR="00766C27" w:rsidRPr="00D618B7" w:rsidRDefault="00766C27" w:rsidP="004B11B7">
            <w:pPr>
              <w:jc w:val="right"/>
              <w:rPr>
                <w:color w:val="000000"/>
              </w:rPr>
            </w:pPr>
            <w:r w:rsidRPr="00D618B7">
              <w:rPr>
                <w:color w:val="000000"/>
              </w:rPr>
              <w:t>0.70</w:t>
            </w:r>
          </w:p>
        </w:tc>
        <w:tc>
          <w:tcPr>
            <w:tcW w:w="568" w:type="pct"/>
            <w:tcBorders>
              <w:top w:val="nil"/>
              <w:left w:val="nil"/>
              <w:bottom w:val="nil"/>
              <w:right w:val="nil"/>
            </w:tcBorders>
            <w:shd w:val="clear" w:color="000000" w:fill="FFFFFF"/>
            <w:noWrap/>
            <w:vAlign w:val="center"/>
            <w:hideMark/>
          </w:tcPr>
          <w:p w14:paraId="389F0972" w14:textId="77777777" w:rsidR="00766C27" w:rsidRPr="00D618B7" w:rsidRDefault="00766C27" w:rsidP="004B11B7">
            <w:pPr>
              <w:jc w:val="right"/>
              <w:rPr>
                <w:color w:val="000000"/>
              </w:rPr>
            </w:pPr>
            <w:r w:rsidRPr="00D618B7">
              <w:rPr>
                <w:color w:val="000000"/>
              </w:rPr>
              <w:t>0.42</w:t>
            </w:r>
          </w:p>
        </w:tc>
        <w:tc>
          <w:tcPr>
            <w:tcW w:w="687" w:type="pct"/>
            <w:tcBorders>
              <w:top w:val="nil"/>
              <w:left w:val="nil"/>
              <w:bottom w:val="nil"/>
              <w:right w:val="nil"/>
            </w:tcBorders>
            <w:shd w:val="clear" w:color="000000" w:fill="FFFFFF"/>
            <w:noWrap/>
            <w:vAlign w:val="center"/>
            <w:hideMark/>
          </w:tcPr>
          <w:p w14:paraId="483A36F4" w14:textId="77777777" w:rsidR="00766C27" w:rsidRPr="00D618B7" w:rsidRDefault="00766C27" w:rsidP="004B11B7">
            <w:pPr>
              <w:jc w:val="right"/>
              <w:rPr>
                <w:color w:val="000000"/>
              </w:rPr>
            </w:pPr>
            <w:r w:rsidRPr="00D618B7">
              <w:rPr>
                <w:color w:val="000000"/>
              </w:rPr>
              <w:t>0.70</w:t>
            </w:r>
          </w:p>
        </w:tc>
        <w:tc>
          <w:tcPr>
            <w:tcW w:w="579" w:type="pct"/>
            <w:tcBorders>
              <w:top w:val="nil"/>
              <w:left w:val="nil"/>
              <w:bottom w:val="nil"/>
              <w:right w:val="nil"/>
            </w:tcBorders>
            <w:shd w:val="clear" w:color="000000" w:fill="FFFFFF"/>
            <w:noWrap/>
            <w:vAlign w:val="center"/>
            <w:hideMark/>
          </w:tcPr>
          <w:p w14:paraId="7C5B05A1" w14:textId="77777777" w:rsidR="00766C27" w:rsidRPr="00D618B7" w:rsidRDefault="00766C27" w:rsidP="004B11B7">
            <w:pPr>
              <w:jc w:val="right"/>
              <w:rPr>
                <w:color w:val="000000"/>
              </w:rPr>
            </w:pPr>
            <w:r w:rsidRPr="00D618B7">
              <w:rPr>
                <w:color w:val="000000"/>
              </w:rPr>
              <w:t>2.17</w:t>
            </w:r>
          </w:p>
        </w:tc>
        <w:tc>
          <w:tcPr>
            <w:tcW w:w="687" w:type="pct"/>
            <w:tcBorders>
              <w:top w:val="nil"/>
              <w:left w:val="nil"/>
              <w:bottom w:val="nil"/>
              <w:right w:val="nil"/>
            </w:tcBorders>
            <w:shd w:val="clear" w:color="000000" w:fill="FFFFFF"/>
            <w:noWrap/>
            <w:vAlign w:val="center"/>
            <w:hideMark/>
          </w:tcPr>
          <w:p w14:paraId="4AF3ED45" w14:textId="77777777" w:rsidR="00766C27" w:rsidRPr="00D618B7" w:rsidRDefault="00766C27" w:rsidP="004B11B7">
            <w:pPr>
              <w:jc w:val="right"/>
              <w:rPr>
                <w:color w:val="000000"/>
              </w:rPr>
            </w:pPr>
            <w:r w:rsidRPr="00D618B7">
              <w:rPr>
                <w:color w:val="000000"/>
              </w:rPr>
              <w:t>0.70</w:t>
            </w:r>
          </w:p>
        </w:tc>
      </w:tr>
      <w:tr w:rsidR="00766C27" w:rsidRPr="00D618B7" w14:paraId="47FF03B4" w14:textId="77777777" w:rsidTr="004B11B7">
        <w:trPr>
          <w:trHeight w:val="278"/>
        </w:trPr>
        <w:tc>
          <w:tcPr>
            <w:tcW w:w="944" w:type="pct"/>
            <w:tcBorders>
              <w:top w:val="nil"/>
              <w:left w:val="nil"/>
              <w:bottom w:val="nil"/>
              <w:right w:val="nil"/>
            </w:tcBorders>
            <w:shd w:val="clear" w:color="000000" w:fill="FFFFFF"/>
            <w:vAlign w:val="center"/>
            <w:hideMark/>
          </w:tcPr>
          <w:p w14:paraId="26A1964D" w14:textId="77777777" w:rsidR="00766C27" w:rsidRPr="00D618B7" w:rsidRDefault="00766C27" w:rsidP="004B11B7">
            <w:pPr>
              <w:jc w:val="right"/>
              <w:rPr>
                <w:color w:val="000000"/>
              </w:rPr>
            </w:pPr>
            <w:r w:rsidRPr="00D618B7">
              <w:rPr>
                <w:color w:val="000000"/>
              </w:rPr>
              <w:t>2</w:t>
            </w:r>
          </w:p>
        </w:tc>
        <w:tc>
          <w:tcPr>
            <w:tcW w:w="633" w:type="pct"/>
            <w:tcBorders>
              <w:top w:val="nil"/>
              <w:left w:val="nil"/>
              <w:bottom w:val="nil"/>
              <w:right w:val="nil"/>
            </w:tcBorders>
            <w:shd w:val="clear" w:color="000000" w:fill="FFFFFF"/>
            <w:noWrap/>
            <w:vAlign w:val="center"/>
            <w:hideMark/>
          </w:tcPr>
          <w:p w14:paraId="200FC019" w14:textId="77777777" w:rsidR="00766C27" w:rsidRPr="00D618B7" w:rsidRDefault="00766C27" w:rsidP="004B11B7">
            <w:pPr>
              <w:jc w:val="right"/>
              <w:rPr>
                <w:color w:val="000000"/>
              </w:rPr>
            </w:pPr>
            <w:r w:rsidRPr="00D618B7">
              <w:rPr>
                <w:color w:val="000000"/>
              </w:rPr>
              <w:t>0.21</w:t>
            </w:r>
          </w:p>
        </w:tc>
        <w:tc>
          <w:tcPr>
            <w:tcW w:w="902" w:type="pct"/>
            <w:tcBorders>
              <w:top w:val="nil"/>
              <w:left w:val="nil"/>
              <w:bottom w:val="nil"/>
              <w:right w:val="nil"/>
            </w:tcBorders>
            <w:shd w:val="clear" w:color="000000" w:fill="FFFFFF"/>
            <w:noWrap/>
            <w:vAlign w:val="center"/>
            <w:hideMark/>
          </w:tcPr>
          <w:p w14:paraId="1749346F" w14:textId="77777777" w:rsidR="00766C27" w:rsidRPr="00D618B7" w:rsidRDefault="00766C27" w:rsidP="004B11B7">
            <w:pPr>
              <w:jc w:val="right"/>
              <w:rPr>
                <w:color w:val="000000"/>
              </w:rPr>
            </w:pPr>
            <w:r w:rsidRPr="00D618B7">
              <w:rPr>
                <w:color w:val="000000"/>
              </w:rPr>
              <w:t>0.80</w:t>
            </w:r>
          </w:p>
        </w:tc>
        <w:tc>
          <w:tcPr>
            <w:tcW w:w="568" w:type="pct"/>
            <w:tcBorders>
              <w:top w:val="nil"/>
              <w:left w:val="nil"/>
              <w:bottom w:val="nil"/>
              <w:right w:val="nil"/>
            </w:tcBorders>
            <w:shd w:val="clear" w:color="000000" w:fill="FFFFFF"/>
            <w:noWrap/>
            <w:vAlign w:val="center"/>
            <w:hideMark/>
          </w:tcPr>
          <w:p w14:paraId="6E6D4663" w14:textId="77777777" w:rsidR="00766C27" w:rsidRPr="00D618B7" w:rsidRDefault="00766C27" w:rsidP="004B11B7">
            <w:pPr>
              <w:jc w:val="right"/>
              <w:rPr>
                <w:color w:val="000000"/>
              </w:rPr>
            </w:pPr>
            <w:r w:rsidRPr="00D618B7">
              <w:rPr>
                <w:color w:val="000000"/>
              </w:rPr>
              <w:t>0.15</w:t>
            </w:r>
          </w:p>
        </w:tc>
        <w:tc>
          <w:tcPr>
            <w:tcW w:w="687" w:type="pct"/>
            <w:tcBorders>
              <w:top w:val="nil"/>
              <w:left w:val="nil"/>
              <w:bottom w:val="nil"/>
              <w:right w:val="nil"/>
            </w:tcBorders>
            <w:shd w:val="clear" w:color="000000" w:fill="FFFFFF"/>
            <w:noWrap/>
            <w:vAlign w:val="center"/>
            <w:hideMark/>
          </w:tcPr>
          <w:p w14:paraId="7132296A" w14:textId="77777777" w:rsidR="00766C27" w:rsidRPr="00D618B7" w:rsidRDefault="00766C27" w:rsidP="004B11B7">
            <w:pPr>
              <w:jc w:val="right"/>
              <w:rPr>
                <w:color w:val="000000"/>
              </w:rPr>
            </w:pPr>
            <w:r w:rsidRPr="00D618B7">
              <w:rPr>
                <w:color w:val="000000"/>
              </w:rPr>
              <w:t>0.80</w:t>
            </w:r>
          </w:p>
        </w:tc>
        <w:tc>
          <w:tcPr>
            <w:tcW w:w="579" w:type="pct"/>
            <w:tcBorders>
              <w:top w:val="nil"/>
              <w:left w:val="nil"/>
              <w:bottom w:val="nil"/>
              <w:right w:val="nil"/>
            </w:tcBorders>
            <w:shd w:val="clear" w:color="000000" w:fill="FFFFFF"/>
            <w:noWrap/>
            <w:vAlign w:val="center"/>
            <w:hideMark/>
          </w:tcPr>
          <w:p w14:paraId="2C6BC59D" w14:textId="77777777" w:rsidR="00766C27" w:rsidRPr="00D618B7" w:rsidRDefault="00766C27" w:rsidP="004B11B7">
            <w:pPr>
              <w:jc w:val="right"/>
              <w:rPr>
                <w:color w:val="000000"/>
              </w:rPr>
            </w:pPr>
            <w:r w:rsidRPr="00D618B7">
              <w:rPr>
                <w:color w:val="000000"/>
              </w:rPr>
              <w:t>2.30</w:t>
            </w:r>
          </w:p>
        </w:tc>
        <w:tc>
          <w:tcPr>
            <w:tcW w:w="687" w:type="pct"/>
            <w:tcBorders>
              <w:top w:val="nil"/>
              <w:left w:val="nil"/>
              <w:bottom w:val="nil"/>
              <w:right w:val="nil"/>
            </w:tcBorders>
            <w:shd w:val="clear" w:color="000000" w:fill="FFFFFF"/>
            <w:noWrap/>
            <w:vAlign w:val="center"/>
            <w:hideMark/>
          </w:tcPr>
          <w:p w14:paraId="3D88E67C" w14:textId="77777777" w:rsidR="00766C27" w:rsidRPr="00D618B7" w:rsidRDefault="00766C27" w:rsidP="004B11B7">
            <w:pPr>
              <w:jc w:val="right"/>
              <w:rPr>
                <w:color w:val="000000"/>
              </w:rPr>
            </w:pPr>
            <w:r w:rsidRPr="00D618B7">
              <w:rPr>
                <w:color w:val="000000"/>
              </w:rPr>
              <w:t>0.80</w:t>
            </w:r>
          </w:p>
        </w:tc>
      </w:tr>
      <w:tr w:rsidR="00766C27" w:rsidRPr="00D618B7" w14:paraId="7258DE28" w14:textId="77777777" w:rsidTr="004B11B7">
        <w:trPr>
          <w:trHeight w:val="278"/>
        </w:trPr>
        <w:tc>
          <w:tcPr>
            <w:tcW w:w="944" w:type="pct"/>
            <w:tcBorders>
              <w:top w:val="nil"/>
              <w:left w:val="nil"/>
              <w:bottom w:val="nil"/>
              <w:right w:val="nil"/>
            </w:tcBorders>
            <w:shd w:val="clear" w:color="000000" w:fill="FFFFFF"/>
            <w:vAlign w:val="center"/>
            <w:hideMark/>
          </w:tcPr>
          <w:p w14:paraId="1D3DF65F" w14:textId="77777777" w:rsidR="00766C27" w:rsidRPr="00D618B7" w:rsidRDefault="00766C27" w:rsidP="004B11B7">
            <w:pPr>
              <w:jc w:val="right"/>
              <w:rPr>
                <w:color w:val="000000"/>
              </w:rPr>
            </w:pPr>
            <w:r w:rsidRPr="00D618B7">
              <w:rPr>
                <w:color w:val="000000"/>
              </w:rPr>
              <w:t>3</w:t>
            </w:r>
          </w:p>
        </w:tc>
        <w:tc>
          <w:tcPr>
            <w:tcW w:w="633" w:type="pct"/>
            <w:tcBorders>
              <w:top w:val="nil"/>
              <w:left w:val="nil"/>
              <w:bottom w:val="nil"/>
              <w:right w:val="nil"/>
            </w:tcBorders>
            <w:shd w:val="clear" w:color="000000" w:fill="FFFFFF"/>
            <w:noWrap/>
            <w:vAlign w:val="center"/>
            <w:hideMark/>
          </w:tcPr>
          <w:p w14:paraId="6D215627" w14:textId="77777777" w:rsidR="00766C27" w:rsidRPr="00D618B7" w:rsidRDefault="00766C27" w:rsidP="004B11B7">
            <w:pPr>
              <w:jc w:val="right"/>
              <w:rPr>
                <w:color w:val="000000"/>
              </w:rPr>
            </w:pPr>
            <w:r w:rsidRPr="00D618B7">
              <w:rPr>
                <w:color w:val="000000"/>
              </w:rPr>
              <w:t>0.15</w:t>
            </w:r>
          </w:p>
        </w:tc>
        <w:tc>
          <w:tcPr>
            <w:tcW w:w="902" w:type="pct"/>
            <w:tcBorders>
              <w:top w:val="nil"/>
              <w:left w:val="nil"/>
              <w:bottom w:val="nil"/>
              <w:right w:val="nil"/>
            </w:tcBorders>
            <w:shd w:val="clear" w:color="000000" w:fill="FFFFFF"/>
            <w:noWrap/>
            <w:vAlign w:val="center"/>
            <w:hideMark/>
          </w:tcPr>
          <w:p w14:paraId="32F3067D" w14:textId="77777777" w:rsidR="00766C27" w:rsidRPr="00D618B7" w:rsidRDefault="00766C27" w:rsidP="004B11B7">
            <w:pPr>
              <w:jc w:val="right"/>
              <w:rPr>
                <w:color w:val="000000"/>
              </w:rPr>
            </w:pPr>
            <w:r w:rsidRPr="00D618B7">
              <w:rPr>
                <w:color w:val="000000"/>
              </w:rPr>
              <w:t>0.69</w:t>
            </w:r>
          </w:p>
        </w:tc>
        <w:tc>
          <w:tcPr>
            <w:tcW w:w="568" w:type="pct"/>
            <w:tcBorders>
              <w:top w:val="nil"/>
              <w:left w:val="nil"/>
              <w:bottom w:val="nil"/>
              <w:right w:val="nil"/>
            </w:tcBorders>
            <w:shd w:val="clear" w:color="000000" w:fill="FFFFFF"/>
            <w:noWrap/>
            <w:vAlign w:val="center"/>
            <w:hideMark/>
          </w:tcPr>
          <w:p w14:paraId="304CA7AD" w14:textId="77777777" w:rsidR="00766C27" w:rsidRPr="00D618B7" w:rsidRDefault="00766C27" w:rsidP="004B11B7">
            <w:pPr>
              <w:jc w:val="right"/>
              <w:rPr>
                <w:color w:val="000000"/>
              </w:rPr>
            </w:pPr>
            <w:r w:rsidRPr="00D618B7">
              <w:rPr>
                <w:color w:val="000000"/>
              </w:rPr>
              <w:t>0.24</w:t>
            </w:r>
          </w:p>
        </w:tc>
        <w:tc>
          <w:tcPr>
            <w:tcW w:w="687" w:type="pct"/>
            <w:tcBorders>
              <w:top w:val="nil"/>
              <w:left w:val="nil"/>
              <w:bottom w:val="nil"/>
              <w:right w:val="nil"/>
            </w:tcBorders>
            <w:shd w:val="clear" w:color="000000" w:fill="FFFFFF"/>
            <w:noWrap/>
            <w:vAlign w:val="center"/>
            <w:hideMark/>
          </w:tcPr>
          <w:p w14:paraId="07C96F84" w14:textId="77777777" w:rsidR="00766C27" w:rsidRPr="00D618B7" w:rsidRDefault="00766C27" w:rsidP="004B11B7">
            <w:pPr>
              <w:jc w:val="right"/>
              <w:rPr>
                <w:color w:val="000000"/>
              </w:rPr>
            </w:pPr>
            <w:r w:rsidRPr="00D618B7">
              <w:rPr>
                <w:color w:val="000000"/>
              </w:rPr>
              <w:t>0.69</w:t>
            </w:r>
          </w:p>
        </w:tc>
        <w:tc>
          <w:tcPr>
            <w:tcW w:w="579" w:type="pct"/>
            <w:tcBorders>
              <w:top w:val="nil"/>
              <w:left w:val="nil"/>
              <w:bottom w:val="nil"/>
              <w:right w:val="nil"/>
            </w:tcBorders>
            <w:shd w:val="clear" w:color="000000" w:fill="FFFFFF"/>
            <w:noWrap/>
            <w:vAlign w:val="center"/>
            <w:hideMark/>
          </w:tcPr>
          <w:p w14:paraId="55C7E25C" w14:textId="77777777" w:rsidR="00766C27" w:rsidRPr="00D618B7" w:rsidRDefault="00766C27" w:rsidP="004B11B7">
            <w:pPr>
              <w:jc w:val="right"/>
              <w:rPr>
                <w:color w:val="000000"/>
              </w:rPr>
            </w:pPr>
            <w:r w:rsidRPr="00D618B7">
              <w:rPr>
                <w:color w:val="000000"/>
              </w:rPr>
              <w:t>2.09</w:t>
            </w:r>
          </w:p>
        </w:tc>
        <w:tc>
          <w:tcPr>
            <w:tcW w:w="687" w:type="pct"/>
            <w:tcBorders>
              <w:top w:val="nil"/>
              <w:left w:val="nil"/>
              <w:bottom w:val="nil"/>
              <w:right w:val="nil"/>
            </w:tcBorders>
            <w:shd w:val="clear" w:color="000000" w:fill="FFFFFF"/>
            <w:noWrap/>
            <w:vAlign w:val="center"/>
            <w:hideMark/>
          </w:tcPr>
          <w:p w14:paraId="7043C13B" w14:textId="77777777" w:rsidR="00766C27" w:rsidRPr="00D618B7" w:rsidRDefault="00766C27" w:rsidP="004B11B7">
            <w:pPr>
              <w:jc w:val="right"/>
              <w:rPr>
                <w:color w:val="000000"/>
              </w:rPr>
            </w:pPr>
            <w:r w:rsidRPr="00D618B7">
              <w:rPr>
                <w:color w:val="000000"/>
              </w:rPr>
              <w:t>0.70</w:t>
            </w:r>
          </w:p>
        </w:tc>
      </w:tr>
      <w:tr w:rsidR="00766C27" w:rsidRPr="00D618B7" w14:paraId="695848AA" w14:textId="77777777" w:rsidTr="004B11B7">
        <w:trPr>
          <w:trHeight w:val="278"/>
        </w:trPr>
        <w:tc>
          <w:tcPr>
            <w:tcW w:w="944" w:type="pct"/>
            <w:tcBorders>
              <w:top w:val="nil"/>
              <w:left w:val="nil"/>
              <w:bottom w:val="nil"/>
              <w:right w:val="nil"/>
            </w:tcBorders>
            <w:shd w:val="clear" w:color="000000" w:fill="FFFFFF"/>
            <w:vAlign w:val="center"/>
            <w:hideMark/>
          </w:tcPr>
          <w:p w14:paraId="564F89C2" w14:textId="77777777" w:rsidR="00766C27" w:rsidRPr="00D618B7" w:rsidRDefault="00766C27" w:rsidP="004B11B7">
            <w:pPr>
              <w:jc w:val="right"/>
              <w:rPr>
                <w:color w:val="000000"/>
              </w:rPr>
            </w:pPr>
            <w:r w:rsidRPr="00D618B7">
              <w:rPr>
                <w:color w:val="000000"/>
              </w:rPr>
              <w:t>4</w:t>
            </w:r>
          </w:p>
        </w:tc>
        <w:tc>
          <w:tcPr>
            <w:tcW w:w="633" w:type="pct"/>
            <w:tcBorders>
              <w:top w:val="nil"/>
              <w:left w:val="nil"/>
              <w:bottom w:val="nil"/>
              <w:right w:val="nil"/>
            </w:tcBorders>
            <w:shd w:val="clear" w:color="000000" w:fill="FFFFFF"/>
            <w:noWrap/>
            <w:vAlign w:val="center"/>
            <w:hideMark/>
          </w:tcPr>
          <w:p w14:paraId="4464C09A" w14:textId="77777777" w:rsidR="00766C27" w:rsidRPr="00D618B7" w:rsidRDefault="00766C27" w:rsidP="004B11B7">
            <w:pPr>
              <w:jc w:val="right"/>
              <w:rPr>
                <w:color w:val="000000"/>
              </w:rPr>
            </w:pPr>
            <w:r w:rsidRPr="00D618B7">
              <w:rPr>
                <w:color w:val="000000"/>
              </w:rPr>
              <w:t>0.24</w:t>
            </w:r>
          </w:p>
        </w:tc>
        <w:tc>
          <w:tcPr>
            <w:tcW w:w="902" w:type="pct"/>
            <w:tcBorders>
              <w:top w:val="nil"/>
              <w:left w:val="nil"/>
              <w:bottom w:val="nil"/>
              <w:right w:val="nil"/>
            </w:tcBorders>
            <w:shd w:val="clear" w:color="000000" w:fill="FFFFFF"/>
            <w:noWrap/>
            <w:vAlign w:val="center"/>
            <w:hideMark/>
          </w:tcPr>
          <w:p w14:paraId="683DA7B7" w14:textId="77777777" w:rsidR="00766C27" w:rsidRPr="00D618B7" w:rsidRDefault="00766C27" w:rsidP="004B11B7">
            <w:pPr>
              <w:jc w:val="right"/>
              <w:rPr>
                <w:color w:val="000000"/>
              </w:rPr>
            </w:pPr>
            <w:r w:rsidRPr="00D618B7">
              <w:rPr>
                <w:color w:val="000000"/>
              </w:rPr>
              <w:t>0.73</w:t>
            </w:r>
          </w:p>
        </w:tc>
        <w:tc>
          <w:tcPr>
            <w:tcW w:w="568" w:type="pct"/>
            <w:tcBorders>
              <w:top w:val="nil"/>
              <w:left w:val="nil"/>
              <w:bottom w:val="nil"/>
              <w:right w:val="nil"/>
            </w:tcBorders>
            <w:shd w:val="clear" w:color="000000" w:fill="FFFFFF"/>
            <w:noWrap/>
            <w:vAlign w:val="center"/>
            <w:hideMark/>
          </w:tcPr>
          <w:p w14:paraId="2057F42B" w14:textId="77777777" w:rsidR="00766C27" w:rsidRPr="00D618B7" w:rsidRDefault="00766C27" w:rsidP="004B11B7">
            <w:pPr>
              <w:jc w:val="right"/>
              <w:rPr>
                <w:color w:val="000000"/>
              </w:rPr>
            </w:pPr>
            <w:r w:rsidRPr="00D618B7">
              <w:rPr>
                <w:color w:val="000000"/>
              </w:rPr>
              <w:t>0.46</w:t>
            </w:r>
          </w:p>
        </w:tc>
        <w:tc>
          <w:tcPr>
            <w:tcW w:w="687" w:type="pct"/>
            <w:tcBorders>
              <w:top w:val="nil"/>
              <w:left w:val="nil"/>
              <w:bottom w:val="nil"/>
              <w:right w:val="nil"/>
            </w:tcBorders>
            <w:shd w:val="clear" w:color="000000" w:fill="FFFFFF"/>
            <w:noWrap/>
            <w:vAlign w:val="center"/>
            <w:hideMark/>
          </w:tcPr>
          <w:p w14:paraId="693EE38B" w14:textId="77777777" w:rsidR="00766C27" w:rsidRPr="00D618B7" w:rsidRDefault="00766C27" w:rsidP="004B11B7">
            <w:pPr>
              <w:jc w:val="right"/>
              <w:rPr>
                <w:color w:val="000000"/>
              </w:rPr>
            </w:pPr>
            <w:r w:rsidRPr="00D618B7">
              <w:rPr>
                <w:color w:val="000000"/>
              </w:rPr>
              <w:t>0.72</w:t>
            </w:r>
          </w:p>
        </w:tc>
        <w:tc>
          <w:tcPr>
            <w:tcW w:w="579" w:type="pct"/>
            <w:tcBorders>
              <w:top w:val="nil"/>
              <w:left w:val="nil"/>
              <w:bottom w:val="nil"/>
              <w:right w:val="nil"/>
            </w:tcBorders>
            <w:shd w:val="clear" w:color="000000" w:fill="FFFFFF"/>
            <w:noWrap/>
            <w:vAlign w:val="center"/>
            <w:hideMark/>
          </w:tcPr>
          <w:p w14:paraId="2CAC481A" w14:textId="77777777" w:rsidR="00766C27" w:rsidRPr="00D618B7" w:rsidRDefault="00766C27" w:rsidP="004B11B7">
            <w:pPr>
              <w:jc w:val="right"/>
              <w:rPr>
                <w:color w:val="000000"/>
              </w:rPr>
            </w:pPr>
            <w:r w:rsidRPr="00D618B7">
              <w:rPr>
                <w:color w:val="000000"/>
              </w:rPr>
              <w:t>4.16</w:t>
            </w:r>
          </w:p>
        </w:tc>
        <w:tc>
          <w:tcPr>
            <w:tcW w:w="687" w:type="pct"/>
            <w:tcBorders>
              <w:top w:val="nil"/>
              <w:left w:val="nil"/>
              <w:bottom w:val="nil"/>
              <w:right w:val="nil"/>
            </w:tcBorders>
            <w:shd w:val="clear" w:color="000000" w:fill="FFFFFF"/>
            <w:noWrap/>
            <w:vAlign w:val="center"/>
            <w:hideMark/>
          </w:tcPr>
          <w:p w14:paraId="6856E9E8" w14:textId="77777777" w:rsidR="00766C27" w:rsidRPr="00D618B7" w:rsidRDefault="00766C27" w:rsidP="004B11B7">
            <w:pPr>
              <w:jc w:val="right"/>
              <w:rPr>
                <w:color w:val="000000"/>
              </w:rPr>
            </w:pPr>
            <w:r w:rsidRPr="00D618B7">
              <w:rPr>
                <w:color w:val="000000"/>
              </w:rPr>
              <w:t>0.73</w:t>
            </w:r>
          </w:p>
        </w:tc>
      </w:tr>
      <w:tr w:rsidR="00766C27" w:rsidRPr="00D618B7" w14:paraId="1136D2DF" w14:textId="77777777" w:rsidTr="004B11B7">
        <w:trPr>
          <w:trHeight w:val="278"/>
        </w:trPr>
        <w:tc>
          <w:tcPr>
            <w:tcW w:w="944" w:type="pct"/>
            <w:tcBorders>
              <w:top w:val="nil"/>
              <w:left w:val="nil"/>
              <w:bottom w:val="single" w:sz="8" w:space="0" w:color="auto"/>
              <w:right w:val="nil"/>
            </w:tcBorders>
            <w:shd w:val="clear" w:color="000000" w:fill="FFFFFF"/>
            <w:vAlign w:val="center"/>
            <w:hideMark/>
          </w:tcPr>
          <w:p w14:paraId="7AE8845C" w14:textId="77777777" w:rsidR="00766C27" w:rsidRPr="00D618B7" w:rsidRDefault="00766C27" w:rsidP="004B11B7">
            <w:pPr>
              <w:jc w:val="right"/>
              <w:rPr>
                <w:color w:val="000000"/>
              </w:rPr>
            </w:pPr>
            <w:r w:rsidRPr="00D618B7">
              <w:rPr>
                <w:color w:val="000000"/>
              </w:rPr>
              <w:t>5</w:t>
            </w:r>
          </w:p>
        </w:tc>
        <w:tc>
          <w:tcPr>
            <w:tcW w:w="633" w:type="pct"/>
            <w:tcBorders>
              <w:top w:val="nil"/>
              <w:left w:val="nil"/>
              <w:bottom w:val="single" w:sz="8" w:space="0" w:color="auto"/>
              <w:right w:val="nil"/>
            </w:tcBorders>
            <w:shd w:val="clear" w:color="000000" w:fill="FFFFFF"/>
            <w:noWrap/>
            <w:vAlign w:val="center"/>
            <w:hideMark/>
          </w:tcPr>
          <w:p w14:paraId="452ABF1F" w14:textId="77777777" w:rsidR="00766C27" w:rsidRPr="00D618B7" w:rsidRDefault="00766C27" w:rsidP="004B11B7">
            <w:pPr>
              <w:jc w:val="right"/>
              <w:rPr>
                <w:color w:val="000000"/>
              </w:rPr>
            </w:pPr>
            <w:r w:rsidRPr="00D618B7">
              <w:rPr>
                <w:color w:val="000000"/>
              </w:rPr>
              <w:t>-0.08</w:t>
            </w:r>
          </w:p>
        </w:tc>
        <w:tc>
          <w:tcPr>
            <w:tcW w:w="902" w:type="pct"/>
            <w:tcBorders>
              <w:top w:val="nil"/>
              <w:left w:val="nil"/>
              <w:bottom w:val="single" w:sz="8" w:space="0" w:color="auto"/>
              <w:right w:val="nil"/>
            </w:tcBorders>
            <w:shd w:val="clear" w:color="000000" w:fill="FFFFFF"/>
            <w:noWrap/>
            <w:vAlign w:val="center"/>
            <w:hideMark/>
          </w:tcPr>
          <w:p w14:paraId="13F2F24A" w14:textId="77777777" w:rsidR="00766C27" w:rsidRPr="00D618B7" w:rsidRDefault="00766C27" w:rsidP="004B11B7">
            <w:pPr>
              <w:jc w:val="right"/>
              <w:rPr>
                <w:color w:val="000000"/>
              </w:rPr>
            </w:pPr>
            <w:r w:rsidRPr="00D618B7">
              <w:rPr>
                <w:color w:val="000000"/>
              </w:rPr>
              <w:t>0.76</w:t>
            </w:r>
          </w:p>
        </w:tc>
        <w:tc>
          <w:tcPr>
            <w:tcW w:w="568" w:type="pct"/>
            <w:tcBorders>
              <w:top w:val="nil"/>
              <w:left w:val="nil"/>
              <w:bottom w:val="single" w:sz="8" w:space="0" w:color="auto"/>
              <w:right w:val="nil"/>
            </w:tcBorders>
            <w:shd w:val="clear" w:color="000000" w:fill="FFFFFF"/>
            <w:noWrap/>
            <w:vAlign w:val="center"/>
            <w:hideMark/>
          </w:tcPr>
          <w:p w14:paraId="6A45B52E" w14:textId="77777777" w:rsidR="00766C27" w:rsidRPr="00D618B7" w:rsidRDefault="00766C27" w:rsidP="004B11B7">
            <w:pPr>
              <w:jc w:val="right"/>
              <w:rPr>
                <w:color w:val="000000"/>
              </w:rPr>
            </w:pPr>
            <w:r w:rsidRPr="00D618B7">
              <w:rPr>
                <w:color w:val="000000"/>
              </w:rPr>
              <w:t>0.47</w:t>
            </w:r>
          </w:p>
        </w:tc>
        <w:tc>
          <w:tcPr>
            <w:tcW w:w="687" w:type="pct"/>
            <w:tcBorders>
              <w:top w:val="nil"/>
              <w:left w:val="nil"/>
              <w:bottom w:val="single" w:sz="8" w:space="0" w:color="auto"/>
              <w:right w:val="nil"/>
            </w:tcBorders>
            <w:shd w:val="clear" w:color="000000" w:fill="FFFFFF"/>
            <w:noWrap/>
            <w:vAlign w:val="center"/>
            <w:hideMark/>
          </w:tcPr>
          <w:p w14:paraId="0F449DAD" w14:textId="77777777" w:rsidR="00766C27" w:rsidRPr="00D618B7" w:rsidRDefault="00766C27" w:rsidP="004B11B7">
            <w:pPr>
              <w:jc w:val="right"/>
              <w:rPr>
                <w:color w:val="000000"/>
              </w:rPr>
            </w:pPr>
            <w:r w:rsidRPr="00D618B7">
              <w:rPr>
                <w:color w:val="000000"/>
              </w:rPr>
              <w:t>0.76</w:t>
            </w:r>
          </w:p>
        </w:tc>
        <w:tc>
          <w:tcPr>
            <w:tcW w:w="579" w:type="pct"/>
            <w:tcBorders>
              <w:top w:val="nil"/>
              <w:left w:val="nil"/>
              <w:bottom w:val="single" w:sz="8" w:space="0" w:color="auto"/>
              <w:right w:val="nil"/>
            </w:tcBorders>
            <w:shd w:val="clear" w:color="000000" w:fill="FFFFFF"/>
            <w:noWrap/>
            <w:vAlign w:val="center"/>
            <w:hideMark/>
          </w:tcPr>
          <w:p w14:paraId="5661A1E8" w14:textId="77777777" w:rsidR="00766C27" w:rsidRPr="00D618B7" w:rsidRDefault="00766C27" w:rsidP="004B11B7">
            <w:pPr>
              <w:jc w:val="right"/>
              <w:rPr>
                <w:color w:val="000000"/>
              </w:rPr>
            </w:pPr>
            <w:r w:rsidRPr="00D618B7">
              <w:rPr>
                <w:color w:val="000000"/>
              </w:rPr>
              <w:t>0.92</w:t>
            </w:r>
          </w:p>
        </w:tc>
        <w:tc>
          <w:tcPr>
            <w:tcW w:w="687" w:type="pct"/>
            <w:tcBorders>
              <w:top w:val="nil"/>
              <w:left w:val="nil"/>
              <w:bottom w:val="single" w:sz="8" w:space="0" w:color="auto"/>
              <w:right w:val="nil"/>
            </w:tcBorders>
            <w:shd w:val="clear" w:color="000000" w:fill="FFFFFF"/>
            <w:noWrap/>
            <w:vAlign w:val="center"/>
            <w:hideMark/>
          </w:tcPr>
          <w:p w14:paraId="7A8D13A0" w14:textId="77777777" w:rsidR="00766C27" w:rsidRPr="00D618B7" w:rsidRDefault="00766C27" w:rsidP="004B11B7">
            <w:pPr>
              <w:jc w:val="right"/>
              <w:rPr>
                <w:color w:val="000000"/>
              </w:rPr>
            </w:pPr>
            <w:r w:rsidRPr="00D618B7">
              <w:rPr>
                <w:color w:val="000000"/>
              </w:rPr>
              <w:t>0.78</w:t>
            </w:r>
          </w:p>
        </w:tc>
      </w:tr>
    </w:tbl>
    <w:p w14:paraId="7F445E4B" w14:textId="77777777" w:rsidR="00766C27" w:rsidRPr="00D618B7" w:rsidRDefault="00766C27" w:rsidP="00766C27">
      <w:pPr>
        <w:rPr>
          <w:b/>
          <w:bCs/>
        </w:rPr>
      </w:pPr>
    </w:p>
    <w:p w14:paraId="7CE266AB" w14:textId="77777777" w:rsidR="00766C27" w:rsidRPr="00D618B7" w:rsidRDefault="00766C27" w:rsidP="00766C27">
      <w:r w:rsidRPr="00D618B7">
        <w:rPr>
          <w:i/>
          <w:iCs/>
        </w:rPr>
        <w:t>Note</w:t>
      </w:r>
      <w:r w:rsidRPr="00D618B7">
        <w:t>: This table lists the estimated mean frequency and standard errors for face, hand, and mouth events for each week of observation around reach-onset.</w:t>
      </w:r>
    </w:p>
    <w:p w14:paraId="06699EAA" w14:textId="77777777" w:rsidR="007E1678" w:rsidRPr="00D618B7" w:rsidRDefault="007E1678" w:rsidP="007E1678"/>
    <w:p w14:paraId="51DE2018" w14:textId="5C6B6082" w:rsidR="00766C27" w:rsidRPr="00D618B7" w:rsidRDefault="004B7288" w:rsidP="007C5074">
      <w:pPr>
        <w:pStyle w:val="Caption"/>
      </w:pPr>
      <w:bookmarkStart w:id="135" w:name="_Toc172716838"/>
      <w:r w:rsidRPr="00D618B7">
        <w:t xml:space="preserve">Table </w:t>
      </w:r>
      <w:r w:rsidR="00000000">
        <w:fldChar w:fldCharType="begin"/>
      </w:r>
      <w:r w:rsidR="00000000">
        <w:instrText xml:space="preserve"> SEQ Table \* ARABIC </w:instrText>
      </w:r>
      <w:r w:rsidR="00000000">
        <w:fldChar w:fldCharType="separate"/>
      </w:r>
      <w:r w:rsidR="000C6E43">
        <w:rPr>
          <w:noProof/>
        </w:rPr>
        <w:t>10</w:t>
      </w:r>
      <w:r w:rsidR="00000000">
        <w:rPr>
          <w:noProof/>
        </w:rPr>
        <w:fldChar w:fldCharType="end"/>
      </w:r>
      <w:r w:rsidR="00B045D0" w:rsidRPr="00D618B7">
        <w:t>:</w:t>
      </w:r>
      <w:r w:rsidR="00B045D0" w:rsidRPr="00D618B7">
        <w:rPr>
          <w:rFonts w:eastAsia="Aptos"/>
        </w:rPr>
        <w:t xml:space="preserve"> Event frequency by week and proximity</w:t>
      </w:r>
      <w:bookmarkEnd w:id="135"/>
    </w:p>
    <w:p w14:paraId="51822969" w14:textId="77777777" w:rsidR="00766C27" w:rsidRPr="00D618B7" w:rsidRDefault="00766C27" w:rsidP="00766C27">
      <w:r w:rsidRPr="00D618B7">
        <w:t>Estimated Mean Event Frequency by Proximity per Week</w:t>
      </w:r>
    </w:p>
    <w:tbl>
      <w:tblPr>
        <w:tblW w:w="5094" w:type="pct"/>
        <w:tblLook w:val="04A0" w:firstRow="1" w:lastRow="0" w:firstColumn="1" w:lastColumn="0" w:noHBand="0" w:noVBand="1"/>
      </w:tblPr>
      <w:tblGrid>
        <w:gridCol w:w="939"/>
        <w:gridCol w:w="1087"/>
        <w:gridCol w:w="1790"/>
        <w:gridCol w:w="1012"/>
        <w:gridCol w:w="1667"/>
        <w:gridCol w:w="871"/>
        <w:gridCol w:w="1436"/>
      </w:tblGrid>
      <w:tr w:rsidR="00766C27" w:rsidRPr="00D618B7" w14:paraId="066FDDDC" w14:textId="77777777" w:rsidTr="008839D5">
        <w:trPr>
          <w:trHeight w:val="279"/>
        </w:trPr>
        <w:tc>
          <w:tcPr>
            <w:tcW w:w="533" w:type="pct"/>
            <w:tcBorders>
              <w:top w:val="single" w:sz="4" w:space="0" w:color="auto"/>
              <w:left w:val="nil"/>
              <w:bottom w:val="nil"/>
              <w:right w:val="nil"/>
            </w:tcBorders>
            <w:shd w:val="clear" w:color="000000" w:fill="FFFFFF"/>
            <w:vAlign w:val="center"/>
            <w:hideMark/>
          </w:tcPr>
          <w:p w14:paraId="097B822E" w14:textId="77777777" w:rsidR="00766C27" w:rsidRPr="00D618B7" w:rsidRDefault="00766C27" w:rsidP="004B11B7">
            <w:pPr>
              <w:rPr>
                <w:color w:val="000000"/>
                <w:sz w:val="22"/>
                <w:szCs w:val="22"/>
              </w:rPr>
            </w:pPr>
            <w:r w:rsidRPr="00D618B7">
              <w:rPr>
                <w:color w:val="000000"/>
                <w:sz w:val="22"/>
                <w:szCs w:val="22"/>
              </w:rPr>
              <w:t>Week</w:t>
            </w:r>
          </w:p>
        </w:tc>
        <w:tc>
          <w:tcPr>
            <w:tcW w:w="1634" w:type="pct"/>
            <w:gridSpan w:val="2"/>
            <w:tcBorders>
              <w:top w:val="single" w:sz="4" w:space="0" w:color="auto"/>
              <w:left w:val="nil"/>
              <w:bottom w:val="single" w:sz="8" w:space="0" w:color="auto"/>
              <w:right w:val="nil"/>
            </w:tcBorders>
            <w:shd w:val="clear" w:color="000000" w:fill="FFFFFF"/>
            <w:vAlign w:val="center"/>
            <w:hideMark/>
          </w:tcPr>
          <w:p w14:paraId="623DDACD" w14:textId="77777777" w:rsidR="00766C27" w:rsidRPr="00D618B7" w:rsidRDefault="00766C27" w:rsidP="004B11B7">
            <w:pPr>
              <w:jc w:val="center"/>
              <w:rPr>
                <w:color w:val="000000"/>
                <w:sz w:val="22"/>
                <w:szCs w:val="22"/>
              </w:rPr>
            </w:pPr>
            <w:r w:rsidRPr="00D618B7">
              <w:rPr>
                <w:color w:val="000000"/>
                <w:sz w:val="22"/>
                <w:szCs w:val="22"/>
              </w:rPr>
              <w:t>Toy-out-of-Reach</w:t>
            </w:r>
          </w:p>
        </w:tc>
        <w:tc>
          <w:tcPr>
            <w:tcW w:w="1522" w:type="pct"/>
            <w:gridSpan w:val="2"/>
            <w:tcBorders>
              <w:top w:val="single" w:sz="4" w:space="0" w:color="auto"/>
              <w:left w:val="nil"/>
              <w:bottom w:val="single" w:sz="8" w:space="0" w:color="auto"/>
              <w:right w:val="nil"/>
            </w:tcBorders>
            <w:shd w:val="clear" w:color="000000" w:fill="FFFFFF"/>
            <w:vAlign w:val="center"/>
            <w:hideMark/>
          </w:tcPr>
          <w:p w14:paraId="79FFDE3C" w14:textId="77777777" w:rsidR="00766C27" w:rsidRPr="00D618B7" w:rsidRDefault="00766C27" w:rsidP="004B11B7">
            <w:pPr>
              <w:jc w:val="center"/>
              <w:rPr>
                <w:color w:val="000000"/>
                <w:sz w:val="22"/>
                <w:szCs w:val="22"/>
              </w:rPr>
            </w:pPr>
            <w:r w:rsidRPr="00D618B7">
              <w:rPr>
                <w:color w:val="000000"/>
                <w:sz w:val="22"/>
                <w:szCs w:val="22"/>
              </w:rPr>
              <w:t>Toy-Moving-into-Reach</w:t>
            </w:r>
          </w:p>
        </w:tc>
        <w:tc>
          <w:tcPr>
            <w:tcW w:w="1311" w:type="pct"/>
            <w:gridSpan w:val="2"/>
            <w:tcBorders>
              <w:top w:val="single" w:sz="4" w:space="0" w:color="auto"/>
              <w:left w:val="nil"/>
              <w:bottom w:val="single" w:sz="8" w:space="0" w:color="auto"/>
              <w:right w:val="nil"/>
            </w:tcBorders>
            <w:shd w:val="clear" w:color="000000" w:fill="FFFFFF"/>
            <w:vAlign w:val="center"/>
            <w:hideMark/>
          </w:tcPr>
          <w:p w14:paraId="67FD95FC" w14:textId="77777777" w:rsidR="00766C27" w:rsidRPr="00D618B7" w:rsidRDefault="00766C27" w:rsidP="004B11B7">
            <w:pPr>
              <w:jc w:val="center"/>
              <w:rPr>
                <w:color w:val="000000"/>
                <w:sz w:val="22"/>
                <w:szCs w:val="22"/>
              </w:rPr>
            </w:pPr>
            <w:r w:rsidRPr="00D618B7">
              <w:rPr>
                <w:color w:val="000000"/>
                <w:sz w:val="22"/>
                <w:szCs w:val="22"/>
              </w:rPr>
              <w:t>Toy-in-Reach</w:t>
            </w:r>
          </w:p>
        </w:tc>
      </w:tr>
      <w:tr w:rsidR="008839D5" w:rsidRPr="00D618B7" w14:paraId="4555DF8E" w14:textId="77777777" w:rsidTr="008839D5">
        <w:trPr>
          <w:trHeight w:val="279"/>
        </w:trPr>
        <w:tc>
          <w:tcPr>
            <w:tcW w:w="533" w:type="pct"/>
            <w:tcBorders>
              <w:top w:val="nil"/>
              <w:left w:val="nil"/>
              <w:bottom w:val="single" w:sz="8" w:space="0" w:color="auto"/>
              <w:right w:val="nil"/>
            </w:tcBorders>
            <w:shd w:val="clear" w:color="000000" w:fill="FFFFFF"/>
            <w:noWrap/>
            <w:vAlign w:val="bottom"/>
            <w:hideMark/>
          </w:tcPr>
          <w:p w14:paraId="0C9EF753" w14:textId="77777777" w:rsidR="00766C27" w:rsidRPr="00D618B7" w:rsidRDefault="00766C27" w:rsidP="004B11B7">
            <w:pPr>
              <w:rPr>
                <w:color w:val="000000"/>
                <w:sz w:val="22"/>
                <w:szCs w:val="22"/>
              </w:rPr>
            </w:pPr>
            <w:r w:rsidRPr="00D618B7">
              <w:rPr>
                <w:color w:val="000000"/>
                <w:sz w:val="22"/>
                <w:szCs w:val="22"/>
              </w:rPr>
              <w:t> </w:t>
            </w:r>
          </w:p>
        </w:tc>
        <w:tc>
          <w:tcPr>
            <w:tcW w:w="617" w:type="pct"/>
            <w:tcBorders>
              <w:top w:val="nil"/>
              <w:left w:val="nil"/>
              <w:bottom w:val="single" w:sz="8" w:space="0" w:color="auto"/>
              <w:right w:val="nil"/>
            </w:tcBorders>
            <w:shd w:val="clear" w:color="000000" w:fill="FFFFFF"/>
            <w:noWrap/>
            <w:vAlign w:val="center"/>
            <w:hideMark/>
          </w:tcPr>
          <w:p w14:paraId="4982D9AF" w14:textId="77777777" w:rsidR="00766C27" w:rsidRPr="00D618B7" w:rsidRDefault="00766C27" w:rsidP="004B11B7">
            <w:pPr>
              <w:jc w:val="right"/>
              <w:rPr>
                <w:color w:val="000000"/>
                <w:sz w:val="22"/>
                <w:szCs w:val="22"/>
              </w:rPr>
            </w:pPr>
            <w:r w:rsidRPr="00D618B7">
              <w:rPr>
                <w:color w:val="000000"/>
                <w:sz w:val="22"/>
                <w:szCs w:val="22"/>
              </w:rPr>
              <w:t>Mean</w:t>
            </w:r>
          </w:p>
        </w:tc>
        <w:tc>
          <w:tcPr>
            <w:tcW w:w="1017" w:type="pct"/>
            <w:tcBorders>
              <w:top w:val="nil"/>
              <w:left w:val="nil"/>
              <w:bottom w:val="single" w:sz="8" w:space="0" w:color="auto"/>
              <w:right w:val="nil"/>
            </w:tcBorders>
            <w:shd w:val="clear" w:color="000000" w:fill="FFFFFF"/>
            <w:noWrap/>
            <w:vAlign w:val="center"/>
            <w:hideMark/>
          </w:tcPr>
          <w:p w14:paraId="3BE5E0B2" w14:textId="77777777" w:rsidR="00766C27" w:rsidRPr="00D618B7" w:rsidRDefault="00766C27" w:rsidP="004B11B7">
            <w:pPr>
              <w:jc w:val="right"/>
              <w:rPr>
                <w:color w:val="000000"/>
                <w:sz w:val="22"/>
                <w:szCs w:val="22"/>
              </w:rPr>
            </w:pPr>
            <w:r w:rsidRPr="00D618B7">
              <w:rPr>
                <w:color w:val="000000"/>
                <w:sz w:val="22"/>
                <w:szCs w:val="22"/>
              </w:rPr>
              <w:t>Std. Error</w:t>
            </w:r>
          </w:p>
        </w:tc>
        <w:tc>
          <w:tcPr>
            <w:tcW w:w="575" w:type="pct"/>
            <w:tcBorders>
              <w:top w:val="nil"/>
              <w:left w:val="nil"/>
              <w:bottom w:val="single" w:sz="8" w:space="0" w:color="auto"/>
              <w:right w:val="nil"/>
            </w:tcBorders>
            <w:shd w:val="clear" w:color="000000" w:fill="FFFFFF"/>
            <w:noWrap/>
            <w:vAlign w:val="center"/>
            <w:hideMark/>
          </w:tcPr>
          <w:p w14:paraId="7CE9E97F" w14:textId="77777777" w:rsidR="00766C27" w:rsidRPr="00D618B7" w:rsidRDefault="00766C27" w:rsidP="004B11B7">
            <w:pPr>
              <w:jc w:val="right"/>
              <w:rPr>
                <w:color w:val="000000"/>
                <w:sz w:val="22"/>
                <w:szCs w:val="22"/>
              </w:rPr>
            </w:pPr>
            <w:r w:rsidRPr="00D618B7">
              <w:rPr>
                <w:color w:val="000000"/>
                <w:sz w:val="22"/>
                <w:szCs w:val="22"/>
              </w:rPr>
              <w:t>Mean</w:t>
            </w:r>
          </w:p>
        </w:tc>
        <w:tc>
          <w:tcPr>
            <w:tcW w:w="947" w:type="pct"/>
            <w:tcBorders>
              <w:top w:val="nil"/>
              <w:left w:val="nil"/>
              <w:bottom w:val="single" w:sz="8" w:space="0" w:color="auto"/>
              <w:right w:val="nil"/>
            </w:tcBorders>
            <w:shd w:val="clear" w:color="000000" w:fill="FFFFFF"/>
            <w:noWrap/>
            <w:vAlign w:val="center"/>
            <w:hideMark/>
          </w:tcPr>
          <w:p w14:paraId="34AFAF5D" w14:textId="77777777" w:rsidR="00766C27" w:rsidRPr="00D618B7" w:rsidRDefault="00766C27" w:rsidP="004B11B7">
            <w:pPr>
              <w:jc w:val="right"/>
              <w:rPr>
                <w:color w:val="000000"/>
                <w:sz w:val="22"/>
                <w:szCs w:val="22"/>
              </w:rPr>
            </w:pPr>
            <w:r w:rsidRPr="00D618B7">
              <w:rPr>
                <w:color w:val="000000"/>
                <w:sz w:val="22"/>
                <w:szCs w:val="22"/>
              </w:rPr>
              <w:t>Std. Error</w:t>
            </w:r>
          </w:p>
        </w:tc>
        <w:tc>
          <w:tcPr>
            <w:tcW w:w="495" w:type="pct"/>
            <w:tcBorders>
              <w:top w:val="nil"/>
              <w:left w:val="nil"/>
              <w:bottom w:val="single" w:sz="8" w:space="0" w:color="auto"/>
              <w:right w:val="nil"/>
            </w:tcBorders>
            <w:shd w:val="clear" w:color="000000" w:fill="FFFFFF"/>
            <w:noWrap/>
            <w:vAlign w:val="center"/>
            <w:hideMark/>
          </w:tcPr>
          <w:p w14:paraId="52E750EF" w14:textId="77777777" w:rsidR="00766C27" w:rsidRPr="00D618B7" w:rsidRDefault="00766C27" w:rsidP="004B11B7">
            <w:pPr>
              <w:jc w:val="right"/>
              <w:rPr>
                <w:color w:val="000000"/>
                <w:sz w:val="22"/>
                <w:szCs w:val="22"/>
              </w:rPr>
            </w:pPr>
            <w:r w:rsidRPr="00D618B7">
              <w:rPr>
                <w:color w:val="000000"/>
                <w:sz w:val="22"/>
                <w:szCs w:val="22"/>
              </w:rPr>
              <w:t>Mean</w:t>
            </w:r>
          </w:p>
        </w:tc>
        <w:tc>
          <w:tcPr>
            <w:tcW w:w="816" w:type="pct"/>
            <w:tcBorders>
              <w:top w:val="nil"/>
              <w:left w:val="nil"/>
              <w:bottom w:val="single" w:sz="8" w:space="0" w:color="auto"/>
              <w:right w:val="nil"/>
            </w:tcBorders>
            <w:shd w:val="clear" w:color="000000" w:fill="FFFFFF"/>
            <w:noWrap/>
            <w:vAlign w:val="center"/>
            <w:hideMark/>
          </w:tcPr>
          <w:p w14:paraId="0F18CBFA" w14:textId="77777777" w:rsidR="00766C27" w:rsidRPr="00D618B7" w:rsidRDefault="00766C27" w:rsidP="004B11B7">
            <w:pPr>
              <w:jc w:val="right"/>
              <w:rPr>
                <w:color w:val="000000"/>
                <w:sz w:val="22"/>
                <w:szCs w:val="22"/>
              </w:rPr>
            </w:pPr>
            <w:r w:rsidRPr="00D618B7">
              <w:rPr>
                <w:color w:val="000000"/>
                <w:sz w:val="22"/>
                <w:szCs w:val="22"/>
              </w:rPr>
              <w:t>Std. Error</w:t>
            </w:r>
          </w:p>
        </w:tc>
      </w:tr>
      <w:tr w:rsidR="008839D5" w:rsidRPr="00D618B7" w14:paraId="79763BB5" w14:textId="77777777" w:rsidTr="008839D5">
        <w:trPr>
          <w:trHeight w:val="279"/>
        </w:trPr>
        <w:tc>
          <w:tcPr>
            <w:tcW w:w="533" w:type="pct"/>
            <w:tcBorders>
              <w:top w:val="nil"/>
              <w:left w:val="nil"/>
              <w:bottom w:val="nil"/>
              <w:right w:val="nil"/>
            </w:tcBorders>
            <w:shd w:val="clear" w:color="000000" w:fill="FFFFFF"/>
            <w:vAlign w:val="center"/>
            <w:hideMark/>
          </w:tcPr>
          <w:p w14:paraId="0A6E2B19" w14:textId="77777777" w:rsidR="00766C27" w:rsidRPr="00D618B7" w:rsidRDefault="00766C27" w:rsidP="004B11B7">
            <w:pPr>
              <w:jc w:val="right"/>
              <w:rPr>
                <w:color w:val="000000"/>
                <w:sz w:val="22"/>
                <w:szCs w:val="22"/>
              </w:rPr>
            </w:pPr>
            <w:r w:rsidRPr="00D618B7">
              <w:rPr>
                <w:color w:val="000000"/>
                <w:sz w:val="22"/>
                <w:szCs w:val="22"/>
              </w:rPr>
              <w:t>-5</w:t>
            </w:r>
          </w:p>
        </w:tc>
        <w:tc>
          <w:tcPr>
            <w:tcW w:w="617" w:type="pct"/>
            <w:tcBorders>
              <w:top w:val="nil"/>
              <w:left w:val="nil"/>
              <w:bottom w:val="nil"/>
              <w:right w:val="nil"/>
            </w:tcBorders>
            <w:shd w:val="clear" w:color="000000" w:fill="FFFFFF"/>
            <w:noWrap/>
            <w:vAlign w:val="center"/>
            <w:hideMark/>
          </w:tcPr>
          <w:p w14:paraId="3F780FC3" w14:textId="77777777" w:rsidR="00766C27" w:rsidRPr="00D618B7" w:rsidRDefault="00766C27" w:rsidP="004B11B7">
            <w:pPr>
              <w:jc w:val="right"/>
              <w:rPr>
                <w:color w:val="000000"/>
                <w:sz w:val="22"/>
                <w:szCs w:val="22"/>
              </w:rPr>
            </w:pPr>
            <w:r w:rsidRPr="00D618B7">
              <w:rPr>
                <w:color w:val="000000"/>
                <w:sz w:val="22"/>
                <w:szCs w:val="22"/>
              </w:rPr>
              <w:t>1.30</w:t>
            </w:r>
          </w:p>
        </w:tc>
        <w:tc>
          <w:tcPr>
            <w:tcW w:w="1017" w:type="pct"/>
            <w:tcBorders>
              <w:top w:val="nil"/>
              <w:left w:val="nil"/>
              <w:bottom w:val="nil"/>
              <w:right w:val="nil"/>
            </w:tcBorders>
            <w:shd w:val="clear" w:color="000000" w:fill="FFFFFF"/>
            <w:noWrap/>
            <w:vAlign w:val="center"/>
            <w:hideMark/>
          </w:tcPr>
          <w:p w14:paraId="7C016FB9" w14:textId="77777777" w:rsidR="00766C27" w:rsidRPr="00D618B7" w:rsidRDefault="00766C27" w:rsidP="004B11B7">
            <w:pPr>
              <w:jc w:val="right"/>
              <w:rPr>
                <w:color w:val="000000"/>
                <w:sz w:val="22"/>
                <w:szCs w:val="22"/>
              </w:rPr>
            </w:pPr>
            <w:r w:rsidRPr="00D618B7">
              <w:rPr>
                <w:color w:val="000000"/>
                <w:sz w:val="22"/>
                <w:szCs w:val="22"/>
              </w:rPr>
              <w:t>0.77</w:t>
            </w:r>
          </w:p>
        </w:tc>
        <w:tc>
          <w:tcPr>
            <w:tcW w:w="575" w:type="pct"/>
            <w:tcBorders>
              <w:top w:val="nil"/>
              <w:left w:val="nil"/>
              <w:bottom w:val="nil"/>
              <w:right w:val="nil"/>
            </w:tcBorders>
            <w:shd w:val="clear" w:color="000000" w:fill="FFFFFF"/>
            <w:noWrap/>
            <w:vAlign w:val="center"/>
            <w:hideMark/>
          </w:tcPr>
          <w:p w14:paraId="5E27FBC6" w14:textId="77777777" w:rsidR="00766C27" w:rsidRPr="00D618B7" w:rsidRDefault="00766C27" w:rsidP="004B11B7">
            <w:pPr>
              <w:jc w:val="right"/>
              <w:rPr>
                <w:color w:val="000000"/>
                <w:sz w:val="22"/>
                <w:szCs w:val="22"/>
              </w:rPr>
            </w:pPr>
            <w:r w:rsidRPr="00D618B7">
              <w:rPr>
                <w:color w:val="000000"/>
                <w:sz w:val="22"/>
                <w:szCs w:val="22"/>
              </w:rPr>
              <w:t>-0.32</w:t>
            </w:r>
          </w:p>
        </w:tc>
        <w:tc>
          <w:tcPr>
            <w:tcW w:w="947" w:type="pct"/>
            <w:tcBorders>
              <w:top w:val="nil"/>
              <w:left w:val="nil"/>
              <w:bottom w:val="nil"/>
              <w:right w:val="nil"/>
            </w:tcBorders>
            <w:shd w:val="clear" w:color="000000" w:fill="FFFFFF"/>
            <w:noWrap/>
            <w:vAlign w:val="center"/>
            <w:hideMark/>
          </w:tcPr>
          <w:p w14:paraId="3EF2C69A" w14:textId="77777777" w:rsidR="00766C27" w:rsidRPr="00D618B7" w:rsidRDefault="00766C27" w:rsidP="004B11B7">
            <w:pPr>
              <w:jc w:val="right"/>
              <w:rPr>
                <w:color w:val="000000"/>
                <w:sz w:val="22"/>
                <w:szCs w:val="22"/>
              </w:rPr>
            </w:pPr>
            <w:r w:rsidRPr="00D618B7">
              <w:rPr>
                <w:color w:val="000000"/>
                <w:sz w:val="22"/>
                <w:szCs w:val="22"/>
              </w:rPr>
              <w:t>0.77</w:t>
            </w:r>
          </w:p>
        </w:tc>
        <w:tc>
          <w:tcPr>
            <w:tcW w:w="495" w:type="pct"/>
            <w:tcBorders>
              <w:top w:val="nil"/>
              <w:left w:val="nil"/>
              <w:bottom w:val="nil"/>
              <w:right w:val="nil"/>
            </w:tcBorders>
            <w:shd w:val="clear" w:color="000000" w:fill="FFFFFF"/>
            <w:noWrap/>
            <w:vAlign w:val="center"/>
            <w:hideMark/>
          </w:tcPr>
          <w:p w14:paraId="02B9DC76" w14:textId="77777777" w:rsidR="00766C27" w:rsidRPr="00D618B7" w:rsidRDefault="00766C27" w:rsidP="004B11B7">
            <w:pPr>
              <w:jc w:val="right"/>
              <w:rPr>
                <w:color w:val="000000"/>
                <w:sz w:val="22"/>
                <w:szCs w:val="22"/>
              </w:rPr>
            </w:pPr>
            <w:r w:rsidRPr="00D618B7">
              <w:rPr>
                <w:color w:val="000000"/>
                <w:sz w:val="22"/>
                <w:szCs w:val="22"/>
              </w:rPr>
              <w:t>0.48</w:t>
            </w:r>
          </w:p>
        </w:tc>
        <w:tc>
          <w:tcPr>
            <w:tcW w:w="816" w:type="pct"/>
            <w:tcBorders>
              <w:top w:val="nil"/>
              <w:left w:val="nil"/>
              <w:bottom w:val="nil"/>
              <w:right w:val="nil"/>
            </w:tcBorders>
            <w:shd w:val="clear" w:color="000000" w:fill="FFFFFF"/>
            <w:noWrap/>
            <w:vAlign w:val="center"/>
            <w:hideMark/>
          </w:tcPr>
          <w:p w14:paraId="2F4B5E87" w14:textId="77777777" w:rsidR="00766C27" w:rsidRPr="00D618B7" w:rsidRDefault="00766C27" w:rsidP="004B11B7">
            <w:pPr>
              <w:jc w:val="right"/>
              <w:rPr>
                <w:color w:val="000000"/>
                <w:sz w:val="22"/>
                <w:szCs w:val="22"/>
              </w:rPr>
            </w:pPr>
            <w:r w:rsidRPr="00D618B7">
              <w:rPr>
                <w:color w:val="000000"/>
                <w:sz w:val="22"/>
                <w:szCs w:val="22"/>
              </w:rPr>
              <w:t>0.79</w:t>
            </w:r>
          </w:p>
        </w:tc>
      </w:tr>
      <w:tr w:rsidR="008839D5" w:rsidRPr="00D618B7" w14:paraId="7970BBB9" w14:textId="77777777" w:rsidTr="008839D5">
        <w:trPr>
          <w:trHeight w:val="279"/>
        </w:trPr>
        <w:tc>
          <w:tcPr>
            <w:tcW w:w="533" w:type="pct"/>
            <w:tcBorders>
              <w:top w:val="nil"/>
              <w:left w:val="nil"/>
              <w:bottom w:val="nil"/>
              <w:right w:val="nil"/>
            </w:tcBorders>
            <w:shd w:val="clear" w:color="000000" w:fill="FFFFFF"/>
            <w:vAlign w:val="center"/>
            <w:hideMark/>
          </w:tcPr>
          <w:p w14:paraId="47DD775B" w14:textId="77777777" w:rsidR="00766C27" w:rsidRPr="00D618B7" w:rsidRDefault="00766C27" w:rsidP="004B11B7">
            <w:pPr>
              <w:jc w:val="right"/>
              <w:rPr>
                <w:color w:val="000000"/>
                <w:sz w:val="22"/>
                <w:szCs w:val="22"/>
              </w:rPr>
            </w:pPr>
            <w:r w:rsidRPr="00D618B7">
              <w:rPr>
                <w:color w:val="000000"/>
                <w:sz w:val="22"/>
                <w:szCs w:val="22"/>
              </w:rPr>
              <w:t>-4</w:t>
            </w:r>
          </w:p>
        </w:tc>
        <w:tc>
          <w:tcPr>
            <w:tcW w:w="617" w:type="pct"/>
            <w:tcBorders>
              <w:top w:val="nil"/>
              <w:left w:val="nil"/>
              <w:bottom w:val="nil"/>
              <w:right w:val="nil"/>
            </w:tcBorders>
            <w:shd w:val="clear" w:color="000000" w:fill="FFFFFF"/>
            <w:noWrap/>
            <w:vAlign w:val="center"/>
            <w:hideMark/>
          </w:tcPr>
          <w:p w14:paraId="1638A76B" w14:textId="77777777" w:rsidR="00766C27" w:rsidRPr="00D618B7" w:rsidRDefault="00766C27" w:rsidP="004B11B7">
            <w:pPr>
              <w:jc w:val="right"/>
              <w:rPr>
                <w:color w:val="000000"/>
                <w:sz w:val="22"/>
                <w:szCs w:val="22"/>
              </w:rPr>
            </w:pPr>
            <w:r w:rsidRPr="00D618B7">
              <w:rPr>
                <w:color w:val="000000"/>
                <w:sz w:val="22"/>
                <w:szCs w:val="22"/>
              </w:rPr>
              <w:t>0.22</w:t>
            </w:r>
          </w:p>
        </w:tc>
        <w:tc>
          <w:tcPr>
            <w:tcW w:w="1017" w:type="pct"/>
            <w:tcBorders>
              <w:top w:val="nil"/>
              <w:left w:val="nil"/>
              <w:bottom w:val="nil"/>
              <w:right w:val="nil"/>
            </w:tcBorders>
            <w:shd w:val="clear" w:color="000000" w:fill="FFFFFF"/>
            <w:noWrap/>
            <w:vAlign w:val="center"/>
            <w:hideMark/>
          </w:tcPr>
          <w:p w14:paraId="167B60AE" w14:textId="77777777" w:rsidR="00766C27" w:rsidRPr="00D618B7" w:rsidRDefault="00766C27" w:rsidP="004B11B7">
            <w:pPr>
              <w:jc w:val="right"/>
              <w:rPr>
                <w:color w:val="000000"/>
                <w:sz w:val="22"/>
                <w:szCs w:val="22"/>
              </w:rPr>
            </w:pPr>
            <w:r w:rsidRPr="00D618B7">
              <w:rPr>
                <w:color w:val="000000"/>
                <w:sz w:val="22"/>
                <w:szCs w:val="22"/>
              </w:rPr>
              <w:t>0.80</w:t>
            </w:r>
          </w:p>
        </w:tc>
        <w:tc>
          <w:tcPr>
            <w:tcW w:w="575" w:type="pct"/>
            <w:tcBorders>
              <w:top w:val="nil"/>
              <w:left w:val="nil"/>
              <w:bottom w:val="nil"/>
              <w:right w:val="nil"/>
            </w:tcBorders>
            <w:shd w:val="clear" w:color="000000" w:fill="FFFFFF"/>
            <w:noWrap/>
            <w:vAlign w:val="center"/>
            <w:hideMark/>
          </w:tcPr>
          <w:p w14:paraId="1638BE84" w14:textId="77777777" w:rsidR="00766C27" w:rsidRPr="00D618B7" w:rsidRDefault="00766C27" w:rsidP="004B11B7">
            <w:pPr>
              <w:jc w:val="right"/>
              <w:rPr>
                <w:color w:val="000000"/>
                <w:sz w:val="22"/>
                <w:szCs w:val="22"/>
              </w:rPr>
            </w:pPr>
            <w:r w:rsidRPr="00D618B7">
              <w:rPr>
                <w:color w:val="000000"/>
                <w:sz w:val="22"/>
                <w:szCs w:val="22"/>
              </w:rPr>
              <w:t>0.45</w:t>
            </w:r>
          </w:p>
        </w:tc>
        <w:tc>
          <w:tcPr>
            <w:tcW w:w="947" w:type="pct"/>
            <w:tcBorders>
              <w:top w:val="nil"/>
              <w:left w:val="nil"/>
              <w:bottom w:val="nil"/>
              <w:right w:val="nil"/>
            </w:tcBorders>
            <w:shd w:val="clear" w:color="000000" w:fill="FFFFFF"/>
            <w:noWrap/>
            <w:vAlign w:val="center"/>
            <w:hideMark/>
          </w:tcPr>
          <w:p w14:paraId="19F1967D" w14:textId="77777777" w:rsidR="00766C27" w:rsidRPr="00D618B7" w:rsidRDefault="00766C27" w:rsidP="004B11B7">
            <w:pPr>
              <w:jc w:val="right"/>
              <w:rPr>
                <w:color w:val="000000"/>
                <w:sz w:val="22"/>
                <w:szCs w:val="22"/>
              </w:rPr>
            </w:pPr>
            <w:r w:rsidRPr="00D618B7">
              <w:rPr>
                <w:color w:val="000000"/>
                <w:sz w:val="22"/>
                <w:szCs w:val="22"/>
              </w:rPr>
              <w:t>0.80</w:t>
            </w:r>
          </w:p>
        </w:tc>
        <w:tc>
          <w:tcPr>
            <w:tcW w:w="495" w:type="pct"/>
            <w:tcBorders>
              <w:top w:val="nil"/>
              <w:left w:val="nil"/>
              <w:bottom w:val="nil"/>
              <w:right w:val="nil"/>
            </w:tcBorders>
            <w:shd w:val="clear" w:color="000000" w:fill="FFFFFF"/>
            <w:noWrap/>
            <w:vAlign w:val="center"/>
            <w:hideMark/>
          </w:tcPr>
          <w:p w14:paraId="6426E64A" w14:textId="77777777" w:rsidR="00766C27" w:rsidRPr="00D618B7" w:rsidRDefault="00766C27" w:rsidP="004B11B7">
            <w:pPr>
              <w:jc w:val="right"/>
              <w:rPr>
                <w:color w:val="000000"/>
                <w:sz w:val="22"/>
                <w:szCs w:val="22"/>
              </w:rPr>
            </w:pPr>
            <w:r w:rsidRPr="00D618B7">
              <w:rPr>
                <w:color w:val="000000"/>
                <w:sz w:val="22"/>
                <w:szCs w:val="22"/>
              </w:rPr>
              <w:t>0.78</w:t>
            </w:r>
          </w:p>
        </w:tc>
        <w:tc>
          <w:tcPr>
            <w:tcW w:w="816" w:type="pct"/>
            <w:tcBorders>
              <w:top w:val="nil"/>
              <w:left w:val="nil"/>
              <w:bottom w:val="nil"/>
              <w:right w:val="nil"/>
            </w:tcBorders>
            <w:shd w:val="clear" w:color="000000" w:fill="FFFFFF"/>
            <w:noWrap/>
            <w:vAlign w:val="center"/>
            <w:hideMark/>
          </w:tcPr>
          <w:p w14:paraId="435D9D84" w14:textId="77777777" w:rsidR="00766C27" w:rsidRPr="00D618B7" w:rsidRDefault="00766C27" w:rsidP="004B11B7">
            <w:pPr>
              <w:jc w:val="right"/>
              <w:rPr>
                <w:color w:val="000000"/>
                <w:sz w:val="22"/>
                <w:szCs w:val="22"/>
              </w:rPr>
            </w:pPr>
            <w:r w:rsidRPr="00D618B7">
              <w:rPr>
                <w:color w:val="000000"/>
                <w:sz w:val="22"/>
                <w:szCs w:val="22"/>
              </w:rPr>
              <w:t>0.80</w:t>
            </w:r>
          </w:p>
        </w:tc>
      </w:tr>
      <w:tr w:rsidR="008839D5" w:rsidRPr="00D618B7" w14:paraId="2496432E" w14:textId="77777777" w:rsidTr="008839D5">
        <w:trPr>
          <w:trHeight w:val="279"/>
        </w:trPr>
        <w:tc>
          <w:tcPr>
            <w:tcW w:w="533" w:type="pct"/>
            <w:tcBorders>
              <w:top w:val="nil"/>
              <w:left w:val="nil"/>
              <w:bottom w:val="nil"/>
              <w:right w:val="nil"/>
            </w:tcBorders>
            <w:shd w:val="clear" w:color="000000" w:fill="FFFFFF"/>
            <w:vAlign w:val="center"/>
            <w:hideMark/>
          </w:tcPr>
          <w:p w14:paraId="74DEA230" w14:textId="77777777" w:rsidR="00766C27" w:rsidRPr="00D618B7" w:rsidRDefault="00766C27" w:rsidP="004B11B7">
            <w:pPr>
              <w:jc w:val="right"/>
              <w:rPr>
                <w:color w:val="000000"/>
                <w:sz w:val="22"/>
                <w:szCs w:val="22"/>
              </w:rPr>
            </w:pPr>
            <w:r w:rsidRPr="00D618B7">
              <w:rPr>
                <w:color w:val="000000"/>
                <w:sz w:val="22"/>
                <w:szCs w:val="22"/>
              </w:rPr>
              <w:t>-3</w:t>
            </w:r>
          </w:p>
        </w:tc>
        <w:tc>
          <w:tcPr>
            <w:tcW w:w="617" w:type="pct"/>
            <w:tcBorders>
              <w:top w:val="nil"/>
              <w:left w:val="nil"/>
              <w:bottom w:val="nil"/>
              <w:right w:val="nil"/>
            </w:tcBorders>
            <w:shd w:val="clear" w:color="000000" w:fill="FFFFFF"/>
            <w:noWrap/>
            <w:vAlign w:val="center"/>
            <w:hideMark/>
          </w:tcPr>
          <w:p w14:paraId="1C01008E" w14:textId="77777777" w:rsidR="00766C27" w:rsidRPr="00D618B7" w:rsidRDefault="00766C27" w:rsidP="004B11B7">
            <w:pPr>
              <w:jc w:val="right"/>
              <w:rPr>
                <w:color w:val="000000"/>
                <w:sz w:val="22"/>
                <w:szCs w:val="22"/>
              </w:rPr>
            </w:pPr>
            <w:r w:rsidRPr="00D618B7">
              <w:rPr>
                <w:color w:val="000000"/>
                <w:sz w:val="22"/>
                <w:szCs w:val="22"/>
              </w:rPr>
              <w:t>1.84</w:t>
            </w:r>
          </w:p>
        </w:tc>
        <w:tc>
          <w:tcPr>
            <w:tcW w:w="1017" w:type="pct"/>
            <w:tcBorders>
              <w:top w:val="nil"/>
              <w:left w:val="nil"/>
              <w:bottom w:val="nil"/>
              <w:right w:val="nil"/>
            </w:tcBorders>
            <w:shd w:val="clear" w:color="000000" w:fill="FFFFFF"/>
            <w:noWrap/>
            <w:vAlign w:val="center"/>
            <w:hideMark/>
          </w:tcPr>
          <w:p w14:paraId="6D7EF776" w14:textId="77777777" w:rsidR="00766C27" w:rsidRPr="00D618B7" w:rsidRDefault="00766C27" w:rsidP="004B11B7">
            <w:pPr>
              <w:jc w:val="right"/>
              <w:rPr>
                <w:color w:val="000000"/>
                <w:sz w:val="22"/>
                <w:szCs w:val="22"/>
              </w:rPr>
            </w:pPr>
            <w:r w:rsidRPr="00D618B7">
              <w:rPr>
                <w:color w:val="000000"/>
                <w:sz w:val="22"/>
                <w:szCs w:val="22"/>
              </w:rPr>
              <w:t>0.81</w:t>
            </w:r>
          </w:p>
        </w:tc>
        <w:tc>
          <w:tcPr>
            <w:tcW w:w="575" w:type="pct"/>
            <w:tcBorders>
              <w:top w:val="nil"/>
              <w:left w:val="nil"/>
              <w:bottom w:val="nil"/>
              <w:right w:val="nil"/>
            </w:tcBorders>
            <w:shd w:val="clear" w:color="000000" w:fill="FFFFFF"/>
            <w:noWrap/>
            <w:vAlign w:val="center"/>
            <w:hideMark/>
          </w:tcPr>
          <w:p w14:paraId="3AE86CB1" w14:textId="77777777" w:rsidR="00766C27" w:rsidRPr="00D618B7" w:rsidRDefault="00766C27" w:rsidP="004B11B7">
            <w:pPr>
              <w:jc w:val="right"/>
              <w:rPr>
                <w:color w:val="000000"/>
                <w:sz w:val="22"/>
                <w:szCs w:val="22"/>
              </w:rPr>
            </w:pPr>
            <w:r w:rsidRPr="00D618B7">
              <w:rPr>
                <w:color w:val="000000"/>
                <w:sz w:val="22"/>
                <w:szCs w:val="22"/>
              </w:rPr>
              <w:t>-0.13</w:t>
            </w:r>
          </w:p>
        </w:tc>
        <w:tc>
          <w:tcPr>
            <w:tcW w:w="947" w:type="pct"/>
            <w:tcBorders>
              <w:top w:val="nil"/>
              <w:left w:val="nil"/>
              <w:bottom w:val="nil"/>
              <w:right w:val="nil"/>
            </w:tcBorders>
            <w:shd w:val="clear" w:color="000000" w:fill="FFFFFF"/>
            <w:noWrap/>
            <w:vAlign w:val="center"/>
            <w:hideMark/>
          </w:tcPr>
          <w:p w14:paraId="019EA1D7" w14:textId="77777777" w:rsidR="00766C27" w:rsidRPr="00D618B7" w:rsidRDefault="00766C27" w:rsidP="004B11B7">
            <w:pPr>
              <w:jc w:val="right"/>
              <w:rPr>
                <w:color w:val="000000"/>
                <w:sz w:val="22"/>
                <w:szCs w:val="22"/>
              </w:rPr>
            </w:pPr>
            <w:r w:rsidRPr="00D618B7">
              <w:rPr>
                <w:color w:val="000000"/>
                <w:sz w:val="22"/>
                <w:szCs w:val="22"/>
              </w:rPr>
              <w:t>0.81</w:t>
            </w:r>
          </w:p>
        </w:tc>
        <w:tc>
          <w:tcPr>
            <w:tcW w:w="495" w:type="pct"/>
            <w:tcBorders>
              <w:top w:val="nil"/>
              <w:left w:val="nil"/>
              <w:bottom w:val="nil"/>
              <w:right w:val="nil"/>
            </w:tcBorders>
            <w:shd w:val="clear" w:color="000000" w:fill="FFFFFF"/>
            <w:noWrap/>
            <w:vAlign w:val="center"/>
            <w:hideMark/>
          </w:tcPr>
          <w:p w14:paraId="3DB358EC" w14:textId="77777777" w:rsidR="00766C27" w:rsidRPr="00D618B7" w:rsidRDefault="00766C27" w:rsidP="004B11B7">
            <w:pPr>
              <w:jc w:val="right"/>
              <w:rPr>
                <w:color w:val="000000"/>
                <w:sz w:val="22"/>
                <w:szCs w:val="22"/>
              </w:rPr>
            </w:pPr>
            <w:r w:rsidRPr="00D618B7">
              <w:rPr>
                <w:color w:val="000000"/>
                <w:sz w:val="22"/>
                <w:szCs w:val="22"/>
              </w:rPr>
              <w:t>3.93</w:t>
            </w:r>
          </w:p>
        </w:tc>
        <w:tc>
          <w:tcPr>
            <w:tcW w:w="816" w:type="pct"/>
            <w:tcBorders>
              <w:top w:val="nil"/>
              <w:left w:val="nil"/>
              <w:bottom w:val="nil"/>
              <w:right w:val="nil"/>
            </w:tcBorders>
            <w:shd w:val="clear" w:color="000000" w:fill="FFFFFF"/>
            <w:noWrap/>
            <w:vAlign w:val="center"/>
            <w:hideMark/>
          </w:tcPr>
          <w:p w14:paraId="246728D5" w14:textId="77777777" w:rsidR="00766C27" w:rsidRPr="00D618B7" w:rsidRDefault="00766C27" w:rsidP="004B11B7">
            <w:pPr>
              <w:jc w:val="right"/>
              <w:rPr>
                <w:color w:val="000000"/>
                <w:sz w:val="22"/>
                <w:szCs w:val="22"/>
              </w:rPr>
            </w:pPr>
            <w:r w:rsidRPr="00D618B7">
              <w:rPr>
                <w:color w:val="000000"/>
                <w:sz w:val="22"/>
                <w:szCs w:val="22"/>
              </w:rPr>
              <w:t>0.81</w:t>
            </w:r>
          </w:p>
        </w:tc>
      </w:tr>
      <w:tr w:rsidR="008839D5" w:rsidRPr="00D618B7" w14:paraId="491DC43D" w14:textId="77777777" w:rsidTr="008839D5">
        <w:trPr>
          <w:trHeight w:val="279"/>
        </w:trPr>
        <w:tc>
          <w:tcPr>
            <w:tcW w:w="533" w:type="pct"/>
            <w:tcBorders>
              <w:top w:val="nil"/>
              <w:left w:val="nil"/>
              <w:bottom w:val="nil"/>
              <w:right w:val="nil"/>
            </w:tcBorders>
            <w:shd w:val="clear" w:color="000000" w:fill="FFFFFF"/>
            <w:vAlign w:val="center"/>
            <w:hideMark/>
          </w:tcPr>
          <w:p w14:paraId="339C0059" w14:textId="77777777" w:rsidR="00766C27" w:rsidRPr="00D618B7" w:rsidRDefault="00766C27" w:rsidP="004B11B7">
            <w:pPr>
              <w:jc w:val="right"/>
              <w:rPr>
                <w:color w:val="000000"/>
                <w:sz w:val="22"/>
                <w:szCs w:val="22"/>
              </w:rPr>
            </w:pPr>
            <w:r w:rsidRPr="00D618B7">
              <w:rPr>
                <w:color w:val="000000"/>
                <w:sz w:val="22"/>
                <w:szCs w:val="22"/>
              </w:rPr>
              <w:t>-2</w:t>
            </w:r>
          </w:p>
        </w:tc>
        <w:tc>
          <w:tcPr>
            <w:tcW w:w="617" w:type="pct"/>
            <w:tcBorders>
              <w:top w:val="nil"/>
              <w:left w:val="nil"/>
              <w:bottom w:val="nil"/>
              <w:right w:val="nil"/>
            </w:tcBorders>
            <w:shd w:val="clear" w:color="000000" w:fill="FFFFFF"/>
            <w:noWrap/>
            <w:vAlign w:val="center"/>
            <w:hideMark/>
          </w:tcPr>
          <w:p w14:paraId="02C6187F" w14:textId="77777777" w:rsidR="00766C27" w:rsidRPr="00D618B7" w:rsidRDefault="00766C27" w:rsidP="004B11B7">
            <w:pPr>
              <w:jc w:val="right"/>
              <w:rPr>
                <w:color w:val="000000"/>
                <w:sz w:val="22"/>
                <w:szCs w:val="22"/>
              </w:rPr>
            </w:pPr>
            <w:r w:rsidRPr="00D618B7">
              <w:rPr>
                <w:color w:val="000000"/>
                <w:sz w:val="22"/>
                <w:szCs w:val="22"/>
              </w:rPr>
              <w:t>1.39</w:t>
            </w:r>
          </w:p>
        </w:tc>
        <w:tc>
          <w:tcPr>
            <w:tcW w:w="1017" w:type="pct"/>
            <w:tcBorders>
              <w:top w:val="nil"/>
              <w:left w:val="nil"/>
              <w:bottom w:val="nil"/>
              <w:right w:val="nil"/>
            </w:tcBorders>
            <w:shd w:val="clear" w:color="000000" w:fill="FFFFFF"/>
            <w:noWrap/>
            <w:vAlign w:val="center"/>
            <w:hideMark/>
          </w:tcPr>
          <w:p w14:paraId="04A68287" w14:textId="77777777" w:rsidR="00766C27" w:rsidRPr="00D618B7" w:rsidRDefault="00766C27" w:rsidP="004B11B7">
            <w:pPr>
              <w:jc w:val="right"/>
              <w:rPr>
                <w:color w:val="000000"/>
                <w:sz w:val="22"/>
                <w:szCs w:val="22"/>
              </w:rPr>
            </w:pPr>
            <w:r w:rsidRPr="00D618B7">
              <w:rPr>
                <w:color w:val="000000"/>
                <w:sz w:val="22"/>
                <w:szCs w:val="22"/>
              </w:rPr>
              <w:t>0.74</w:t>
            </w:r>
          </w:p>
        </w:tc>
        <w:tc>
          <w:tcPr>
            <w:tcW w:w="575" w:type="pct"/>
            <w:tcBorders>
              <w:top w:val="nil"/>
              <w:left w:val="nil"/>
              <w:bottom w:val="nil"/>
              <w:right w:val="nil"/>
            </w:tcBorders>
            <w:shd w:val="clear" w:color="000000" w:fill="FFFFFF"/>
            <w:noWrap/>
            <w:vAlign w:val="center"/>
            <w:hideMark/>
          </w:tcPr>
          <w:p w14:paraId="02EA25FA" w14:textId="77777777" w:rsidR="00766C27" w:rsidRPr="00D618B7" w:rsidRDefault="00766C27" w:rsidP="004B11B7">
            <w:pPr>
              <w:jc w:val="right"/>
              <w:rPr>
                <w:color w:val="000000"/>
                <w:sz w:val="22"/>
                <w:szCs w:val="22"/>
              </w:rPr>
            </w:pPr>
            <w:r w:rsidRPr="00D618B7">
              <w:rPr>
                <w:color w:val="000000"/>
                <w:sz w:val="22"/>
                <w:szCs w:val="22"/>
              </w:rPr>
              <w:t>0.29</w:t>
            </w:r>
          </w:p>
        </w:tc>
        <w:tc>
          <w:tcPr>
            <w:tcW w:w="947" w:type="pct"/>
            <w:tcBorders>
              <w:top w:val="nil"/>
              <w:left w:val="nil"/>
              <w:bottom w:val="nil"/>
              <w:right w:val="nil"/>
            </w:tcBorders>
            <w:shd w:val="clear" w:color="000000" w:fill="FFFFFF"/>
            <w:noWrap/>
            <w:vAlign w:val="center"/>
            <w:hideMark/>
          </w:tcPr>
          <w:p w14:paraId="6BBFA360" w14:textId="77777777" w:rsidR="00766C27" w:rsidRPr="00D618B7" w:rsidRDefault="00766C27" w:rsidP="004B11B7">
            <w:pPr>
              <w:jc w:val="right"/>
              <w:rPr>
                <w:color w:val="000000"/>
                <w:sz w:val="22"/>
                <w:szCs w:val="22"/>
              </w:rPr>
            </w:pPr>
            <w:r w:rsidRPr="00D618B7">
              <w:rPr>
                <w:color w:val="000000"/>
                <w:sz w:val="22"/>
                <w:szCs w:val="22"/>
              </w:rPr>
              <w:t>0.74</w:t>
            </w:r>
          </w:p>
        </w:tc>
        <w:tc>
          <w:tcPr>
            <w:tcW w:w="495" w:type="pct"/>
            <w:tcBorders>
              <w:top w:val="nil"/>
              <w:left w:val="nil"/>
              <w:bottom w:val="nil"/>
              <w:right w:val="nil"/>
            </w:tcBorders>
            <w:shd w:val="clear" w:color="000000" w:fill="FFFFFF"/>
            <w:noWrap/>
            <w:vAlign w:val="center"/>
            <w:hideMark/>
          </w:tcPr>
          <w:p w14:paraId="31EB9A55" w14:textId="77777777" w:rsidR="00766C27" w:rsidRPr="00D618B7" w:rsidRDefault="00766C27" w:rsidP="004B11B7">
            <w:pPr>
              <w:jc w:val="right"/>
              <w:rPr>
                <w:color w:val="000000"/>
                <w:sz w:val="22"/>
                <w:szCs w:val="22"/>
              </w:rPr>
            </w:pPr>
            <w:r w:rsidRPr="00D618B7">
              <w:rPr>
                <w:color w:val="000000"/>
                <w:sz w:val="22"/>
                <w:szCs w:val="22"/>
              </w:rPr>
              <w:t>1.92</w:t>
            </w:r>
          </w:p>
        </w:tc>
        <w:tc>
          <w:tcPr>
            <w:tcW w:w="816" w:type="pct"/>
            <w:tcBorders>
              <w:top w:val="nil"/>
              <w:left w:val="nil"/>
              <w:bottom w:val="nil"/>
              <w:right w:val="nil"/>
            </w:tcBorders>
            <w:shd w:val="clear" w:color="000000" w:fill="FFFFFF"/>
            <w:noWrap/>
            <w:vAlign w:val="center"/>
            <w:hideMark/>
          </w:tcPr>
          <w:p w14:paraId="368C8D84" w14:textId="77777777" w:rsidR="00766C27" w:rsidRPr="00D618B7" w:rsidRDefault="00766C27" w:rsidP="004B11B7">
            <w:pPr>
              <w:jc w:val="right"/>
              <w:rPr>
                <w:color w:val="000000"/>
                <w:sz w:val="22"/>
                <w:szCs w:val="22"/>
              </w:rPr>
            </w:pPr>
            <w:r w:rsidRPr="00D618B7">
              <w:rPr>
                <w:color w:val="000000"/>
                <w:sz w:val="22"/>
                <w:szCs w:val="22"/>
              </w:rPr>
              <w:t>0.74</w:t>
            </w:r>
          </w:p>
        </w:tc>
      </w:tr>
      <w:tr w:rsidR="008839D5" w:rsidRPr="00D618B7" w14:paraId="1AC574F3" w14:textId="77777777" w:rsidTr="008839D5">
        <w:trPr>
          <w:trHeight w:val="279"/>
        </w:trPr>
        <w:tc>
          <w:tcPr>
            <w:tcW w:w="533" w:type="pct"/>
            <w:tcBorders>
              <w:top w:val="nil"/>
              <w:left w:val="nil"/>
              <w:bottom w:val="nil"/>
              <w:right w:val="nil"/>
            </w:tcBorders>
            <w:shd w:val="clear" w:color="000000" w:fill="FFFFFF"/>
            <w:vAlign w:val="center"/>
            <w:hideMark/>
          </w:tcPr>
          <w:p w14:paraId="15FE3659" w14:textId="77777777" w:rsidR="00766C27" w:rsidRPr="00D618B7" w:rsidRDefault="00766C27" w:rsidP="004B11B7">
            <w:pPr>
              <w:jc w:val="right"/>
              <w:rPr>
                <w:color w:val="000000"/>
                <w:sz w:val="22"/>
                <w:szCs w:val="22"/>
              </w:rPr>
            </w:pPr>
            <w:r w:rsidRPr="00D618B7">
              <w:rPr>
                <w:color w:val="000000"/>
                <w:sz w:val="22"/>
                <w:szCs w:val="22"/>
              </w:rPr>
              <w:t>-1</w:t>
            </w:r>
          </w:p>
        </w:tc>
        <w:tc>
          <w:tcPr>
            <w:tcW w:w="617" w:type="pct"/>
            <w:tcBorders>
              <w:top w:val="nil"/>
              <w:left w:val="nil"/>
              <w:bottom w:val="nil"/>
              <w:right w:val="nil"/>
            </w:tcBorders>
            <w:shd w:val="clear" w:color="000000" w:fill="FFFFFF"/>
            <w:noWrap/>
            <w:vAlign w:val="center"/>
            <w:hideMark/>
          </w:tcPr>
          <w:p w14:paraId="5477B42C" w14:textId="77777777" w:rsidR="00766C27" w:rsidRPr="00D618B7" w:rsidRDefault="00766C27" w:rsidP="004B11B7">
            <w:pPr>
              <w:jc w:val="right"/>
              <w:rPr>
                <w:color w:val="000000"/>
                <w:sz w:val="22"/>
                <w:szCs w:val="22"/>
              </w:rPr>
            </w:pPr>
            <w:r w:rsidRPr="00D618B7">
              <w:rPr>
                <w:color w:val="000000"/>
                <w:sz w:val="22"/>
                <w:szCs w:val="22"/>
              </w:rPr>
              <w:t>1.92</w:t>
            </w:r>
          </w:p>
        </w:tc>
        <w:tc>
          <w:tcPr>
            <w:tcW w:w="1017" w:type="pct"/>
            <w:tcBorders>
              <w:top w:val="nil"/>
              <w:left w:val="nil"/>
              <w:bottom w:val="nil"/>
              <w:right w:val="nil"/>
            </w:tcBorders>
            <w:shd w:val="clear" w:color="000000" w:fill="FFFFFF"/>
            <w:noWrap/>
            <w:vAlign w:val="center"/>
            <w:hideMark/>
          </w:tcPr>
          <w:p w14:paraId="0F47CC89" w14:textId="77777777" w:rsidR="00766C27" w:rsidRPr="00D618B7" w:rsidRDefault="00766C27" w:rsidP="004B11B7">
            <w:pPr>
              <w:jc w:val="right"/>
              <w:rPr>
                <w:color w:val="000000"/>
                <w:sz w:val="22"/>
                <w:szCs w:val="22"/>
              </w:rPr>
            </w:pPr>
            <w:r w:rsidRPr="00D618B7">
              <w:rPr>
                <w:color w:val="000000"/>
                <w:sz w:val="22"/>
                <w:szCs w:val="22"/>
              </w:rPr>
              <w:t>0.73</w:t>
            </w:r>
          </w:p>
        </w:tc>
        <w:tc>
          <w:tcPr>
            <w:tcW w:w="575" w:type="pct"/>
            <w:tcBorders>
              <w:top w:val="nil"/>
              <w:left w:val="nil"/>
              <w:bottom w:val="nil"/>
              <w:right w:val="nil"/>
            </w:tcBorders>
            <w:shd w:val="clear" w:color="000000" w:fill="FFFFFF"/>
            <w:noWrap/>
            <w:vAlign w:val="center"/>
            <w:hideMark/>
          </w:tcPr>
          <w:p w14:paraId="507E615C" w14:textId="77777777" w:rsidR="00766C27" w:rsidRPr="00D618B7" w:rsidRDefault="00766C27" w:rsidP="004B11B7">
            <w:pPr>
              <w:jc w:val="right"/>
              <w:rPr>
                <w:color w:val="000000"/>
                <w:sz w:val="22"/>
                <w:szCs w:val="22"/>
              </w:rPr>
            </w:pPr>
            <w:r w:rsidRPr="00D618B7">
              <w:rPr>
                <w:color w:val="000000"/>
                <w:sz w:val="22"/>
                <w:szCs w:val="22"/>
              </w:rPr>
              <w:t>0.25</w:t>
            </w:r>
          </w:p>
        </w:tc>
        <w:tc>
          <w:tcPr>
            <w:tcW w:w="947" w:type="pct"/>
            <w:tcBorders>
              <w:top w:val="nil"/>
              <w:left w:val="nil"/>
              <w:bottom w:val="nil"/>
              <w:right w:val="nil"/>
            </w:tcBorders>
            <w:shd w:val="clear" w:color="000000" w:fill="FFFFFF"/>
            <w:noWrap/>
            <w:vAlign w:val="center"/>
            <w:hideMark/>
          </w:tcPr>
          <w:p w14:paraId="1B69EC1A" w14:textId="77777777" w:rsidR="00766C27" w:rsidRPr="00D618B7" w:rsidRDefault="00766C27" w:rsidP="004B11B7">
            <w:pPr>
              <w:jc w:val="right"/>
              <w:rPr>
                <w:color w:val="000000"/>
                <w:sz w:val="22"/>
                <w:szCs w:val="22"/>
              </w:rPr>
            </w:pPr>
            <w:r w:rsidRPr="00D618B7">
              <w:rPr>
                <w:color w:val="000000"/>
                <w:sz w:val="22"/>
                <w:szCs w:val="22"/>
              </w:rPr>
              <w:t>0.73</w:t>
            </w:r>
          </w:p>
        </w:tc>
        <w:tc>
          <w:tcPr>
            <w:tcW w:w="495" w:type="pct"/>
            <w:tcBorders>
              <w:top w:val="nil"/>
              <w:left w:val="nil"/>
              <w:bottom w:val="nil"/>
              <w:right w:val="nil"/>
            </w:tcBorders>
            <w:shd w:val="clear" w:color="000000" w:fill="FFFFFF"/>
            <w:noWrap/>
            <w:vAlign w:val="center"/>
            <w:hideMark/>
          </w:tcPr>
          <w:p w14:paraId="49936794" w14:textId="77777777" w:rsidR="00766C27" w:rsidRPr="00D618B7" w:rsidRDefault="00766C27" w:rsidP="004B11B7">
            <w:pPr>
              <w:jc w:val="right"/>
              <w:rPr>
                <w:color w:val="000000"/>
                <w:sz w:val="22"/>
                <w:szCs w:val="22"/>
              </w:rPr>
            </w:pPr>
            <w:r w:rsidRPr="00D618B7">
              <w:rPr>
                <w:color w:val="000000"/>
                <w:sz w:val="22"/>
                <w:szCs w:val="22"/>
              </w:rPr>
              <w:t>1.97</w:t>
            </w:r>
          </w:p>
        </w:tc>
        <w:tc>
          <w:tcPr>
            <w:tcW w:w="816" w:type="pct"/>
            <w:tcBorders>
              <w:top w:val="nil"/>
              <w:left w:val="nil"/>
              <w:bottom w:val="nil"/>
              <w:right w:val="nil"/>
            </w:tcBorders>
            <w:shd w:val="clear" w:color="000000" w:fill="FFFFFF"/>
            <w:noWrap/>
            <w:vAlign w:val="center"/>
            <w:hideMark/>
          </w:tcPr>
          <w:p w14:paraId="36F97334" w14:textId="77777777" w:rsidR="00766C27" w:rsidRPr="00D618B7" w:rsidRDefault="00766C27" w:rsidP="004B11B7">
            <w:pPr>
              <w:jc w:val="right"/>
              <w:rPr>
                <w:color w:val="000000"/>
                <w:sz w:val="22"/>
                <w:szCs w:val="22"/>
              </w:rPr>
            </w:pPr>
            <w:r w:rsidRPr="00D618B7">
              <w:rPr>
                <w:color w:val="000000"/>
                <w:sz w:val="22"/>
                <w:szCs w:val="22"/>
              </w:rPr>
              <w:t>0.73</w:t>
            </w:r>
          </w:p>
        </w:tc>
      </w:tr>
      <w:tr w:rsidR="008839D5" w:rsidRPr="00D618B7" w14:paraId="1305200E" w14:textId="77777777" w:rsidTr="008839D5">
        <w:trPr>
          <w:trHeight w:val="279"/>
        </w:trPr>
        <w:tc>
          <w:tcPr>
            <w:tcW w:w="533" w:type="pct"/>
            <w:tcBorders>
              <w:top w:val="nil"/>
              <w:left w:val="nil"/>
              <w:bottom w:val="nil"/>
              <w:right w:val="nil"/>
            </w:tcBorders>
            <w:shd w:val="clear" w:color="000000" w:fill="FFFFFF"/>
            <w:vAlign w:val="center"/>
            <w:hideMark/>
          </w:tcPr>
          <w:p w14:paraId="242446B3" w14:textId="77777777" w:rsidR="00766C27" w:rsidRPr="00D618B7" w:rsidRDefault="00766C27" w:rsidP="004B11B7">
            <w:pPr>
              <w:jc w:val="right"/>
              <w:rPr>
                <w:color w:val="000000"/>
                <w:sz w:val="22"/>
                <w:szCs w:val="22"/>
              </w:rPr>
            </w:pPr>
            <w:r w:rsidRPr="00D618B7">
              <w:rPr>
                <w:color w:val="000000"/>
                <w:sz w:val="22"/>
                <w:szCs w:val="22"/>
              </w:rPr>
              <w:t>0</w:t>
            </w:r>
          </w:p>
        </w:tc>
        <w:tc>
          <w:tcPr>
            <w:tcW w:w="617" w:type="pct"/>
            <w:tcBorders>
              <w:top w:val="nil"/>
              <w:left w:val="nil"/>
              <w:bottom w:val="nil"/>
              <w:right w:val="nil"/>
            </w:tcBorders>
            <w:shd w:val="clear" w:color="000000" w:fill="FFFFFF"/>
            <w:noWrap/>
            <w:vAlign w:val="center"/>
            <w:hideMark/>
          </w:tcPr>
          <w:p w14:paraId="1EB91241" w14:textId="77777777" w:rsidR="00766C27" w:rsidRPr="00D618B7" w:rsidRDefault="00766C27" w:rsidP="004B11B7">
            <w:pPr>
              <w:jc w:val="right"/>
              <w:rPr>
                <w:color w:val="000000"/>
                <w:sz w:val="22"/>
                <w:szCs w:val="22"/>
              </w:rPr>
            </w:pPr>
            <w:r w:rsidRPr="00D618B7">
              <w:rPr>
                <w:color w:val="000000"/>
                <w:sz w:val="22"/>
                <w:szCs w:val="22"/>
              </w:rPr>
              <w:t>1.70</w:t>
            </w:r>
          </w:p>
        </w:tc>
        <w:tc>
          <w:tcPr>
            <w:tcW w:w="1017" w:type="pct"/>
            <w:tcBorders>
              <w:top w:val="nil"/>
              <w:left w:val="nil"/>
              <w:bottom w:val="nil"/>
              <w:right w:val="nil"/>
            </w:tcBorders>
            <w:shd w:val="clear" w:color="000000" w:fill="FFFFFF"/>
            <w:noWrap/>
            <w:vAlign w:val="center"/>
            <w:hideMark/>
          </w:tcPr>
          <w:p w14:paraId="3CFDF731" w14:textId="77777777" w:rsidR="00766C27" w:rsidRPr="00D618B7" w:rsidRDefault="00766C27" w:rsidP="004B11B7">
            <w:pPr>
              <w:jc w:val="right"/>
              <w:rPr>
                <w:color w:val="000000"/>
                <w:sz w:val="22"/>
                <w:szCs w:val="22"/>
              </w:rPr>
            </w:pPr>
            <w:r w:rsidRPr="00D618B7">
              <w:rPr>
                <w:color w:val="000000"/>
                <w:sz w:val="22"/>
                <w:szCs w:val="22"/>
              </w:rPr>
              <w:t>0.70</w:t>
            </w:r>
          </w:p>
        </w:tc>
        <w:tc>
          <w:tcPr>
            <w:tcW w:w="575" w:type="pct"/>
            <w:tcBorders>
              <w:top w:val="nil"/>
              <w:left w:val="nil"/>
              <w:bottom w:val="nil"/>
              <w:right w:val="nil"/>
            </w:tcBorders>
            <w:shd w:val="clear" w:color="000000" w:fill="FFFFFF"/>
            <w:noWrap/>
            <w:vAlign w:val="center"/>
            <w:hideMark/>
          </w:tcPr>
          <w:p w14:paraId="7600F9C0" w14:textId="77777777" w:rsidR="00766C27" w:rsidRPr="00D618B7" w:rsidRDefault="00766C27" w:rsidP="004B11B7">
            <w:pPr>
              <w:jc w:val="right"/>
              <w:rPr>
                <w:color w:val="000000"/>
                <w:sz w:val="22"/>
                <w:szCs w:val="22"/>
              </w:rPr>
            </w:pPr>
            <w:r w:rsidRPr="00D618B7">
              <w:rPr>
                <w:color w:val="000000"/>
                <w:sz w:val="22"/>
                <w:szCs w:val="22"/>
              </w:rPr>
              <w:t>0.53</w:t>
            </w:r>
          </w:p>
        </w:tc>
        <w:tc>
          <w:tcPr>
            <w:tcW w:w="947" w:type="pct"/>
            <w:tcBorders>
              <w:top w:val="nil"/>
              <w:left w:val="nil"/>
              <w:bottom w:val="nil"/>
              <w:right w:val="nil"/>
            </w:tcBorders>
            <w:shd w:val="clear" w:color="000000" w:fill="FFFFFF"/>
            <w:noWrap/>
            <w:vAlign w:val="center"/>
            <w:hideMark/>
          </w:tcPr>
          <w:p w14:paraId="1E7A2A9F" w14:textId="77777777" w:rsidR="00766C27" w:rsidRPr="00D618B7" w:rsidRDefault="00766C27" w:rsidP="004B11B7">
            <w:pPr>
              <w:jc w:val="right"/>
              <w:rPr>
                <w:color w:val="000000"/>
                <w:sz w:val="22"/>
                <w:szCs w:val="22"/>
              </w:rPr>
            </w:pPr>
            <w:r w:rsidRPr="00D618B7">
              <w:rPr>
                <w:color w:val="000000"/>
                <w:sz w:val="22"/>
                <w:szCs w:val="22"/>
              </w:rPr>
              <w:t>0.70</w:t>
            </w:r>
          </w:p>
        </w:tc>
        <w:tc>
          <w:tcPr>
            <w:tcW w:w="495" w:type="pct"/>
            <w:tcBorders>
              <w:top w:val="nil"/>
              <w:left w:val="nil"/>
              <w:bottom w:val="nil"/>
              <w:right w:val="nil"/>
            </w:tcBorders>
            <w:shd w:val="clear" w:color="000000" w:fill="FFFFFF"/>
            <w:noWrap/>
            <w:vAlign w:val="center"/>
            <w:hideMark/>
          </w:tcPr>
          <w:p w14:paraId="4FC1D094" w14:textId="77777777" w:rsidR="00766C27" w:rsidRPr="00D618B7" w:rsidRDefault="00766C27" w:rsidP="004B11B7">
            <w:pPr>
              <w:jc w:val="right"/>
              <w:rPr>
                <w:color w:val="000000"/>
                <w:sz w:val="22"/>
                <w:szCs w:val="22"/>
              </w:rPr>
            </w:pPr>
            <w:r w:rsidRPr="00D618B7">
              <w:rPr>
                <w:color w:val="000000"/>
                <w:sz w:val="22"/>
                <w:szCs w:val="22"/>
              </w:rPr>
              <w:t>1.96</w:t>
            </w:r>
          </w:p>
        </w:tc>
        <w:tc>
          <w:tcPr>
            <w:tcW w:w="816" w:type="pct"/>
            <w:tcBorders>
              <w:top w:val="nil"/>
              <w:left w:val="nil"/>
              <w:bottom w:val="nil"/>
              <w:right w:val="nil"/>
            </w:tcBorders>
            <w:shd w:val="clear" w:color="000000" w:fill="FFFFFF"/>
            <w:noWrap/>
            <w:vAlign w:val="center"/>
            <w:hideMark/>
          </w:tcPr>
          <w:p w14:paraId="596BAE28" w14:textId="77777777" w:rsidR="00766C27" w:rsidRPr="00D618B7" w:rsidRDefault="00766C27" w:rsidP="004B11B7">
            <w:pPr>
              <w:jc w:val="right"/>
              <w:rPr>
                <w:color w:val="000000"/>
                <w:sz w:val="22"/>
                <w:szCs w:val="22"/>
              </w:rPr>
            </w:pPr>
            <w:r w:rsidRPr="00D618B7">
              <w:rPr>
                <w:color w:val="000000"/>
                <w:sz w:val="22"/>
                <w:szCs w:val="22"/>
              </w:rPr>
              <w:t>0.70</w:t>
            </w:r>
          </w:p>
        </w:tc>
      </w:tr>
      <w:tr w:rsidR="008839D5" w:rsidRPr="00D618B7" w14:paraId="21501EAA" w14:textId="77777777" w:rsidTr="008839D5">
        <w:trPr>
          <w:trHeight w:val="279"/>
        </w:trPr>
        <w:tc>
          <w:tcPr>
            <w:tcW w:w="533" w:type="pct"/>
            <w:tcBorders>
              <w:top w:val="nil"/>
              <w:left w:val="nil"/>
              <w:bottom w:val="nil"/>
              <w:right w:val="nil"/>
            </w:tcBorders>
            <w:shd w:val="clear" w:color="000000" w:fill="FFFFFF"/>
            <w:vAlign w:val="center"/>
            <w:hideMark/>
          </w:tcPr>
          <w:p w14:paraId="46AB85AA" w14:textId="77777777" w:rsidR="00766C27" w:rsidRPr="00D618B7" w:rsidRDefault="00766C27" w:rsidP="004B11B7">
            <w:pPr>
              <w:jc w:val="right"/>
              <w:rPr>
                <w:color w:val="000000"/>
                <w:sz w:val="22"/>
                <w:szCs w:val="22"/>
              </w:rPr>
            </w:pPr>
            <w:r w:rsidRPr="00D618B7">
              <w:rPr>
                <w:color w:val="000000"/>
                <w:sz w:val="22"/>
                <w:szCs w:val="22"/>
              </w:rPr>
              <w:t>1</w:t>
            </w:r>
          </w:p>
        </w:tc>
        <w:tc>
          <w:tcPr>
            <w:tcW w:w="617" w:type="pct"/>
            <w:tcBorders>
              <w:top w:val="nil"/>
              <w:left w:val="nil"/>
              <w:bottom w:val="nil"/>
              <w:right w:val="nil"/>
            </w:tcBorders>
            <w:shd w:val="clear" w:color="000000" w:fill="FFFFFF"/>
            <w:noWrap/>
            <w:vAlign w:val="center"/>
            <w:hideMark/>
          </w:tcPr>
          <w:p w14:paraId="3D3396A9" w14:textId="77777777" w:rsidR="00766C27" w:rsidRPr="00D618B7" w:rsidRDefault="00766C27" w:rsidP="004B11B7">
            <w:pPr>
              <w:jc w:val="right"/>
              <w:rPr>
                <w:color w:val="000000"/>
                <w:sz w:val="22"/>
                <w:szCs w:val="22"/>
              </w:rPr>
            </w:pPr>
            <w:r w:rsidRPr="00D618B7">
              <w:rPr>
                <w:color w:val="000000"/>
                <w:sz w:val="22"/>
                <w:szCs w:val="22"/>
              </w:rPr>
              <w:t>1.73</w:t>
            </w:r>
          </w:p>
        </w:tc>
        <w:tc>
          <w:tcPr>
            <w:tcW w:w="1017" w:type="pct"/>
            <w:tcBorders>
              <w:top w:val="nil"/>
              <w:left w:val="nil"/>
              <w:bottom w:val="nil"/>
              <w:right w:val="nil"/>
            </w:tcBorders>
            <w:shd w:val="clear" w:color="000000" w:fill="FFFFFF"/>
            <w:noWrap/>
            <w:vAlign w:val="center"/>
            <w:hideMark/>
          </w:tcPr>
          <w:p w14:paraId="7F27AB4E" w14:textId="77777777" w:rsidR="00766C27" w:rsidRPr="00D618B7" w:rsidRDefault="00766C27" w:rsidP="004B11B7">
            <w:pPr>
              <w:jc w:val="right"/>
              <w:rPr>
                <w:color w:val="000000"/>
                <w:sz w:val="22"/>
                <w:szCs w:val="22"/>
              </w:rPr>
            </w:pPr>
            <w:r w:rsidRPr="00D618B7">
              <w:rPr>
                <w:color w:val="000000"/>
                <w:sz w:val="22"/>
                <w:szCs w:val="22"/>
              </w:rPr>
              <w:t>0.70</w:t>
            </w:r>
          </w:p>
        </w:tc>
        <w:tc>
          <w:tcPr>
            <w:tcW w:w="575" w:type="pct"/>
            <w:tcBorders>
              <w:top w:val="nil"/>
              <w:left w:val="nil"/>
              <w:bottom w:val="nil"/>
              <w:right w:val="nil"/>
            </w:tcBorders>
            <w:shd w:val="clear" w:color="000000" w:fill="FFFFFF"/>
            <w:noWrap/>
            <w:vAlign w:val="center"/>
            <w:hideMark/>
          </w:tcPr>
          <w:p w14:paraId="2FE3CE57" w14:textId="77777777" w:rsidR="00766C27" w:rsidRPr="00D618B7" w:rsidRDefault="00766C27" w:rsidP="004B11B7">
            <w:pPr>
              <w:jc w:val="right"/>
              <w:rPr>
                <w:color w:val="000000"/>
                <w:sz w:val="22"/>
                <w:szCs w:val="22"/>
              </w:rPr>
            </w:pPr>
            <w:r w:rsidRPr="00D618B7">
              <w:rPr>
                <w:color w:val="000000"/>
                <w:sz w:val="22"/>
                <w:szCs w:val="22"/>
              </w:rPr>
              <w:t>-0.02</w:t>
            </w:r>
          </w:p>
        </w:tc>
        <w:tc>
          <w:tcPr>
            <w:tcW w:w="947" w:type="pct"/>
            <w:tcBorders>
              <w:top w:val="nil"/>
              <w:left w:val="nil"/>
              <w:bottom w:val="nil"/>
              <w:right w:val="nil"/>
            </w:tcBorders>
            <w:shd w:val="clear" w:color="000000" w:fill="FFFFFF"/>
            <w:noWrap/>
            <w:vAlign w:val="center"/>
            <w:hideMark/>
          </w:tcPr>
          <w:p w14:paraId="516FB4F3" w14:textId="77777777" w:rsidR="00766C27" w:rsidRPr="00D618B7" w:rsidRDefault="00766C27" w:rsidP="004B11B7">
            <w:pPr>
              <w:jc w:val="right"/>
              <w:rPr>
                <w:color w:val="000000"/>
                <w:sz w:val="22"/>
                <w:szCs w:val="22"/>
              </w:rPr>
            </w:pPr>
            <w:r w:rsidRPr="00D618B7">
              <w:rPr>
                <w:color w:val="000000"/>
                <w:sz w:val="22"/>
                <w:szCs w:val="22"/>
              </w:rPr>
              <w:t>0.70</w:t>
            </w:r>
          </w:p>
        </w:tc>
        <w:tc>
          <w:tcPr>
            <w:tcW w:w="495" w:type="pct"/>
            <w:tcBorders>
              <w:top w:val="nil"/>
              <w:left w:val="nil"/>
              <w:bottom w:val="nil"/>
              <w:right w:val="nil"/>
            </w:tcBorders>
            <w:shd w:val="clear" w:color="000000" w:fill="FFFFFF"/>
            <w:noWrap/>
            <w:vAlign w:val="center"/>
            <w:hideMark/>
          </w:tcPr>
          <w:p w14:paraId="457DA3D8" w14:textId="77777777" w:rsidR="00766C27" w:rsidRPr="00D618B7" w:rsidRDefault="00766C27" w:rsidP="004B11B7">
            <w:pPr>
              <w:jc w:val="right"/>
              <w:rPr>
                <w:color w:val="000000"/>
                <w:sz w:val="22"/>
                <w:szCs w:val="22"/>
              </w:rPr>
            </w:pPr>
            <w:r w:rsidRPr="00D618B7">
              <w:rPr>
                <w:color w:val="000000"/>
                <w:sz w:val="22"/>
                <w:szCs w:val="22"/>
              </w:rPr>
              <w:t>1.02</w:t>
            </w:r>
          </w:p>
        </w:tc>
        <w:tc>
          <w:tcPr>
            <w:tcW w:w="816" w:type="pct"/>
            <w:tcBorders>
              <w:top w:val="nil"/>
              <w:left w:val="nil"/>
              <w:bottom w:val="nil"/>
              <w:right w:val="nil"/>
            </w:tcBorders>
            <w:shd w:val="clear" w:color="000000" w:fill="FFFFFF"/>
            <w:noWrap/>
            <w:vAlign w:val="center"/>
            <w:hideMark/>
          </w:tcPr>
          <w:p w14:paraId="00037FF2" w14:textId="77777777" w:rsidR="00766C27" w:rsidRPr="00D618B7" w:rsidRDefault="00766C27" w:rsidP="004B11B7">
            <w:pPr>
              <w:jc w:val="right"/>
              <w:rPr>
                <w:color w:val="000000"/>
                <w:sz w:val="22"/>
                <w:szCs w:val="22"/>
              </w:rPr>
            </w:pPr>
            <w:r w:rsidRPr="00D618B7">
              <w:rPr>
                <w:color w:val="000000"/>
                <w:sz w:val="22"/>
                <w:szCs w:val="22"/>
              </w:rPr>
              <w:t>0.70</w:t>
            </w:r>
          </w:p>
        </w:tc>
      </w:tr>
      <w:tr w:rsidR="008839D5" w:rsidRPr="00D618B7" w14:paraId="5E46F89A" w14:textId="77777777" w:rsidTr="008839D5">
        <w:trPr>
          <w:trHeight w:val="279"/>
        </w:trPr>
        <w:tc>
          <w:tcPr>
            <w:tcW w:w="533" w:type="pct"/>
            <w:tcBorders>
              <w:top w:val="nil"/>
              <w:left w:val="nil"/>
              <w:bottom w:val="nil"/>
              <w:right w:val="nil"/>
            </w:tcBorders>
            <w:shd w:val="clear" w:color="000000" w:fill="FFFFFF"/>
            <w:vAlign w:val="center"/>
            <w:hideMark/>
          </w:tcPr>
          <w:p w14:paraId="19B518A2" w14:textId="77777777" w:rsidR="00766C27" w:rsidRPr="00D618B7" w:rsidRDefault="00766C27" w:rsidP="004B11B7">
            <w:pPr>
              <w:jc w:val="right"/>
              <w:rPr>
                <w:color w:val="000000"/>
                <w:sz w:val="22"/>
                <w:szCs w:val="22"/>
              </w:rPr>
            </w:pPr>
            <w:r w:rsidRPr="00D618B7">
              <w:rPr>
                <w:color w:val="000000"/>
                <w:sz w:val="22"/>
                <w:szCs w:val="22"/>
              </w:rPr>
              <w:t>2</w:t>
            </w:r>
          </w:p>
        </w:tc>
        <w:tc>
          <w:tcPr>
            <w:tcW w:w="617" w:type="pct"/>
            <w:tcBorders>
              <w:top w:val="nil"/>
              <w:left w:val="nil"/>
              <w:bottom w:val="nil"/>
              <w:right w:val="nil"/>
            </w:tcBorders>
            <w:shd w:val="clear" w:color="000000" w:fill="FFFFFF"/>
            <w:noWrap/>
            <w:vAlign w:val="center"/>
            <w:hideMark/>
          </w:tcPr>
          <w:p w14:paraId="537EBAFB" w14:textId="77777777" w:rsidR="00766C27" w:rsidRPr="00D618B7" w:rsidRDefault="00766C27" w:rsidP="004B11B7">
            <w:pPr>
              <w:jc w:val="right"/>
              <w:rPr>
                <w:color w:val="000000"/>
                <w:sz w:val="22"/>
                <w:szCs w:val="22"/>
              </w:rPr>
            </w:pPr>
            <w:r w:rsidRPr="00D618B7">
              <w:rPr>
                <w:color w:val="000000"/>
                <w:sz w:val="22"/>
                <w:szCs w:val="22"/>
              </w:rPr>
              <w:t>2.18</w:t>
            </w:r>
          </w:p>
        </w:tc>
        <w:tc>
          <w:tcPr>
            <w:tcW w:w="1017" w:type="pct"/>
            <w:tcBorders>
              <w:top w:val="nil"/>
              <w:left w:val="nil"/>
              <w:bottom w:val="nil"/>
              <w:right w:val="nil"/>
            </w:tcBorders>
            <w:shd w:val="clear" w:color="000000" w:fill="FFFFFF"/>
            <w:noWrap/>
            <w:vAlign w:val="center"/>
            <w:hideMark/>
          </w:tcPr>
          <w:p w14:paraId="3FD81340" w14:textId="77777777" w:rsidR="00766C27" w:rsidRPr="00D618B7" w:rsidRDefault="00766C27" w:rsidP="004B11B7">
            <w:pPr>
              <w:jc w:val="right"/>
              <w:rPr>
                <w:color w:val="000000"/>
                <w:sz w:val="22"/>
                <w:szCs w:val="22"/>
              </w:rPr>
            </w:pPr>
            <w:r w:rsidRPr="00D618B7">
              <w:rPr>
                <w:color w:val="000000"/>
                <w:sz w:val="22"/>
                <w:szCs w:val="22"/>
              </w:rPr>
              <w:t>0.81</w:t>
            </w:r>
          </w:p>
        </w:tc>
        <w:tc>
          <w:tcPr>
            <w:tcW w:w="575" w:type="pct"/>
            <w:tcBorders>
              <w:top w:val="nil"/>
              <w:left w:val="nil"/>
              <w:bottom w:val="nil"/>
              <w:right w:val="nil"/>
            </w:tcBorders>
            <w:shd w:val="clear" w:color="000000" w:fill="FFFFFF"/>
            <w:noWrap/>
            <w:vAlign w:val="center"/>
            <w:hideMark/>
          </w:tcPr>
          <w:p w14:paraId="5F675B29" w14:textId="77777777" w:rsidR="00766C27" w:rsidRPr="00D618B7" w:rsidRDefault="00766C27" w:rsidP="004B11B7">
            <w:pPr>
              <w:jc w:val="right"/>
              <w:rPr>
                <w:color w:val="000000"/>
                <w:sz w:val="22"/>
                <w:szCs w:val="22"/>
              </w:rPr>
            </w:pPr>
            <w:r w:rsidRPr="00D618B7">
              <w:rPr>
                <w:color w:val="000000"/>
                <w:sz w:val="22"/>
                <w:szCs w:val="22"/>
              </w:rPr>
              <w:t>0.21</w:t>
            </w:r>
          </w:p>
        </w:tc>
        <w:tc>
          <w:tcPr>
            <w:tcW w:w="947" w:type="pct"/>
            <w:tcBorders>
              <w:top w:val="nil"/>
              <w:left w:val="nil"/>
              <w:bottom w:val="nil"/>
              <w:right w:val="nil"/>
            </w:tcBorders>
            <w:shd w:val="clear" w:color="000000" w:fill="FFFFFF"/>
            <w:noWrap/>
            <w:vAlign w:val="center"/>
            <w:hideMark/>
          </w:tcPr>
          <w:p w14:paraId="1B2116BA" w14:textId="77777777" w:rsidR="00766C27" w:rsidRPr="00D618B7" w:rsidRDefault="00766C27" w:rsidP="004B11B7">
            <w:pPr>
              <w:jc w:val="right"/>
              <w:rPr>
                <w:color w:val="000000"/>
                <w:sz w:val="22"/>
                <w:szCs w:val="22"/>
              </w:rPr>
            </w:pPr>
            <w:r w:rsidRPr="00D618B7">
              <w:rPr>
                <w:color w:val="000000"/>
                <w:sz w:val="22"/>
                <w:szCs w:val="22"/>
              </w:rPr>
              <w:t>0.81</w:t>
            </w:r>
          </w:p>
        </w:tc>
        <w:tc>
          <w:tcPr>
            <w:tcW w:w="495" w:type="pct"/>
            <w:tcBorders>
              <w:top w:val="nil"/>
              <w:left w:val="nil"/>
              <w:bottom w:val="nil"/>
              <w:right w:val="nil"/>
            </w:tcBorders>
            <w:shd w:val="clear" w:color="000000" w:fill="FFFFFF"/>
            <w:noWrap/>
            <w:vAlign w:val="center"/>
            <w:hideMark/>
          </w:tcPr>
          <w:p w14:paraId="5F71A773" w14:textId="77777777" w:rsidR="00766C27" w:rsidRPr="00D618B7" w:rsidRDefault="00766C27" w:rsidP="004B11B7">
            <w:pPr>
              <w:jc w:val="right"/>
              <w:rPr>
                <w:color w:val="000000"/>
                <w:sz w:val="22"/>
                <w:szCs w:val="22"/>
              </w:rPr>
            </w:pPr>
            <w:r w:rsidRPr="00D618B7">
              <w:rPr>
                <w:color w:val="000000"/>
                <w:sz w:val="22"/>
                <w:szCs w:val="22"/>
              </w:rPr>
              <w:t>0.26</w:t>
            </w:r>
          </w:p>
        </w:tc>
        <w:tc>
          <w:tcPr>
            <w:tcW w:w="816" w:type="pct"/>
            <w:tcBorders>
              <w:top w:val="nil"/>
              <w:left w:val="nil"/>
              <w:bottom w:val="nil"/>
              <w:right w:val="nil"/>
            </w:tcBorders>
            <w:shd w:val="clear" w:color="000000" w:fill="FFFFFF"/>
            <w:noWrap/>
            <w:vAlign w:val="center"/>
            <w:hideMark/>
          </w:tcPr>
          <w:p w14:paraId="2631C45D" w14:textId="77777777" w:rsidR="00766C27" w:rsidRPr="00D618B7" w:rsidRDefault="00766C27" w:rsidP="004B11B7">
            <w:pPr>
              <w:jc w:val="right"/>
              <w:rPr>
                <w:color w:val="000000"/>
                <w:sz w:val="22"/>
                <w:szCs w:val="22"/>
              </w:rPr>
            </w:pPr>
            <w:r w:rsidRPr="00D618B7">
              <w:rPr>
                <w:color w:val="000000"/>
                <w:sz w:val="22"/>
                <w:szCs w:val="22"/>
              </w:rPr>
              <w:t>0.81</w:t>
            </w:r>
          </w:p>
        </w:tc>
      </w:tr>
      <w:tr w:rsidR="008839D5" w:rsidRPr="00D618B7" w14:paraId="39458B7C" w14:textId="77777777" w:rsidTr="008839D5">
        <w:trPr>
          <w:trHeight w:val="279"/>
        </w:trPr>
        <w:tc>
          <w:tcPr>
            <w:tcW w:w="533" w:type="pct"/>
            <w:tcBorders>
              <w:top w:val="nil"/>
              <w:left w:val="nil"/>
              <w:bottom w:val="nil"/>
              <w:right w:val="nil"/>
            </w:tcBorders>
            <w:shd w:val="clear" w:color="000000" w:fill="FFFFFF"/>
            <w:vAlign w:val="center"/>
            <w:hideMark/>
          </w:tcPr>
          <w:p w14:paraId="63BC1D76" w14:textId="77777777" w:rsidR="00766C27" w:rsidRPr="00D618B7" w:rsidRDefault="00766C27" w:rsidP="004B11B7">
            <w:pPr>
              <w:jc w:val="right"/>
              <w:rPr>
                <w:color w:val="000000"/>
                <w:sz w:val="22"/>
                <w:szCs w:val="22"/>
              </w:rPr>
            </w:pPr>
            <w:r w:rsidRPr="00D618B7">
              <w:rPr>
                <w:color w:val="000000"/>
                <w:sz w:val="22"/>
                <w:szCs w:val="22"/>
              </w:rPr>
              <w:t>3</w:t>
            </w:r>
          </w:p>
        </w:tc>
        <w:tc>
          <w:tcPr>
            <w:tcW w:w="617" w:type="pct"/>
            <w:tcBorders>
              <w:top w:val="nil"/>
              <w:left w:val="nil"/>
              <w:bottom w:val="nil"/>
              <w:right w:val="nil"/>
            </w:tcBorders>
            <w:shd w:val="clear" w:color="000000" w:fill="FFFFFF"/>
            <w:noWrap/>
            <w:vAlign w:val="center"/>
            <w:hideMark/>
          </w:tcPr>
          <w:p w14:paraId="42C318D3" w14:textId="77777777" w:rsidR="00766C27" w:rsidRPr="00D618B7" w:rsidRDefault="00766C27" w:rsidP="004B11B7">
            <w:pPr>
              <w:jc w:val="right"/>
              <w:rPr>
                <w:color w:val="000000"/>
                <w:sz w:val="22"/>
                <w:szCs w:val="22"/>
              </w:rPr>
            </w:pPr>
            <w:r w:rsidRPr="00D618B7">
              <w:rPr>
                <w:color w:val="000000"/>
                <w:sz w:val="22"/>
                <w:szCs w:val="22"/>
              </w:rPr>
              <w:t>1.97</w:t>
            </w:r>
          </w:p>
        </w:tc>
        <w:tc>
          <w:tcPr>
            <w:tcW w:w="1017" w:type="pct"/>
            <w:tcBorders>
              <w:top w:val="nil"/>
              <w:left w:val="nil"/>
              <w:bottom w:val="nil"/>
              <w:right w:val="nil"/>
            </w:tcBorders>
            <w:shd w:val="clear" w:color="000000" w:fill="FFFFFF"/>
            <w:noWrap/>
            <w:vAlign w:val="center"/>
            <w:hideMark/>
          </w:tcPr>
          <w:p w14:paraId="519C3224" w14:textId="77777777" w:rsidR="00766C27" w:rsidRPr="00D618B7" w:rsidRDefault="00766C27" w:rsidP="004B11B7">
            <w:pPr>
              <w:jc w:val="right"/>
              <w:rPr>
                <w:color w:val="000000"/>
                <w:sz w:val="22"/>
                <w:szCs w:val="22"/>
              </w:rPr>
            </w:pPr>
            <w:r w:rsidRPr="00D618B7">
              <w:rPr>
                <w:color w:val="000000"/>
                <w:sz w:val="22"/>
                <w:szCs w:val="22"/>
              </w:rPr>
              <w:t>0.70</w:t>
            </w:r>
          </w:p>
        </w:tc>
        <w:tc>
          <w:tcPr>
            <w:tcW w:w="575" w:type="pct"/>
            <w:tcBorders>
              <w:top w:val="nil"/>
              <w:left w:val="nil"/>
              <w:bottom w:val="nil"/>
              <w:right w:val="nil"/>
            </w:tcBorders>
            <w:shd w:val="clear" w:color="000000" w:fill="FFFFFF"/>
            <w:noWrap/>
            <w:vAlign w:val="center"/>
            <w:hideMark/>
          </w:tcPr>
          <w:p w14:paraId="703C6099" w14:textId="77777777" w:rsidR="00766C27" w:rsidRPr="00D618B7" w:rsidRDefault="00766C27" w:rsidP="004B11B7">
            <w:pPr>
              <w:jc w:val="right"/>
              <w:rPr>
                <w:color w:val="000000"/>
                <w:sz w:val="22"/>
                <w:szCs w:val="22"/>
              </w:rPr>
            </w:pPr>
            <w:r w:rsidRPr="00D618B7">
              <w:rPr>
                <w:color w:val="000000"/>
                <w:sz w:val="22"/>
                <w:szCs w:val="22"/>
              </w:rPr>
              <w:t>0.20</w:t>
            </w:r>
          </w:p>
        </w:tc>
        <w:tc>
          <w:tcPr>
            <w:tcW w:w="947" w:type="pct"/>
            <w:tcBorders>
              <w:top w:val="nil"/>
              <w:left w:val="nil"/>
              <w:bottom w:val="nil"/>
              <w:right w:val="nil"/>
            </w:tcBorders>
            <w:shd w:val="clear" w:color="000000" w:fill="FFFFFF"/>
            <w:noWrap/>
            <w:vAlign w:val="center"/>
            <w:hideMark/>
          </w:tcPr>
          <w:p w14:paraId="5752BF66" w14:textId="77777777" w:rsidR="00766C27" w:rsidRPr="00D618B7" w:rsidRDefault="00766C27" w:rsidP="004B11B7">
            <w:pPr>
              <w:jc w:val="right"/>
              <w:rPr>
                <w:color w:val="000000"/>
                <w:sz w:val="22"/>
                <w:szCs w:val="22"/>
              </w:rPr>
            </w:pPr>
            <w:r w:rsidRPr="00D618B7">
              <w:rPr>
                <w:color w:val="000000"/>
                <w:sz w:val="22"/>
                <w:szCs w:val="22"/>
              </w:rPr>
              <w:t>0.69</w:t>
            </w:r>
          </w:p>
        </w:tc>
        <w:tc>
          <w:tcPr>
            <w:tcW w:w="495" w:type="pct"/>
            <w:tcBorders>
              <w:top w:val="nil"/>
              <w:left w:val="nil"/>
              <w:bottom w:val="nil"/>
              <w:right w:val="nil"/>
            </w:tcBorders>
            <w:shd w:val="clear" w:color="000000" w:fill="FFFFFF"/>
            <w:noWrap/>
            <w:vAlign w:val="center"/>
            <w:hideMark/>
          </w:tcPr>
          <w:p w14:paraId="1C858299" w14:textId="77777777" w:rsidR="00766C27" w:rsidRPr="00D618B7" w:rsidRDefault="00766C27" w:rsidP="004B11B7">
            <w:pPr>
              <w:jc w:val="right"/>
              <w:rPr>
                <w:color w:val="000000"/>
                <w:sz w:val="22"/>
                <w:szCs w:val="22"/>
              </w:rPr>
            </w:pPr>
            <w:r w:rsidRPr="00D618B7">
              <w:rPr>
                <w:color w:val="000000"/>
                <w:sz w:val="22"/>
                <w:szCs w:val="22"/>
              </w:rPr>
              <w:t>0.31</w:t>
            </w:r>
          </w:p>
        </w:tc>
        <w:tc>
          <w:tcPr>
            <w:tcW w:w="816" w:type="pct"/>
            <w:tcBorders>
              <w:top w:val="nil"/>
              <w:left w:val="nil"/>
              <w:bottom w:val="nil"/>
              <w:right w:val="nil"/>
            </w:tcBorders>
            <w:shd w:val="clear" w:color="000000" w:fill="FFFFFF"/>
            <w:noWrap/>
            <w:vAlign w:val="center"/>
            <w:hideMark/>
          </w:tcPr>
          <w:p w14:paraId="48EFF98E" w14:textId="77777777" w:rsidR="00766C27" w:rsidRPr="00D618B7" w:rsidRDefault="00766C27" w:rsidP="004B11B7">
            <w:pPr>
              <w:jc w:val="right"/>
              <w:rPr>
                <w:color w:val="000000"/>
                <w:sz w:val="22"/>
                <w:szCs w:val="22"/>
              </w:rPr>
            </w:pPr>
            <w:r w:rsidRPr="00D618B7">
              <w:rPr>
                <w:color w:val="000000"/>
                <w:sz w:val="22"/>
                <w:szCs w:val="22"/>
              </w:rPr>
              <w:t>0.69</w:t>
            </w:r>
          </w:p>
        </w:tc>
      </w:tr>
      <w:tr w:rsidR="008839D5" w:rsidRPr="00D618B7" w14:paraId="43A4487E" w14:textId="77777777" w:rsidTr="008839D5">
        <w:trPr>
          <w:trHeight w:val="279"/>
        </w:trPr>
        <w:tc>
          <w:tcPr>
            <w:tcW w:w="533" w:type="pct"/>
            <w:tcBorders>
              <w:top w:val="nil"/>
              <w:left w:val="nil"/>
              <w:bottom w:val="nil"/>
              <w:right w:val="nil"/>
            </w:tcBorders>
            <w:shd w:val="clear" w:color="000000" w:fill="FFFFFF"/>
            <w:vAlign w:val="center"/>
            <w:hideMark/>
          </w:tcPr>
          <w:p w14:paraId="3C04F827" w14:textId="77777777" w:rsidR="00766C27" w:rsidRPr="00D618B7" w:rsidRDefault="00766C27" w:rsidP="004B11B7">
            <w:pPr>
              <w:jc w:val="right"/>
              <w:rPr>
                <w:color w:val="000000"/>
                <w:sz w:val="22"/>
                <w:szCs w:val="22"/>
              </w:rPr>
            </w:pPr>
            <w:r w:rsidRPr="00D618B7">
              <w:rPr>
                <w:color w:val="000000"/>
                <w:sz w:val="22"/>
                <w:szCs w:val="22"/>
              </w:rPr>
              <w:t>4</w:t>
            </w:r>
          </w:p>
        </w:tc>
        <w:tc>
          <w:tcPr>
            <w:tcW w:w="617" w:type="pct"/>
            <w:tcBorders>
              <w:top w:val="nil"/>
              <w:left w:val="nil"/>
              <w:bottom w:val="nil"/>
              <w:right w:val="nil"/>
            </w:tcBorders>
            <w:shd w:val="clear" w:color="000000" w:fill="FFFFFF"/>
            <w:noWrap/>
            <w:vAlign w:val="center"/>
            <w:hideMark/>
          </w:tcPr>
          <w:p w14:paraId="25B0BD6C" w14:textId="77777777" w:rsidR="00766C27" w:rsidRPr="00D618B7" w:rsidRDefault="00766C27" w:rsidP="004B11B7">
            <w:pPr>
              <w:jc w:val="right"/>
              <w:rPr>
                <w:color w:val="000000"/>
                <w:sz w:val="22"/>
                <w:szCs w:val="22"/>
              </w:rPr>
            </w:pPr>
            <w:r w:rsidRPr="00D618B7">
              <w:rPr>
                <w:color w:val="000000"/>
                <w:sz w:val="22"/>
                <w:szCs w:val="22"/>
              </w:rPr>
              <w:t>4.08</w:t>
            </w:r>
          </w:p>
        </w:tc>
        <w:tc>
          <w:tcPr>
            <w:tcW w:w="1017" w:type="pct"/>
            <w:tcBorders>
              <w:top w:val="nil"/>
              <w:left w:val="nil"/>
              <w:bottom w:val="nil"/>
              <w:right w:val="nil"/>
            </w:tcBorders>
            <w:shd w:val="clear" w:color="000000" w:fill="FFFFFF"/>
            <w:noWrap/>
            <w:vAlign w:val="center"/>
            <w:hideMark/>
          </w:tcPr>
          <w:p w14:paraId="085F9621" w14:textId="77777777" w:rsidR="00766C27" w:rsidRPr="00D618B7" w:rsidRDefault="00766C27" w:rsidP="004B11B7">
            <w:pPr>
              <w:jc w:val="right"/>
              <w:rPr>
                <w:color w:val="000000"/>
                <w:sz w:val="22"/>
                <w:szCs w:val="22"/>
              </w:rPr>
            </w:pPr>
            <w:r w:rsidRPr="00D618B7">
              <w:rPr>
                <w:color w:val="000000"/>
                <w:sz w:val="22"/>
                <w:szCs w:val="22"/>
              </w:rPr>
              <w:t>0.74</w:t>
            </w:r>
          </w:p>
        </w:tc>
        <w:tc>
          <w:tcPr>
            <w:tcW w:w="575" w:type="pct"/>
            <w:tcBorders>
              <w:top w:val="nil"/>
              <w:left w:val="nil"/>
              <w:bottom w:val="nil"/>
              <w:right w:val="nil"/>
            </w:tcBorders>
            <w:shd w:val="clear" w:color="000000" w:fill="FFFFFF"/>
            <w:noWrap/>
            <w:vAlign w:val="center"/>
            <w:hideMark/>
          </w:tcPr>
          <w:p w14:paraId="560F24D0" w14:textId="77777777" w:rsidR="00766C27" w:rsidRPr="00D618B7" w:rsidRDefault="00766C27" w:rsidP="004B11B7">
            <w:pPr>
              <w:jc w:val="right"/>
              <w:rPr>
                <w:color w:val="000000"/>
                <w:sz w:val="22"/>
                <w:szCs w:val="22"/>
              </w:rPr>
            </w:pPr>
            <w:r w:rsidRPr="00D618B7">
              <w:rPr>
                <w:color w:val="000000"/>
                <w:sz w:val="22"/>
                <w:szCs w:val="22"/>
              </w:rPr>
              <w:t>0.51</w:t>
            </w:r>
          </w:p>
        </w:tc>
        <w:tc>
          <w:tcPr>
            <w:tcW w:w="947" w:type="pct"/>
            <w:tcBorders>
              <w:top w:val="nil"/>
              <w:left w:val="nil"/>
              <w:bottom w:val="nil"/>
              <w:right w:val="nil"/>
            </w:tcBorders>
            <w:shd w:val="clear" w:color="000000" w:fill="FFFFFF"/>
            <w:noWrap/>
            <w:vAlign w:val="center"/>
            <w:hideMark/>
          </w:tcPr>
          <w:p w14:paraId="1E041B94" w14:textId="77777777" w:rsidR="00766C27" w:rsidRPr="00D618B7" w:rsidRDefault="00766C27" w:rsidP="004B11B7">
            <w:pPr>
              <w:jc w:val="right"/>
              <w:rPr>
                <w:color w:val="000000"/>
                <w:sz w:val="22"/>
                <w:szCs w:val="22"/>
              </w:rPr>
            </w:pPr>
            <w:r w:rsidRPr="00D618B7">
              <w:rPr>
                <w:color w:val="000000"/>
                <w:sz w:val="22"/>
                <w:szCs w:val="22"/>
              </w:rPr>
              <w:t>0.73</w:t>
            </w:r>
          </w:p>
        </w:tc>
        <w:tc>
          <w:tcPr>
            <w:tcW w:w="495" w:type="pct"/>
            <w:tcBorders>
              <w:top w:val="nil"/>
              <w:left w:val="nil"/>
              <w:bottom w:val="nil"/>
              <w:right w:val="nil"/>
            </w:tcBorders>
            <w:shd w:val="clear" w:color="000000" w:fill="FFFFFF"/>
            <w:noWrap/>
            <w:vAlign w:val="center"/>
            <w:hideMark/>
          </w:tcPr>
          <w:p w14:paraId="1EA2B257" w14:textId="77777777" w:rsidR="00766C27" w:rsidRPr="00D618B7" w:rsidRDefault="00766C27" w:rsidP="004B11B7">
            <w:pPr>
              <w:jc w:val="right"/>
              <w:rPr>
                <w:color w:val="000000"/>
                <w:sz w:val="22"/>
                <w:szCs w:val="22"/>
              </w:rPr>
            </w:pPr>
            <w:r w:rsidRPr="00D618B7">
              <w:rPr>
                <w:color w:val="000000"/>
                <w:sz w:val="22"/>
                <w:szCs w:val="22"/>
              </w:rPr>
              <w:t>0.27</w:t>
            </w:r>
          </w:p>
        </w:tc>
        <w:tc>
          <w:tcPr>
            <w:tcW w:w="816" w:type="pct"/>
            <w:tcBorders>
              <w:top w:val="nil"/>
              <w:left w:val="nil"/>
              <w:bottom w:val="nil"/>
              <w:right w:val="nil"/>
            </w:tcBorders>
            <w:shd w:val="clear" w:color="000000" w:fill="FFFFFF"/>
            <w:noWrap/>
            <w:vAlign w:val="center"/>
            <w:hideMark/>
          </w:tcPr>
          <w:p w14:paraId="62A08893" w14:textId="77777777" w:rsidR="00766C27" w:rsidRPr="00D618B7" w:rsidRDefault="00766C27" w:rsidP="004B11B7">
            <w:pPr>
              <w:jc w:val="right"/>
              <w:rPr>
                <w:color w:val="000000"/>
                <w:sz w:val="22"/>
                <w:szCs w:val="22"/>
              </w:rPr>
            </w:pPr>
            <w:r w:rsidRPr="00D618B7">
              <w:rPr>
                <w:color w:val="000000"/>
                <w:sz w:val="22"/>
                <w:szCs w:val="22"/>
              </w:rPr>
              <w:t>0.73</w:t>
            </w:r>
          </w:p>
        </w:tc>
      </w:tr>
      <w:tr w:rsidR="008839D5" w:rsidRPr="00D618B7" w14:paraId="1B162A71" w14:textId="77777777" w:rsidTr="008839D5">
        <w:trPr>
          <w:trHeight w:val="279"/>
        </w:trPr>
        <w:tc>
          <w:tcPr>
            <w:tcW w:w="533" w:type="pct"/>
            <w:tcBorders>
              <w:top w:val="nil"/>
              <w:left w:val="nil"/>
              <w:bottom w:val="single" w:sz="8" w:space="0" w:color="auto"/>
              <w:right w:val="nil"/>
            </w:tcBorders>
            <w:shd w:val="clear" w:color="000000" w:fill="FFFFFF"/>
            <w:vAlign w:val="center"/>
            <w:hideMark/>
          </w:tcPr>
          <w:p w14:paraId="107DE27E" w14:textId="77777777" w:rsidR="00766C27" w:rsidRPr="00D618B7" w:rsidRDefault="00766C27" w:rsidP="004B11B7">
            <w:pPr>
              <w:jc w:val="right"/>
              <w:rPr>
                <w:color w:val="000000"/>
                <w:sz w:val="22"/>
                <w:szCs w:val="22"/>
              </w:rPr>
            </w:pPr>
            <w:r w:rsidRPr="00D618B7">
              <w:rPr>
                <w:color w:val="000000"/>
                <w:sz w:val="22"/>
                <w:szCs w:val="22"/>
              </w:rPr>
              <w:t>5</w:t>
            </w:r>
          </w:p>
        </w:tc>
        <w:tc>
          <w:tcPr>
            <w:tcW w:w="617" w:type="pct"/>
            <w:tcBorders>
              <w:top w:val="nil"/>
              <w:left w:val="nil"/>
              <w:bottom w:val="single" w:sz="8" w:space="0" w:color="auto"/>
              <w:right w:val="nil"/>
            </w:tcBorders>
            <w:shd w:val="clear" w:color="000000" w:fill="FFFFFF"/>
            <w:noWrap/>
            <w:vAlign w:val="center"/>
            <w:hideMark/>
          </w:tcPr>
          <w:p w14:paraId="4866B1A6" w14:textId="77777777" w:rsidR="00766C27" w:rsidRPr="00D618B7" w:rsidRDefault="00766C27" w:rsidP="004B11B7">
            <w:pPr>
              <w:jc w:val="right"/>
              <w:rPr>
                <w:color w:val="000000"/>
                <w:sz w:val="22"/>
                <w:szCs w:val="22"/>
              </w:rPr>
            </w:pPr>
            <w:r w:rsidRPr="00D618B7">
              <w:rPr>
                <w:color w:val="000000"/>
                <w:sz w:val="22"/>
                <w:szCs w:val="22"/>
              </w:rPr>
              <w:t>0.72</w:t>
            </w:r>
          </w:p>
        </w:tc>
        <w:tc>
          <w:tcPr>
            <w:tcW w:w="1017" w:type="pct"/>
            <w:tcBorders>
              <w:top w:val="nil"/>
              <w:left w:val="nil"/>
              <w:bottom w:val="single" w:sz="8" w:space="0" w:color="auto"/>
              <w:right w:val="nil"/>
            </w:tcBorders>
            <w:shd w:val="clear" w:color="000000" w:fill="FFFFFF"/>
            <w:noWrap/>
            <w:vAlign w:val="center"/>
            <w:hideMark/>
          </w:tcPr>
          <w:p w14:paraId="26B9F7C9" w14:textId="77777777" w:rsidR="00766C27" w:rsidRPr="00D618B7" w:rsidRDefault="00766C27" w:rsidP="004B11B7">
            <w:pPr>
              <w:jc w:val="right"/>
              <w:rPr>
                <w:color w:val="000000"/>
                <w:sz w:val="22"/>
                <w:szCs w:val="22"/>
              </w:rPr>
            </w:pPr>
            <w:r w:rsidRPr="00D618B7">
              <w:rPr>
                <w:color w:val="000000"/>
                <w:sz w:val="22"/>
                <w:szCs w:val="22"/>
              </w:rPr>
              <w:t>0.79</w:t>
            </w:r>
          </w:p>
        </w:tc>
        <w:tc>
          <w:tcPr>
            <w:tcW w:w="575" w:type="pct"/>
            <w:tcBorders>
              <w:top w:val="nil"/>
              <w:left w:val="nil"/>
              <w:bottom w:val="single" w:sz="8" w:space="0" w:color="auto"/>
              <w:right w:val="nil"/>
            </w:tcBorders>
            <w:shd w:val="clear" w:color="000000" w:fill="FFFFFF"/>
            <w:noWrap/>
            <w:vAlign w:val="center"/>
            <w:hideMark/>
          </w:tcPr>
          <w:p w14:paraId="4763A2A0" w14:textId="77777777" w:rsidR="00766C27" w:rsidRPr="00D618B7" w:rsidRDefault="00766C27" w:rsidP="004B11B7">
            <w:pPr>
              <w:jc w:val="right"/>
              <w:rPr>
                <w:color w:val="000000"/>
                <w:sz w:val="22"/>
                <w:szCs w:val="22"/>
              </w:rPr>
            </w:pPr>
            <w:r w:rsidRPr="00D618B7">
              <w:rPr>
                <w:color w:val="000000"/>
                <w:sz w:val="22"/>
                <w:szCs w:val="22"/>
              </w:rPr>
              <w:t>0.34</w:t>
            </w:r>
          </w:p>
        </w:tc>
        <w:tc>
          <w:tcPr>
            <w:tcW w:w="947" w:type="pct"/>
            <w:tcBorders>
              <w:top w:val="nil"/>
              <w:left w:val="nil"/>
              <w:bottom w:val="single" w:sz="8" w:space="0" w:color="auto"/>
              <w:right w:val="nil"/>
            </w:tcBorders>
            <w:shd w:val="clear" w:color="000000" w:fill="FFFFFF"/>
            <w:noWrap/>
            <w:vAlign w:val="center"/>
            <w:hideMark/>
          </w:tcPr>
          <w:p w14:paraId="5462AE56" w14:textId="77777777" w:rsidR="00766C27" w:rsidRPr="00D618B7" w:rsidRDefault="00766C27" w:rsidP="004B11B7">
            <w:pPr>
              <w:jc w:val="right"/>
              <w:rPr>
                <w:color w:val="000000"/>
                <w:sz w:val="22"/>
                <w:szCs w:val="22"/>
              </w:rPr>
            </w:pPr>
            <w:r w:rsidRPr="00D618B7">
              <w:rPr>
                <w:color w:val="000000"/>
                <w:sz w:val="22"/>
                <w:szCs w:val="22"/>
              </w:rPr>
              <w:t>0.77</w:t>
            </w:r>
          </w:p>
        </w:tc>
        <w:tc>
          <w:tcPr>
            <w:tcW w:w="495" w:type="pct"/>
            <w:tcBorders>
              <w:top w:val="nil"/>
              <w:left w:val="nil"/>
              <w:bottom w:val="single" w:sz="8" w:space="0" w:color="auto"/>
              <w:right w:val="nil"/>
            </w:tcBorders>
            <w:shd w:val="clear" w:color="000000" w:fill="FFFFFF"/>
            <w:noWrap/>
            <w:vAlign w:val="center"/>
            <w:hideMark/>
          </w:tcPr>
          <w:p w14:paraId="68C70DC1" w14:textId="77777777" w:rsidR="00766C27" w:rsidRPr="00D618B7" w:rsidRDefault="00766C27" w:rsidP="004B11B7">
            <w:pPr>
              <w:jc w:val="right"/>
              <w:rPr>
                <w:color w:val="000000"/>
                <w:sz w:val="22"/>
                <w:szCs w:val="22"/>
              </w:rPr>
            </w:pPr>
            <w:r w:rsidRPr="00D618B7">
              <w:rPr>
                <w:color w:val="000000"/>
                <w:sz w:val="22"/>
                <w:szCs w:val="22"/>
              </w:rPr>
              <w:t>0.25</w:t>
            </w:r>
          </w:p>
        </w:tc>
        <w:tc>
          <w:tcPr>
            <w:tcW w:w="816" w:type="pct"/>
            <w:tcBorders>
              <w:top w:val="nil"/>
              <w:left w:val="nil"/>
              <w:bottom w:val="single" w:sz="8" w:space="0" w:color="auto"/>
              <w:right w:val="nil"/>
            </w:tcBorders>
            <w:shd w:val="clear" w:color="000000" w:fill="FFFFFF"/>
            <w:noWrap/>
            <w:vAlign w:val="center"/>
            <w:hideMark/>
          </w:tcPr>
          <w:p w14:paraId="37679043" w14:textId="77777777" w:rsidR="00766C27" w:rsidRPr="00D618B7" w:rsidRDefault="00766C27" w:rsidP="004B11B7">
            <w:pPr>
              <w:jc w:val="right"/>
              <w:rPr>
                <w:color w:val="000000"/>
                <w:sz w:val="22"/>
                <w:szCs w:val="22"/>
              </w:rPr>
            </w:pPr>
            <w:r w:rsidRPr="00D618B7">
              <w:rPr>
                <w:color w:val="000000"/>
                <w:sz w:val="22"/>
                <w:szCs w:val="22"/>
              </w:rPr>
              <w:t>0.77</w:t>
            </w:r>
          </w:p>
        </w:tc>
      </w:tr>
    </w:tbl>
    <w:p w14:paraId="3C66EB32" w14:textId="77777777" w:rsidR="00766C27" w:rsidRPr="00D618B7" w:rsidRDefault="00766C27" w:rsidP="00766C27">
      <w:pPr>
        <w:rPr>
          <w:i/>
          <w:iCs/>
        </w:rPr>
      </w:pPr>
    </w:p>
    <w:p w14:paraId="5359B534" w14:textId="77777777" w:rsidR="00766C27" w:rsidRPr="00D618B7" w:rsidRDefault="00766C27" w:rsidP="00766C27">
      <w:r w:rsidRPr="00D618B7">
        <w:rPr>
          <w:i/>
          <w:iCs/>
        </w:rPr>
        <w:t>Note</w:t>
      </w:r>
      <w:r w:rsidRPr="00D618B7">
        <w:t>: This table lists the estimated mean event frequency and standard errors for toy-out-of-reach, toy-moving-into-reach, and toy-in-reach for each week of observation around reach-onset.</w:t>
      </w:r>
    </w:p>
    <w:p w14:paraId="1526D5E6" w14:textId="77777777" w:rsidR="007E1678" w:rsidRPr="00D618B7" w:rsidRDefault="007E1678" w:rsidP="007E1678"/>
    <w:p w14:paraId="0BD0CFCB" w14:textId="77777777" w:rsidR="000B5C72" w:rsidRDefault="000B5C72" w:rsidP="00EE3953"/>
    <w:p w14:paraId="686427A9" w14:textId="77777777" w:rsidR="000B5C72" w:rsidRDefault="000B5C72" w:rsidP="00EE3953"/>
    <w:p w14:paraId="5E55D628" w14:textId="77777777" w:rsidR="000B5C72" w:rsidRPr="00D618B7" w:rsidRDefault="000B5C72" w:rsidP="00EE3953"/>
    <w:p w14:paraId="65EC9CAD" w14:textId="56E3DF8C" w:rsidR="00766C27" w:rsidRPr="00D618B7" w:rsidRDefault="004B7288" w:rsidP="007C5074">
      <w:pPr>
        <w:pStyle w:val="Caption"/>
      </w:pPr>
      <w:bookmarkStart w:id="136" w:name="_Toc172716839"/>
      <w:bookmarkEnd w:id="129"/>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11</w:t>
      </w:r>
      <w:r w:rsidR="00000000">
        <w:rPr>
          <w:noProof/>
        </w:rPr>
        <w:fldChar w:fldCharType="end"/>
      </w:r>
      <w:r w:rsidR="008839D5" w:rsidRPr="00D618B7">
        <w:t xml:space="preserve">: </w:t>
      </w:r>
      <w:r w:rsidR="008839D5" w:rsidRPr="00D618B7">
        <w:rPr>
          <w:rFonts w:eastAsia="Aptos"/>
        </w:rPr>
        <w:t>Event frequency by type and proximity</w:t>
      </w:r>
      <w:bookmarkEnd w:id="136"/>
    </w:p>
    <w:p w14:paraId="41439168" w14:textId="77777777" w:rsidR="00766C27" w:rsidRPr="00D618B7" w:rsidRDefault="00766C27" w:rsidP="00766C27">
      <w:r w:rsidRPr="00D618B7">
        <w:t>Estimated Mean Event Frequency by Type and Proximity</w:t>
      </w:r>
    </w:p>
    <w:tbl>
      <w:tblPr>
        <w:tblW w:w="5000" w:type="pct"/>
        <w:tblLook w:val="04A0" w:firstRow="1" w:lastRow="0" w:firstColumn="1" w:lastColumn="0" w:noHBand="0" w:noVBand="1"/>
      </w:tblPr>
      <w:tblGrid>
        <w:gridCol w:w="1007"/>
        <w:gridCol w:w="1028"/>
        <w:gridCol w:w="1697"/>
        <w:gridCol w:w="763"/>
        <w:gridCol w:w="1243"/>
        <w:gridCol w:w="1096"/>
        <w:gridCol w:w="1806"/>
      </w:tblGrid>
      <w:tr w:rsidR="00766C27" w:rsidRPr="00D618B7" w14:paraId="68734952" w14:textId="77777777" w:rsidTr="004B11B7">
        <w:trPr>
          <w:trHeight w:val="315"/>
        </w:trPr>
        <w:tc>
          <w:tcPr>
            <w:tcW w:w="584" w:type="pct"/>
            <w:tcBorders>
              <w:top w:val="single" w:sz="4" w:space="0" w:color="auto"/>
              <w:left w:val="nil"/>
              <w:bottom w:val="nil"/>
              <w:right w:val="nil"/>
            </w:tcBorders>
            <w:shd w:val="clear" w:color="000000" w:fill="FFFFFF"/>
            <w:vAlign w:val="center"/>
            <w:hideMark/>
          </w:tcPr>
          <w:p w14:paraId="582E2696" w14:textId="77777777" w:rsidR="00766C27" w:rsidRPr="00D618B7" w:rsidRDefault="00766C27" w:rsidP="004B11B7">
            <w:pPr>
              <w:rPr>
                <w:color w:val="000000"/>
              </w:rPr>
            </w:pPr>
            <w:r w:rsidRPr="00D618B7">
              <w:rPr>
                <w:color w:val="000000"/>
              </w:rPr>
              <w:t>Week</w:t>
            </w:r>
          </w:p>
        </w:tc>
        <w:tc>
          <w:tcPr>
            <w:tcW w:w="1579" w:type="pct"/>
            <w:gridSpan w:val="2"/>
            <w:tcBorders>
              <w:top w:val="single" w:sz="4" w:space="0" w:color="auto"/>
              <w:left w:val="nil"/>
              <w:bottom w:val="single" w:sz="8" w:space="0" w:color="auto"/>
              <w:right w:val="nil"/>
            </w:tcBorders>
            <w:shd w:val="clear" w:color="000000" w:fill="FFFFFF"/>
            <w:vAlign w:val="center"/>
            <w:hideMark/>
          </w:tcPr>
          <w:p w14:paraId="7D8B203B" w14:textId="77777777" w:rsidR="00766C27" w:rsidRPr="00D618B7" w:rsidRDefault="00766C27" w:rsidP="004B11B7">
            <w:pPr>
              <w:jc w:val="center"/>
              <w:rPr>
                <w:color w:val="000000"/>
              </w:rPr>
            </w:pPr>
            <w:r w:rsidRPr="00D618B7">
              <w:rPr>
                <w:color w:val="000000"/>
              </w:rPr>
              <w:t>Toy-out-of-Reach</w:t>
            </w:r>
          </w:p>
        </w:tc>
        <w:tc>
          <w:tcPr>
            <w:tcW w:w="1156" w:type="pct"/>
            <w:gridSpan w:val="2"/>
            <w:tcBorders>
              <w:top w:val="single" w:sz="4" w:space="0" w:color="auto"/>
              <w:left w:val="nil"/>
              <w:bottom w:val="single" w:sz="8" w:space="0" w:color="auto"/>
              <w:right w:val="nil"/>
            </w:tcBorders>
            <w:shd w:val="clear" w:color="000000" w:fill="FFFFFF"/>
            <w:vAlign w:val="center"/>
            <w:hideMark/>
          </w:tcPr>
          <w:p w14:paraId="5D606C2C" w14:textId="77777777" w:rsidR="00766C27" w:rsidRPr="00D618B7" w:rsidRDefault="00766C27" w:rsidP="004B11B7">
            <w:pPr>
              <w:jc w:val="center"/>
              <w:rPr>
                <w:color w:val="000000"/>
              </w:rPr>
            </w:pPr>
            <w:r w:rsidRPr="00D618B7">
              <w:rPr>
                <w:color w:val="000000"/>
              </w:rPr>
              <w:t>Toy-Moving-into-Reach</w:t>
            </w:r>
          </w:p>
        </w:tc>
        <w:tc>
          <w:tcPr>
            <w:tcW w:w="1682" w:type="pct"/>
            <w:gridSpan w:val="2"/>
            <w:tcBorders>
              <w:top w:val="single" w:sz="4" w:space="0" w:color="auto"/>
              <w:left w:val="nil"/>
              <w:bottom w:val="single" w:sz="8" w:space="0" w:color="auto"/>
              <w:right w:val="nil"/>
            </w:tcBorders>
            <w:shd w:val="clear" w:color="000000" w:fill="FFFFFF"/>
            <w:vAlign w:val="center"/>
            <w:hideMark/>
          </w:tcPr>
          <w:p w14:paraId="5722ADD3" w14:textId="77777777" w:rsidR="00766C27" w:rsidRPr="00D618B7" w:rsidRDefault="00766C27" w:rsidP="004B11B7">
            <w:pPr>
              <w:jc w:val="center"/>
              <w:rPr>
                <w:color w:val="000000"/>
              </w:rPr>
            </w:pPr>
            <w:r w:rsidRPr="00D618B7">
              <w:rPr>
                <w:color w:val="000000"/>
              </w:rPr>
              <w:t>Toy-in-Reach</w:t>
            </w:r>
          </w:p>
        </w:tc>
      </w:tr>
      <w:tr w:rsidR="00766C27" w:rsidRPr="00D618B7" w14:paraId="22937CB5" w14:textId="77777777" w:rsidTr="004B11B7">
        <w:trPr>
          <w:trHeight w:val="315"/>
        </w:trPr>
        <w:tc>
          <w:tcPr>
            <w:tcW w:w="584" w:type="pct"/>
            <w:tcBorders>
              <w:top w:val="nil"/>
              <w:left w:val="nil"/>
              <w:bottom w:val="single" w:sz="8" w:space="0" w:color="auto"/>
              <w:right w:val="nil"/>
            </w:tcBorders>
            <w:shd w:val="clear" w:color="000000" w:fill="FFFFFF"/>
            <w:noWrap/>
            <w:vAlign w:val="bottom"/>
            <w:hideMark/>
          </w:tcPr>
          <w:p w14:paraId="29D0CE8B" w14:textId="77777777" w:rsidR="00766C27" w:rsidRPr="00D618B7" w:rsidRDefault="00766C27" w:rsidP="004B11B7">
            <w:pPr>
              <w:rPr>
                <w:color w:val="000000"/>
              </w:rPr>
            </w:pPr>
            <w:r w:rsidRPr="00D618B7">
              <w:rPr>
                <w:color w:val="000000"/>
              </w:rPr>
              <w:t> </w:t>
            </w:r>
          </w:p>
        </w:tc>
        <w:tc>
          <w:tcPr>
            <w:tcW w:w="596" w:type="pct"/>
            <w:tcBorders>
              <w:top w:val="nil"/>
              <w:left w:val="nil"/>
              <w:bottom w:val="single" w:sz="8" w:space="0" w:color="auto"/>
              <w:right w:val="nil"/>
            </w:tcBorders>
            <w:shd w:val="clear" w:color="000000" w:fill="FFFFFF"/>
            <w:noWrap/>
            <w:vAlign w:val="center"/>
            <w:hideMark/>
          </w:tcPr>
          <w:p w14:paraId="4A9078B9" w14:textId="77777777" w:rsidR="00766C27" w:rsidRPr="00D618B7" w:rsidRDefault="00766C27" w:rsidP="004B11B7">
            <w:pPr>
              <w:jc w:val="right"/>
              <w:rPr>
                <w:color w:val="000000"/>
              </w:rPr>
            </w:pPr>
            <w:r w:rsidRPr="00D618B7">
              <w:rPr>
                <w:color w:val="000000"/>
              </w:rPr>
              <w:t>Mean</w:t>
            </w:r>
          </w:p>
        </w:tc>
        <w:tc>
          <w:tcPr>
            <w:tcW w:w="983" w:type="pct"/>
            <w:tcBorders>
              <w:top w:val="nil"/>
              <w:left w:val="nil"/>
              <w:bottom w:val="single" w:sz="8" w:space="0" w:color="auto"/>
              <w:right w:val="nil"/>
            </w:tcBorders>
            <w:shd w:val="clear" w:color="000000" w:fill="FFFFFF"/>
            <w:noWrap/>
            <w:vAlign w:val="center"/>
            <w:hideMark/>
          </w:tcPr>
          <w:p w14:paraId="23741CF6" w14:textId="77777777" w:rsidR="00766C27" w:rsidRPr="00D618B7" w:rsidRDefault="00766C27" w:rsidP="004B11B7">
            <w:pPr>
              <w:jc w:val="right"/>
              <w:rPr>
                <w:color w:val="000000"/>
              </w:rPr>
            </w:pPr>
            <w:r w:rsidRPr="00D618B7">
              <w:rPr>
                <w:color w:val="000000"/>
              </w:rPr>
              <w:t>Std. Error</w:t>
            </w:r>
          </w:p>
        </w:tc>
        <w:tc>
          <w:tcPr>
            <w:tcW w:w="436" w:type="pct"/>
            <w:tcBorders>
              <w:top w:val="nil"/>
              <w:left w:val="nil"/>
              <w:bottom w:val="single" w:sz="8" w:space="0" w:color="auto"/>
              <w:right w:val="nil"/>
            </w:tcBorders>
            <w:shd w:val="clear" w:color="000000" w:fill="FFFFFF"/>
            <w:noWrap/>
            <w:vAlign w:val="center"/>
            <w:hideMark/>
          </w:tcPr>
          <w:p w14:paraId="3887D558" w14:textId="77777777" w:rsidR="00766C27" w:rsidRPr="00D618B7" w:rsidRDefault="00766C27" w:rsidP="004B11B7">
            <w:pPr>
              <w:jc w:val="right"/>
              <w:rPr>
                <w:color w:val="000000"/>
              </w:rPr>
            </w:pPr>
            <w:r w:rsidRPr="00D618B7">
              <w:rPr>
                <w:color w:val="000000"/>
              </w:rPr>
              <w:t>Mean</w:t>
            </w:r>
          </w:p>
        </w:tc>
        <w:tc>
          <w:tcPr>
            <w:tcW w:w="719" w:type="pct"/>
            <w:tcBorders>
              <w:top w:val="nil"/>
              <w:left w:val="nil"/>
              <w:bottom w:val="single" w:sz="8" w:space="0" w:color="auto"/>
              <w:right w:val="nil"/>
            </w:tcBorders>
            <w:shd w:val="clear" w:color="000000" w:fill="FFFFFF"/>
            <w:noWrap/>
            <w:vAlign w:val="center"/>
            <w:hideMark/>
          </w:tcPr>
          <w:p w14:paraId="4E1071DA" w14:textId="77777777" w:rsidR="00766C27" w:rsidRPr="00D618B7" w:rsidRDefault="00766C27" w:rsidP="004B11B7">
            <w:pPr>
              <w:jc w:val="right"/>
              <w:rPr>
                <w:color w:val="000000"/>
              </w:rPr>
            </w:pPr>
            <w:r w:rsidRPr="00D618B7">
              <w:rPr>
                <w:color w:val="000000"/>
              </w:rPr>
              <w:t>Std. Error</w:t>
            </w:r>
          </w:p>
        </w:tc>
        <w:tc>
          <w:tcPr>
            <w:tcW w:w="635" w:type="pct"/>
            <w:tcBorders>
              <w:top w:val="nil"/>
              <w:left w:val="nil"/>
              <w:bottom w:val="single" w:sz="8" w:space="0" w:color="auto"/>
              <w:right w:val="nil"/>
            </w:tcBorders>
            <w:shd w:val="clear" w:color="000000" w:fill="FFFFFF"/>
            <w:noWrap/>
            <w:vAlign w:val="center"/>
            <w:hideMark/>
          </w:tcPr>
          <w:p w14:paraId="67EC8CB6" w14:textId="77777777" w:rsidR="00766C27" w:rsidRPr="00D618B7" w:rsidRDefault="00766C27" w:rsidP="004B11B7">
            <w:pPr>
              <w:jc w:val="right"/>
              <w:rPr>
                <w:color w:val="000000"/>
              </w:rPr>
            </w:pPr>
            <w:r w:rsidRPr="00D618B7">
              <w:rPr>
                <w:color w:val="000000"/>
              </w:rPr>
              <w:t>Mean</w:t>
            </w:r>
          </w:p>
        </w:tc>
        <w:tc>
          <w:tcPr>
            <w:tcW w:w="1047" w:type="pct"/>
            <w:tcBorders>
              <w:top w:val="nil"/>
              <w:left w:val="nil"/>
              <w:bottom w:val="single" w:sz="8" w:space="0" w:color="auto"/>
              <w:right w:val="nil"/>
            </w:tcBorders>
            <w:shd w:val="clear" w:color="000000" w:fill="FFFFFF"/>
            <w:noWrap/>
            <w:vAlign w:val="center"/>
            <w:hideMark/>
          </w:tcPr>
          <w:p w14:paraId="78DF1E1F" w14:textId="77777777" w:rsidR="00766C27" w:rsidRPr="00D618B7" w:rsidRDefault="00766C27" w:rsidP="004B11B7">
            <w:pPr>
              <w:jc w:val="right"/>
              <w:rPr>
                <w:color w:val="000000"/>
              </w:rPr>
            </w:pPr>
            <w:r w:rsidRPr="00D618B7">
              <w:rPr>
                <w:color w:val="000000"/>
              </w:rPr>
              <w:t>Std. Error</w:t>
            </w:r>
          </w:p>
        </w:tc>
      </w:tr>
      <w:tr w:rsidR="00766C27" w:rsidRPr="00D618B7" w14:paraId="6D243D74" w14:textId="77777777" w:rsidTr="004B11B7">
        <w:trPr>
          <w:trHeight w:val="300"/>
        </w:trPr>
        <w:tc>
          <w:tcPr>
            <w:tcW w:w="584" w:type="pct"/>
            <w:tcBorders>
              <w:top w:val="nil"/>
              <w:left w:val="nil"/>
              <w:bottom w:val="nil"/>
              <w:right w:val="nil"/>
            </w:tcBorders>
            <w:shd w:val="clear" w:color="000000" w:fill="FFFFFF"/>
            <w:vAlign w:val="center"/>
            <w:hideMark/>
          </w:tcPr>
          <w:p w14:paraId="0F23DF88" w14:textId="77777777" w:rsidR="00766C27" w:rsidRPr="00D618B7" w:rsidRDefault="00766C27" w:rsidP="004B11B7">
            <w:pPr>
              <w:rPr>
                <w:color w:val="000000"/>
              </w:rPr>
            </w:pPr>
            <w:r w:rsidRPr="00D618B7">
              <w:rPr>
                <w:color w:val="000000"/>
              </w:rPr>
              <w:t>Hand</w:t>
            </w:r>
          </w:p>
        </w:tc>
        <w:tc>
          <w:tcPr>
            <w:tcW w:w="596" w:type="pct"/>
            <w:tcBorders>
              <w:top w:val="nil"/>
              <w:left w:val="nil"/>
              <w:bottom w:val="nil"/>
              <w:right w:val="nil"/>
            </w:tcBorders>
            <w:shd w:val="clear" w:color="000000" w:fill="FFFFFF"/>
            <w:noWrap/>
            <w:vAlign w:val="center"/>
            <w:hideMark/>
          </w:tcPr>
          <w:p w14:paraId="6E432B96" w14:textId="77777777" w:rsidR="00766C27" w:rsidRPr="00D618B7" w:rsidRDefault="00766C27" w:rsidP="004B11B7">
            <w:pPr>
              <w:jc w:val="right"/>
              <w:rPr>
                <w:color w:val="000000"/>
              </w:rPr>
            </w:pPr>
            <w:r w:rsidRPr="00D618B7">
              <w:rPr>
                <w:color w:val="000000"/>
              </w:rPr>
              <w:t>0.55</w:t>
            </w:r>
          </w:p>
        </w:tc>
        <w:tc>
          <w:tcPr>
            <w:tcW w:w="983" w:type="pct"/>
            <w:tcBorders>
              <w:top w:val="nil"/>
              <w:left w:val="nil"/>
              <w:bottom w:val="nil"/>
              <w:right w:val="nil"/>
            </w:tcBorders>
            <w:shd w:val="clear" w:color="000000" w:fill="FFFFFF"/>
            <w:noWrap/>
            <w:vAlign w:val="center"/>
            <w:hideMark/>
          </w:tcPr>
          <w:p w14:paraId="21EC08C3" w14:textId="77777777" w:rsidR="00766C27" w:rsidRPr="00D618B7" w:rsidRDefault="00766C27" w:rsidP="004B11B7">
            <w:pPr>
              <w:jc w:val="right"/>
              <w:rPr>
                <w:color w:val="000000"/>
              </w:rPr>
            </w:pPr>
            <w:r w:rsidRPr="00D618B7">
              <w:rPr>
                <w:color w:val="000000"/>
              </w:rPr>
              <w:t>0.63</w:t>
            </w:r>
          </w:p>
        </w:tc>
        <w:tc>
          <w:tcPr>
            <w:tcW w:w="436" w:type="pct"/>
            <w:tcBorders>
              <w:top w:val="nil"/>
              <w:left w:val="nil"/>
              <w:bottom w:val="nil"/>
              <w:right w:val="nil"/>
            </w:tcBorders>
            <w:shd w:val="clear" w:color="000000" w:fill="FFFFFF"/>
            <w:noWrap/>
            <w:vAlign w:val="center"/>
            <w:hideMark/>
          </w:tcPr>
          <w:p w14:paraId="7718F0A3" w14:textId="77777777" w:rsidR="00766C27" w:rsidRPr="00D618B7" w:rsidRDefault="00766C27" w:rsidP="004B11B7">
            <w:pPr>
              <w:jc w:val="right"/>
              <w:rPr>
                <w:color w:val="000000"/>
              </w:rPr>
            </w:pPr>
            <w:r w:rsidRPr="00D618B7">
              <w:rPr>
                <w:color w:val="000000"/>
              </w:rPr>
              <w:t>-0.01</w:t>
            </w:r>
          </w:p>
        </w:tc>
        <w:tc>
          <w:tcPr>
            <w:tcW w:w="719" w:type="pct"/>
            <w:tcBorders>
              <w:top w:val="nil"/>
              <w:left w:val="nil"/>
              <w:bottom w:val="nil"/>
              <w:right w:val="nil"/>
            </w:tcBorders>
            <w:shd w:val="clear" w:color="000000" w:fill="FFFFFF"/>
            <w:noWrap/>
            <w:vAlign w:val="center"/>
            <w:hideMark/>
          </w:tcPr>
          <w:p w14:paraId="12D48837" w14:textId="77777777" w:rsidR="00766C27" w:rsidRPr="00D618B7" w:rsidRDefault="00766C27" w:rsidP="004B11B7">
            <w:pPr>
              <w:jc w:val="right"/>
              <w:rPr>
                <w:color w:val="000000"/>
              </w:rPr>
            </w:pPr>
            <w:r w:rsidRPr="00D618B7">
              <w:rPr>
                <w:color w:val="000000"/>
              </w:rPr>
              <w:t>0.63</w:t>
            </w:r>
          </w:p>
        </w:tc>
        <w:tc>
          <w:tcPr>
            <w:tcW w:w="635" w:type="pct"/>
            <w:tcBorders>
              <w:top w:val="nil"/>
              <w:left w:val="nil"/>
              <w:bottom w:val="nil"/>
              <w:right w:val="nil"/>
            </w:tcBorders>
            <w:shd w:val="clear" w:color="000000" w:fill="FFFFFF"/>
            <w:noWrap/>
            <w:vAlign w:val="center"/>
            <w:hideMark/>
          </w:tcPr>
          <w:p w14:paraId="7E7A6823" w14:textId="77777777" w:rsidR="00766C27" w:rsidRPr="00D618B7" w:rsidRDefault="00766C27" w:rsidP="004B11B7">
            <w:pPr>
              <w:jc w:val="right"/>
              <w:rPr>
                <w:color w:val="000000"/>
              </w:rPr>
            </w:pPr>
            <w:r w:rsidRPr="00D618B7">
              <w:rPr>
                <w:color w:val="000000"/>
              </w:rPr>
              <w:t>0.24</w:t>
            </w:r>
          </w:p>
        </w:tc>
        <w:tc>
          <w:tcPr>
            <w:tcW w:w="1047" w:type="pct"/>
            <w:tcBorders>
              <w:top w:val="nil"/>
              <w:left w:val="nil"/>
              <w:bottom w:val="nil"/>
              <w:right w:val="nil"/>
            </w:tcBorders>
            <w:shd w:val="clear" w:color="000000" w:fill="FFFFFF"/>
            <w:noWrap/>
            <w:vAlign w:val="center"/>
            <w:hideMark/>
          </w:tcPr>
          <w:p w14:paraId="38FA15D4" w14:textId="77777777" w:rsidR="00766C27" w:rsidRPr="00D618B7" w:rsidRDefault="00766C27" w:rsidP="004B11B7">
            <w:pPr>
              <w:jc w:val="right"/>
              <w:rPr>
                <w:color w:val="000000"/>
              </w:rPr>
            </w:pPr>
            <w:r w:rsidRPr="00D618B7">
              <w:rPr>
                <w:color w:val="000000"/>
              </w:rPr>
              <w:t>0.63</w:t>
            </w:r>
          </w:p>
        </w:tc>
      </w:tr>
      <w:tr w:rsidR="00766C27" w:rsidRPr="00D618B7" w14:paraId="57A941AB" w14:textId="77777777" w:rsidTr="004B11B7">
        <w:trPr>
          <w:trHeight w:val="300"/>
        </w:trPr>
        <w:tc>
          <w:tcPr>
            <w:tcW w:w="584" w:type="pct"/>
            <w:tcBorders>
              <w:top w:val="nil"/>
              <w:left w:val="nil"/>
              <w:bottom w:val="nil"/>
              <w:right w:val="nil"/>
            </w:tcBorders>
            <w:shd w:val="clear" w:color="000000" w:fill="FFFFFF"/>
            <w:vAlign w:val="center"/>
            <w:hideMark/>
          </w:tcPr>
          <w:p w14:paraId="22568A5F" w14:textId="77777777" w:rsidR="00766C27" w:rsidRPr="00D618B7" w:rsidRDefault="00766C27" w:rsidP="004B11B7">
            <w:pPr>
              <w:rPr>
                <w:color w:val="000000"/>
              </w:rPr>
            </w:pPr>
            <w:r w:rsidRPr="00D618B7">
              <w:rPr>
                <w:color w:val="000000"/>
              </w:rPr>
              <w:t>Face</w:t>
            </w:r>
          </w:p>
        </w:tc>
        <w:tc>
          <w:tcPr>
            <w:tcW w:w="596" w:type="pct"/>
            <w:tcBorders>
              <w:top w:val="nil"/>
              <w:left w:val="nil"/>
              <w:bottom w:val="nil"/>
              <w:right w:val="nil"/>
            </w:tcBorders>
            <w:shd w:val="clear" w:color="000000" w:fill="FFFFFF"/>
            <w:noWrap/>
            <w:vAlign w:val="center"/>
            <w:hideMark/>
          </w:tcPr>
          <w:p w14:paraId="6D072278" w14:textId="77777777" w:rsidR="00766C27" w:rsidRPr="00D618B7" w:rsidRDefault="00766C27" w:rsidP="004B11B7">
            <w:pPr>
              <w:jc w:val="right"/>
              <w:rPr>
                <w:color w:val="000000"/>
              </w:rPr>
            </w:pPr>
            <w:r w:rsidRPr="00D618B7">
              <w:rPr>
                <w:color w:val="000000"/>
              </w:rPr>
              <w:t>0.48</w:t>
            </w:r>
          </w:p>
        </w:tc>
        <w:tc>
          <w:tcPr>
            <w:tcW w:w="983" w:type="pct"/>
            <w:tcBorders>
              <w:top w:val="nil"/>
              <w:left w:val="nil"/>
              <w:bottom w:val="nil"/>
              <w:right w:val="nil"/>
            </w:tcBorders>
            <w:shd w:val="clear" w:color="000000" w:fill="FFFFFF"/>
            <w:noWrap/>
            <w:vAlign w:val="center"/>
            <w:hideMark/>
          </w:tcPr>
          <w:p w14:paraId="45C24C21" w14:textId="77777777" w:rsidR="00766C27" w:rsidRPr="00D618B7" w:rsidRDefault="00766C27" w:rsidP="004B11B7">
            <w:pPr>
              <w:jc w:val="right"/>
              <w:rPr>
                <w:color w:val="000000"/>
              </w:rPr>
            </w:pPr>
            <w:r w:rsidRPr="00D618B7">
              <w:rPr>
                <w:color w:val="000000"/>
              </w:rPr>
              <w:t>0.63</w:t>
            </w:r>
          </w:p>
        </w:tc>
        <w:tc>
          <w:tcPr>
            <w:tcW w:w="436" w:type="pct"/>
            <w:tcBorders>
              <w:top w:val="nil"/>
              <w:left w:val="nil"/>
              <w:bottom w:val="nil"/>
              <w:right w:val="nil"/>
            </w:tcBorders>
            <w:shd w:val="clear" w:color="000000" w:fill="FFFFFF"/>
            <w:noWrap/>
            <w:vAlign w:val="center"/>
            <w:hideMark/>
          </w:tcPr>
          <w:p w14:paraId="49EF759D" w14:textId="77777777" w:rsidR="00766C27" w:rsidRPr="00D618B7" w:rsidRDefault="00766C27" w:rsidP="004B11B7">
            <w:pPr>
              <w:jc w:val="right"/>
              <w:rPr>
                <w:color w:val="000000"/>
              </w:rPr>
            </w:pPr>
            <w:r w:rsidRPr="00D618B7">
              <w:rPr>
                <w:color w:val="000000"/>
              </w:rPr>
              <w:t>0.01</w:t>
            </w:r>
          </w:p>
        </w:tc>
        <w:tc>
          <w:tcPr>
            <w:tcW w:w="719" w:type="pct"/>
            <w:tcBorders>
              <w:top w:val="nil"/>
              <w:left w:val="nil"/>
              <w:bottom w:val="nil"/>
              <w:right w:val="nil"/>
            </w:tcBorders>
            <w:shd w:val="clear" w:color="000000" w:fill="FFFFFF"/>
            <w:noWrap/>
            <w:vAlign w:val="center"/>
            <w:hideMark/>
          </w:tcPr>
          <w:p w14:paraId="027FE9E5" w14:textId="77777777" w:rsidR="00766C27" w:rsidRPr="00D618B7" w:rsidRDefault="00766C27" w:rsidP="004B11B7">
            <w:pPr>
              <w:jc w:val="right"/>
              <w:rPr>
                <w:color w:val="000000"/>
              </w:rPr>
            </w:pPr>
            <w:r w:rsidRPr="00D618B7">
              <w:rPr>
                <w:color w:val="000000"/>
              </w:rPr>
              <w:t>0.63</w:t>
            </w:r>
          </w:p>
        </w:tc>
        <w:tc>
          <w:tcPr>
            <w:tcW w:w="635" w:type="pct"/>
            <w:tcBorders>
              <w:top w:val="nil"/>
              <w:left w:val="nil"/>
              <w:bottom w:val="nil"/>
              <w:right w:val="nil"/>
            </w:tcBorders>
            <w:shd w:val="clear" w:color="000000" w:fill="FFFFFF"/>
            <w:noWrap/>
            <w:vAlign w:val="center"/>
            <w:hideMark/>
          </w:tcPr>
          <w:p w14:paraId="003CB237" w14:textId="77777777" w:rsidR="00766C27" w:rsidRPr="00D618B7" w:rsidRDefault="00766C27" w:rsidP="004B11B7">
            <w:pPr>
              <w:jc w:val="right"/>
              <w:rPr>
                <w:color w:val="000000"/>
              </w:rPr>
            </w:pPr>
            <w:r w:rsidRPr="00D618B7">
              <w:rPr>
                <w:color w:val="000000"/>
              </w:rPr>
              <w:t>0.14</w:t>
            </w:r>
          </w:p>
        </w:tc>
        <w:tc>
          <w:tcPr>
            <w:tcW w:w="1047" w:type="pct"/>
            <w:tcBorders>
              <w:top w:val="nil"/>
              <w:left w:val="nil"/>
              <w:bottom w:val="nil"/>
              <w:right w:val="nil"/>
            </w:tcBorders>
            <w:shd w:val="clear" w:color="000000" w:fill="FFFFFF"/>
            <w:noWrap/>
            <w:vAlign w:val="center"/>
            <w:hideMark/>
          </w:tcPr>
          <w:p w14:paraId="338D880E" w14:textId="77777777" w:rsidR="00766C27" w:rsidRPr="00D618B7" w:rsidRDefault="00766C27" w:rsidP="004B11B7">
            <w:pPr>
              <w:jc w:val="right"/>
              <w:rPr>
                <w:color w:val="000000"/>
              </w:rPr>
            </w:pPr>
            <w:r w:rsidRPr="00D618B7">
              <w:rPr>
                <w:color w:val="000000"/>
              </w:rPr>
              <w:t>0.63</w:t>
            </w:r>
          </w:p>
        </w:tc>
      </w:tr>
      <w:tr w:rsidR="00766C27" w:rsidRPr="00D618B7" w14:paraId="7EFDAB66" w14:textId="77777777" w:rsidTr="004B11B7">
        <w:trPr>
          <w:trHeight w:val="315"/>
        </w:trPr>
        <w:tc>
          <w:tcPr>
            <w:tcW w:w="584" w:type="pct"/>
            <w:tcBorders>
              <w:top w:val="nil"/>
              <w:left w:val="nil"/>
              <w:bottom w:val="single" w:sz="8" w:space="0" w:color="auto"/>
              <w:right w:val="nil"/>
            </w:tcBorders>
            <w:shd w:val="clear" w:color="000000" w:fill="FFFFFF"/>
            <w:vAlign w:val="center"/>
            <w:hideMark/>
          </w:tcPr>
          <w:p w14:paraId="13491CBC" w14:textId="77777777" w:rsidR="00766C27" w:rsidRPr="00D618B7" w:rsidRDefault="00766C27" w:rsidP="004B11B7">
            <w:pPr>
              <w:rPr>
                <w:color w:val="000000"/>
              </w:rPr>
            </w:pPr>
            <w:r w:rsidRPr="00D618B7">
              <w:rPr>
                <w:color w:val="000000"/>
              </w:rPr>
              <w:t>Mouth</w:t>
            </w:r>
          </w:p>
        </w:tc>
        <w:tc>
          <w:tcPr>
            <w:tcW w:w="596" w:type="pct"/>
            <w:tcBorders>
              <w:top w:val="nil"/>
              <w:left w:val="nil"/>
              <w:bottom w:val="single" w:sz="8" w:space="0" w:color="auto"/>
              <w:right w:val="nil"/>
            </w:tcBorders>
            <w:shd w:val="clear" w:color="000000" w:fill="FFFFFF"/>
            <w:noWrap/>
            <w:vAlign w:val="center"/>
            <w:hideMark/>
          </w:tcPr>
          <w:p w14:paraId="76E00314" w14:textId="77777777" w:rsidR="00766C27" w:rsidRPr="00D618B7" w:rsidRDefault="00766C27" w:rsidP="004B11B7">
            <w:pPr>
              <w:jc w:val="right"/>
              <w:rPr>
                <w:color w:val="000000"/>
              </w:rPr>
            </w:pPr>
            <w:r w:rsidRPr="00D618B7">
              <w:rPr>
                <w:color w:val="000000"/>
              </w:rPr>
              <w:t>4.16</w:t>
            </w:r>
          </w:p>
        </w:tc>
        <w:tc>
          <w:tcPr>
            <w:tcW w:w="983" w:type="pct"/>
            <w:tcBorders>
              <w:top w:val="nil"/>
              <w:left w:val="nil"/>
              <w:bottom w:val="single" w:sz="8" w:space="0" w:color="auto"/>
              <w:right w:val="nil"/>
            </w:tcBorders>
            <w:shd w:val="clear" w:color="000000" w:fill="FFFFFF"/>
            <w:noWrap/>
            <w:vAlign w:val="center"/>
            <w:hideMark/>
          </w:tcPr>
          <w:p w14:paraId="0AE30B9B" w14:textId="77777777" w:rsidR="00766C27" w:rsidRPr="00D618B7" w:rsidRDefault="00766C27" w:rsidP="004B11B7">
            <w:pPr>
              <w:jc w:val="right"/>
              <w:rPr>
                <w:color w:val="000000"/>
              </w:rPr>
            </w:pPr>
            <w:r w:rsidRPr="00D618B7">
              <w:rPr>
                <w:color w:val="000000"/>
              </w:rPr>
              <w:t>0.63</w:t>
            </w:r>
          </w:p>
        </w:tc>
        <w:tc>
          <w:tcPr>
            <w:tcW w:w="436" w:type="pct"/>
            <w:tcBorders>
              <w:top w:val="nil"/>
              <w:left w:val="nil"/>
              <w:bottom w:val="single" w:sz="8" w:space="0" w:color="auto"/>
              <w:right w:val="nil"/>
            </w:tcBorders>
            <w:shd w:val="clear" w:color="000000" w:fill="FFFFFF"/>
            <w:noWrap/>
            <w:vAlign w:val="center"/>
            <w:hideMark/>
          </w:tcPr>
          <w:p w14:paraId="4340FE2B" w14:textId="77777777" w:rsidR="00766C27" w:rsidRPr="00D618B7" w:rsidRDefault="00766C27" w:rsidP="004B11B7">
            <w:pPr>
              <w:jc w:val="right"/>
              <w:rPr>
                <w:color w:val="000000"/>
              </w:rPr>
            </w:pPr>
            <w:r w:rsidRPr="00D618B7">
              <w:rPr>
                <w:color w:val="000000"/>
              </w:rPr>
              <w:t>0.64</w:t>
            </w:r>
          </w:p>
        </w:tc>
        <w:tc>
          <w:tcPr>
            <w:tcW w:w="719" w:type="pct"/>
            <w:tcBorders>
              <w:top w:val="nil"/>
              <w:left w:val="nil"/>
              <w:bottom w:val="single" w:sz="8" w:space="0" w:color="auto"/>
              <w:right w:val="nil"/>
            </w:tcBorders>
            <w:shd w:val="clear" w:color="000000" w:fill="FFFFFF"/>
            <w:noWrap/>
            <w:vAlign w:val="center"/>
            <w:hideMark/>
          </w:tcPr>
          <w:p w14:paraId="2F638EB0" w14:textId="77777777" w:rsidR="00766C27" w:rsidRPr="00D618B7" w:rsidRDefault="00766C27" w:rsidP="004B11B7">
            <w:pPr>
              <w:jc w:val="right"/>
              <w:rPr>
                <w:color w:val="000000"/>
              </w:rPr>
            </w:pPr>
            <w:r w:rsidRPr="00D618B7">
              <w:rPr>
                <w:color w:val="000000"/>
              </w:rPr>
              <w:t>0.63</w:t>
            </w:r>
          </w:p>
        </w:tc>
        <w:tc>
          <w:tcPr>
            <w:tcW w:w="635" w:type="pct"/>
            <w:tcBorders>
              <w:top w:val="nil"/>
              <w:left w:val="nil"/>
              <w:bottom w:val="single" w:sz="8" w:space="0" w:color="auto"/>
              <w:right w:val="nil"/>
            </w:tcBorders>
            <w:shd w:val="clear" w:color="000000" w:fill="FFFFFF"/>
            <w:noWrap/>
            <w:vAlign w:val="center"/>
            <w:hideMark/>
          </w:tcPr>
          <w:p w14:paraId="1965D254" w14:textId="77777777" w:rsidR="00766C27" w:rsidRPr="00D618B7" w:rsidRDefault="00766C27" w:rsidP="004B11B7">
            <w:pPr>
              <w:jc w:val="right"/>
              <w:rPr>
                <w:color w:val="000000"/>
              </w:rPr>
            </w:pPr>
            <w:r w:rsidRPr="00D618B7">
              <w:rPr>
                <w:color w:val="000000"/>
              </w:rPr>
              <w:t>3.21</w:t>
            </w:r>
          </w:p>
        </w:tc>
        <w:tc>
          <w:tcPr>
            <w:tcW w:w="1047" w:type="pct"/>
            <w:tcBorders>
              <w:top w:val="nil"/>
              <w:left w:val="nil"/>
              <w:bottom w:val="single" w:sz="8" w:space="0" w:color="auto"/>
              <w:right w:val="nil"/>
            </w:tcBorders>
            <w:shd w:val="clear" w:color="000000" w:fill="FFFFFF"/>
            <w:noWrap/>
            <w:vAlign w:val="center"/>
            <w:hideMark/>
          </w:tcPr>
          <w:p w14:paraId="72429291" w14:textId="77777777" w:rsidR="00766C27" w:rsidRPr="00D618B7" w:rsidRDefault="00766C27" w:rsidP="004B11B7">
            <w:pPr>
              <w:jc w:val="right"/>
              <w:rPr>
                <w:color w:val="000000"/>
              </w:rPr>
            </w:pPr>
            <w:r w:rsidRPr="00D618B7">
              <w:rPr>
                <w:color w:val="000000"/>
              </w:rPr>
              <w:t>0.63</w:t>
            </w:r>
          </w:p>
        </w:tc>
      </w:tr>
    </w:tbl>
    <w:p w14:paraId="64A56974" w14:textId="77777777" w:rsidR="00766C27" w:rsidRPr="00D618B7" w:rsidRDefault="00766C27" w:rsidP="00766C27">
      <w:pPr>
        <w:rPr>
          <w:i/>
          <w:iCs/>
        </w:rPr>
      </w:pPr>
    </w:p>
    <w:p w14:paraId="34229C30" w14:textId="77777777" w:rsidR="001E3794" w:rsidRDefault="00766C27" w:rsidP="00766C27">
      <w:r w:rsidRPr="00D618B7">
        <w:rPr>
          <w:i/>
          <w:iCs/>
        </w:rPr>
        <w:t>Note</w:t>
      </w:r>
      <w:r w:rsidRPr="00D618B7">
        <w:t>: This table lists the estimated mean frequency and standard errors for hand, face, and mouth events for toy-out-of-reach, toy-moving-into-reach, and toy-in-reach.</w:t>
      </w:r>
    </w:p>
    <w:p w14:paraId="3E6FA955" w14:textId="40666AF9" w:rsidR="00766C27" w:rsidRPr="001E3794" w:rsidRDefault="00766C27" w:rsidP="00766C27">
      <w:r w:rsidRPr="00D618B7">
        <w:rPr>
          <w:noProof/>
        </w:rPr>
        <w:lastRenderedPageBreak/>
        <w:drawing>
          <wp:anchor distT="0" distB="0" distL="114300" distR="114300" simplePos="0" relativeHeight="251927040" behindDoc="0" locked="0" layoutInCell="1" allowOverlap="1" wp14:anchorId="47B2E69A" wp14:editId="5D49456C">
            <wp:simplePos x="0" y="0"/>
            <wp:positionH relativeFrom="column">
              <wp:posOffset>460375</wp:posOffset>
            </wp:positionH>
            <wp:positionV relativeFrom="paragraph">
              <wp:posOffset>0</wp:posOffset>
            </wp:positionV>
            <wp:extent cx="4438650" cy="6307455"/>
            <wp:effectExtent l="0" t="0" r="0" b="0"/>
            <wp:wrapTopAndBottom/>
            <wp:docPr id="493793034" name="Picture 7" descr="A diagram of a circular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93034" name="Picture 7" descr="A diagram of a circular object&#10;&#10;Description automatically generated with medium confidenc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844"/>
                    <a:stretch/>
                  </pic:blipFill>
                  <pic:spPr bwMode="auto">
                    <a:xfrm>
                      <a:off x="0" y="0"/>
                      <a:ext cx="4438650" cy="6307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AD68D7" w14:textId="77777777" w:rsidR="001E3794" w:rsidRDefault="001E3794" w:rsidP="00766C27">
      <w:pPr>
        <w:rPr>
          <w:i/>
          <w:iCs/>
        </w:rPr>
      </w:pPr>
    </w:p>
    <w:p w14:paraId="61C88A3D" w14:textId="77777777" w:rsidR="001E3794" w:rsidRPr="00D618B7" w:rsidRDefault="001E3794" w:rsidP="007C5074">
      <w:pPr>
        <w:pStyle w:val="Caption"/>
      </w:pPr>
      <w:bookmarkStart w:id="137" w:name="_Toc172716948"/>
      <w:r w:rsidRPr="00D618B7">
        <w:t xml:space="preserve">Figure </w:t>
      </w:r>
      <w:r>
        <w:fldChar w:fldCharType="begin"/>
      </w:r>
      <w:r>
        <w:instrText xml:space="preserve"> SEQ Figure \* ARABIC </w:instrText>
      </w:r>
      <w:r>
        <w:fldChar w:fldCharType="separate"/>
      </w:r>
      <w:r>
        <w:rPr>
          <w:noProof/>
        </w:rPr>
        <w:t>8</w:t>
      </w:r>
      <w:r>
        <w:rPr>
          <w:noProof/>
        </w:rPr>
        <w:fldChar w:fldCharType="end"/>
      </w:r>
      <w:r w:rsidRPr="00D618B7">
        <w:t xml:space="preserve">: </w:t>
      </w:r>
      <w:r w:rsidRPr="00D618B7">
        <w:rPr>
          <w:rFonts w:eastAsia="Aptos"/>
        </w:rPr>
        <w:t>Event frequency by type, proximity, and week</w:t>
      </w:r>
      <w:bookmarkEnd w:id="137"/>
    </w:p>
    <w:p w14:paraId="243008A6" w14:textId="0D658F43" w:rsidR="001E3794" w:rsidRDefault="001E3794" w:rsidP="00766C27">
      <w:pPr>
        <w:rPr>
          <w:i/>
          <w:iCs/>
        </w:rPr>
      </w:pPr>
      <w:r w:rsidRPr="00D618B7">
        <w:t>Estimated Mean Frequency of Event by Type, Proximity, and Wee</w:t>
      </w:r>
      <w:r>
        <w:t>k.</w:t>
      </w:r>
    </w:p>
    <w:p w14:paraId="3DE650B4" w14:textId="069BDB12" w:rsidR="00766C27" w:rsidRPr="00D618B7" w:rsidRDefault="00766C27" w:rsidP="00766C27">
      <w:r w:rsidRPr="00D618B7">
        <w:rPr>
          <w:i/>
          <w:iCs/>
        </w:rPr>
        <w:t>Note</w:t>
      </w:r>
      <w:r w:rsidRPr="00D618B7">
        <w:t>. This figure illustrates the estimated mean frequency of face, hand, and mouth events for toy-out-of-reach, toy-moving-into-reach, and toy-in-reach per week of observation around reach-onset. Error bars show standard error.</w:t>
      </w:r>
    </w:p>
    <w:p w14:paraId="62AEF3C9" w14:textId="442E1424" w:rsidR="00766C27" w:rsidRPr="00D618B7" w:rsidRDefault="004B7288" w:rsidP="007C5074">
      <w:pPr>
        <w:pStyle w:val="Caption"/>
      </w:pPr>
      <w:bookmarkStart w:id="138" w:name="_Toc172716840"/>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12</w:t>
      </w:r>
      <w:r w:rsidR="00000000">
        <w:rPr>
          <w:noProof/>
        </w:rPr>
        <w:fldChar w:fldCharType="end"/>
      </w:r>
      <w:r w:rsidR="008839D5" w:rsidRPr="00D618B7">
        <w:t xml:space="preserve">: </w:t>
      </w:r>
      <w:r w:rsidR="008839D5" w:rsidRPr="00D618B7">
        <w:rPr>
          <w:rFonts w:eastAsia="Aptos"/>
        </w:rPr>
        <w:t>Event frequency by type, proximity, and week</w:t>
      </w:r>
      <w:bookmarkEnd w:id="138"/>
    </w:p>
    <w:p w14:paraId="6CCB4567" w14:textId="77777777" w:rsidR="00766C27" w:rsidRPr="00D618B7" w:rsidRDefault="00766C27" w:rsidP="00766C27">
      <w:r w:rsidRPr="00D618B7">
        <w:t>Estimated Mean Event Frequency by Type, Proximity, and Week</w:t>
      </w:r>
    </w:p>
    <w:tbl>
      <w:tblPr>
        <w:tblW w:w="4738" w:type="pct"/>
        <w:tblLook w:val="04A0" w:firstRow="1" w:lastRow="0" w:firstColumn="1" w:lastColumn="0" w:noHBand="0" w:noVBand="1"/>
      </w:tblPr>
      <w:tblGrid>
        <w:gridCol w:w="1188"/>
        <w:gridCol w:w="905"/>
        <w:gridCol w:w="1084"/>
        <w:gridCol w:w="1396"/>
        <w:gridCol w:w="1084"/>
        <w:gridCol w:w="1446"/>
        <w:gridCol w:w="1084"/>
      </w:tblGrid>
      <w:tr w:rsidR="00766C27" w:rsidRPr="00D618B7" w14:paraId="0982FAC2" w14:textId="77777777" w:rsidTr="00766C27">
        <w:trPr>
          <w:trHeight w:val="237"/>
        </w:trPr>
        <w:tc>
          <w:tcPr>
            <w:tcW w:w="741" w:type="pct"/>
            <w:tcBorders>
              <w:top w:val="single" w:sz="18" w:space="0" w:color="auto"/>
              <w:left w:val="nil"/>
              <w:bottom w:val="nil"/>
              <w:right w:val="nil"/>
            </w:tcBorders>
            <w:shd w:val="clear" w:color="000000" w:fill="FFFFFF"/>
            <w:vAlign w:val="center"/>
            <w:hideMark/>
          </w:tcPr>
          <w:p w14:paraId="4D326306" w14:textId="77777777" w:rsidR="00766C27" w:rsidRPr="00D618B7" w:rsidRDefault="00766C27" w:rsidP="004B11B7">
            <w:pPr>
              <w:rPr>
                <w:color w:val="000000"/>
                <w:sz w:val="22"/>
                <w:szCs w:val="22"/>
              </w:rPr>
            </w:pPr>
            <w:r w:rsidRPr="00D618B7">
              <w:rPr>
                <w:color w:val="000000"/>
                <w:sz w:val="22"/>
                <w:szCs w:val="22"/>
              </w:rPr>
              <w:t>Week</w:t>
            </w:r>
          </w:p>
        </w:tc>
        <w:tc>
          <w:tcPr>
            <w:tcW w:w="1210" w:type="pct"/>
            <w:gridSpan w:val="2"/>
            <w:tcBorders>
              <w:top w:val="single" w:sz="18" w:space="0" w:color="auto"/>
              <w:left w:val="nil"/>
              <w:bottom w:val="single" w:sz="18" w:space="0" w:color="auto"/>
              <w:right w:val="nil"/>
            </w:tcBorders>
            <w:shd w:val="clear" w:color="000000" w:fill="FFFFFF"/>
            <w:vAlign w:val="center"/>
            <w:hideMark/>
          </w:tcPr>
          <w:p w14:paraId="210DB885" w14:textId="77777777" w:rsidR="00766C27" w:rsidRPr="00D618B7" w:rsidRDefault="00766C27" w:rsidP="004B11B7">
            <w:pPr>
              <w:jc w:val="center"/>
              <w:rPr>
                <w:color w:val="000000"/>
                <w:sz w:val="22"/>
                <w:szCs w:val="22"/>
              </w:rPr>
            </w:pPr>
            <w:r w:rsidRPr="00D618B7">
              <w:rPr>
                <w:color w:val="000000"/>
                <w:sz w:val="22"/>
                <w:szCs w:val="22"/>
              </w:rPr>
              <w:t>Face</w:t>
            </w:r>
          </w:p>
        </w:tc>
        <w:tc>
          <w:tcPr>
            <w:tcW w:w="1508" w:type="pct"/>
            <w:gridSpan w:val="2"/>
            <w:tcBorders>
              <w:top w:val="single" w:sz="18" w:space="0" w:color="auto"/>
              <w:left w:val="nil"/>
              <w:bottom w:val="single" w:sz="18" w:space="0" w:color="auto"/>
              <w:right w:val="nil"/>
            </w:tcBorders>
            <w:shd w:val="clear" w:color="000000" w:fill="FFFFFF"/>
            <w:vAlign w:val="center"/>
            <w:hideMark/>
          </w:tcPr>
          <w:p w14:paraId="266C89E7" w14:textId="77777777" w:rsidR="00766C27" w:rsidRPr="00D618B7" w:rsidRDefault="00766C27" w:rsidP="004B11B7">
            <w:pPr>
              <w:jc w:val="center"/>
              <w:rPr>
                <w:color w:val="000000"/>
                <w:sz w:val="22"/>
                <w:szCs w:val="22"/>
              </w:rPr>
            </w:pPr>
            <w:r w:rsidRPr="00D618B7">
              <w:rPr>
                <w:color w:val="000000"/>
                <w:sz w:val="22"/>
                <w:szCs w:val="22"/>
              </w:rPr>
              <w:t xml:space="preserve">              Hand</w:t>
            </w:r>
          </w:p>
        </w:tc>
        <w:tc>
          <w:tcPr>
            <w:tcW w:w="1541" w:type="pct"/>
            <w:gridSpan w:val="2"/>
            <w:tcBorders>
              <w:top w:val="single" w:sz="18" w:space="0" w:color="auto"/>
              <w:left w:val="nil"/>
              <w:bottom w:val="single" w:sz="18" w:space="0" w:color="auto"/>
              <w:right w:val="nil"/>
            </w:tcBorders>
            <w:shd w:val="clear" w:color="000000" w:fill="FFFFFF"/>
            <w:vAlign w:val="center"/>
            <w:hideMark/>
          </w:tcPr>
          <w:p w14:paraId="2CF3369D" w14:textId="77777777" w:rsidR="00766C27" w:rsidRPr="00D618B7" w:rsidRDefault="00766C27" w:rsidP="004B11B7">
            <w:pPr>
              <w:jc w:val="center"/>
              <w:rPr>
                <w:color w:val="000000"/>
                <w:sz w:val="22"/>
                <w:szCs w:val="22"/>
              </w:rPr>
            </w:pPr>
            <w:r w:rsidRPr="00D618B7">
              <w:rPr>
                <w:color w:val="000000"/>
                <w:sz w:val="22"/>
                <w:szCs w:val="22"/>
              </w:rPr>
              <w:t xml:space="preserve">                Mouth</w:t>
            </w:r>
          </w:p>
        </w:tc>
      </w:tr>
      <w:tr w:rsidR="00766C27" w:rsidRPr="00D618B7" w14:paraId="668847BE" w14:textId="77777777" w:rsidTr="00766C27">
        <w:trPr>
          <w:trHeight w:val="237"/>
        </w:trPr>
        <w:tc>
          <w:tcPr>
            <w:tcW w:w="741" w:type="pct"/>
            <w:tcBorders>
              <w:top w:val="nil"/>
              <w:left w:val="nil"/>
              <w:bottom w:val="single" w:sz="18" w:space="0" w:color="auto"/>
              <w:right w:val="nil"/>
            </w:tcBorders>
            <w:shd w:val="clear" w:color="000000" w:fill="FFFFFF"/>
            <w:noWrap/>
            <w:vAlign w:val="bottom"/>
            <w:hideMark/>
          </w:tcPr>
          <w:p w14:paraId="00DA902A" w14:textId="77777777" w:rsidR="00766C27" w:rsidRPr="00D618B7" w:rsidRDefault="00766C27" w:rsidP="004B11B7">
            <w:pPr>
              <w:rPr>
                <w:color w:val="000000"/>
                <w:sz w:val="22"/>
                <w:szCs w:val="22"/>
              </w:rPr>
            </w:pPr>
            <w:r w:rsidRPr="00D618B7">
              <w:rPr>
                <w:color w:val="000000"/>
                <w:sz w:val="22"/>
                <w:szCs w:val="22"/>
              </w:rPr>
              <w:t> </w:t>
            </w:r>
          </w:p>
        </w:tc>
        <w:tc>
          <w:tcPr>
            <w:tcW w:w="568" w:type="pct"/>
            <w:tcBorders>
              <w:top w:val="single" w:sz="18" w:space="0" w:color="auto"/>
              <w:left w:val="nil"/>
              <w:bottom w:val="single" w:sz="18" w:space="0" w:color="auto"/>
              <w:right w:val="nil"/>
            </w:tcBorders>
            <w:shd w:val="clear" w:color="000000" w:fill="FFFFFF"/>
            <w:noWrap/>
            <w:vAlign w:val="center"/>
            <w:hideMark/>
          </w:tcPr>
          <w:p w14:paraId="5BD94AC3" w14:textId="77777777" w:rsidR="00766C27" w:rsidRPr="00D618B7" w:rsidRDefault="00766C27" w:rsidP="004B11B7">
            <w:pPr>
              <w:jc w:val="right"/>
              <w:rPr>
                <w:color w:val="000000"/>
                <w:sz w:val="22"/>
                <w:szCs w:val="22"/>
              </w:rPr>
            </w:pPr>
            <w:r w:rsidRPr="00D618B7">
              <w:rPr>
                <w:color w:val="000000"/>
                <w:sz w:val="22"/>
                <w:szCs w:val="22"/>
              </w:rPr>
              <w:t>Mean</w:t>
            </w:r>
          </w:p>
        </w:tc>
        <w:tc>
          <w:tcPr>
            <w:tcW w:w="642" w:type="pct"/>
            <w:tcBorders>
              <w:top w:val="single" w:sz="18" w:space="0" w:color="auto"/>
              <w:left w:val="nil"/>
              <w:bottom w:val="single" w:sz="18" w:space="0" w:color="auto"/>
              <w:right w:val="nil"/>
            </w:tcBorders>
            <w:shd w:val="clear" w:color="000000" w:fill="FFFFFF"/>
            <w:noWrap/>
            <w:vAlign w:val="center"/>
            <w:hideMark/>
          </w:tcPr>
          <w:p w14:paraId="3A15FAD3" w14:textId="77777777" w:rsidR="00766C27" w:rsidRPr="00D618B7" w:rsidRDefault="00766C27" w:rsidP="004B11B7">
            <w:pPr>
              <w:jc w:val="right"/>
              <w:rPr>
                <w:color w:val="000000"/>
                <w:sz w:val="22"/>
                <w:szCs w:val="22"/>
              </w:rPr>
            </w:pPr>
            <w:r w:rsidRPr="00D618B7">
              <w:rPr>
                <w:color w:val="000000"/>
                <w:sz w:val="22"/>
                <w:szCs w:val="22"/>
              </w:rPr>
              <w:t>Std. Error</w:t>
            </w:r>
          </w:p>
        </w:tc>
        <w:tc>
          <w:tcPr>
            <w:tcW w:w="867" w:type="pct"/>
            <w:tcBorders>
              <w:top w:val="single" w:sz="18" w:space="0" w:color="auto"/>
              <w:left w:val="nil"/>
              <w:bottom w:val="single" w:sz="18" w:space="0" w:color="auto"/>
              <w:right w:val="nil"/>
            </w:tcBorders>
            <w:shd w:val="clear" w:color="000000" w:fill="FFFFFF"/>
            <w:noWrap/>
            <w:vAlign w:val="center"/>
            <w:hideMark/>
          </w:tcPr>
          <w:p w14:paraId="784449BD" w14:textId="77777777" w:rsidR="00766C27" w:rsidRPr="00D618B7" w:rsidRDefault="00766C27" w:rsidP="004B11B7">
            <w:pPr>
              <w:jc w:val="right"/>
              <w:rPr>
                <w:color w:val="000000"/>
                <w:sz w:val="22"/>
                <w:szCs w:val="22"/>
              </w:rPr>
            </w:pPr>
            <w:r w:rsidRPr="00D618B7">
              <w:rPr>
                <w:color w:val="000000"/>
                <w:sz w:val="22"/>
                <w:szCs w:val="22"/>
              </w:rPr>
              <w:t>Mean</w:t>
            </w:r>
          </w:p>
        </w:tc>
        <w:tc>
          <w:tcPr>
            <w:tcW w:w="641" w:type="pct"/>
            <w:tcBorders>
              <w:top w:val="single" w:sz="18" w:space="0" w:color="auto"/>
              <w:left w:val="nil"/>
              <w:bottom w:val="single" w:sz="18" w:space="0" w:color="auto"/>
              <w:right w:val="nil"/>
            </w:tcBorders>
            <w:shd w:val="clear" w:color="000000" w:fill="FFFFFF"/>
            <w:noWrap/>
            <w:vAlign w:val="center"/>
            <w:hideMark/>
          </w:tcPr>
          <w:p w14:paraId="6ECDD6BC" w14:textId="77777777" w:rsidR="00766C27" w:rsidRPr="00D618B7" w:rsidRDefault="00766C27" w:rsidP="004B11B7">
            <w:pPr>
              <w:jc w:val="right"/>
              <w:rPr>
                <w:color w:val="000000"/>
                <w:sz w:val="22"/>
                <w:szCs w:val="22"/>
              </w:rPr>
            </w:pPr>
            <w:r w:rsidRPr="00D618B7">
              <w:rPr>
                <w:color w:val="000000"/>
                <w:sz w:val="22"/>
                <w:szCs w:val="22"/>
              </w:rPr>
              <w:t>Std. Error</w:t>
            </w:r>
          </w:p>
        </w:tc>
        <w:tc>
          <w:tcPr>
            <w:tcW w:w="898" w:type="pct"/>
            <w:tcBorders>
              <w:top w:val="single" w:sz="18" w:space="0" w:color="auto"/>
              <w:left w:val="nil"/>
              <w:bottom w:val="single" w:sz="18" w:space="0" w:color="auto"/>
              <w:right w:val="nil"/>
            </w:tcBorders>
            <w:shd w:val="clear" w:color="000000" w:fill="FFFFFF"/>
            <w:noWrap/>
            <w:vAlign w:val="center"/>
            <w:hideMark/>
          </w:tcPr>
          <w:p w14:paraId="69B3ECE5" w14:textId="77777777" w:rsidR="00766C27" w:rsidRPr="00D618B7" w:rsidRDefault="00766C27" w:rsidP="004B11B7">
            <w:pPr>
              <w:jc w:val="right"/>
              <w:rPr>
                <w:color w:val="000000"/>
                <w:sz w:val="22"/>
                <w:szCs w:val="22"/>
              </w:rPr>
            </w:pPr>
            <w:r w:rsidRPr="00D618B7">
              <w:rPr>
                <w:color w:val="000000"/>
                <w:sz w:val="22"/>
                <w:szCs w:val="22"/>
              </w:rPr>
              <w:t>Mean</w:t>
            </w:r>
          </w:p>
        </w:tc>
        <w:tc>
          <w:tcPr>
            <w:tcW w:w="642" w:type="pct"/>
            <w:tcBorders>
              <w:top w:val="single" w:sz="18" w:space="0" w:color="auto"/>
              <w:left w:val="nil"/>
              <w:bottom w:val="single" w:sz="18" w:space="0" w:color="auto"/>
              <w:right w:val="nil"/>
            </w:tcBorders>
            <w:shd w:val="clear" w:color="000000" w:fill="FFFFFF"/>
            <w:noWrap/>
            <w:vAlign w:val="center"/>
            <w:hideMark/>
          </w:tcPr>
          <w:p w14:paraId="3693FE1C" w14:textId="77777777" w:rsidR="00766C27" w:rsidRPr="00D618B7" w:rsidRDefault="00766C27" w:rsidP="004B11B7">
            <w:pPr>
              <w:jc w:val="right"/>
              <w:rPr>
                <w:color w:val="000000"/>
                <w:sz w:val="22"/>
                <w:szCs w:val="22"/>
              </w:rPr>
            </w:pPr>
            <w:r w:rsidRPr="00D618B7">
              <w:rPr>
                <w:color w:val="000000"/>
                <w:sz w:val="22"/>
                <w:szCs w:val="22"/>
              </w:rPr>
              <w:t>Std. Error</w:t>
            </w:r>
          </w:p>
        </w:tc>
      </w:tr>
      <w:tr w:rsidR="00766C27" w:rsidRPr="00D618B7" w14:paraId="4F8B41E1" w14:textId="77777777" w:rsidTr="00766C27">
        <w:trPr>
          <w:trHeight w:val="237"/>
        </w:trPr>
        <w:tc>
          <w:tcPr>
            <w:tcW w:w="741" w:type="pct"/>
            <w:tcBorders>
              <w:top w:val="single" w:sz="18" w:space="0" w:color="auto"/>
              <w:left w:val="nil"/>
              <w:bottom w:val="nil"/>
              <w:right w:val="nil"/>
            </w:tcBorders>
            <w:shd w:val="clear" w:color="000000" w:fill="FFFFFF"/>
            <w:noWrap/>
            <w:vAlign w:val="bottom"/>
            <w:hideMark/>
          </w:tcPr>
          <w:p w14:paraId="1535407B" w14:textId="77777777" w:rsidR="00766C27" w:rsidRPr="00D618B7" w:rsidRDefault="00766C27" w:rsidP="004B11B7">
            <w:pPr>
              <w:rPr>
                <w:color w:val="000000"/>
                <w:sz w:val="22"/>
                <w:szCs w:val="22"/>
              </w:rPr>
            </w:pPr>
            <w:r w:rsidRPr="00D618B7">
              <w:rPr>
                <w:color w:val="000000"/>
                <w:sz w:val="22"/>
                <w:szCs w:val="22"/>
              </w:rPr>
              <w:t> </w:t>
            </w:r>
          </w:p>
        </w:tc>
        <w:tc>
          <w:tcPr>
            <w:tcW w:w="4259" w:type="pct"/>
            <w:gridSpan w:val="6"/>
            <w:tcBorders>
              <w:top w:val="single" w:sz="18" w:space="0" w:color="auto"/>
              <w:left w:val="nil"/>
              <w:bottom w:val="nil"/>
              <w:right w:val="nil"/>
            </w:tcBorders>
            <w:shd w:val="clear" w:color="000000" w:fill="FFFFFF"/>
            <w:noWrap/>
            <w:vAlign w:val="center"/>
            <w:hideMark/>
          </w:tcPr>
          <w:p w14:paraId="36F77D36" w14:textId="77777777" w:rsidR="00766C27" w:rsidRPr="00D618B7" w:rsidRDefault="00766C27" w:rsidP="004B11B7">
            <w:pPr>
              <w:jc w:val="center"/>
              <w:rPr>
                <w:color w:val="000000"/>
                <w:sz w:val="22"/>
                <w:szCs w:val="22"/>
              </w:rPr>
            </w:pPr>
            <w:r w:rsidRPr="00D618B7">
              <w:rPr>
                <w:color w:val="000000"/>
                <w:sz w:val="22"/>
                <w:szCs w:val="22"/>
              </w:rPr>
              <w:t>Toy-out-of-Reach</w:t>
            </w:r>
          </w:p>
        </w:tc>
      </w:tr>
      <w:tr w:rsidR="00766C27" w:rsidRPr="00D618B7" w14:paraId="6FA7F251" w14:textId="77777777" w:rsidTr="00766C27">
        <w:trPr>
          <w:trHeight w:val="237"/>
        </w:trPr>
        <w:tc>
          <w:tcPr>
            <w:tcW w:w="741" w:type="pct"/>
            <w:tcBorders>
              <w:top w:val="nil"/>
              <w:left w:val="nil"/>
              <w:bottom w:val="nil"/>
              <w:right w:val="nil"/>
            </w:tcBorders>
            <w:shd w:val="clear" w:color="000000" w:fill="FFFFFF"/>
            <w:vAlign w:val="center"/>
            <w:hideMark/>
          </w:tcPr>
          <w:p w14:paraId="2C6B3699" w14:textId="77777777" w:rsidR="00766C27" w:rsidRPr="00D618B7" w:rsidRDefault="00766C27" w:rsidP="004B11B7">
            <w:pPr>
              <w:jc w:val="right"/>
              <w:rPr>
                <w:color w:val="000000"/>
                <w:sz w:val="22"/>
                <w:szCs w:val="22"/>
              </w:rPr>
            </w:pPr>
            <w:r w:rsidRPr="00D618B7">
              <w:rPr>
                <w:color w:val="000000"/>
                <w:sz w:val="22"/>
                <w:szCs w:val="22"/>
              </w:rPr>
              <w:t>-5</w:t>
            </w:r>
          </w:p>
        </w:tc>
        <w:tc>
          <w:tcPr>
            <w:tcW w:w="568" w:type="pct"/>
            <w:tcBorders>
              <w:top w:val="nil"/>
              <w:left w:val="nil"/>
              <w:bottom w:val="nil"/>
              <w:right w:val="nil"/>
            </w:tcBorders>
            <w:shd w:val="clear" w:color="000000" w:fill="FFFFFF"/>
            <w:noWrap/>
            <w:hideMark/>
          </w:tcPr>
          <w:p w14:paraId="281A479A" w14:textId="77777777" w:rsidR="00766C27" w:rsidRPr="00D618B7" w:rsidRDefault="00766C27" w:rsidP="004B11B7">
            <w:pPr>
              <w:jc w:val="right"/>
              <w:rPr>
                <w:color w:val="000000"/>
                <w:sz w:val="22"/>
                <w:szCs w:val="22"/>
              </w:rPr>
            </w:pPr>
            <w:r w:rsidRPr="00D618B7">
              <w:rPr>
                <w:sz w:val="22"/>
                <w:szCs w:val="22"/>
              </w:rPr>
              <w:t>2.79</w:t>
            </w:r>
          </w:p>
        </w:tc>
        <w:tc>
          <w:tcPr>
            <w:tcW w:w="642" w:type="pct"/>
            <w:tcBorders>
              <w:top w:val="nil"/>
              <w:left w:val="nil"/>
              <w:bottom w:val="nil"/>
              <w:right w:val="nil"/>
            </w:tcBorders>
            <w:shd w:val="clear" w:color="000000" w:fill="FFFFFF"/>
            <w:noWrap/>
            <w:hideMark/>
          </w:tcPr>
          <w:p w14:paraId="1339A562" w14:textId="77777777" w:rsidR="00766C27" w:rsidRPr="00D618B7" w:rsidRDefault="00766C27" w:rsidP="004B11B7">
            <w:pPr>
              <w:jc w:val="right"/>
              <w:rPr>
                <w:color w:val="000000"/>
                <w:sz w:val="22"/>
                <w:szCs w:val="22"/>
              </w:rPr>
            </w:pPr>
            <w:r w:rsidRPr="00D618B7">
              <w:rPr>
                <w:sz w:val="22"/>
                <w:szCs w:val="22"/>
              </w:rPr>
              <w:t>1.34</w:t>
            </w:r>
          </w:p>
        </w:tc>
        <w:tc>
          <w:tcPr>
            <w:tcW w:w="867" w:type="pct"/>
            <w:tcBorders>
              <w:top w:val="nil"/>
              <w:left w:val="nil"/>
              <w:bottom w:val="nil"/>
              <w:right w:val="nil"/>
            </w:tcBorders>
            <w:shd w:val="clear" w:color="000000" w:fill="FFFFFF"/>
            <w:noWrap/>
            <w:hideMark/>
          </w:tcPr>
          <w:p w14:paraId="258A4A30" w14:textId="77777777" w:rsidR="00766C27" w:rsidRPr="00D618B7" w:rsidRDefault="00766C27" w:rsidP="004B11B7">
            <w:pPr>
              <w:jc w:val="right"/>
              <w:rPr>
                <w:color w:val="000000"/>
                <w:sz w:val="22"/>
                <w:szCs w:val="22"/>
              </w:rPr>
            </w:pPr>
            <w:r w:rsidRPr="00D618B7">
              <w:rPr>
                <w:sz w:val="22"/>
                <w:szCs w:val="22"/>
              </w:rPr>
              <w:t>-0.08</w:t>
            </w:r>
          </w:p>
        </w:tc>
        <w:tc>
          <w:tcPr>
            <w:tcW w:w="641" w:type="pct"/>
            <w:tcBorders>
              <w:top w:val="nil"/>
              <w:left w:val="nil"/>
              <w:bottom w:val="nil"/>
              <w:right w:val="nil"/>
            </w:tcBorders>
            <w:shd w:val="clear" w:color="000000" w:fill="FFFFFF"/>
            <w:noWrap/>
            <w:hideMark/>
          </w:tcPr>
          <w:p w14:paraId="454CE602" w14:textId="77777777" w:rsidR="00766C27" w:rsidRPr="00D618B7" w:rsidRDefault="00766C27" w:rsidP="004B11B7">
            <w:pPr>
              <w:jc w:val="right"/>
              <w:rPr>
                <w:color w:val="000000"/>
                <w:sz w:val="22"/>
                <w:szCs w:val="22"/>
              </w:rPr>
            </w:pPr>
            <w:r w:rsidRPr="00D618B7">
              <w:rPr>
                <w:sz w:val="22"/>
                <w:szCs w:val="22"/>
              </w:rPr>
              <w:t>1.34</w:t>
            </w:r>
          </w:p>
        </w:tc>
        <w:tc>
          <w:tcPr>
            <w:tcW w:w="898" w:type="pct"/>
            <w:tcBorders>
              <w:top w:val="nil"/>
              <w:left w:val="nil"/>
              <w:bottom w:val="nil"/>
              <w:right w:val="nil"/>
            </w:tcBorders>
            <w:shd w:val="clear" w:color="000000" w:fill="FFFFFF"/>
            <w:noWrap/>
            <w:hideMark/>
          </w:tcPr>
          <w:p w14:paraId="3220BB03" w14:textId="77777777" w:rsidR="00766C27" w:rsidRPr="00D618B7" w:rsidRDefault="00766C27" w:rsidP="004B11B7">
            <w:pPr>
              <w:jc w:val="right"/>
              <w:rPr>
                <w:color w:val="000000"/>
                <w:sz w:val="22"/>
                <w:szCs w:val="22"/>
              </w:rPr>
            </w:pPr>
            <w:r w:rsidRPr="00D618B7">
              <w:rPr>
                <w:sz w:val="22"/>
                <w:szCs w:val="22"/>
              </w:rPr>
              <w:t>1.21</w:t>
            </w:r>
          </w:p>
        </w:tc>
        <w:tc>
          <w:tcPr>
            <w:tcW w:w="642" w:type="pct"/>
            <w:tcBorders>
              <w:top w:val="nil"/>
              <w:left w:val="nil"/>
              <w:bottom w:val="nil"/>
              <w:right w:val="nil"/>
            </w:tcBorders>
            <w:shd w:val="clear" w:color="000000" w:fill="FFFFFF"/>
            <w:noWrap/>
            <w:hideMark/>
          </w:tcPr>
          <w:p w14:paraId="2CB3253A" w14:textId="77777777" w:rsidR="00766C27" w:rsidRPr="00D618B7" w:rsidRDefault="00766C27" w:rsidP="004B11B7">
            <w:pPr>
              <w:jc w:val="right"/>
              <w:rPr>
                <w:color w:val="000000"/>
                <w:sz w:val="22"/>
                <w:szCs w:val="22"/>
              </w:rPr>
            </w:pPr>
            <w:r w:rsidRPr="00D618B7">
              <w:rPr>
                <w:sz w:val="22"/>
                <w:szCs w:val="22"/>
              </w:rPr>
              <w:t>1.34</w:t>
            </w:r>
          </w:p>
        </w:tc>
      </w:tr>
      <w:tr w:rsidR="00766C27" w:rsidRPr="00D618B7" w14:paraId="75F46425" w14:textId="77777777" w:rsidTr="00766C27">
        <w:trPr>
          <w:trHeight w:val="237"/>
        </w:trPr>
        <w:tc>
          <w:tcPr>
            <w:tcW w:w="741" w:type="pct"/>
            <w:tcBorders>
              <w:top w:val="nil"/>
              <w:left w:val="nil"/>
              <w:bottom w:val="nil"/>
              <w:right w:val="nil"/>
            </w:tcBorders>
            <w:shd w:val="clear" w:color="000000" w:fill="FFFFFF"/>
            <w:vAlign w:val="center"/>
            <w:hideMark/>
          </w:tcPr>
          <w:p w14:paraId="1907FBDF" w14:textId="77777777" w:rsidR="00766C27" w:rsidRPr="00D618B7" w:rsidRDefault="00766C27" w:rsidP="004B11B7">
            <w:pPr>
              <w:jc w:val="right"/>
              <w:rPr>
                <w:color w:val="000000"/>
                <w:sz w:val="22"/>
                <w:szCs w:val="22"/>
              </w:rPr>
            </w:pPr>
            <w:r w:rsidRPr="00D618B7">
              <w:rPr>
                <w:color w:val="000000"/>
                <w:sz w:val="22"/>
                <w:szCs w:val="22"/>
              </w:rPr>
              <w:t>-4</w:t>
            </w:r>
          </w:p>
        </w:tc>
        <w:tc>
          <w:tcPr>
            <w:tcW w:w="568" w:type="pct"/>
            <w:tcBorders>
              <w:top w:val="nil"/>
              <w:left w:val="nil"/>
              <w:bottom w:val="nil"/>
              <w:right w:val="nil"/>
            </w:tcBorders>
            <w:shd w:val="clear" w:color="000000" w:fill="FFFFFF"/>
            <w:noWrap/>
            <w:hideMark/>
          </w:tcPr>
          <w:p w14:paraId="625669F5" w14:textId="77777777" w:rsidR="00766C27" w:rsidRPr="00D618B7" w:rsidRDefault="00766C27" w:rsidP="004B11B7">
            <w:pPr>
              <w:jc w:val="right"/>
              <w:rPr>
                <w:color w:val="000000"/>
                <w:sz w:val="22"/>
                <w:szCs w:val="22"/>
              </w:rPr>
            </w:pPr>
            <w:r w:rsidRPr="00D618B7">
              <w:rPr>
                <w:sz w:val="22"/>
                <w:szCs w:val="22"/>
              </w:rPr>
              <w:t>-0.45</w:t>
            </w:r>
          </w:p>
        </w:tc>
        <w:tc>
          <w:tcPr>
            <w:tcW w:w="642" w:type="pct"/>
            <w:tcBorders>
              <w:top w:val="nil"/>
              <w:left w:val="nil"/>
              <w:bottom w:val="nil"/>
              <w:right w:val="nil"/>
            </w:tcBorders>
            <w:shd w:val="clear" w:color="000000" w:fill="FFFFFF"/>
            <w:noWrap/>
            <w:hideMark/>
          </w:tcPr>
          <w:p w14:paraId="282BD4F1" w14:textId="77777777" w:rsidR="00766C27" w:rsidRPr="00D618B7" w:rsidRDefault="00766C27" w:rsidP="004B11B7">
            <w:pPr>
              <w:jc w:val="right"/>
              <w:rPr>
                <w:color w:val="000000"/>
                <w:sz w:val="22"/>
                <w:szCs w:val="22"/>
              </w:rPr>
            </w:pPr>
            <w:r w:rsidRPr="00D618B7">
              <w:rPr>
                <w:sz w:val="22"/>
                <w:szCs w:val="22"/>
              </w:rPr>
              <w:t>1.38</w:t>
            </w:r>
          </w:p>
        </w:tc>
        <w:tc>
          <w:tcPr>
            <w:tcW w:w="867" w:type="pct"/>
            <w:tcBorders>
              <w:top w:val="nil"/>
              <w:left w:val="nil"/>
              <w:bottom w:val="nil"/>
              <w:right w:val="nil"/>
            </w:tcBorders>
            <w:shd w:val="clear" w:color="000000" w:fill="FFFFFF"/>
            <w:noWrap/>
            <w:hideMark/>
          </w:tcPr>
          <w:p w14:paraId="3494DB79" w14:textId="77777777" w:rsidR="00766C27" w:rsidRPr="00D618B7" w:rsidRDefault="00766C27" w:rsidP="004B11B7">
            <w:pPr>
              <w:jc w:val="right"/>
              <w:rPr>
                <w:color w:val="000000"/>
                <w:sz w:val="22"/>
                <w:szCs w:val="22"/>
              </w:rPr>
            </w:pPr>
            <w:r w:rsidRPr="00D618B7">
              <w:rPr>
                <w:sz w:val="22"/>
                <w:szCs w:val="22"/>
              </w:rPr>
              <w:t>0.15</w:t>
            </w:r>
          </w:p>
        </w:tc>
        <w:tc>
          <w:tcPr>
            <w:tcW w:w="641" w:type="pct"/>
            <w:tcBorders>
              <w:top w:val="nil"/>
              <w:left w:val="nil"/>
              <w:bottom w:val="nil"/>
              <w:right w:val="nil"/>
            </w:tcBorders>
            <w:shd w:val="clear" w:color="000000" w:fill="FFFFFF"/>
            <w:noWrap/>
            <w:hideMark/>
          </w:tcPr>
          <w:p w14:paraId="4DB47418" w14:textId="77777777" w:rsidR="00766C27" w:rsidRPr="00D618B7" w:rsidRDefault="00766C27" w:rsidP="004B11B7">
            <w:pPr>
              <w:jc w:val="right"/>
              <w:rPr>
                <w:color w:val="000000"/>
                <w:sz w:val="22"/>
                <w:szCs w:val="22"/>
              </w:rPr>
            </w:pPr>
            <w:r w:rsidRPr="00D618B7">
              <w:rPr>
                <w:sz w:val="22"/>
                <w:szCs w:val="22"/>
              </w:rPr>
              <w:t>1.38</w:t>
            </w:r>
          </w:p>
        </w:tc>
        <w:tc>
          <w:tcPr>
            <w:tcW w:w="898" w:type="pct"/>
            <w:tcBorders>
              <w:top w:val="nil"/>
              <w:left w:val="nil"/>
              <w:bottom w:val="nil"/>
              <w:right w:val="nil"/>
            </w:tcBorders>
            <w:shd w:val="clear" w:color="000000" w:fill="FFFFFF"/>
            <w:noWrap/>
            <w:hideMark/>
          </w:tcPr>
          <w:p w14:paraId="1ED68CF8" w14:textId="77777777" w:rsidR="00766C27" w:rsidRPr="00D618B7" w:rsidRDefault="00766C27" w:rsidP="004B11B7">
            <w:pPr>
              <w:jc w:val="right"/>
              <w:rPr>
                <w:color w:val="000000"/>
                <w:sz w:val="22"/>
                <w:szCs w:val="22"/>
              </w:rPr>
            </w:pPr>
            <w:r w:rsidRPr="00D618B7">
              <w:rPr>
                <w:sz w:val="22"/>
                <w:szCs w:val="22"/>
              </w:rPr>
              <w:t>0.95</w:t>
            </w:r>
          </w:p>
        </w:tc>
        <w:tc>
          <w:tcPr>
            <w:tcW w:w="642" w:type="pct"/>
            <w:tcBorders>
              <w:top w:val="nil"/>
              <w:left w:val="nil"/>
              <w:bottom w:val="nil"/>
              <w:right w:val="nil"/>
            </w:tcBorders>
            <w:shd w:val="clear" w:color="000000" w:fill="FFFFFF"/>
            <w:noWrap/>
            <w:hideMark/>
          </w:tcPr>
          <w:p w14:paraId="27EACE2D" w14:textId="77777777" w:rsidR="00766C27" w:rsidRPr="00D618B7" w:rsidRDefault="00766C27" w:rsidP="004B11B7">
            <w:pPr>
              <w:jc w:val="right"/>
              <w:rPr>
                <w:color w:val="000000"/>
                <w:sz w:val="22"/>
                <w:szCs w:val="22"/>
              </w:rPr>
            </w:pPr>
            <w:r w:rsidRPr="00D618B7">
              <w:rPr>
                <w:sz w:val="22"/>
                <w:szCs w:val="22"/>
              </w:rPr>
              <w:t>1.38</w:t>
            </w:r>
          </w:p>
        </w:tc>
      </w:tr>
      <w:tr w:rsidR="00766C27" w:rsidRPr="00D618B7" w14:paraId="3B1897E8" w14:textId="77777777" w:rsidTr="00766C27">
        <w:trPr>
          <w:trHeight w:val="237"/>
        </w:trPr>
        <w:tc>
          <w:tcPr>
            <w:tcW w:w="741" w:type="pct"/>
            <w:tcBorders>
              <w:top w:val="nil"/>
              <w:left w:val="nil"/>
              <w:bottom w:val="nil"/>
              <w:right w:val="nil"/>
            </w:tcBorders>
            <w:shd w:val="clear" w:color="000000" w:fill="FFFFFF"/>
            <w:vAlign w:val="center"/>
            <w:hideMark/>
          </w:tcPr>
          <w:p w14:paraId="3BB2CA71" w14:textId="77777777" w:rsidR="00766C27" w:rsidRPr="00D618B7" w:rsidRDefault="00766C27" w:rsidP="004B11B7">
            <w:pPr>
              <w:jc w:val="right"/>
              <w:rPr>
                <w:color w:val="000000"/>
                <w:sz w:val="22"/>
                <w:szCs w:val="22"/>
              </w:rPr>
            </w:pPr>
            <w:r w:rsidRPr="00D618B7">
              <w:rPr>
                <w:color w:val="000000"/>
                <w:sz w:val="22"/>
                <w:szCs w:val="22"/>
              </w:rPr>
              <w:t>-3</w:t>
            </w:r>
          </w:p>
        </w:tc>
        <w:tc>
          <w:tcPr>
            <w:tcW w:w="568" w:type="pct"/>
            <w:tcBorders>
              <w:top w:val="nil"/>
              <w:left w:val="nil"/>
              <w:bottom w:val="nil"/>
              <w:right w:val="nil"/>
            </w:tcBorders>
            <w:shd w:val="clear" w:color="000000" w:fill="FFFFFF"/>
            <w:noWrap/>
            <w:hideMark/>
          </w:tcPr>
          <w:p w14:paraId="550D1336" w14:textId="77777777" w:rsidR="00766C27" w:rsidRPr="00D618B7" w:rsidRDefault="00766C27" w:rsidP="004B11B7">
            <w:pPr>
              <w:jc w:val="right"/>
              <w:rPr>
                <w:color w:val="000000"/>
                <w:sz w:val="22"/>
                <w:szCs w:val="22"/>
              </w:rPr>
            </w:pPr>
            <w:r w:rsidRPr="00D618B7">
              <w:rPr>
                <w:sz w:val="22"/>
                <w:szCs w:val="22"/>
              </w:rPr>
              <w:t>0.76</w:t>
            </w:r>
          </w:p>
        </w:tc>
        <w:tc>
          <w:tcPr>
            <w:tcW w:w="642" w:type="pct"/>
            <w:tcBorders>
              <w:top w:val="nil"/>
              <w:left w:val="nil"/>
              <w:bottom w:val="nil"/>
              <w:right w:val="nil"/>
            </w:tcBorders>
            <w:shd w:val="clear" w:color="000000" w:fill="FFFFFF"/>
            <w:noWrap/>
            <w:hideMark/>
          </w:tcPr>
          <w:p w14:paraId="71A6E75D" w14:textId="77777777" w:rsidR="00766C27" w:rsidRPr="00D618B7" w:rsidRDefault="00766C27" w:rsidP="004B11B7">
            <w:pPr>
              <w:jc w:val="right"/>
              <w:rPr>
                <w:color w:val="000000"/>
                <w:sz w:val="22"/>
                <w:szCs w:val="22"/>
              </w:rPr>
            </w:pPr>
            <w:r w:rsidRPr="00D618B7">
              <w:rPr>
                <w:sz w:val="22"/>
                <w:szCs w:val="22"/>
              </w:rPr>
              <w:t>1.40</w:t>
            </w:r>
          </w:p>
        </w:tc>
        <w:tc>
          <w:tcPr>
            <w:tcW w:w="867" w:type="pct"/>
            <w:tcBorders>
              <w:top w:val="nil"/>
              <w:left w:val="nil"/>
              <w:bottom w:val="nil"/>
              <w:right w:val="nil"/>
            </w:tcBorders>
            <w:shd w:val="clear" w:color="000000" w:fill="FFFFFF"/>
            <w:noWrap/>
            <w:hideMark/>
          </w:tcPr>
          <w:p w14:paraId="2B06D871" w14:textId="77777777" w:rsidR="00766C27" w:rsidRPr="00D618B7" w:rsidRDefault="00766C27" w:rsidP="004B11B7">
            <w:pPr>
              <w:jc w:val="right"/>
              <w:rPr>
                <w:color w:val="000000"/>
                <w:sz w:val="22"/>
                <w:szCs w:val="22"/>
              </w:rPr>
            </w:pPr>
            <w:r w:rsidRPr="00D618B7">
              <w:rPr>
                <w:sz w:val="22"/>
                <w:szCs w:val="22"/>
              </w:rPr>
              <w:t>0.08</w:t>
            </w:r>
          </w:p>
        </w:tc>
        <w:tc>
          <w:tcPr>
            <w:tcW w:w="641" w:type="pct"/>
            <w:tcBorders>
              <w:top w:val="nil"/>
              <w:left w:val="nil"/>
              <w:bottom w:val="nil"/>
              <w:right w:val="nil"/>
            </w:tcBorders>
            <w:shd w:val="clear" w:color="000000" w:fill="FFFFFF"/>
            <w:noWrap/>
            <w:hideMark/>
          </w:tcPr>
          <w:p w14:paraId="40AA320E" w14:textId="77777777" w:rsidR="00766C27" w:rsidRPr="00D618B7" w:rsidRDefault="00766C27" w:rsidP="004B11B7">
            <w:pPr>
              <w:jc w:val="right"/>
              <w:rPr>
                <w:color w:val="000000"/>
                <w:sz w:val="22"/>
                <w:szCs w:val="22"/>
              </w:rPr>
            </w:pPr>
            <w:r w:rsidRPr="00D618B7">
              <w:rPr>
                <w:sz w:val="22"/>
                <w:szCs w:val="22"/>
              </w:rPr>
              <w:t>1.40</w:t>
            </w:r>
          </w:p>
        </w:tc>
        <w:tc>
          <w:tcPr>
            <w:tcW w:w="898" w:type="pct"/>
            <w:tcBorders>
              <w:top w:val="nil"/>
              <w:left w:val="nil"/>
              <w:bottom w:val="nil"/>
              <w:right w:val="nil"/>
            </w:tcBorders>
            <w:shd w:val="clear" w:color="000000" w:fill="FFFFFF"/>
            <w:noWrap/>
            <w:hideMark/>
          </w:tcPr>
          <w:p w14:paraId="5C4F161B" w14:textId="77777777" w:rsidR="00766C27" w:rsidRPr="00D618B7" w:rsidRDefault="00766C27" w:rsidP="004B11B7">
            <w:pPr>
              <w:jc w:val="right"/>
              <w:rPr>
                <w:color w:val="000000"/>
                <w:sz w:val="22"/>
                <w:szCs w:val="22"/>
              </w:rPr>
            </w:pPr>
            <w:r w:rsidRPr="00D618B7">
              <w:rPr>
                <w:sz w:val="22"/>
                <w:szCs w:val="22"/>
              </w:rPr>
              <w:t>4.67</w:t>
            </w:r>
          </w:p>
        </w:tc>
        <w:tc>
          <w:tcPr>
            <w:tcW w:w="642" w:type="pct"/>
            <w:tcBorders>
              <w:top w:val="nil"/>
              <w:left w:val="nil"/>
              <w:bottom w:val="nil"/>
              <w:right w:val="nil"/>
            </w:tcBorders>
            <w:shd w:val="clear" w:color="000000" w:fill="FFFFFF"/>
            <w:noWrap/>
            <w:hideMark/>
          </w:tcPr>
          <w:p w14:paraId="610FED89" w14:textId="77777777" w:rsidR="00766C27" w:rsidRPr="00D618B7" w:rsidRDefault="00766C27" w:rsidP="004B11B7">
            <w:pPr>
              <w:jc w:val="right"/>
              <w:rPr>
                <w:color w:val="000000"/>
                <w:sz w:val="22"/>
                <w:szCs w:val="22"/>
              </w:rPr>
            </w:pPr>
            <w:r w:rsidRPr="00D618B7">
              <w:rPr>
                <w:sz w:val="22"/>
                <w:szCs w:val="22"/>
              </w:rPr>
              <w:t>1.40</w:t>
            </w:r>
          </w:p>
        </w:tc>
      </w:tr>
      <w:tr w:rsidR="00766C27" w:rsidRPr="00D618B7" w14:paraId="7A027B7B" w14:textId="77777777" w:rsidTr="00766C27">
        <w:trPr>
          <w:trHeight w:val="237"/>
        </w:trPr>
        <w:tc>
          <w:tcPr>
            <w:tcW w:w="741" w:type="pct"/>
            <w:tcBorders>
              <w:top w:val="nil"/>
              <w:left w:val="nil"/>
              <w:bottom w:val="nil"/>
              <w:right w:val="nil"/>
            </w:tcBorders>
            <w:shd w:val="clear" w:color="000000" w:fill="FFFFFF"/>
            <w:vAlign w:val="center"/>
            <w:hideMark/>
          </w:tcPr>
          <w:p w14:paraId="398871C7" w14:textId="77777777" w:rsidR="00766C27" w:rsidRPr="00D618B7" w:rsidRDefault="00766C27" w:rsidP="004B11B7">
            <w:pPr>
              <w:jc w:val="right"/>
              <w:rPr>
                <w:color w:val="000000"/>
                <w:sz w:val="22"/>
                <w:szCs w:val="22"/>
              </w:rPr>
            </w:pPr>
            <w:r w:rsidRPr="00D618B7">
              <w:rPr>
                <w:color w:val="000000"/>
                <w:sz w:val="22"/>
                <w:szCs w:val="22"/>
              </w:rPr>
              <w:t>-2</w:t>
            </w:r>
          </w:p>
        </w:tc>
        <w:tc>
          <w:tcPr>
            <w:tcW w:w="568" w:type="pct"/>
            <w:tcBorders>
              <w:top w:val="nil"/>
              <w:left w:val="nil"/>
              <w:bottom w:val="nil"/>
              <w:right w:val="nil"/>
            </w:tcBorders>
            <w:shd w:val="clear" w:color="000000" w:fill="FFFFFF"/>
            <w:noWrap/>
            <w:hideMark/>
          </w:tcPr>
          <w:p w14:paraId="4281B89C" w14:textId="77777777" w:rsidR="00766C27" w:rsidRPr="00D618B7" w:rsidRDefault="00766C27" w:rsidP="004B11B7">
            <w:pPr>
              <w:jc w:val="right"/>
              <w:rPr>
                <w:color w:val="000000"/>
                <w:sz w:val="22"/>
                <w:szCs w:val="22"/>
              </w:rPr>
            </w:pPr>
            <w:r w:rsidRPr="00D618B7">
              <w:rPr>
                <w:sz w:val="22"/>
                <w:szCs w:val="22"/>
              </w:rPr>
              <w:t>0.30</w:t>
            </w:r>
          </w:p>
        </w:tc>
        <w:tc>
          <w:tcPr>
            <w:tcW w:w="642" w:type="pct"/>
            <w:tcBorders>
              <w:top w:val="nil"/>
              <w:left w:val="nil"/>
              <w:bottom w:val="nil"/>
              <w:right w:val="nil"/>
            </w:tcBorders>
            <w:shd w:val="clear" w:color="000000" w:fill="FFFFFF"/>
            <w:noWrap/>
            <w:hideMark/>
          </w:tcPr>
          <w:p w14:paraId="0593FFEF" w14:textId="77777777" w:rsidR="00766C27" w:rsidRPr="00D618B7" w:rsidRDefault="00766C27" w:rsidP="004B11B7">
            <w:pPr>
              <w:jc w:val="right"/>
              <w:rPr>
                <w:color w:val="000000"/>
                <w:sz w:val="22"/>
                <w:szCs w:val="22"/>
              </w:rPr>
            </w:pPr>
            <w:r w:rsidRPr="00D618B7">
              <w:rPr>
                <w:sz w:val="22"/>
                <w:szCs w:val="22"/>
              </w:rPr>
              <w:t>1.28</w:t>
            </w:r>
          </w:p>
        </w:tc>
        <w:tc>
          <w:tcPr>
            <w:tcW w:w="867" w:type="pct"/>
            <w:tcBorders>
              <w:top w:val="nil"/>
              <w:left w:val="nil"/>
              <w:bottom w:val="nil"/>
              <w:right w:val="nil"/>
            </w:tcBorders>
            <w:shd w:val="clear" w:color="000000" w:fill="FFFFFF"/>
            <w:noWrap/>
            <w:hideMark/>
          </w:tcPr>
          <w:p w14:paraId="19CE1D56" w14:textId="77777777" w:rsidR="00766C27" w:rsidRPr="00D618B7" w:rsidRDefault="00766C27" w:rsidP="004B11B7">
            <w:pPr>
              <w:jc w:val="right"/>
              <w:rPr>
                <w:color w:val="000000"/>
                <w:sz w:val="22"/>
                <w:szCs w:val="22"/>
              </w:rPr>
            </w:pPr>
            <w:r w:rsidRPr="00D618B7">
              <w:rPr>
                <w:sz w:val="22"/>
                <w:szCs w:val="22"/>
              </w:rPr>
              <w:t>0.33</w:t>
            </w:r>
          </w:p>
        </w:tc>
        <w:tc>
          <w:tcPr>
            <w:tcW w:w="641" w:type="pct"/>
            <w:tcBorders>
              <w:top w:val="nil"/>
              <w:left w:val="nil"/>
              <w:bottom w:val="nil"/>
              <w:right w:val="nil"/>
            </w:tcBorders>
            <w:shd w:val="clear" w:color="000000" w:fill="FFFFFF"/>
            <w:noWrap/>
            <w:hideMark/>
          </w:tcPr>
          <w:p w14:paraId="134837D9" w14:textId="77777777" w:rsidR="00766C27" w:rsidRPr="00D618B7" w:rsidRDefault="00766C27" w:rsidP="004B11B7">
            <w:pPr>
              <w:jc w:val="right"/>
              <w:rPr>
                <w:color w:val="000000"/>
                <w:sz w:val="22"/>
                <w:szCs w:val="22"/>
              </w:rPr>
            </w:pPr>
            <w:r w:rsidRPr="00D618B7">
              <w:rPr>
                <w:sz w:val="22"/>
                <w:szCs w:val="22"/>
              </w:rPr>
              <w:t>1.28</w:t>
            </w:r>
          </w:p>
        </w:tc>
        <w:tc>
          <w:tcPr>
            <w:tcW w:w="898" w:type="pct"/>
            <w:tcBorders>
              <w:top w:val="nil"/>
              <w:left w:val="nil"/>
              <w:bottom w:val="nil"/>
              <w:right w:val="nil"/>
            </w:tcBorders>
            <w:shd w:val="clear" w:color="000000" w:fill="FFFFFF"/>
            <w:noWrap/>
            <w:hideMark/>
          </w:tcPr>
          <w:p w14:paraId="54933DDF" w14:textId="77777777" w:rsidR="00766C27" w:rsidRPr="00D618B7" w:rsidRDefault="00766C27" w:rsidP="004B11B7">
            <w:pPr>
              <w:jc w:val="right"/>
              <w:rPr>
                <w:color w:val="000000"/>
                <w:sz w:val="22"/>
                <w:szCs w:val="22"/>
              </w:rPr>
            </w:pPr>
            <w:r w:rsidRPr="00D618B7">
              <w:rPr>
                <w:sz w:val="22"/>
                <w:szCs w:val="22"/>
              </w:rPr>
              <w:t>3.54</w:t>
            </w:r>
          </w:p>
        </w:tc>
        <w:tc>
          <w:tcPr>
            <w:tcW w:w="642" w:type="pct"/>
            <w:tcBorders>
              <w:top w:val="nil"/>
              <w:left w:val="nil"/>
              <w:bottom w:val="nil"/>
              <w:right w:val="nil"/>
            </w:tcBorders>
            <w:shd w:val="clear" w:color="000000" w:fill="FFFFFF"/>
            <w:noWrap/>
            <w:hideMark/>
          </w:tcPr>
          <w:p w14:paraId="2FB97D23" w14:textId="77777777" w:rsidR="00766C27" w:rsidRPr="00D618B7" w:rsidRDefault="00766C27" w:rsidP="004B11B7">
            <w:pPr>
              <w:jc w:val="right"/>
              <w:rPr>
                <w:color w:val="000000"/>
                <w:sz w:val="22"/>
                <w:szCs w:val="22"/>
              </w:rPr>
            </w:pPr>
            <w:r w:rsidRPr="00D618B7">
              <w:rPr>
                <w:sz w:val="22"/>
                <w:szCs w:val="22"/>
              </w:rPr>
              <w:t>1.28</w:t>
            </w:r>
          </w:p>
        </w:tc>
      </w:tr>
      <w:tr w:rsidR="00766C27" w:rsidRPr="00D618B7" w14:paraId="48FC1942" w14:textId="77777777" w:rsidTr="00766C27">
        <w:trPr>
          <w:trHeight w:val="237"/>
        </w:trPr>
        <w:tc>
          <w:tcPr>
            <w:tcW w:w="741" w:type="pct"/>
            <w:tcBorders>
              <w:top w:val="nil"/>
              <w:left w:val="nil"/>
              <w:bottom w:val="nil"/>
              <w:right w:val="nil"/>
            </w:tcBorders>
            <w:shd w:val="clear" w:color="000000" w:fill="FFFFFF"/>
            <w:vAlign w:val="center"/>
            <w:hideMark/>
          </w:tcPr>
          <w:p w14:paraId="4C4820BC" w14:textId="77777777" w:rsidR="00766C27" w:rsidRPr="00D618B7" w:rsidRDefault="00766C27" w:rsidP="004B11B7">
            <w:pPr>
              <w:jc w:val="right"/>
              <w:rPr>
                <w:color w:val="000000"/>
                <w:sz w:val="22"/>
                <w:szCs w:val="22"/>
              </w:rPr>
            </w:pPr>
            <w:r w:rsidRPr="00D618B7">
              <w:rPr>
                <w:color w:val="000000"/>
                <w:sz w:val="22"/>
                <w:szCs w:val="22"/>
              </w:rPr>
              <w:t>-1</w:t>
            </w:r>
          </w:p>
        </w:tc>
        <w:tc>
          <w:tcPr>
            <w:tcW w:w="568" w:type="pct"/>
            <w:tcBorders>
              <w:top w:val="nil"/>
              <w:left w:val="nil"/>
              <w:bottom w:val="nil"/>
              <w:right w:val="nil"/>
            </w:tcBorders>
            <w:shd w:val="clear" w:color="000000" w:fill="FFFFFF"/>
            <w:noWrap/>
            <w:hideMark/>
          </w:tcPr>
          <w:p w14:paraId="061C9A4D" w14:textId="77777777" w:rsidR="00766C27" w:rsidRPr="00D618B7" w:rsidRDefault="00766C27" w:rsidP="004B11B7">
            <w:pPr>
              <w:jc w:val="right"/>
              <w:rPr>
                <w:color w:val="000000"/>
                <w:sz w:val="22"/>
                <w:szCs w:val="22"/>
              </w:rPr>
            </w:pPr>
            <w:r w:rsidRPr="00D618B7">
              <w:rPr>
                <w:sz w:val="22"/>
                <w:szCs w:val="22"/>
              </w:rPr>
              <w:t>0.44</w:t>
            </w:r>
          </w:p>
        </w:tc>
        <w:tc>
          <w:tcPr>
            <w:tcW w:w="642" w:type="pct"/>
            <w:tcBorders>
              <w:top w:val="nil"/>
              <w:left w:val="nil"/>
              <w:bottom w:val="nil"/>
              <w:right w:val="nil"/>
            </w:tcBorders>
            <w:shd w:val="clear" w:color="000000" w:fill="FFFFFF"/>
            <w:noWrap/>
            <w:hideMark/>
          </w:tcPr>
          <w:p w14:paraId="125832D3" w14:textId="77777777" w:rsidR="00766C27" w:rsidRPr="00D618B7" w:rsidRDefault="00766C27" w:rsidP="004B11B7">
            <w:pPr>
              <w:jc w:val="right"/>
              <w:rPr>
                <w:color w:val="000000"/>
                <w:sz w:val="22"/>
                <w:szCs w:val="22"/>
              </w:rPr>
            </w:pPr>
            <w:r w:rsidRPr="00D618B7">
              <w:rPr>
                <w:sz w:val="22"/>
                <w:szCs w:val="22"/>
              </w:rPr>
              <w:t>1.27</w:t>
            </w:r>
          </w:p>
        </w:tc>
        <w:tc>
          <w:tcPr>
            <w:tcW w:w="867" w:type="pct"/>
            <w:tcBorders>
              <w:top w:val="nil"/>
              <w:left w:val="nil"/>
              <w:bottom w:val="nil"/>
              <w:right w:val="nil"/>
            </w:tcBorders>
            <w:shd w:val="clear" w:color="000000" w:fill="FFFFFF"/>
            <w:noWrap/>
            <w:hideMark/>
          </w:tcPr>
          <w:p w14:paraId="5CA27AA1" w14:textId="77777777" w:rsidR="00766C27" w:rsidRPr="00D618B7" w:rsidRDefault="00766C27" w:rsidP="004B11B7">
            <w:pPr>
              <w:jc w:val="right"/>
              <w:rPr>
                <w:color w:val="000000"/>
                <w:sz w:val="22"/>
                <w:szCs w:val="22"/>
              </w:rPr>
            </w:pPr>
            <w:r w:rsidRPr="00D618B7">
              <w:rPr>
                <w:sz w:val="22"/>
                <w:szCs w:val="22"/>
              </w:rPr>
              <w:t>-0.19</w:t>
            </w:r>
          </w:p>
        </w:tc>
        <w:tc>
          <w:tcPr>
            <w:tcW w:w="641" w:type="pct"/>
            <w:tcBorders>
              <w:top w:val="nil"/>
              <w:left w:val="nil"/>
              <w:bottom w:val="nil"/>
              <w:right w:val="nil"/>
            </w:tcBorders>
            <w:shd w:val="clear" w:color="000000" w:fill="FFFFFF"/>
            <w:noWrap/>
            <w:hideMark/>
          </w:tcPr>
          <w:p w14:paraId="6047523F" w14:textId="77777777" w:rsidR="00766C27" w:rsidRPr="00D618B7" w:rsidRDefault="00766C27" w:rsidP="004B11B7">
            <w:pPr>
              <w:jc w:val="right"/>
              <w:rPr>
                <w:color w:val="000000"/>
                <w:sz w:val="22"/>
                <w:szCs w:val="22"/>
              </w:rPr>
            </w:pPr>
            <w:r w:rsidRPr="00D618B7">
              <w:rPr>
                <w:sz w:val="22"/>
                <w:szCs w:val="22"/>
              </w:rPr>
              <w:t>1.27</w:t>
            </w:r>
          </w:p>
        </w:tc>
        <w:tc>
          <w:tcPr>
            <w:tcW w:w="898" w:type="pct"/>
            <w:tcBorders>
              <w:top w:val="nil"/>
              <w:left w:val="nil"/>
              <w:bottom w:val="nil"/>
              <w:right w:val="nil"/>
            </w:tcBorders>
            <w:shd w:val="clear" w:color="000000" w:fill="FFFFFF"/>
            <w:noWrap/>
            <w:hideMark/>
          </w:tcPr>
          <w:p w14:paraId="2B2B19F9" w14:textId="77777777" w:rsidR="00766C27" w:rsidRPr="00D618B7" w:rsidRDefault="00766C27" w:rsidP="004B11B7">
            <w:pPr>
              <w:jc w:val="right"/>
              <w:rPr>
                <w:color w:val="000000"/>
                <w:sz w:val="22"/>
                <w:szCs w:val="22"/>
              </w:rPr>
            </w:pPr>
            <w:r w:rsidRPr="00D618B7">
              <w:rPr>
                <w:sz w:val="22"/>
                <w:szCs w:val="22"/>
              </w:rPr>
              <w:t>5.50</w:t>
            </w:r>
          </w:p>
        </w:tc>
        <w:tc>
          <w:tcPr>
            <w:tcW w:w="642" w:type="pct"/>
            <w:tcBorders>
              <w:top w:val="nil"/>
              <w:left w:val="nil"/>
              <w:bottom w:val="nil"/>
              <w:right w:val="nil"/>
            </w:tcBorders>
            <w:shd w:val="clear" w:color="000000" w:fill="FFFFFF"/>
            <w:noWrap/>
            <w:hideMark/>
          </w:tcPr>
          <w:p w14:paraId="2F902C31" w14:textId="77777777" w:rsidR="00766C27" w:rsidRPr="00D618B7" w:rsidRDefault="00766C27" w:rsidP="004B11B7">
            <w:pPr>
              <w:jc w:val="right"/>
              <w:rPr>
                <w:color w:val="000000"/>
                <w:sz w:val="22"/>
                <w:szCs w:val="22"/>
              </w:rPr>
            </w:pPr>
            <w:r w:rsidRPr="00D618B7">
              <w:rPr>
                <w:sz w:val="22"/>
                <w:szCs w:val="22"/>
              </w:rPr>
              <w:t>1.27</w:t>
            </w:r>
          </w:p>
        </w:tc>
      </w:tr>
      <w:tr w:rsidR="00766C27" w:rsidRPr="00D618B7" w14:paraId="7275AF8E" w14:textId="77777777" w:rsidTr="00766C27">
        <w:trPr>
          <w:trHeight w:val="237"/>
        </w:trPr>
        <w:tc>
          <w:tcPr>
            <w:tcW w:w="741" w:type="pct"/>
            <w:tcBorders>
              <w:top w:val="nil"/>
              <w:left w:val="nil"/>
              <w:bottom w:val="nil"/>
              <w:right w:val="nil"/>
            </w:tcBorders>
            <w:shd w:val="clear" w:color="000000" w:fill="FFFFFF"/>
            <w:vAlign w:val="center"/>
            <w:hideMark/>
          </w:tcPr>
          <w:p w14:paraId="0A61E16E" w14:textId="77777777" w:rsidR="00766C27" w:rsidRPr="00D618B7" w:rsidRDefault="00766C27" w:rsidP="004B11B7">
            <w:pPr>
              <w:jc w:val="right"/>
              <w:rPr>
                <w:color w:val="000000"/>
                <w:sz w:val="22"/>
                <w:szCs w:val="22"/>
              </w:rPr>
            </w:pPr>
            <w:r w:rsidRPr="00D618B7">
              <w:rPr>
                <w:color w:val="000000"/>
                <w:sz w:val="22"/>
                <w:szCs w:val="22"/>
              </w:rPr>
              <w:t>0</w:t>
            </w:r>
          </w:p>
        </w:tc>
        <w:tc>
          <w:tcPr>
            <w:tcW w:w="568" w:type="pct"/>
            <w:tcBorders>
              <w:top w:val="nil"/>
              <w:left w:val="nil"/>
              <w:bottom w:val="nil"/>
              <w:right w:val="nil"/>
            </w:tcBorders>
            <w:shd w:val="clear" w:color="000000" w:fill="FFFFFF"/>
            <w:noWrap/>
            <w:hideMark/>
          </w:tcPr>
          <w:p w14:paraId="6811F461" w14:textId="77777777" w:rsidR="00766C27" w:rsidRPr="00D618B7" w:rsidRDefault="00766C27" w:rsidP="004B11B7">
            <w:pPr>
              <w:jc w:val="right"/>
              <w:rPr>
                <w:color w:val="000000"/>
                <w:sz w:val="22"/>
                <w:szCs w:val="22"/>
              </w:rPr>
            </w:pPr>
            <w:r w:rsidRPr="00D618B7">
              <w:rPr>
                <w:sz w:val="22"/>
                <w:szCs w:val="22"/>
              </w:rPr>
              <w:t>0.56</w:t>
            </w:r>
          </w:p>
        </w:tc>
        <w:tc>
          <w:tcPr>
            <w:tcW w:w="642" w:type="pct"/>
            <w:tcBorders>
              <w:top w:val="nil"/>
              <w:left w:val="nil"/>
              <w:bottom w:val="nil"/>
              <w:right w:val="nil"/>
            </w:tcBorders>
            <w:shd w:val="clear" w:color="000000" w:fill="FFFFFF"/>
            <w:noWrap/>
            <w:hideMark/>
          </w:tcPr>
          <w:p w14:paraId="13D908A7" w14:textId="77777777" w:rsidR="00766C27" w:rsidRPr="00D618B7" w:rsidRDefault="00766C27" w:rsidP="004B11B7">
            <w:pPr>
              <w:jc w:val="right"/>
              <w:rPr>
                <w:color w:val="000000"/>
                <w:sz w:val="22"/>
                <w:szCs w:val="22"/>
              </w:rPr>
            </w:pPr>
            <w:r w:rsidRPr="00D618B7">
              <w:rPr>
                <w:sz w:val="22"/>
                <w:szCs w:val="22"/>
              </w:rPr>
              <w:t>1.21</w:t>
            </w:r>
          </w:p>
        </w:tc>
        <w:tc>
          <w:tcPr>
            <w:tcW w:w="867" w:type="pct"/>
            <w:tcBorders>
              <w:top w:val="nil"/>
              <w:left w:val="nil"/>
              <w:bottom w:val="nil"/>
              <w:right w:val="nil"/>
            </w:tcBorders>
            <w:shd w:val="clear" w:color="000000" w:fill="FFFFFF"/>
            <w:noWrap/>
            <w:hideMark/>
          </w:tcPr>
          <w:p w14:paraId="082DB93A" w14:textId="77777777" w:rsidR="00766C27" w:rsidRPr="00D618B7" w:rsidRDefault="00766C27" w:rsidP="004B11B7">
            <w:pPr>
              <w:jc w:val="right"/>
              <w:rPr>
                <w:color w:val="000000"/>
                <w:sz w:val="22"/>
                <w:szCs w:val="22"/>
              </w:rPr>
            </w:pPr>
            <w:r w:rsidRPr="00D618B7">
              <w:rPr>
                <w:sz w:val="22"/>
                <w:szCs w:val="22"/>
              </w:rPr>
              <w:t>0.46</w:t>
            </w:r>
          </w:p>
        </w:tc>
        <w:tc>
          <w:tcPr>
            <w:tcW w:w="641" w:type="pct"/>
            <w:tcBorders>
              <w:top w:val="nil"/>
              <w:left w:val="nil"/>
              <w:bottom w:val="nil"/>
              <w:right w:val="nil"/>
            </w:tcBorders>
            <w:shd w:val="clear" w:color="000000" w:fill="FFFFFF"/>
            <w:noWrap/>
            <w:hideMark/>
          </w:tcPr>
          <w:p w14:paraId="5D278F48" w14:textId="77777777" w:rsidR="00766C27" w:rsidRPr="00D618B7" w:rsidRDefault="00766C27" w:rsidP="004B11B7">
            <w:pPr>
              <w:jc w:val="right"/>
              <w:rPr>
                <w:color w:val="000000"/>
                <w:sz w:val="22"/>
                <w:szCs w:val="22"/>
              </w:rPr>
            </w:pPr>
            <w:r w:rsidRPr="00D618B7">
              <w:rPr>
                <w:sz w:val="22"/>
                <w:szCs w:val="22"/>
              </w:rPr>
              <w:t>1.21</w:t>
            </w:r>
          </w:p>
        </w:tc>
        <w:tc>
          <w:tcPr>
            <w:tcW w:w="898" w:type="pct"/>
            <w:tcBorders>
              <w:top w:val="nil"/>
              <w:left w:val="nil"/>
              <w:bottom w:val="nil"/>
              <w:right w:val="nil"/>
            </w:tcBorders>
            <w:shd w:val="clear" w:color="000000" w:fill="FFFFFF"/>
            <w:noWrap/>
            <w:hideMark/>
          </w:tcPr>
          <w:p w14:paraId="51B09340" w14:textId="77777777" w:rsidR="00766C27" w:rsidRPr="00D618B7" w:rsidRDefault="00766C27" w:rsidP="004B11B7">
            <w:pPr>
              <w:jc w:val="right"/>
              <w:rPr>
                <w:color w:val="000000"/>
                <w:sz w:val="22"/>
                <w:szCs w:val="22"/>
              </w:rPr>
            </w:pPr>
            <w:r w:rsidRPr="00D618B7">
              <w:rPr>
                <w:sz w:val="22"/>
                <w:szCs w:val="22"/>
              </w:rPr>
              <w:t>4.08</w:t>
            </w:r>
          </w:p>
        </w:tc>
        <w:tc>
          <w:tcPr>
            <w:tcW w:w="642" w:type="pct"/>
            <w:tcBorders>
              <w:top w:val="nil"/>
              <w:left w:val="nil"/>
              <w:bottom w:val="nil"/>
              <w:right w:val="nil"/>
            </w:tcBorders>
            <w:shd w:val="clear" w:color="000000" w:fill="FFFFFF"/>
            <w:noWrap/>
            <w:hideMark/>
          </w:tcPr>
          <w:p w14:paraId="7E0DCCC5" w14:textId="77777777" w:rsidR="00766C27" w:rsidRPr="00D618B7" w:rsidRDefault="00766C27" w:rsidP="004B11B7">
            <w:pPr>
              <w:jc w:val="right"/>
              <w:rPr>
                <w:color w:val="000000"/>
                <w:sz w:val="22"/>
                <w:szCs w:val="22"/>
              </w:rPr>
            </w:pPr>
            <w:r w:rsidRPr="00D618B7">
              <w:rPr>
                <w:sz w:val="22"/>
                <w:szCs w:val="22"/>
              </w:rPr>
              <w:t>1.22</w:t>
            </w:r>
          </w:p>
        </w:tc>
      </w:tr>
      <w:tr w:rsidR="00766C27" w:rsidRPr="00D618B7" w14:paraId="0BEA5133" w14:textId="77777777" w:rsidTr="00766C27">
        <w:trPr>
          <w:trHeight w:val="237"/>
        </w:trPr>
        <w:tc>
          <w:tcPr>
            <w:tcW w:w="741" w:type="pct"/>
            <w:tcBorders>
              <w:top w:val="nil"/>
              <w:left w:val="nil"/>
              <w:bottom w:val="nil"/>
              <w:right w:val="nil"/>
            </w:tcBorders>
            <w:shd w:val="clear" w:color="000000" w:fill="FFFFFF"/>
            <w:vAlign w:val="center"/>
            <w:hideMark/>
          </w:tcPr>
          <w:p w14:paraId="27DCBC85" w14:textId="77777777" w:rsidR="00766C27" w:rsidRPr="00D618B7" w:rsidRDefault="00766C27" w:rsidP="004B11B7">
            <w:pPr>
              <w:jc w:val="right"/>
              <w:rPr>
                <w:color w:val="000000"/>
                <w:sz w:val="22"/>
                <w:szCs w:val="22"/>
              </w:rPr>
            </w:pPr>
            <w:r w:rsidRPr="00D618B7">
              <w:rPr>
                <w:color w:val="000000"/>
                <w:sz w:val="22"/>
                <w:szCs w:val="22"/>
              </w:rPr>
              <w:t>1</w:t>
            </w:r>
          </w:p>
        </w:tc>
        <w:tc>
          <w:tcPr>
            <w:tcW w:w="568" w:type="pct"/>
            <w:tcBorders>
              <w:top w:val="nil"/>
              <w:left w:val="nil"/>
              <w:bottom w:val="nil"/>
              <w:right w:val="nil"/>
            </w:tcBorders>
            <w:shd w:val="clear" w:color="000000" w:fill="FFFFFF"/>
            <w:noWrap/>
            <w:hideMark/>
          </w:tcPr>
          <w:p w14:paraId="5A38FD60" w14:textId="77777777" w:rsidR="00766C27" w:rsidRPr="00D618B7" w:rsidRDefault="00766C27" w:rsidP="004B11B7">
            <w:pPr>
              <w:jc w:val="right"/>
              <w:rPr>
                <w:color w:val="000000"/>
                <w:sz w:val="22"/>
                <w:szCs w:val="22"/>
              </w:rPr>
            </w:pPr>
            <w:r w:rsidRPr="00D618B7">
              <w:rPr>
                <w:sz w:val="22"/>
                <w:szCs w:val="22"/>
              </w:rPr>
              <w:t>0.45</w:t>
            </w:r>
          </w:p>
        </w:tc>
        <w:tc>
          <w:tcPr>
            <w:tcW w:w="642" w:type="pct"/>
            <w:tcBorders>
              <w:top w:val="nil"/>
              <w:left w:val="nil"/>
              <w:bottom w:val="nil"/>
              <w:right w:val="nil"/>
            </w:tcBorders>
            <w:shd w:val="clear" w:color="000000" w:fill="FFFFFF"/>
            <w:noWrap/>
            <w:hideMark/>
          </w:tcPr>
          <w:p w14:paraId="575D3B84" w14:textId="77777777" w:rsidR="00766C27" w:rsidRPr="00D618B7" w:rsidRDefault="00766C27" w:rsidP="004B11B7">
            <w:pPr>
              <w:jc w:val="right"/>
              <w:rPr>
                <w:color w:val="000000"/>
                <w:sz w:val="22"/>
                <w:szCs w:val="22"/>
              </w:rPr>
            </w:pPr>
            <w:r w:rsidRPr="00D618B7">
              <w:rPr>
                <w:sz w:val="22"/>
                <w:szCs w:val="22"/>
              </w:rPr>
              <w:t>1.21</w:t>
            </w:r>
          </w:p>
        </w:tc>
        <w:tc>
          <w:tcPr>
            <w:tcW w:w="867" w:type="pct"/>
            <w:tcBorders>
              <w:top w:val="nil"/>
              <w:left w:val="nil"/>
              <w:bottom w:val="nil"/>
              <w:right w:val="nil"/>
            </w:tcBorders>
            <w:shd w:val="clear" w:color="000000" w:fill="FFFFFF"/>
            <w:noWrap/>
            <w:hideMark/>
          </w:tcPr>
          <w:p w14:paraId="2EC12985" w14:textId="77777777" w:rsidR="00766C27" w:rsidRPr="00D618B7" w:rsidRDefault="00766C27" w:rsidP="004B11B7">
            <w:pPr>
              <w:jc w:val="right"/>
              <w:rPr>
                <w:color w:val="000000"/>
                <w:sz w:val="22"/>
                <w:szCs w:val="22"/>
              </w:rPr>
            </w:pPr>
            <w:r w:rsidRPr="00D618B7">
              <w:rPr>
                <w:sz w:val="22"/>
                <w:szCs w:val="22"/>
              </w:rPr>
              <w:t>0.48</w:t>
            </w:r>
          </w:p>
        </w:tc>
        <w:tc>
          <w:tcPr>
            <w:tcW w:w="641" w:type="pct"/>
            <w:tcBorders>
              <w:top w:val="nil"/>
              <w:left w:val="nil"/>
              <w:bottom w:val="nil"/>
              <w:right w:val="nil"/>
            </w:tcBorders>
            <w:shd w:val="clear" w:color="000000" w:fill="FFFFFF"/>
            <w:noWrap/>
            <w:hideMark/>
          </w:tcPr>
          <w:p w14:paraId="4362A2BE" w14:textId="77777777" w:rsidR="00766C27" w:rsidRPr="00D618B7" w:rsidRDefault="00766C27" w:rsidP="004B11B7">
            <w:pPr>
              <w:jc w:val="right"/>
              <w:rPr>
                <w:color w:val="000000"/>
                <w:sz w:val="22"/>
                <w:szCs w:val="22"/>
              </w:rPr>
            </w:pPr>
            <w:r w:rsidRPr="00D618B7">
              <w:rPr>
                <w:sz w:val="22"/>
                <w:szCs w:val="22"/>
              </w:rPr>
              <w:t>1.21</w:t>
            </w:r>
          </w:p>
        </w:tc>
        <w:tc>
          <w:tcPr>
            <w:tcW w:w="898" w:type="pct"/>
            <w:tcBorders>
              <w:top w:val="nil"/>
              <w:left w:val="nil"/>
              <w:bottom w:val="nil"/>
              <w:right w:val="nil"/>
            </w:tcBorders>
            <w:shd w:val="clear" w:color="000000" w:fill="FFFFFF"/>
            <w:noWrap/>
            <w:hideMark/>
          </w:tcPr>
          <w:p w14:paraId="3A0A1B2E" w14:textId="77777777" w:rsidR="00766C27" w:rsidRPr="00D618B7" w:rsidRDefault="00766C27" w:rsidP="004B11B7">
            <w:pPr>
              <w:jc w:val="right"/>
              <w:rPr>
                <w:color w:val="000000"/>
                <w:sz w:val="22"/>
                <w:szCs w:val="22"/>
              </w:rPr>
            </w:pPr>
            <w:r w:rsidRPr="00D618B7">
              <w:rPr>
                <w:sz w:val="22"/>
                <w:szCs w:val="22"/>
              </w:rPr>
              <w:t>4.25</w:t>
            </w:r>
          </w:p>
        </w:tc>
        <w:tc>
          <w:tcPr>
            <w:tcW w:w="642" w:type="pct"/>
            <w:tcBorders>
              <w:top w:val="nil"/>
              <w:left w:val="nil"/>
              <w:bottom w:val="nil"/>
              <w:right w:val="nil"/>
            </w:tcBorders>
            <w:shd w:val="clear" w:color="000000" w:fill="FFFFFF"/>
            <w:noWrap/>
            <w:hideMark/>
          </w:tcPr>
          <w:p w14:paraId="30C18A7B" w14:textId="77777777" w:rsidR="00766C27" w:rsidRPr="00D618B7" w:rsidRDefault="00766C27" w:rsidP="004B11B7">
            <w:pPr>
              <w:jc w:val="right"/>
              <w:rPr>
                <w:color w:val="000000"/>
                <w:sz w:val="22"/>
                <w:szCs w:val="22"/>
              </w:rPr>
            </w:pPr>
            <w:r w:rsidRPr="00D618B7">
              <w:rPr>
                <w:sz w:val="22"/>
                <w:szCs w:val="22"/>
              </w:rPr>
              <w:t>1.22</w:t>
            </w:r>
          </w:p>
        </w:tc>
      </w:tr>
      <w:tr w:rsidR="00766C27" w:rsidRPr="00D618B7" w14:paraId="5193BB3C" w14:textId="77777777" w:rsidTr="00766C27">
        <w:trPr>
          <w:trHeight w:val="237"/>
        </w:trPr>
        <w:tc>
          <w:tcPr>
            <w:tcW w:w="741" w:type="pct"/>
            <w:tcBorders>
              <w:top w:val="nil"/>
              <w:left w:val="nil"/>
              <w:bottom w:val="nil"/>
              <w:right w:val="nil"/>
            </w:tcBorders>
            <w:shd w:val="clear" w:color="000000" w:fill="FFFFFF"/>
            <w:vAlign w:val="center"/>
            <w:hideMark/>
          </w:tcPr>
          <w:p w14:paraId="3739D411" w14:textId="77777777" w:rsidR="00766C27" w:rsidRPr="00D618B7" w:rsidRDefault="00766C27" w:rsidP="004B11B7">
            <w:pPr>
              <w:jc w:val="right"/>
              <w:rPr>
                <w:color w:val="000000"/>
                <w:sz w:val="22"/>
                <w:szCs w:val="22"/>
              </w:rPr>
            </w:pPr>
            <w:r w:rsidRPr="00D618B7">
              <w:rPr>
                <w:color w:val="000000"/>
                <w:sz w:val="22"/>
                <w:szCs w:val="22"/>
              </w:rPr>
              <w:t>2</w:t>
            </w:r>
          </w:p>
        </w:tc>
        <w:tc>
          <w:tcPr>
            <w:tcW w:w="568" w:type="pct"/>
            <w:tcBorders>
              <w:top w:val="nil"/>
              <w:left w:val="nil"/>
              <w:bottom w:val="nil"/>
              <w:right w:val="nil"/>
            </w:tcBorders>
            <w:shd w:val="clear" w:color="000000" w:fill="FFFFFF"/>
            <w:noWrap/>
            <w:hideMark/>
          </w:tcPr>
          <w:p w14:paraId="40894F0A" w14:textId="77777777" w:rsidR="00766C27" w:rsidRPr="00D618B7" w:rsidRDefault="00766C27" w:rsidP="004B11B7">
            <w:pPr>
              <w:jc w:val="right"/>
              <w:rPr>
                <w:color w:val="000000"/>
                <w:sz w:val="22"/>
                <w:szCs w:val="22"/>
              </w:rPr>
            </w:pPr>
            <w:r w:rsidRPr="00D618B7">
              <w:rPr>
                <w:sz w:val="22"/>
                <w:szCs w:val="22"/>
              </w:rPr>
              <w:t>0.61</w:t>
            </w:r>
          </w:p>
        </w:tc>
        <w:tc>
          <w:tcPr>
            <w:tcW w:w="642" w:type="pct"/>
            <w:tcBorders>
              <w:top w:val="nil"/>
              <w:left w:val="nil"/>
              <w:bottom w:val="nil"/>
              <w:right w:val="nil"/>
            </w:tcBorders>
            <w:shd w:val="clear" w:color="000000" w:fill="FFFFFF"/>
            <w:noWrap/>
            <w:hideMark/>
          </w:tcPr>
          <w:p w14:paraId="6EAA1BAE" w14:textId="77777777" w:rsidR="00766C27" w:rsidRPr="00D618B7" w:rsidRDefault="00766C27" w:rsidP="004B11B7">
            <w:pPr>
              <w:jc w:val="right"/>
              <w:rPr>
                <w:color w:val="000000"/>
                <w:sz w:val="22"/>
                <w:szCs w:val="22"/>
              </w:rPr>
            </w:pPr>
            <w:r w:rsidRPr="00D618B7">
              <w:rPr>
                <w:sz w:val="22"/>
                <w:szCs w:val="22"/>
              </w:rPr>
              <w:t>1.40</w:t>
            </w:r>
          </w:p>
        </w:tc>
        <w:tc>
          <w:tcPr>
            <w:tcW w:w="867" w:type="pct"/>
            <w:tcBorders>
              <w:top w:val="nil"/>
              <w:left w:val="nil"/>
              <w:bottom w:val="nil"/>
              <w:right w:val="nil"/>
            </w:tcBorders>
            <w:shd w:val="clear" w:color="000000" w:fill="FFFFFF"/>
            <w:noWrap/>
            <w:hideMark/>
          </w:tcPr>
          <w:p w14:paraId="0EF4D561" w14:textId="77777777" w:rsidR="00766C27" w:rsidRPr="00D618B7" w:rsidRDefault="00766C27" w:rsidP="004B11B7">
            <w:pPr>
              <w:jc w:val="right"/>
              <w:rPr>
                <w:color w:val="000000"/>
                <w:sz w:val="22"/>
                <w:szCs w:val="22"/>
              </w:rPr>
            </w:pPr>
            <w:r w:rsidRPr="00D618B7">
              <w:rPr>
                <w:sz w:val="22"/>
                <w:szCs w:val="22"/>
              </w:rPr>
              <w:t>0.28</w:t>
            </w:r>
          </w:p>
        </w:tc>
        <w:tc>
          <w:tcPr>
            <w:tcW w:w="641" w:type="pct"/>
            <w:tcBorders>
              <w:top w:val="nil"/>
              <w:left w:val="nil"/>
              <w:bottom w:val="nil"/>
              <w:right w:val="nil"/>
            </w:tcBorders>
            <w:shd w:val="clear" w:color="000000" w:fill="FFFFFF"/>
            <w:noWrap/>
            <w:hideMark/>
          </w:tcPr>
          <w:p w14:paraId="61AAA4C1" w14:textId="77777777" w:rsidR="00766C27" w:rsidRPr="00D618B7" w:rsidRDefault="00766C27" w:rsidP="004B11B7">
            <w:pPr>
              <w:jc w:val="right"/>
              <w:rPr>
                <w:color w:val="000000"/>
                <w:sz w:val="22"/>
                <w:szCs w:val="22"/>
              </w:rPr>
            </w:pPr>
            <w:r w:rsidRPr="00D618B7">
              <w:rPr>
                <w:sz w:val="22"/>
                <w:szCs w:val="22"/>
              </w:rPr>
              <w:t>1.40</w:t>
            </w:r>
          </w:p>
        </w:tc>
        <w:tc>
          <w:tcPr>
            <w:tcW w:w="898" w:type="pct"/>
            <w:tcBorders>
              <w:top w:val="nil"/>
              <w:left w:val="nil"/>
              <w:bottom w:val="nil"/>
              <w:right w:val="nil"/>
            </w:tcBorders>
            <w:shd w:val="clear" w:color="000000" w:fill="FFFFFF"/>
            <w:noWrap/>
            <w:hideMark/>
          </w:tcPr>
          <w:p w14:paraId="6A7F7AFE" w14:textId="77777777" w:rsidR="00766C27" w:rsidRPr="00D618B7" w:rsidRDefault="00766C27" w:rsidP="004B11B7">
            <w:pPr>
              <w:jc w:val="right"/>
              <w:rPr>
                <w:color w:val="000000"/>
                <w:sz w:val="22"/>
                <w:szCs w:val="22"/>
              </w:rPr>
            </w:pPr>
            <w:r w:rsidRPr="00D618B7">
              <w:rPr>
                <w:sz w:val="22"/>
                <w:szCs w:val="22"/>
              </w:rPr>
              <w:t>5.64</w:t>
            </w:r>
          </w:p>
        </w:tc>
        <w:tc>
          <w:tcPr>
            <w:tcW w:w="642" w:type="pct"/>
            <w:tcBorders>
              <w:top w:val="nil"/>
              <w:left w:val="nil"/>
              <w:bottom w:val="nil"/>
              <w:right w:val="nil"/>
            </w:tcBorders>
            <w:shd w:val="clear" w:color="000000" w:fill="FFFFFF"/>
            <w:noWrap/>
            <w:hideMark/>
          </w:tcPr>
          <w:p w14:paraId="379E5E48" w14:textId="77777777" w:rsidR="00766C27" w:rsidRPr="00D618B7" w:rsidRDefault="00766C27" w:rsidP="004B11B7">
            <w:pPr>
              <w:jc w:val="right"/>
              <w:rPr>
                <w:color w:val="000000"/>
                <w:sz w:val="22"/>
                <w:szCs w:val="22"/>
              </w:rPr>
            </w:pPr>
            <w:r w:rsidRPr="00D618B7">
              <w:rPr>
                <w:sz w:val="22"/>
                <w:szCs w:val="22"/>
              </w:rPr>
              <w:t>1.41</w:t>
            </w:r>
          </w:p>
        </w:tc>
      </w:tr>
      <w:tr w:rsidR="00766C27" w:rsidRPr="00D618B7" w14:paraId="49961F9F" w14:textId="77777777" w:rsidTr="00766C27">
        <w:trPr>
          <w:trHeight w:val="237"/>
        </w:trPr>
        <w:tc>
          <w:tcPr>
            <w:tcW w:w="741" w:type="pct"/>
            <w:tcBorders>
              <w:top w:val="nil"/>
              <w:left w:val="nil"/>
              <w:bottom w:val="nil"/>
              <w:right w:val="nil"/>
            </w:tcBorders>
            <w:shd w:val="clear" w:color="000000" w:fill="FFFFFF"/>
            <w:vAlign w:val="center"/>
            <w:hideMark/>
          </w:tcPr>
          <w:p w14:paraId="2B82C6CA" w14:textId="77777777" w:rsidR="00766C27" w:rsidRPr="00D618B7" w:rsidRDefault="00766C27" w:rsidP="004B11B7">
            <w:pPr>
              <w:jc w:val="right"/>
              <w:rPr>
                <w:color w:val="000000"/>
                <w:sz w:val="22"/>
                <w:szCs w:val="22"/>
              </w:rPr>
            </w:pPr>
            <w:r w:rsidRPr="00D618B7">
              <w:rPr>
                <w:color w:val="000000"/>
                <w:sz w:val="22"/>
                <w:szCs w:val="22"/>
              </w:rPr>
              <w:t>3</w:t>
            </w:r>
          </w:p>
        </w:tc>
        <w:tc>
          <w:tcPr>
            <w:tcW w:w="568" w:type="pct"/>
            <w:tcBorders>
              <w:top w:val="nil"/>
              <w:left w:val="nil"/>
              <w:bottom w:val="nil"/>
              <w:right w:val="nil"/>
            </w:tcBorders>
            <w:shd w:val="clear" w:color="000000" w:fill="FFFFFF"/>
            <w:noWrap/>
            <w:hideMark/>
          </w:tcPr>
          <w:p w14:paraId="5310ECA1" w14:textId="77777777" w:rsidR="00766C27" w:rsidRPr="00D618B7" w:rsidRDefault="00766C27" w:rsidP="004B11B7">
            <w:pPr>
              <w:jc w:val="right"/>
              <w:rPr>
                <w:color w:val="000000"/>
                <w:sz w:val="22"/>
                <w:szCs w:val="22"/>
              </w:rPr>
            </w:pPr>
            <w:r w:rsidRPr="00D618B7">
              <w:rPr>
                <w:sz w:val="22"/>
                <w:szCs w:val="22"/>
              </w:rPr>
              <w:t>0.13</w:t>
            </w:r>
          </w:p>
        </w:tc>
        <w:tc>
          <w:tcPr>
            <w:tcW w:w="642" w:type="pct"/>
            <w:tcBorders>
              <w:top w:val="nil"/>
              <w:left w:val="nil"/>
              <w:bottom w:val="nil"/>
              <w:right w:val="nil"/>
            </w:tcBorders>
            <w:shd w:val="clear" w:color="000000" w:fill="FFFFFF"/>
            <w:noWrap/>
            <w:hideMark/>
          </w:tcPr>
          <w:p w14:paraId="4B52ADA3" w14:textId="77777777" w:rsidR="00766C27" w:rsidRPr="00D618B7" w:rsidRDefault="00766C27" w:rsidP="004B11B7">
            <w:pPr>
              <w:jc w:val="right"/>
              <w:rPr>
                <w:color w:val="000000"/>
                <w:sz w:val="22"/>
                <w:szCs w:val="22"/>
              </w:rPr>
            </w:pPr>
            <w:r w:rsidRPr="00D618B7">
              <w:rPr>
                <w:sz w:val="22"/>
                <w:szCs w:val="22"/>
              </w:rPr>
              <w:t>1.20</w:t>
            </w:r>
          </w:p>
        </w:tc>
        <w:tc>
          <w:tcPr>
            <w:tcW w:w="867" w:type="pct"/>
            <w:tcBorders>
              <w:top w:val="nil"/>
              <w:left w:val="nil"/>
              <w:bottom w:val="nil"/>
              <w:right w:val="nil"/>
            </w:tcBorders>
            <w:shd w:val="clear" w:color="000000" w:fill="FFFFFF"/>
            <w:noWrap/>
            <w:hideMark/>
          </w:tcPr>
          <w:p w14:paraId="3DDC1531" w14:textId="77777777" w:rsidR="00766C27" w:rsidRPr="00D618B7" w:rsidRDefault="00766C27" w:rsidP="004B11B7">
            <w:pPr>
              <w:jc w:val="right"/>
              <w:rPr>
                <w:color w:val="000000"/>
                <w:sz w:val="22"/>
                <w:szCs w:val="22"/>
              </w:rPr>
            </w:pPr>
            <w:r w:rsidRPr="00D618B7">
              <w:rPr>
                <w:sz w:val="22"/>
                <w:szCs w:val="22"/>
              </w:rPr>
              <w:t>0.77</w:t>
            </w:r>
          </w:p>
        </w:tc>
        <w:tc>
          <w:tcPr>
            <w:tcW w:w="641" w:type="pct"/>
            <w:tcBorders>
              <w:top w:val="nil"/>
              <w:left w:val="nil"/>
              <w:bottom w:val="nil"/>
              <w:right w:val="nil"/>
            </w:tcBorders>
            <w:shd w:val="clear" w:color="000000" w:fill="FFFFFF"/>
            <w:noWrap/>
            <w:hideMark/>
          </w:tcPr>
          <w:p w14:paraId="3F25BD83" w14:textId="77777777" w:rsidR="00766C27" w:rsidRPr="00D618B7" w:rsidRDefault="00766C27" w:rsidP="004B11B7">
            <w:pPr>
              <w:jc w:val="right"/>
              <w:rPr>
                <w:color w:val="000000"/>
                <w:sz w:val="22"/>
                <w:szCs w:val="22"/>
              </w:rPr>
            </w:pPr>
            <w:r w:rsidRPr="00D618B7">
              <w:rPr>
                <w:sz w:val="22"/>
                <w:szCs w:val="22"/>
              </w:rPr>
              <w:t>1.20</w:t>
            </w:r>
          </w:p>
        </w:tc>
        <w:tc>
          <w:tcPr>
            <w:tcW w:w="898" w:type="pct"/>
            <w:tcBorders>
              <w:top w:val="nil"/>
              <w:left w:val="nil"/>
              <w:bottom w:val="nil"/>
              <w:right w:val="nil"/>
            </w:tcBorders>
            <w:shd w:val="clear" w:color="000000" w:fill="FFFFFF"/>
            <w:noWrap/>
            <w:hideMark/>
          </w:tcPr>
          <w:p w14:paraId="25E413B9" w14:textId="77777777" w:rsidR="00766C27" w:rsidRPr="00D618B7" w:rsidRDefault="00766C27" w:rsidP="004B11B7">
            <w:pPr>
              <w:jc w:val="right"/>
              <w:rPr>
                <w:color w:val="000000"/>
                <w:sz w:val="22"/>
                <w:szCs w:val="22"/>
              </w:rPr>
            </w:pPr>
            <w:r w:rsidRPr="00D618B7">
              <w:rPr>
                <w:sz w:val="22"/>
                <w:szCs w:val="22"/>
              </w:rPr>
              <w:t>5.00</w:t>
            </w:r>
          </w:p>
        </w:tc>
        <w:tc>
          <w:tcPr>
            <w:tcW w:w="642" w:type="pct"/>
            <w:tcBorders>
              <w:top w:val="nil"/>
              <w:left w:val="nil"/>
              <w:bottom w:val="nil"/>
              <w:right w:val="nil"/>
            </w:tcBorders>
            <w:shd w:val="clear" w:color="000000" w:fill="FFFFFF"/>
            <w:noWrap/>
            <w:hideMark/>
          </w:tcPr>
          <w:p w14:paraId="39D55E79" w14:textId="77777777" w:rsidR="00766C27" w:rsidRPr="00D618B7" w:rsidRDefault="00766C27" w:rsidP="004B11B7">
            <w:pPr>
              <w:jc w:val="right"/>
              <w:rPr>
                <w:color w:val="000000"/>
                <w:sz w:val="22"/>
                <w:szCs w:val="22"/>
              </w:rPr>
            </w:pPr>
            <w:r w:rsidRPr="00D618B7">
              <w:rPr>
                <w:sz w:val="22"/>
                <w:szCs w:val="22"/>
              </w:rPr>
              <w:t>1.21</w:t>
            </w:r>
          </w:p>
        </w:tc>
      </w:tr>
      <w:tr w:rsidR="00766C27" w:rsidRPr="00D618B7" w14:paraId="13601D96" w14:textId="77777777" w:rsidTr="00766C27">
        <w:trPr>
          <w:trHeight w:val="237"/>
        </w:trPr>
        <w:tc>
          <w:tcPr>
            <w:tcW w:w="741" w:type="pct"/>
            <w:tcBorders>
              <w:top w:val="nil"/>
              <w:left w:val="nil"/>
              <w:right w:val="nil"/>
            </w:tcBorders>
            <w:shd w:val="clear" w:color="000000" w:fill="FFFFFF"/>
            <w:vAlign w:val="center"/>
            <w:hideMark/>
          </w:tcPr>
          <w:p w14:paraId="1F480489" w14:textId="77777777" w:rsidR="00766C27" w:rsidRPr="00D618B7" w:rsidRDefault="00766C27" w:rsidP="004B11B7">
            <w:pPr>
              <w:jc w:val="right"/>
              <w:rPr>
                <w:color w:val="000000"/>
                <w:sz w:val="22"/>
                <w:szCs w:val="22"/>
              </w:rPr>
            </w:pPr>
            <w:r w:rsidRPr="00D618B7">
              <w:rPr>
                <w:color w:val="000000"/>
                <w:sz w:val="22"/>
                <w:szCs w:val="22"/>
              </w:rPr>
              <w:t>4</w:t>
            </w:r>
          </w:p>
        </w:tc>
        <w:tc>
          <w:tcPr>
            <w:tcW w:w="568" w:type="pct"/>
            <w:tcBorders>
              <w:top w:val="nil"/>
              <w:left w:val="nil"/>
              <w:right w:val="nil"/>
            </w:tcBorders>
            <w:shd w:val="clear" w:color="000000" w:fill="FFFFFF"/>
            <w:noWrap/>
            <w:hideMark/>
          </w:tcPr>
          <w:p w14:paraId="28E2B338" w14:textId="77777777" w:rsidR="00766C27" w:rsidRPr="00D618B7" w:rsidRDefault="00766C27" w:rsidP="004B11B7">
            <w:pPr>
              <w:jc w:val="right"/>
              <w:rPr>
                <w:color w:val="000000"/>
                <w:sz w:val="22"/>
                <w:szCs w:val="22"/>
              </w:rPr>
            </w:pPr>
            <w:r w:rsidRPr="00D618B7">
              <w:rPr>
                <w:sz w:val="22"/>
                <w:szCs w:val="22"/>
              </w:rPr>
              <w:t>0.19</w:t>
            </w:r>
          </w:p>
        </w:tc>
        <w:tc>
          <w:tcPr>
            <w:tcW w:w="642" w:type="pct"/>
            <w:tcBorders>
              <w:top w:val="nil"/>
              <w:left w:val="nil"/>
              <w:right w:val="nil"/>
            </w:tcBorders>
            <w:shd w:val="clear" w:color="000000" w:fill="FFFFFF"/>
            <w:noWrap/>
            <w:hideMark/>
          </w:tcPr>
          <w:p w14:paraId="1C022EB5" w14:textId="77777777" w:rsidR="00766C27" w:rsidRPr="00D618B7" w:rsidRDefault="00766C27" w:rsidP="004B11B7">
            <w:pPr>
              <w:jc w:val="right"/>
              <w:rPr>
                <w:color w:val="000000"/>
                <w:sz w:val="22"/>
                <w:szCs w:val="22"/>
              </w:rPr>
            </w:pPr>
            <w:r w:rsidRPr="00D618B7">
              <w:rPr>
                <w:sz w:val="22"/>
                <w:szCs w:val="22"/>
              </w:rPr>
              <w:t>1.27</w:t>
            </w:r>
          </w:p>
        </w:tc>
        <w:tc>
          <w:tcPr>
            <w:tcW w:w="867" w:type="pct"/>
            <w:tcBorders>
              <w:top w:val="nil"/>
              <w:left w:val="nil"/>
              <w:right w:val="nil"/>
            </w:tcBorders>
            <w:shd w:val="clear" w:color="000000" w:fill="FFFFFF"/>
            <w:noWrap/>
            <w:hideMark/>
          </w:tcPr>
          <w:p w14:paraId="1AC6948C" w14:textId="77777777" w:rsidR="00766C27" w:rsidRPr="00D618B7" w:rsidRDefault="00766C27" w:rsidP="004B11B7">
            <w:pPr>
              <w:jc w:val="right"/>
              <w:rPr>
                <w:color w:val="000000"/>
                <w:sz w:val="22"/>
                <w:szCs w:val="22"/>
              </w:rPr>
            </w:pPr>
            <w:r w:rsidRPr="00D618B7">
              <w:rPr>
                <w:sz w:val="22"/>
                <w:szCs w:val="22"/>
              </w:rPr>
              <w:t>1.55</w:t>
            </w:r>
          </w:p>
        </w:tc>
        <w:tc>
          <w:tcPr>
            <w:tcW w:w="641" w:type="pct"/>
            <w:tcBorders>
              <w:top w:val="nil"/>
              <w:left w:val="nil"/>
              <w:right w:val="nil"/>
            </w:tcBorders>
            <w:shd w:val="clear" w:color="000000" w:fill="FFFFFF"/>
            <w:noWrap/>
            <w:hideMark/>
          </w:tcPr>
          <w:p w14:paraId="4F3D7A94" w14:textId="77777777" w:rsidR="00766C27" w:rsidRPr="00D618B7" w:rsidRDefault="00766C27" w:rsidP="004B11B7">
            <w:pPr>
              <w:jc w:val="right"/>
              <w:rPr>
                <w:color w:val="000000"/>
                <w:sz w:val="22"/>
                <w:szCs w:val="22"/>
              </w:rPr>
            </w:pPr>
            <w:r w:rsidRPr="00D618B7">
              <w:rPr>
                <w:sz w:val="22"/>
                <w:szCs w:val="22"/>
              </w:rPr>
              <w:t>1.27</w:t>
            </w:r>
          </w:p>
        </w:tc>
        <w:tc>
          <w:tcPr>
            <w:tcW w:w="898" w:type="pct"/>
            <w:tcBorders>
              <w:top w:val="nil"/>
              <w:left w:val="nil"/>
              <w:right w:val="nil"/>
            </w:tcBorders>
            <w:shd w:val="clear" w:color="000000" w:fill="FFFFFF"/>
            <w:noWrap/>
            <w:hideMark/>
          </w:tcPr>
          <w:p w14:paraId="049450B1" w14:textId="77777777" w:rsidR="00766C27" w:rsidRPr="00D618B7" w:rsidRDefault="00766C27" w:rsidP="004B11B7">
            <w:pPr>
              <w:jc w:val="right"/>
              <w:rPr>
                <w:color w:val="000000"/>
                <w:sz w:val="22"/>
                <w:szCs w:val="22"/>
              </w:rPr>
            </w:pPr>
            <w:r w:rsidRPr="00D618B7">
              <w:rPr>
                <w:sz w:val="22"/>
                <w:szCs w:val="22"/>
              </w:rPr>
              <w:t>10.50</w:t>
            </w:r>
          </w:p>
        </w:tc>
        <w:tc>
          <w:tcPr>
            <w:tcW w:w="642" w:type="pct"/>
            <w:tcBorders>
              <w:top w:val="nil"/>
              <w:left w:val="nil"/>
              <w:right w:val="nil"/>
            </w:tcBorders>
            <w:shd w:val="clear" w:color="000000" w:fill="FFFFFF"/>
            <w:noWrap/>
            <w:hideMark/>
          </w:tcPr>
          <w:p w14:paraId="48E8505F" w14:textId="77777777" w:rsidR="00766C27" w:rsidRPr="00D618B7" w:rsidRDefault="00766C27" w:rsidP="004B11B7">
            <w:pPr>
              <w:jc w:val="right"/>
              <w:rPr>
                <w:color w:val="000000"/>
                <w:sz w:val="22"/>
                <w:szCs w:val="22"/>
              </w:rPr>
            </w:pPr>
            <w:r w:rsidRPr="00D618B7">
              <w:rPr>
                <w:sz w:val="22"/>
                <w:szCs w:val="22"/>
              </w:rPr>
              <w:t>1.31</w:t>
            </w:r>
          </w:p>
        </w:tc>
      </w:tr>
      <w:tr w:rsidR="00766C27" w:rsidRPr="00D618B7" w14:paraId="1466EC2B" w14:textId="77777777" w:rsidTr="00766C27">
        <w:trPr>
          <w:trHeight w:val="237"/>
        </w:trPr>
        <w:tc>
          <w:tcPr>
            <w:tcW w:w="741" w:type="pct"/>
            <w:tcBorders>
              <w:top w:val="nil"/>
              <w:left w:val="nil"/>
              <w:bottom w:val="single" w:sz="18" w:space="0" w:color="auto"/>
              <w:right w:val="nil"/>
            </w:tcBorders>
            <w:shd w:val="clear" w:color="000000" w:fill="FFFFFF"/>
            <w:vAlign w:val="center"/>
            <w:hideMark/>
          </w:tcPr>
          <w:p w14:paraId="695BCB7F" w14:textId="77777777" w:rsidR="00766C27" w:rsidRPr="00D618B7" w:rsidRDefault="00766C27" w:rsidP="004B11B7">
            <w:pPr>
              <w:jc w:val="right"/>
              <w:rPr>
                <w:color w:val="000000"/>
                <w:sz w:val="22"/>
                <w:szCs w:val="22"/>
              </w:rPr>
            </w:pPr>
            <w:r w:rsidRPr="00D618B7">
              <w:rPr>
                <w:color w:val="000000"/>
                <w:sz w:val="22"/>
                <w:szCs w:val="22"/>
              </w:rPr>
              <w:t>5</w:t>
            </w:r>
          </w:p>
        </w:tc>
        <w:tc>
          <w:tcPr>
            <w:tcW w:w="568" w:type="pct"/>
            <w:tcBorders>
              <w:top w:val="nil"/>
              <w:left w:val="nil"/>
              <w:bottom w:val="single" w:sz="18" w:space="0" w:color="auto"/>
              <w:right w:val="nil"/>
            </w:tcBorders>
            <w:shd w:val="clear" w:color="000000" w:fill="FFFFFF"/>
            <w:noWrap/>
            <w:hideMark/>
          </w:tcPr>
          <w:p w14:paraId="019AB656" w14:textId="77777777" w:rsidR="00766C27" w:rsidRPr="00D618B7" w:rsidRDefault="00766C27" w:rsidP="004B11B7">
            <w:pPr>
              <w:jc w:val="right"/>
              <w:rPr>
                <w:color w:val="000000"/>
                <w:sz w:val="22"/>
                <w:szCs w:val="22"/>
              </w:rPr>
            </w:pPr>
            <w:r w:rsidRPr="00D618B7">
              <w:rPr>
                <w:sz w:val="22"/>
                <w:szCs w:val="22"/>
              </w:rPr>
              <w:t>0.31</w:t>
            </w:r>
          </w:p>
        </w:tc>
        <w:tc>
          <w:tcPr>
            <w:tcW w:w="642" w:type="pct"/>
            <w:tcBorders>
              <w:top w:val="nil"/>
              <w:left w:val="nil"/>
              <w:bottom w:val="single" w:sz="18" w:space="0" w:color="auto"/>
              <w:right w:val="nil"/>
            </w:tcBorders>
            <w:shd w:val="clear" w:color="000000" w:fill="FFFFFF"/>
            <w:noWrap/>
            <w:hideMark/>
          </w:tcPr>
          <w:p w14:paraId="2751A3A3" w14:textId="77777777" w:rsidR="00766C27" w:rsidRPr="00D618B7" w:rsidRDefault="00766C27" w:rsidP="004B11B7">
            <w:pPr>
              <w:jc w:val="right"/>
              <w:rPr>
                <w:color w:val="000000"/>
                <w:sz w:val="22"/>
                <w:szCs w:val="22"/>
              </w:rPr>
            </w:pPr>
            <w:r w:rsidRPr="00D618B7">
              <w:rPr>
                <w:sz w:val="22"/>
                <w:szCs w:val="22"/>
              </w:rPr>
              <w:t>1.33</w:t>
            </w:r>
          </w:p>
        </w:tc>
        <w:tc>
          <w:tcPr>
            <w:tcW w:w="867" w:type="pct"/>
            <w:tcBorders>
              <w:top w:val="nil"/>
              <w:left w:val="nil"/>
              <w:bottom w:val="single" w:sz="18" w:space="0" w:color="auto"/>
              <w:right w:val="nil"/>
            </w:tcBorders>
            <w:shd w:val="clear" w:color="000000" w:fill="FFFFFF"/>
            <w:noWrap/>
            <w:hideMark/>
          </w:tcPr>
          <w:p w14:paraId="01FF6602" w14:textId="77777777" w:rsidR="00766C27" w:rsidRPr="00D618B7" w:rsidRDefault="00766C27" w:rsidP="004B11B7">
            <w:pPr>
              <w:jc w:val="right"/>
              <w:rPr>
                <w:color w:val="000000"/>
                <w:sz w:val="22"/>
                <w:szCs w:val="22"/>
              </w:rPr>
            </w:pPr>
            <w:r w:rsidRPr="00D618B7">
              <w:rPr>
                <w:sz w:val="22"/>
                <w:szCs w:val="22"/>
              </w:rPr>
              <w:t>1.48</w:t>
            </w:r>
          </w:p>
        </w:tc>
        <w:tc>
          <w:tcPr>
            <w:tcW w:w="641" w:type="pct"/>
            <w:tcBorders>
              <w:top w:val="nil"/>
              <w:left w:val="nil"/>
              <w:bottom w:val="single" w:sz="18" w:space="0" w:color="auto"/>
              <w:right w:val="nil"/>
            </w:tcBorders>
            <w:shd w:val="clear" w:color="000000" w:fill="FFFFFF"/>
            <w:noWrap/>
            <w:hideMark/>
          </w:tcPr>
          <w:p w14:paraId="3DF905C6" w14:textId="77777777" w:rsidR="00766C27" w:rsidRPr="00D618B7" w:rsidRDefault="00766C27" w:rsidP="004B11B7">
            <w:pPr>
              <w:jc w:val="right"/>
              <w:rPr>
                <w:color w:val="000000"/>
                <w:sz w:val="22"/>
                <w:szCs w:val="22"/>
              </w:rPr>
            </w:pPr>
            <w:r w:rsidRPr="00D618B7">
              <w:rPr>
                <w:sz w:val="22"/>
                <w:szCs w:val="22"/>
              </w:rPr>
              <w:t>1.33</w:t>
            </w:r>
          </w:p>
        </w:tc>
        <w:tc>
          <w:tcPr>
            <w:tcW w:w="898" w:type="pct"/>
            <w:tcBorders>
              <w:top w:val="nil"/>
              <w:left w:val="nil"/>
              <w:bottom w:val="single" w:sz="18" w:space="0" w:color="auto"/>
              <w:right w:val="nil"/>
            </w:tcBorders>
            <w:shd w:val="clear" w:color="000000" w:fill="FFFFFF"/>
            <w:noWrap/>
            <w:hideMark/>
          </w:tcPr>
          <w:p w14:paraId="155F511E" w14:textId="77777777" w:rsidR="00766C27" w:rsidRPr="00D618B7" w:rsidRDefault="00766C27" w:rsidP="004B11B7">
            <w:pPr>
              <w:jc w:val="right"/>
              <w:rPr>
                <w:color w:val="000000"/>
                <w:sz w:val="22"/>
                <w:szCs w:val="22"/>
              </w:rPr>
            </w:pPr>
            <w:r w:rsidRPr="00D618B7">
              <w:rPr>
                <w:sz w:val="22"/>
                <w:szCs w:val="22"/>
              </w:rPr>
              <w:t>0.37</w:t>
            </w:r>
          </w:p>
        </w:tc>
        <w:tc>
          <w:tcPr>
            <w:tcW w:w="642" w:type="pct"/>
            <w:tcBorders>
              <w:top w:val="nil"/>
              <w:left w:val="nil"/>
              <w:bottom w:val="single" w:sz="18" w:space="0" w:color="auto"/>
              <w:right w:val="nil"/>
            </w:tcBorders>
            <w:shd w:val="clear" w:color="000000" w:fill="FFFFFF"/>
            <w:noWrap/>
            <w:hideMark/>
          </w:tcPr>
          <w:p w14:paraId="04B7A5F9" w14:textId="77777777" w:rsidR="00766C27" w:rsidRPr="00D618B7" w:rsidRDefault="00766C27" w:rsidP="004B11B7">
            <w:pPr>
              <w:jc w:val="right"/>
              <w:rPr>
                <w:color w:val="000000"/>
                <w:sz w:val="22"/>
                <w:szCs w:val="22"/>
              </w:rPr>
            </w:pPr>
            <w:r w:rsidRPr="00D618B7">
              <w:rPr>
                <w:sz w:val="22"/>
                <w:szCs w:val="22"/>
              </w:rPr>
              <w:t>1.42</w:t>
            </w:r>
          </w:p>
        </w:tc>
      </w:tr>
      <w:tr w:rsidR="00766C27" w:rsidRPr="00D618B7" w14:paraId="3EA7148B" w14:textId="77777777" w:rsidTr="00766C27">
        <w:trPr>
          <w:trHeight w:val="237"/>
        </w:trPr>
        <w:tc>
          <w:tcPr>
            <w:tcW w:w="741" w:type="pct"/>
            <w:tcBorders>
              <w:top w:val="single" w:sz="18" w:space="0" w:color="auto"/>
              <w:left w:val="nil"/>
              <w:bottom w:val="nil"/>
              <w:right w:val="nil"/>
            </w:tcBorders>
            <w:shd w:val="clear" w:color="000000" w:fill="FFFFFF"/>
            <w:noWrap/>
            <w:vAlign w:val="bottom"/>
            <w:hideMark/>
          </w:tcPr>
          <w:p w14:paraId="4B7EF5A0" w14:textId="77777777" w:rsidR="00766C27" w:rsidRPr="00D618B7" w:rsidRDefault="00766C27" w:rsidP="004B11B7">
            <w:pPr>
              <w:rPr>
                <w:color w:val="000000"/>
                <w:sz w:val="22"/>
                <w:szCs w:val="22"/>
              </w:rPr>
            </w:pPr>
            <w:r w:rsidRPr="00D618B7">
              <w:rPr>
                <w:color w:val="000000"/>
                <w:sz w:val="22"/>
                <w:szCs w:val="22"/>
              </w:rPr>
              <w:t> </w:t>
            </w:r>
          </w:p>
        </w:tc>
        <w:tc>
          <w:tcPr>
            <w:tcW w:w="4259" w:type="pct"/>
            <w:gridSpan w:val="6"/>
            <w:tcBorders>
              <w:top w:val="single" w:sz="18" w:space="0" w:color="auto"/>
              <w:left w:val="nil"/>
              <w:bottom w:val="nil"/>
              <w:right w:val="nil"/>
            </w:tcBorders>
            <w:shd w:val="clear" w:color="000000" w:fill="FFFFFF"/>
            <w:noWrap/>
            <w:vAlign w:val="center"/>
            <w:hideMark/>
          </w:tcPr>
          <w:p w14:paraId="60A1EA51" w14:textId="77777777" w:rsidR="00766C27" w:rsidRPr="00D618B7" w:rsidRDefault="00766C27" w:rsidP="004B11B7">
            <w:pPr>
              <w:jc w:val="center"/>
              <w:rPr>
                <w:color w:val="000000"/>
                <w:sz w:val="22"/>
                <w:szCs w:val="22"/>
              </w:rPr>
            </w:pPr>
            <w:r w:rsidRPr="00D618B7">
              <w:rPr>
                <w:color w:val="000000"/>
                <w:sz w:val="22"/>
                <w:szCs w:val="22"/>
              </w:rPr>
              <w:t>Toy-Moving-into-Reach</w:t>
            </w:r>
          </w:p>
        </w:tc>
      </w:tr>
      <w:tr w:rsidR="00766C27" w:rsidRPr="00D618B7" w14:paraId="3E259CC6" w14:textId="77777777" w:rsidTr="00766C27">
        <w:trPr>
          <w:trHeight w:val="237"/>
        </w:trPr>
        <w:tc>
          <w:tcPr>
            <w:tcW w:w="741" w:type="pct"/>
            <w:tcBorders>
              <w:top w:val="nil"/>
              <w:left w:val="nil"/>
              <w:bottom w:val="nil"/>
              <w:right w:val="nil"/>
            </w:tcBorders>
            <w:shd w:val="clear" w:color="000000" w:fill="FFFFFF"/>
            <w:vAlign w:val="center"/>
            <w:hideMark/>
          </w:tcPr>
          <w:p w14:paraId="2ACC00A6" w14:textId="77777777" w:rsidR="00766C27" w:rsidRPr="00D618B7" w:rsidRDefault="00766C27" w:rsidP="004B11B7">
            <w:pPr>
              <w:jc w:val="right"/>
              <w:rPr>
                <w:color w:val="000000"/>
                <w:sz w:val="22"/>
                <w:szCs w:val="22"/>
              </w:rPr>
            </w:pPr>
            <w:r w:rsidRPr="00D618B7">
              <w:rPr>
                <w:color w:val="000000"/>
                <w:sz w:val="22"/>
                <w:szCs w:val="22"/>
              </w:rPr>
              <w:t>-5</w:t>
            </w:r>
          </w:p>
        </w:tc>
        <w:tc>
          <w:tcPr>
            <w:tcW w:w="568" w:type="pct"/>
            <w:tcBorders>
              <w:top w:val="nil"/>
              <w:left w:val="nil"/>
              <w:bottom w:val="nil"/>
              <w:right w:val="nil"/>
            </w:tcBorders>
            <w:shd w:val="clear" w:color="000000" w:fill="FFFFFF"/>
            <w:noWrap/>
            <w:vAlign w:val="center"/>
            <w:hideMark/>
          </w:tcPr>
          <w:p w14:paraId="6F41A636" w14:textId="77777777" w:rsidR="00766C27" w:rsidRPr="00D618B7" w:rsidRDefault="00766C27" w:rsidP="004B11B7">
            <w:pPr>
              <w:jc w:val="right"/>
              <w:rPr>
                <w:color w:val="000000"/>
                <w:sz w:val="22"/>
                <w:szCs w:val="22"/>
              </w:rPr>
            </w:pPr>
            <w:r w:rsidRPr="00D618B7">
              <w:rPr>
                <w:color w:val="000000"/>
                <w:sz w:val="22"/>
                <w:szCs w:val="22"/>
              </w:rPr>
              <w:t>-0.33</w:t>
            </w:r>
          </w:p>
        </w:tc>
        <w:tc>
          <w:tcPr>
            <w:tcW w:w="642" w:type="pct"/>
            <w:tcBorders>
              <w:top w:val="nil"/>
              <w:left w:val="nil"/>
              <w:bottom w:val="nil"/>
              <w:right w:val="nil"/>
            </w:tcBorders>
            <w:shd w:val="clear" w:color="000000" w:fill="FFFFFF"/>
            <w:noWrap/>
            <w:vAlign w:val="center"/>
            <w:hideMark/>
          </w:tcPr>
          <w:p w14:paraId="44925184" w14:textId="77777777" w:rsidR="00766C27" w:rsidRPr="00D618B7" w:rsidRDefault="00766C27" w:rsidP="004B11B7">
            <w:pPr>
              <w:jc w:val="right"/>
              <w:rPr>
                <w:color w:val="000000"/>
                <w:sz w:val="22"/>
                <w:szCs w:val="22"/>
              </w:rPr>
            </w:pPr>
            <w:r w:rsidRPr="00D618B7">
              <w:rPr>
                <w:color w:val="000000"/>
                <w:sz w:val="22"/>
                <w:szCs w:val="22"/>
              </w:rPr>
              <w:t>1.34</w:t>
            </w:r>
          </w:p>
        </w:tc>
        <w:tc>
          <w:tcPr>
            <w:tcW w:w="867" w:type="pct"/>
            <w:tcBorders>
              <w:top w:val="nil"/>
              <w:left w:val="nil"/>
              <w:bottom w:val="nil"/>
              <w:right w:val="nil"/>
            </w:tcBorders>
            <w:shd w:val="clear" w:color="000000" w:fill="FFFFFF"/>
            <w:noWrap/>
            <w:vAlign w:val="center"/>
            <w:hideMark/>
          </w:tcPr>
          <w:p w14:paraId="3C4DFE02" w14:textId="77777777" w:rsidR="00766C27" w:rsidRPr="00D618B7" w:rsidRDefault="00766C27" w:rsidP="004B11B7">
            <w:pPr>
              <w:jc w:val="right"/>
              <w:rPr>
                <w:color w:val="000000"/>
                <w:sz w:val="22"/>
                <w:szCs w:val="22"/>
              </w:rPr>
            </w:pPr>
            <w:r w:rsidRPr="00D618B7">
              <w:rPr>
                <w:color w:val="000000"/>
                <w:sz w:val="22"/>
                <w:szCs w:val="22"/>
              </w:rPr>
              <w:t>0.00</w:t>
            </w:r>
          </w:p>
        </w:tc>
        <w:tc>
          <w:tcPr>
            <w:tcW w:w="641" w:type="pct"/>
            <w:tcBorders>
              <w:top w:val="nil"/>
              <w:left w:val="nil"/>
              <w:bottom w:val="nil"/>
              <w:right w:val="nil"/>
            </w:tcBorders>
            <w:shd w:val="clear" w:color="000000" w:fill="FFFFFF"/>
            <w:noWrap/>
            <w:vAlign w:val="center"/>
            <w:hideMark/>
          </w:tcPr>
          <w:p w14:paraId="17167064" w14:textId="77777777" w:rsidR="00766C27" w:rsidRPr="00D618B7" w:rsidRDefault="00766C27" w:rsidP="004B11B7">
            <w:pPr>
              <w:jc w:val="right"/>
              <w:rPr>
                <w:color w:val="000000"/>
                <w:sz w:val="22"/>
                <w:szCs w:val="22"/>
              </w:rPr>
            </w:pPr>
            <w:r w:rsidRPr="00D618B7">
              <w:rPr>
                <w:color w:val="000000"/>
                <w:sz w:val="22"/>
                <w:szCs w:val="22"/>
              </w:rPr>
              <w:t>1.34</w:t>
            </w:r>
          </w:p>
        </w:tc>
        <w:tc>
          <w:tcPr>
            <w:tcW w:w="898" w:type="pct"/>
            <w:tcBorders>
              <w:top w:val="nil"/>
              <w:left w:val="nil"/>
              <w:bottom w:val="nil"/>
              <w:right w:val="nil"/>
            </w:tcBorders>
            <w:shd w:val="clear" w:color="000000" w:fill="FFFFFF"/>
            <w:noWrap/>
            <w:vAlign w:val="center"/>
            <w:hideMark/>
          </w:tcPr>
          <w:p w14:paraId="52E261C0" w14:textId="77777777" w:rsidR="00766C27" w:rsidRPr="00D618B7" w:rsidRDefault="00766C27" w:rsidP="004B11B7">
            <w:pPr>
              <w:jc w:val="right"/>
              <w:rPr>
                <w:color w:val="000000"/>
                <w:sz w:val="22"/>
                <w:szCs w:val="22"/>
              </w:rPr>
            </w:pPr>
            <w:r w:rsidRPr="00D618B7">
              <w:rPr>
                <w:color w:val="000000"/>
                <w:sz w:val="22"/>
                <w:szCs w:val="22"/>
              </w:rPr>
              <w:t>-0.65</w:t>
            </w:r>
          </w:p>
        </w:tc>
        <w:tc>
          <w:tcPr>
            <w:tcW w:w="642" w:type="pct"/>
            <w:tcBorders>
              <w:top w:val="nil"/>
              <w:left w:val="nil"/>
              <w:bottom w:val="nil"/>
              <w:right w:val="nil"/>
            </w:tcBorders>
            <w:shd w:val="clear" w:color="000000" w:fill="FFFFFF"/>
            <w:noWrap/>
            <w:vAlign w:val="center"/>
            <w:hideMark/>
          </w:tcPr>
          <w:p w14:paraId="51CCF025" w14:textId="77777777" w:rsidR="00766C27" w:rsidRPr="00D618B7" w:rsidRDefault="00766C27" w:rsidP="004B11B7">
            <w:pPr>
              <w:jc w:val="right"/>
              <w:rPr>
                <w:color w:val="000000"/>
                <w:sz w:val="22"/>
                <w:szCs w:val="22"/>
              </w:rPr>
            </w:pPr>
            <w:r w:rsidRPr="00D618B7">
              <w:rPr>
                <w:color w:val="000000"/>
                <w:sz w:val="22"/>
                <w:szCs w:val="22"/>
              </w:rPr>
              <w:t>1.34</w:t>
            </w:r>
          </w:p>
        </w:tc>
      </w:tr>
      <w:tr w:rsidR="00766C27" w:rsidRPr="00D618B7" w14:paraId="5BF42A7D" w14:textId="77777777" w:rsidTr="00766C27">
        <w:trPr>
          <w:trHeight w:val="237"/>
        </w:trPr>
        <w:tc>
          <w:tcPr>
            <w:tcW w:w="741" w:type="pct"/>
            <w:tcBorders>
              <w:top w:val="nil"/>
              <w:left w:val="nil"/>
              <w:bottom w:val="nil"/>
              <w:right w:val="nil"/>
            </w:tcBorders>
            <w:shd w:val="clear" w:color="000000" w:fill="FFFFFF"/>
            <w:vAlign w:val="center"/>
            <w:hideMark/>
          </w:tcPr>
          <w:p w14:paraId="43FC2FE5" w14:textId="77777777" w:rsidR="00766C27" w:rsidRPr="00D618B7" w:rsidRDefault="00766C27" w:rsidP="004B11B7">
            <w:pPr>
              <w:jc w:val="right"/>
              <w:rPr>
                <w:color w:val="000000"/>
                <w:sz w:val="22"/>
                <w:szCs w:val="22"/>
              </w:rPr>
            </w:pPr>
            <w:r w:rsidRPr="00D618B7">
              <w:rPr>
                <w:color w:val="000000"/>
                <w:sz w:val="22"/>
                <w:szCs w:val="22"/>
              </w:rPr>
              <w:t>-4</w:t>
            </w:r>
          </w:p>
        </w:tc>
        <w:tc>
          <w:tcPr>
            <w:tcW w:w="568" w:type="pct"/>
            <w:tcBorders>
              <w:top w:val="nil"/>
              <w:left w:val="nil"/>
              <w:bottom w:val="nil"/>
              <w:right w:val="nil"/>
            </w:tcBorders>
            <w:shd w:val="clear" w:color="000000" w:fill="FFFFFF"/>
            <w:noWrap/>
            <w:vAlign w:val="center"/>
            <w:hideMark/>
          </w:tcPr>
          <w:p w14:paraId="3CC64779" w14:textId="77777777" w:rsidR="00766C27" w:rsidRPr="00D618B7" w:rsidRDefault="00766C27" w:rsidP="004B11B7">
            <w:pPr>
              <w:jc w:val="right"/>
              <w:rPr>
                <w:color w:val="000000"/>
                <w:sz w:val="22"/>
                <w:szCs w:val="22"/>
              </w:rPr>
            </w:pPr>
            <w:r w:rsidRPr="00D618B7">
              <w:rPr>
                <w:color w:val="000000"/>
                <w:sz w:val="22"/>
                <w:szCs w:val="22"/>
              </w:rPr>
              <w:t>0.46</w:t>
            </w:r>
          </w:p>
        </w:tc>
        <w:tc>
          <w:tcPr>
            <w:tcW w:w="642" w:type="pct"/>
            <w:tcBorders>
              <w:top w:val="nil"/>
              <w:left w:val="nil"/>
              <w:bottom w:val="nil"/>
              <w:right w:val="nil"/>
            </w:tcBorders>
            <w:shd w:val="clear" w:color="000000" w:fill="FFFFFF"/>
            <w:noWrap/>
            <w:vAlign w:val="center"/>
            <w:hideMark/>
          </w:tcPr>
          <w:p w14:paraId="1DB0BA49" w14:textId="77777777" w:rsidR="00766C27" w:rsidRPr="00D618B7" w:rsidRDefault="00766C27" w:rsidP="004B11B7">
            <w:pPr>
              <w:jc w:val="right"/>
              <w:rPr>
                <w:color w:val="000000"/>
                <w:sz w:val="22"/>
                <w:szCs w:val="22"/>
              </w:rPr>
            </w:pPr>
            <w:r w:rsidRPr="00D618B7">
              <w:rPr>
                <w:color w:val="000000"/>
                <w:sz w:val="22"/>
                <w:szCs w:val="22"/>
              </w:rPr>
              <w:t>1.38</w:t>
            </w:r>
          </w:p>
        </w:tc>
        <w:tc>
          <w:tcPr>
            <w:tcW w:w="867" w:type="pct"/>
            <w:tcBorders>
              <w:top w:val="nil"/>
              <w:left w:val="nil"/>
              <w:bottom w:val="nil"/>
              <w:right w:val="nil"/>
            </w:tcBorders>
            <w:shd w:val="clear" w:color="000000" w:fill="FFFFFF"/>
            <w:noWrap/>
            <w:vAlign w:val="center"/>
            <w:hideMark/>
          </w:tcPr>
          <w:p w14:paraId="1FE74762" w14:textId="77777777" w:rsidR="00766C27" w:rsidRPr="00D618B7" w:rsidRDefault="00766C27" w:rsidP="004B11B7">
            <w:pPr>
              <w:jc w:val="right"/>
              <w:rPr>
                <w:color w:val="000000"/>
                <w:sz w:val="22"/>
                <w:szCs w:val="22"/>
              </w:rPr>
            </w:pPr>
            <w:r w:rsidRPr="00D618B7">
              <w:rPr>
                <w:color w:val="000000"/>
                <w:sz w:val="22"/>
                <w:szCs w:val="22"/>
              </w:rPr>
              <w:t>0.08</w:t>
            </w:r>
          </w:p>
        </w:tc>
        <w:tc>
          <w:tcPr>
            <w:tcW w:w="641" w:type="pct"/>
            <w:tcBorders>
              <w:top w:val="nil"/>
              <w:left w:val="nil"/>
              <w:bottom w:val="nil"/>
              <w:right w:val="nil"/>
            </w:tcBorders>
            <w:shd w:val="clear" w:color="000000" w:fill="FFFFFF"/>
            <w:noWrap/>
            <w:vAlign w:val="center"/>
            <w:hideMark/>
          </w:tcPr>
          <w:p w14:paraId="06AA2B4F" w14:textId="77777777" w:rsidR="00766C27" w:rsidRPr="00D618B7" w:rsidRDefault="00766C27" w:rsidP="004B11B7">
            <w:pPr>
              <w:jc w:val="right"/>
              <w:rPr>
                <w:color w:val="000000"/>
                <w:sz w:val="22"/>
                <w:szCs w:val="22"/>
              </w:rPr>
            </w:pPr>
            <w:r w:rsidRPr="00D618B7">
              <w:rPr>
                <w:color w:val="000000"/>
                <w:sz w:val="22"/>
                <w:szCs w:val="22"/>
              </w:rPr>
              <w:t>1.38</w:t>
            </w:r>
          </w:p>
        </w:tc>
        <w:tc>
          <w:tcPr>
            <w:tcW w:w="898" w:type="pct"/>
            <w:tcBorders>
              <w:top w:val="nil"/>
              <w:left w:val="nil"/>
              <w:bottom w:val="nil"/>
              <w:right w:val="nil"/>
            </w:tcBorders>
            <w:shd w:val="clear" w:color="000000" w:fill="FFFFFF"/>
            <w:noWrap/>
            <w:vAlign w:val="center"/>
            <w:hideMark/>
          </w:tcPr>
          <w:p w14:paraId="494C2BB9" w14:textId="77777777" w:rsidR="00766C27" w:rsidRPr="00D618B7" w:rsidRDefault="00766C27" w:rsidP="004B11B7">
            <w:pPr>
              <w:jc w:val="right"/>
              <w:rPr>
                <w:color w:val="000000"/>
                <w:sz w:val="22"/>
                <w:szCs w:val="22"/>
              </w:rPr>
            </w:pPr>
            <w:r w:rsidRPr="00D618B7">
              <w:rPr>
                <w:color w:val="000000"/>
                <w:sz w:val="22"/>
                <w:szCs w:val="22"/>
              </w:rPr>
              <w:t>0.80</w:t>
            </w:r>
          </w:p>
        </w:tc>
        <w:tc>
          <w:tcPr>
            <w:tcW w:w="642" w:type="pct"/>
            <w:tcBorders>
              <w:top w:val="nil"/>
              <w:left w:val="nil"/>
              <w:bottom w:val="nil"/>
              <w:right w:val="nil"/>
            </w:tcBorders>
            <w:shd w:val="clear" w:color="000000" w:fill="FFFFFF"/>
            <w:noWrap/>
            <w:vAlign w:val="center"/>
            <w:hideMark/>
          </w:tcPr>
          <w:p w14:paraId="0A3630A0" w14:textId="77777777" w:rsidR="00766C27" w:rsidRPr="00D618B7" w:rsidRDefault="00766C27" w:rsidP="004B11B7">
            <w:pPr>
              <w:jc w:val="right"/>
              <w:rPr>
                <w:color w:val="000000"/>
                <w:sz w:val="22"/>
                <w:szCs w:val="22"/>
              </w:rPr>
            </w:pPr>
            <w:r w:rsidRPr="00D618B7">
              <w:rPr>
                <w:color w:val="000000"/>
                <w:sz w:val="22"/>
                <w:szCs w:val="22"/>
              </w:rPr>
              <w:t>1.38</w:t>
            </w:r>
          </w:p>
        </w:tc>
      </w:tr>
      <w:tr w:rsidR="00766C27" w:rsidRPr="00D618B7" w14:paraId="0A7FB782" w14:textId="77777777" w:rsidTr="00766C27">
        <w:trPr>
          <w:trHeight w:val="237"/>
        </w:trPr>
        <w:tc>
          <w:tcPr>
            <w:tcW w:w="741" w:type="pct"/>
            <w:tcBorders>
              <w:top w:val="nil"/>
              <w:left w:val="nil"/>
              <w:bottom w:val="nil"/>
              <w:right w:val="nil"/>
            </w:tcBorders>
            <w:shd w:val="clear" w:color="000000" w:fill="FFFFFF"/>
            <w:vAlign w:val="center"/>
            <w:hideMark/>
          </w:tcPr>
          <w:p w14:paraId="410ED860" w14:textId="77777777" w:rsidR="00766C27" w:rsidRPr="00D618B7" w:rsidRDefault="00766C27" w:rsidP="004B11B7">
            <w:pPr>
              <w:jc w:val="right"/>
              <w:rPr>
                <w:color w:val="000000"/>
                <w:sz w:val="22"/>
                <w:szCs w:val="22"/>
              </w:rPr>
            </w:pPr>
            <w:r w:rsidRPr="00D618B7">
              <w:rPr>
                <w:color w:val="000000"/>
                <w:sz w:val="22"/>
                <w:szCs w:val="22"/>
              </w:rPr>
              <w:t>-3</w:t>
            </w:r>
          </w:p>
        </w:tc>
        <w:tc>
          <w:tcPr>
            <w:tcW w:w="568" w:type="pct"/>
            <w:tcBorders>
              <w:top w:val="nil"/>
              <w:left w:val="nil"/>
              <w:bottom w:val="nil"/>
              <w:right w:val="nil"/>
            </w:tcBorders>
            <w:shd w:val="clear" w:color="000000" w:fill="FFFFFF"/>
            <w:noWrap/>
            <w:vAlign w:val="center"/>
            <w:hideMark/>
          </w:tcPr>
          <w:p w14:paraId="718FA1FB" w14:textId="77777777" w:rsidR="00766C27" w:rsidRPr="00D618B7" w:rsidRDefault="00766C27" w:rsidP="004B11B7">
            <w:pPr>
              <w:jc w:val="right"/>
              <w:rPr>
                <w:color w:val="000000"/>
                <w:sz w:val="22"/>
                <w:szCs w:val="22"/>
              </w:rPr>
            </w:pPr>
            <w:r w:rsidRPr="00D618B7">
              <w:rPr>
                <w:color w:val="000000"/>
                <w:sz w:val="22"/>
                <w:szCs w:val="22"/>
              </w:rPr>
              <w:t>-0.38</w:t>
            </w:r>
          </w:p>
        </w:tc>
        <w:tc>
          <w:tcPr>
            <w:tcW w:w="642" w:type="pct"/>
            <w:tcBorders>
              <w:top w:val="nil"/>
              <w:left w:val="nil"/>
              <w:bottom w:val="nil"/>
              <w:right w:val="nil"/>
            </w:tcBorders>
            <w:shd w:val="clear" w:color="000000" w:fill="FFFFFF"/>
            <w:noWrap/>
            <w:vAlign w:val="center"/>
            <w:hideMark/>
          </w:tcPr>
          <w:p w14:paraId="2E46027C" w14:textId="77777777" w:rsidR="00766C27" w:rsidRPr="00D618B7" w:rsidRDefault="00766C27" w:rsidP="004B11B7">
            <w:pPr>
              <w:jc w:val="right"/>
              <w:rPr>
                <w:color w:val="000000"/>
                <w:sz w:val="22"/>
                <w:szCs w:val="22"/>
              </w:rPr>
            </w:pPr>
            <w:r w:rsidRPr="00D618B7">
              <w:rPr>
                <w:color w:val="000000"/>
                <w:sz w:val="22"/>
                <w:szCs w:val="22"/>
              </w:rPr>
              <w:t>1.40</w:t>
            </w:r>
          </w:p>
        </w:tc>
        <w:tc>
          <w:tcPr>
            <w:tcW w:w="867" w:type="pct"/>
            <w:tcBorders>
              <w:top w:val="nil"/>
              <w:left w:val="nil"/>
              <w:bottom w:val="nil"/>
              <w:right w:val="nil"/>
            </w:tcBorders>
            <w:shd w:val="clear" w:color="000000" w:fill="FFFFFF"/>
            <w:noWrap/>
            <w:vAlign w:val="center"/>
            <w:hideMark/>
          </w:tcPr>
          <w:p w14:paraId="4EDA22E4" w14:textId="77777777" w:rsidR="00766C27" w:rsidRPr="00D618B7" w:rsidRDefault="00766C27" w:rsidP="004B11B7">
            <w:pPr>
              <w:jc w:val="right"/>
              <w:rPr>
                <w:color w:val="000000"/>
                <w:sz w:val="22"/>
                <w:szCs w:val="22"/>
              </w:rPr>
            </w:pPr>
            <w:r w:rsidRPr="00D618B7">
              <w:rPr>
                <w:color w:val="000000"/>
                <w:sz w:val="22"/>
                <w:szCs w:val="22"/>
              </w:rPr>
              <w:t>-0.07</w:t>
            </w:r>
          </w:p>
        </w:tc>
        <w:tc>
          <w:tcPr>
            <w:tcW w:w="641" w:type="pct"/>
            <w:tcBorders>
              <w:top w:val="nil"/>
              <w:left w:val="nil"/>
              <w:bottom w:val="nil"/>
              <w:right w:val="nil"/>
            </w:tcBorders>
            <w:shd w:val="clear" w:color="000000" w:fill="FFFFFF"/>
            <w:noWrap/>
            <w:vAlign w:val="center"/>
            <w:hideMark/>
          </w:tcPr>
          <w:p w14:paraId="2179687C" w14:textId="77777777" w:rsidR="00766C27" w:rsidRPr="00D618B7" w:rsidRDefault="00766C27" w:rsidP="004B11B7">
            <w:pPr>
              <w:jc w:val="right"/>
              <w:rPr>
                <w:color w:val="000000"/>
                <w:sz w:val="22"/>
                <w:szCs w:val="22"/>
              </w:rPr>
            </w:pPr>
            <w:r w:rsidRPr="00D618B7">
              <w:rPr>
                <w:color w:val="000000"/>
                <w:sz w:val="22"/>
                <w:szCs w:val="22"/>
              </w:rPr>
              <w:t>1.40</w:t>
            </w:r>
          </w:p>
        </w:tc>
        <w:tc>
          <w:tcPr>
            <w:tcW w:w="898" w:type="pct"/>
            <w:tcBorders>
              <w:top w:val="nil"/>
              <w:left w:val="nil"/>
              <w:bottom w:val="nil"/>
              <w:right w:val="nil"/>
            </w:tcBorders>
            <w:shd w:val="clear" w:color="000000" w:fill="FFFFFF"/>
            <w:noWrap/>
            <w:vAlign w:val="center"/>
            <w:hideMark/>
          </w:tcPr>
          <w:p w14:paraId="49AA26DA" w14:textId="77777777" w:rsidR="00766C27" w:rsidRPr="00D618B7" w:rsidRDefault="00766C27" w:rsidP="004B11B7">
            <w:pPr>
              <w:jc w:val="right"/>
              <w:rPr>
                <w:color w:val="000000"/>
                <w:sz w:val="22"/>
                <w:szCs w:val="22"/>
              </w:rPr>
            </w:pPr>
            <w:r w:rsidRPr="00D618B7">
              <w:rPr>
                <w:color w:val="000000"/>
                <w:sz w:val="22"/>
                <w:szCs w:val="22"/>
              </w:rPr>
              <w:t>0.06</w:t>
            </w:r>
          </w:p>
        </w:tc>
        <w:tc>
          <w:tcPr>
            <w:tcW w:w="642" w:type="pct"/>
            <w:tcBorders>
              <w:top w:val="nil"/>
              <w:left w:val="nil"/>
              <w:bottom w:val="nil"/>
              <w:right w:val="nil"/>
            </w:tcBorders>
            <w:shd w:val="clear" w:color="000000" w:fill="FFFFFF"/>
            <w:noWrap/>
            <w:vAlign w:val="center"/>
            <w:hideMark/>
          </w:tcPr>
          <w:p w14:paraId="1FA14FD1" w14:textId="77777777" w:rsidR="00766C27" w:rsidRPr="00D618B7" w:rsidRDefault="00766C27" w:rsidP="004B11B7">
            <w:pPr>
              <w:jc w:val="right"/>
              <w:rPr>
                <w:color w:val="000000"/>
                <w:sz w:val="22"/>
                <w:szCs w:val="22"/>
              </w:rPr>
            </w:pPr>
            <w:r w:rsidRPr="00D618B7">
              <w:rPr>
                <w:color w:val="000000"/>
                <w:sz w:val="22"/>
                <w:szCs w:val="22"/>
              </w:rPr>
              <w:t>1.40</w:t>
            </w:r>
          </w:p>
        </w:tc>
      </w:tr>
      <w:tr w:rsidR="00766C27" w:rsidRPr="00D618B7" w14:paraId="3FBAEF92" w14:textId="77777777" w:rsidTr="00766C27">
        <w:trPr>
          <w:trHeight w:val="237"/>
        </w:trPr>
        <w:tc>
          <w:tcPr>
            <w:tcW w:w="741" w:type="pct"/>
            <w:tcBorders>
              <w:top w:val="nil"/>
              <w:left w:val="nil"/>
              <w:bottom w:val="nil"/>
              <w:right w:val="nil"/>
            </w:tcBorders>
            <w:shd w:val="clear" w:color="000000" w:fill="FFFFFF"/>
            <w:vAlign w:val="center"/>
            <w:hideMark/>
          </w:tcPr>
          <w:p w14:paraId="60AF9AA4" w14:textId="77777777" w:rsidR="00766C27" w:rsidRPr="00D618B7" w:rsidRDefault="00766C27" w:rsidP="004B11B7">
            <w:pPr>
              <w:jc w:val="right"/>
              <w:rPr>
                <w:color w:val="000000"/>
                <w:sz w:val="22"/>
                <w:szCs w:val="22"/>
              </w:rPr>
            </w:pPr>
            <w:r w:rsidRPr="00D618B7">
              <w:rPr>
                <w:color w:val="000000"/>
                <w:sz w:val="22"/>
                <w:szCs w:val="22"/>
              </w:rPr>
              <w:t>-2</w:t>
            </w:r>
          </w:p>
        </w:tc>
        <w:tc>
          <w:tcPr>
            <w:tcW w:w="568" w:type="pct"/>
            <w:tcBorders>
              <w:top w:val="nil"/>
              <w:left w:val="nil"/>
              <w:bottom w:val="nil"/>
              <w:right w:val="nil"/>
            </w:tcBorders>
            <w:shd w:val="clear" w:color="000000" w:fill="FFFFFF"/>
            <w:noWrap/>
            <w:vAlign w:val="center"/>
            <w:hideMark/>
          </w:tcPr>
          <w:p w14:paraId="4BCC6A0E" w14:textId="77777777" w:rsidR="00766C27" w:rsidRPr="00D618B7" w:rsidRDefault="00766C27" w:rsidP="004B11B7">
            <w:pPr>
              <w:jc w:val="right"/>
              <w:rPr>
                <w:color w:val="000000"/>
                <w:sz w:val="22"/>
                <w:szCs w:val="22"/>
              </w:rPr>
            </w:pPr>
            <w:r w:rsidRPr="00D618B7">
              <w:rPr>
                <w:color w:val="000000"/>
                <w:sz w:val="22"/>
                <w:szCs w:val="22"/>
              </w:rPr>
              <w:t>0.20</w:t>
            </w:r>
          </w:p>
        </w:tc>
        <w:tc>
          <w:tcPr>
            <w:tcW w:w="642" w:type="pct"/>
            <w:tcBorders>
              <w:top w:val="nil"/>
              <w:left w:val="nil"/>
              <w:bottom w:val="nil"/>
              <w:right w:val="nil"/>
            </w:tcBorders>
            <w:shd w:val="clear" w:color="000000" w:fill="FFFFFF"/>
            <w:noWrap/>
            <w:vAlign w:val="center"/>
            <w:hideMark/>
          </w:tcPr>
          <w:p w14:paraId="7C0D8B2D" w14:textId="77777777" w:rsidR="00766C27" w:rsidRPr="00D618B7" w:rsidRDefault="00766C27" w:rsidP="004B11B7">
            <w:pPr>
              <w:jc w:val="right"/>
              <w:rPr>
                <w:color w:val="000000"/>
                <w:sz w:val="22"/>
                <w:szCs w:val="22"/>
              </w:rPr>
            </w:pPr>
            <w:r w:rsidRPr="00D618B7">
              <w:rPr>
                <w:color w:val="000000"/>
                <w:sz w:val="22"/>
                <w:szCs w:val="22"/>
              </w:rPr>
              <w:t>1.28</w:t>
            </w:r>
          </w:p>
        </w:tc>
        <w:tc>
          <w:tcPr>
            <w:tcW w:w="867" w:type="pct"/>
            <w:tcBorders>
              <w:top w:val="nil"/>
              <w:left w:val="nil"/>
              <w:bottom w:val="nil"/>
              <w:right w:val="nil"/>
            </w:tcBorders>
            <w:shd w:val="clear" w:color="000000" w:fill="FFFFFF"/>
            <w:noWrap/>
            <w:vAlign w:val="center"/>
            <w:hideMark/>
          </w:tcPr>
          <w:p w14:paraId="2EA1335C" w14:textId="77777777" w:rsidR="00766C27" w:rsidRPr="00D618B7" w:rsidRDefault="00766C27" w:rsidP="004B11B7">
            <w:pPr>
              <w:jc w:val="right"/>
              <w:rPr>
                <w:color w:val="000000"/>
                <w:sz w:val="22"/>
                <w:szCs w:val="22"/>
              </w:rPr>
            </w:pPr>
            <w:r w:rsidRPr="00D618B7">
              <w:rPr>
                <w:color w:val="000000"/>
                <w:sz w:val="22"/>
                <w:szCs w:val="22"/>
              </w:rPr>
              <w:t>0.10</w:t>
            </w:r>
          </w:p>
        </w:tc>
        <w:tc>
          <w:tcPr>
            <w:tcW w:w="641" w:type="pct"/>
            <w:tcBorders>
              <w:top w:val="nil"/>
              <w:left w:val="nil"/>
              <w:bottom w:val="nil"/>
              <w:right w:val="nil"/>
            </w:tcBorders>
            <w:shd w:val="clear" w:color="000000" w:fill="FFFFFF"/>
            <w:noWrap/>
            <w:vAlign w:val="center"/>
            <w:hideMark/>
          </w:tcPr>
          <w:p w14:paraId="793C2D8E" w14:textId="77777777" w:rsidR="00766C27" w:rsidRPr="00D618B7" w:rsidRDefault="00766C27" w:rsidP="004B11B7">
            <w:pPr>
              <w:jc w:val="right"/>
              <w:rPr>
                <w:color w:val="000000"/>
                <w:sz w:val="22"/>
                <w:szCs w:val="22"/>
              </w:rPr>
            </w:pPr>
            <w:r w:rsidRPr="00D618B7">
              <w:rPr>
                <w:color w:val="000000"/>
                <w:sz w:val="22"/>
                <w:szCs w:val="22"/>
              </w:rPr>
              <w:t>1.28</w:t>
            </w:r>
          </w:p>
        </w:tc>
        <w:tc>
          <w:tcPr>
            <w:tcW w:w="898" w:type="pct"/>
            <w:tcBorders>
              <w:top w:val="nil"/>
              <w:left w:val="nil"/>
              <w:bottom w:val="nil"/>
              <w:right w:val="nil"/>
            </w:tcBorders>
            <w:shd w:val="clear" w:color="000000" w:fill="FFFFFF"/>
            <w:noWrap/>
            <w:vAlign w:val="center"/>
            <w:hideMark/>
          </w:tcPr>
          <w:p w14:paraId="14AC9853" w14:textId="77777777" w:rsidR="00766C27" w:rsidRPr="00D618B7" w:rsidRDefault="00766C27" w:rsidP="004B11B7">
            <w:pPr>
              <w:jc w:val="right"/>
              <w:rPr>
                <w:color w:val="000000"/>
                <w:sz w:val="22"/>
                <w:szCs w:val="22"/>
              </w:rPr>
            </w:pPr>
            <w:r w:rsidRPr="00D618B7">
              <w:rPr>
                <w:color w:val="000000"/>
                <w:sz w:val="22"/>
                <w:szCs w:val="22"/>
              </w:rPr>
              <w:t>0.58</w:t>
            </w:r>
          </w:p>
        </w:tc>
        <w:tc>
          <w:tcPr>
            <w:tcW w:w="642" w:type="pct"/>
            <w:tcBorders>
              <w:top w:val="nil"/>
              <w:left w:val="nil"/>
              <w:bottom w:val="nil"/>
              <w:right w:val="nil"/>
            </w:tcBorders>
            <w:shd w:val="clear" w:color="000000" w:fill="FFFFFF"/>
            <w:noWrap/>
            <w:vAlign w:val="center"/>
            <w:hideMark/>
          </w:tcPr>
          <w:p w14:paraId="3C5C65D2" w14:textId="77777777" w:rsidR="00766C27" w:rsidRPr="00D618B7" w:rsidRDefault="00766C27" w:rsidP="004B11B7">
            <w:pPr>
              <w:jc w:val="right"/>
              <w:rPr>
                <w:color w:val="000000"/>
                <w:sz w:val="22"/>
                <w:szCs w:val="22"/>
              </w:rPr>
            </w:pPr>
            <w:r w:rsidRPr="00D618B7">
              <w:rPr>
                <w:color w:val="000000"/>
                <w:sz w:val="22"/>
                <w:szCs w:val="22"/>
              </w:rPr>
              <w:t>1.28</w:t>
            </w:r>
          </w:p>
        </w:tc>
      </w:tr>
      <w:tr w:rsidR="00766C27" w:rsidRPr="00D618B7" w14:paraId="12BD0158" w14:textId="77777777" w:rsidTr="00766C27">
        <w:trPr>
          <w:trHeight w:val="237"/>
        </w:trPr>
        <w:tc>
          <w:tcPr>
            <w:tcW w:w="741" w:type="pct"/>
            <w:tcBorders>
              <w:top w:val="nil"/>
              <w:left w:val="nil"/>
              <w:bottom w:val="nil"/>
              <w:right w:val="nil"/>
            </w:tcBorders>
            <w:shd w:val="clear" w:color="000000" w:fill="FFFFFF"/>
            <w:vAlign w:val="center"/>
            <w:hideMark/>
          </w:tcPr>
          <w:p w14:paraId="01859C6B" w14:textId="77777777" w:rsidR="00766C27" w:rsidRPr="00D618B7" w:rsidRDefault="00766C27" w:rsidP="004B11B7">
            <w:pPr>
              <w:jc w:val="right"/>
              <w:rPr>
                <w:color w:val="000000"/>
                <w:sz w:val="22"/>
                <w:szCs w:val="22"/>
              </w:rPr>
            </w:pPr>
            <w:r w:rsidRPr="00D618B7">
              <w:rPr>
                <w:color w:val="000000"/>
                <w:sz w:val="22"/>
                <w:szCs w:val="22"/>
              </w:rPr>
              <w:t>-1</w:t>
            </w:r>
          </w:p>
        </w:tc>
        <w:tc>
          <w:tcPr>
            <w:tcW w:w="568" w:type="pct"/>
            <w:tcBorders>
              <w:top w:val="nil"/>
              <w:left w:val="nil"/>
              <w:bottom w:val="nil"/>
              <w:right w:val="nil"/>
            </w:tcBorders>
            <w:shd w:val="clear" w:color="000000" w:fill="FFFFFF"/>
            <w:noWrap/>
            <w:vAlign w:val="center"/>
            <w:hideMark/>
          </w:tcPr>
          <w:p w14:paraId="7DCE6951" w14:textId="77777777" w:rsidR="00766C27" w:rsidRPr="00D618B7" w:rsidRDefault="00766C27" w:rsidP="004B11B7">
            <w:pPr>
              <w:jc w:val="right"/>
              <w:rPr>
                <w:color w:val="000000"/>
                <w:sz w:val="22"/>
                <w:szCs w:val="22"/>
              </w:rPr>
            </w:pPr>
            <w:r w:rsidRPr="00D618B7">
              <w:rPr>
                <w:color w:val="000000"/>
                <w:sz w:val="22"/>
                <w:szCs w:val="22"/>
              </w:rPr>
              <w:t>-0.04</w:t>
            </w:r>
          </w:p>
        </w:tc>
        <w:tc>
          <w:tcPr>
            <w:tcW w:w="642" w:type="pct"/>
            <w:tcBorders>
              <w:top w:val="nil"/>
              <w:left w:val="nil"/>
              <w:bottom w:val="nil"/>
              <w:right w:val="nil"/>
            </w:tcBorders>
            <w:shd w:val="clear" w:color="000000" w:fill="FFFFFF"/>
            <w:noWrap/>
            <w:vAlign w:val="center"/>
            <w:hideMark/>
          </w:tcPr>
          <w:p w14:paraId="72AB4E52" w14:textId="77777777" w:rsidR="00766C27" w:rsidRPr="00D618B7" w:rsidRDefault="00766C27" w:rsidP="004B11B7">
            <w:pPr>
              <w:jc w:val="right"/>
              <w:rPr>
                <w:color w:val="000000"/>
                <w:sz w:val="22"/>
                <w:szCs w:val="22"/>
              </w:rPr>
            </w:pPr>
            <w:r w:rsidRPr="00D618B7">
              <w:rPr>
                <w:color w:val="000000"/>
                <w:sz w:val="22"/>
                <w:szCs w:val="22"/>
              </w:rPr>
              <w:t>1.27</w:t>
            </w:r>
          </w:p>
        </w:tc>
        <w:tc>
          <w:tcPr>
            <w:tcW w:w="867" w:type="pct"/>
            <w:tcBorders>
              <w:top w:val="nil"/>
              <w:left w:val="nil"/>
              <w:bottom w:val="nil"/>
              <w:right w:val="nil"/>
            </w:tcBorders>
            <w:shd w:val="clear" w:color="000000" w:fill="FFFFFF"/>
            <w:noWrap/>
            <w:vAlign w:val="center"/>
            <w:hideMark/>
          </w:tcPr>
          <w:p w14:paraId="30E89BF2" w14:textId="77777777" w:rsidR="00766C27" w:rsidRPr="00D618B7" w:rsidRDefault="00766C27" w:rsidP="004B11B7">
            <w:pPr>
              <w:jc w:val="right"/>
              <w:rPr>
                <w:color w:val="000000"/>
                <w:sz w:val="22"/>
                <w:szCs w:val="22"/>
              </w:rPr>
            </w:pPr>
            <w:r w:rsidRPr="00D618B7">
              <w:rPr>
                <w:color w:val="000000"/>
                <w:sz w:val="22"/>
                <w:szCs w:val="22"/>
              </w:rPr>
              <w:t>-0.10</w:t>
            </w:r>
          </w:p>
        </w:tc>
        <w:tc>
          <w:tcPr>
            <w:tcW w:w="641" w:type="pct"/>
            <w:tcBorders>
              <w:top w:val="nil"/>
              <w:left w:val="nil"/>
              <w:bottom w:val="nil"/>
              <w:right w:val="nil"/>
            </w:tcBorders>
            <w:shd w:val="clear" w:color="000000" w:fill="FFFFFF"/>
            <w:noWrap/>
            <w:vAlign w:val="center"/>
            <w:hideMark/>
          </w:tcPr>
          <w:p w14:paraId="66B36C00" w14:textId="77777777" w:rsidR="00766C27" w:rsidRPr="00D618B7" w:rsidRDefault="00766C27" w:rsidP="004B11B7">
            <w:pPr>
              <w:jc w:val="right"/>
              <w:rPr>
                <w:color w:val="000000"/>
                <w:sz w:val="22"/>
                <w:szCs w:val="22"/>
              </w:rPr>
            </w:pPr>
            <w:r w:rsidRPr="00D618B7">
              <w:rPr>
                <w:color w:val="000000"/>
                <w:sz w:val="22"/>
                <w:szCs w:val="22"/>
              </w:rPr>
              <w:t>1.27</w:t>
            </w:r>
          </w:p>
        </w:tc>
        <w:tc>
          <w:tcPr>
            <w:tcW w:w="898" w:type="pct"/>
            <w:tcBorders>
              <w:top w:val="nil"/>
              <w:left w:val="nil"/>
              <w:bottom w:val="nil"/>
              <w:right w:val="nil"/>
            </w:tcBorders>
            <w:shd w:val="clear" w:color="000000" w:fill="FFFFFF"/>
            <w:noWrap/>
            <w:vAlign w:val="center"/>
            <w:hideMark/>
          </w:tcPr>
          <w:p w14:paraId="0C433B15" w14:textId="77777777" w:rsidR="00766C27" w:rsidRPr="00D618B7" w:rsidRDefault="00766C27" w:rsidP="004B11B7">
            <w:pPr>
              <w:jc w:val="right"/>
              <w:rPr>
                <w:color w:val="000000"/>
                <w:sz w:val="22"/>
                <w:szCs w:val="22"/>
              </w:rPr>
            </w:pPr>
            <w:r w:rsidRPr="00D618B7">
              <w:rPr>
                <w:color w:val="000000"/>
                <w:sz w:val="22"/>
                <w:szCs w:val="22"/>
              </w:rPr>
              <w:t>0.87</w:t>
            </w:r>
          </w:p>
        </w:tc>
        <w:tc>
          <w:tcPr>
            <w:tcW w:w="642" w:type="pct"/>
            <w:tcBorders>
              <w:top w:val="nil"/>
              <w:left w:val="nil"/>
              <w:bottom w:val="nil"/>
              <w:right w:val="nil"/>
            </w:tcBorders>
            <w:shd w:val="clear" w:color="000000" w:fill="FFFFFF"/>
            <w:noWrap/>
            <w:vAlign w:val="center"/>
            <w:hideMark/>
          </w:tcPr>
          <w:p w14:paraId="0A3E4A82" w14:textId="77777777" w:rsidR="00766C27" w:rsidRPr="00D618B7" w:rsidRDefault="00766C27" w:rsidP="004B11B7">
            <w:pPr>
              <w:jc w:val="right"/>
              <w:rPr>
                <w:color w:val="000000"/>
                <w:sz w:val="22"/>
                <w:szCs w:val="22"/>
              </w:rPr>
            </w:pPr>
            <w:r w:rsidRPr="00D618B7">
              <w:rPr>
                <w:color w:val="000000"/>
                <w:sz w:val="22"/>
                <w:szCs w:val="22"/>
              </w:rPr>
              <w:t>1.27</w:t>
            </w:r>
          </w:p>
        </w:tc>
      </w:tr>
      <w:tr w:rsidR="00766C27" w:rsidRPr="00D618B7" w14:paraId="5DFAA8A5" w14:textId="77777777" w:rsidTr="00766C27">
        <w:trPr>
          <w:trHeight w:val="237"/>
        </w:trPr>
        <w:tc>
          <w:tcPr>
            <w:tcW w:w="741" w:type="pct"/>
            <w:tcBorders>
              <w:top w:val="nil"/>
              <w:left w:val="nil"/>
              <w:bottom w:val="nil"/>
              <w:right w:val="nil"/>
            </w:tcBorders>
            <w:shd w:val="clear" w:color="000000" w:fill="FFFFFF"/>
            <w:vAlign w:val="center"/>
            <w:hideMark/>
          </w:tcPr>
          <w:p w14:paraId="77E95592" w14:textId="77777777" w:rsidR="00766C27" w:rsidRPr="00D618B7" w:rsidRDefault="00766C27" w:rsidP="004B11B7">
            <w:pPr>
              <w:jc w:val="right"/>
              <w:rPr>
                <w:color w:val="000000"/>
                <w:sz w:val="22"/>
                <w:szCs w:val="22"/>
              </w:rPr>
            </w:pPr>
            <w:r w:rsidRPr="00D618B7">
              <w:rPr>
                <w:color w:val="000000"/>
                <w:sz w:val="22"/>
                <w:szCs w:val="22"/>
              </w:rPr>
              <w:t>0</w:t>
            </w:r>
          </w:p>
        </w:tc>
        <w:tc>
          <w:tcPr>
            <w:tcW w:w="568" w:type="pct"/>
            <w:tcBorders>
              <w:top w:val="nil"/>
              <w:left w:val="nil"/>
              <w:bottom w:val="nil"/>
              <w:right w:val="nil"/>
            </w:tcBorders>
            <w:shd w:val="clear" w:color="000000" w:fill="FFFFFF"/>
            <w:noWrap/>
            <w:vAlign w:val="center"/>
            <w:hideMark/>
          </w:tcPr>
          <w:p w14:paraId="4D84C29E" w14:textId="77777777" w:rsidR="00766C27" w:rsidRPr="00D618B7" w:rsidRDefault="00766C27" w:rsidP="004B11B7">
            <w:pPr>
              <w:jc w:val="right"/>
              <w:rPr>
                <w:color w:val="000000"/>
                <w:sz w:val="22"/>
                <w:szCs w:val="22"/>
              </w:rPr>
            </w:pPr>
            <w:r w:rsidRPr="00D618B7">
              <w:rPr>
                <w:color w:val="000000"/>
                <w:sz w:val="22"/>
                <w:szCs w:val="22"/>
              </w:rPr>
              <w:t>-0.02</w:t>
            </w:r>
          </w:p>
        </w:tc>
        <w:tc>
          <w:tcPr>
            <w:tcW w:w="642" w:type="pct"/>
            <w:tcBorders>
              <w:top w:val="nil"/>
              <w:left w:val="nil"/>
              <w:bottom w:val="nil"/>
              <w:right w:val="nil"/>
            </w:tcBorders>
            <w:shd w:val="clear" w:color="000000" w:fill="FFFFFF"/>
            <w:noWrap/>
            <w:vAlign w:val="center"/>
            <w:hideMark/>
          </w:tcPr>
          <w:p w14:paraId="792AF58C" w14:textId="77777777" w:rsidR="00766C27" w:rsidRPr="00D618B7" w:rsidRDefault="00766C27" w:rsidP="004B11B7">
            <w:pPr>
              <w:jc w:val="right"/>
              <w:rPr>
                <w:color w:val="000000"/>
                <w:sz w:val="22"/>
                <w:szCs w:val="22"/>
              </w:rPr>
            </w:pPr>
            <w:r w:rsidRPr="00D618B7">
              <w:rPr>
                <w:color w:val="000000"/>
                <w:sz w:val="22"/>
                <w:szCs w:val="22"/>
              </w:rPr>
              <w:t>1.21</w:t>
            </w:r>
          </w:p>
        </w:tc>
        <w:tc>
          <w:tcPr>
            <w:tcW w:w="867" w:type="pct"/>
            <w:tcBorders>
              <w:top w:val="nil"/>
              <w:left w:val="nil"/>
              <w:bottom w:val="nil"/>
              <w:right w:val="nil"/>
            </w:tcBorders>
            <w:shd w:val="clear" w:color="000000" w:fill="FFFFFF"/>
            <w:noWrap/>
            <w:vAlign w:val="center"/>
            <w:hideMark/>
          </w:tcPr>
          <w:p w14:paraId="001AE703" w14:textId="77777777" w:rsidR="00766C27" w:rsidRPr="00D618B7" w:rsidRDefault="00766C27" w:rsidP="004B11B7">
            <w:pPr>
              <w:jc w:val="right"/>
              <w:rPr>
                <w:color w:val="000000"/>
                <w:sz w:val="22"/>
                <w:szCs w:val="22"/>
              </w:rPr>
            </w:pPr>
            <w:r w:rsidRPr="00D618B7">
              <w:rPr>
                <w:color w:val="000000"/>
                <w:sz w:val="22"/>
                <w:szCs w:val="22"/>
              </w:rPr>
              <w:t>0.22</w:t>
            </w:r>
          </w:p>
        </w:tc>
        <w:tc>
          <w:tcPr>
            <w:tcW w:w="641" w:type="pct"/>
            <w:tcBorders>
              <w:top w:val="nil"/>
              <w:left w:val="nil"/>
              <w:bottom w:val="nil"/>
              <w:right w:val="nil"/>
            </w:tcBorders>
            <w:shd w:val="clear" w:color="000000" w:fill="FFFFFF"/>
            <w:noWrap/>
            <w:vAlign w:val="center"/>
            <w:hideMark/>
          </w:tcPr>
          <w:p w14:paraId="231D07FA" w14:textId="77777777" w:rsidR="00766C27" w:rsidRPr="00D618B7" w:rsidRDefault="00766C27" w:rsidP="004B11B7">
            <w:pPr>
              <w:jc w:val="right"/>
              <w:rPr>
                <w:color w:val="000000"/>
                <w:sz w:val="22"/>
                <w:szCs w:val="22"/>
              </w:rPr>
            </w:pPr>
            <w:r w:rsidRPr="00D618B7">
              <w:rPr>
                <w:color w:val="000000"/>
                <w:sz w:val="22"/>
                <w:szCs w:val="22"/>
              </w:rPr>
              <w:t>1.21</w:t>
            </w:r>
          </w:p>
        </w:tc>
        <w:tc>
          <w:tcPr>
            <w:tcW w:w="898" w:type="pct"/>
            <w:tcBorders>
              <w:top w:val="nil"/>
              <w:left w:val="nil"/>
              <w:bottom w:val="nil"/>
              <w:right w:val="nil"/>
            </w:tcBorders>
            <w:shd w:val="clear" w:color="000000" w:fill="FFFFFF"/>
            <w:noWrap/>
            <w:vAlign w:val="center"/>
            <w:hideMark/>
          </w:tcPr>
          <w:p w14:paraId="2BC7C9E8" w14:textId="77777777" w:rsidR="00766C27" w:rsidRPr="00D618B7" w:rsidRDefault="00766C27" w:rsidP="004B11B7">
            <w:pPr>
              <w:jc w:val="right"/>
              <w:rPr>
                <w:color w:val="000000"/>
                <w:sz w:val="22"/>
                <w:szCs w:val="22"/>
              </w:rPr>
            </w:pPr>
            <w:r w:rsidRPr="00D618B7">
              <w:rPr>
                <w:color w:val="000000"/>
                <w:sz w:val="22"/>
                <w:szCs w:val="22"/>
              </w:rPr>
              <w:t>1.39</w:t>
            </w:r>
          </w:p>
        </w:tc>
        <w:tc>
          <w:tcPr>
            <w:tcW w:w="642" w:type="pct"/>
            <w:tcBorders>
              <w:top w:val="nil"/>
              <w:left w:val="nil"/>
              <w:bottom w:val="nil"/>
              <w:right w:val="nil"/>
            </w:tcBorders>
            <w:shd w:val="clear" w:color="000000" w:fill="FFFFFF"/>
            <w:noWrap/>
            <w:vAlign w:val="center"/>
            <w:hideMark/>
          </w:tcPr>
          <w:p w14:paraId="2A99811B" w14:textId="77777777" w:rsidR="00766C27" w:rsidRPr="00D618B7" w:rsidRDefault="00766C27" w:rsidP="004B11B7">
            <w:pPr>
              <w:jc w:val="right"/>
              <w:rPr>
                <w:color w:val="000000"/>
                <w:sz w:val="22"/>
                <w:szCs w:val="22"/>
              </w:rPr>
            </w:pPr>
            <w:r w:rsidRPr="00D618B7">
              <w:rPr>
                <w:color w:val="000000"/>
                <w:sz w:val="22"/>
                <w:szCs w:val="22"/>
              </w:rPr>
              <w:t>1.21</w:t>
            </w:r>
          </w:p>
        </w:tc>
      </w:tr>
      <w:tr w:rsidR="00766C27" w:rsidRPr="00D618B7" w14:paraId="5BD8B2AE" w14:textId="77777777" w:rsidTr="00766C27">
        <w:trPr>
          <w:trHeight w:val="237"/>
        </w:trPr>
        <w:tc>
          <w:tcPr>
            <w:tcW w:w="741" w:type="pct"/>
            <w:tcBorders>
              <w:top w:val="nil"/>
              <w:left w:val="nil"/>
              <w:bottom w:val="nil"/>
              <w:right w:val="nil"/>
            </w:tcBorders>
            <w:shd w:val="clear" w:color="000000" w:fill="FFFFFF"/>
            <w:vAlign w:val="center"/>
            <w:hideMark/>
          </w:tcPr>
          <w:p w14:paraId="7424B8DA" w14:textId="77777777" w:rsidR="00766C27" w:rsidRPr="00D618B7" w:rsidRDefault="00766C27" w:rsidP="004B11B7">
            <w:pPr>
              <w:jc w:val="right"/>
              <w:rPr>
                <w:color w:val="000000"/>
                <w:sz w:val="22"/>
                <w:szCs w:val="22"/>
              </w:rPr>
            </w:pPr>
            <w:r w:rsidRPr="00D618B7">
              <w:rPr>
                <w:color w:val="000000"/>
                <w:sz w:val="22"/>
                <w:szCs w:val="22"/>
              </w:rPr>
              <w:t>1</w:t>
            </w:r>
          </w:p>
        </w:tc>
        <w:tc>
          <w:tcPr>
            <w:tcW w:w="568" w:type="pct"/>
            <w:tcBorders>
              <w:top w:val="nil"/>
              <w:left w:val="nil"/>
              <w:bottom w:val="nil"/>
              <w:right w:val="nil"/>
            </w:tcBorders>
            <w:shd w:val="clear" w:color="000000" w:fill="FFFFFF"/>
            <w:noWrap/>
            <w:vAlign w:val="center"/>
            <w:hideMark/>
          </w:tcPr>
          <w:p w14:paraId="3FD46726" w14:textId="77777777" w:rsidR="00766C27" w:rsidRPr="00D618B7" w:rsidRDefault="00766C27" w:rsidP="004B11B7">
            <w:pPr>
              <w:jc w:val="right"/>
              <w:rPr>
                <w:color w:val="000000"/>
                <w:sz w:val="22"/>
                <w:szCs w:val="22"/>
              </w:rPr>
            </w:pPr>
            <w:r w:rsidRPr="00D618B7">
              <w:rPr>
                <w:color w:val="000000"/>
                <w:sz w:val="22"/>
                <w:szCs w:val="22"/>
              </w:rPr>
              <w:t>0.01</w:t>
            </w:r>
          </w:p>
        </w:tc>
        <w:tc>
          <w:tcPr>
            <w:tcW w:w="642" w:type="pct"/>
            <w:tcBorders>
              <w:top w:val="nil"/>
              <w:left w:val="nil"/>
              <w:bottom w:val="nil"/>
              <w:right w:val="nil"/>
            </w:tcBorders>
            <w:shd w:val="clear" w:color="000000" w:fill="FFFFFF"/>
            <w:noWrap/>
            <w:vAlign w:val="center"/>
            <w:hideMark/>
          </w:tcPr>
          <w:p w14:paraId="528602A2" w14:textId="77777777" w:rsidR="00766C27" w:rsidRPr="00D618B7" w:rsidRDefault="00766C27" w:rsidP="004B11B7">
            <w:pPr>
              <w:jc w:val="right"/>
              <w:rPr>
                <w:color w:val="000000"/>
                <w:sz w:val="22"/>
                <w:szCs w:val="22"/>
              </w:rPr>
            </w:pPr>
            <w:r w:rsidRPr="00D618B7">
              <w:rPr>
                <w:color w:val="000000"/>
                <w:sz w:val="22"/>
                <w:szCs w:val="22"/>
              </w:rPr>
              <w:t>1.21</w:t>
            </w:r>
          </w:p>
        </w:tc>
        <w:tc>
          <w:tcPr>
            <w:tcW w:w="867" w:type="pct"/>
            <w:tcBorders>
              <w:top w:val="nil"/>
              <w:left w:val="nil"/>
              <w:bottom w:val="nil"/>
              <w:right w:val="nil"/>
            </w:tcBorders>
            <w:shd w:val="clear" w:color="000000" w:fill="FFFFFF"/>
            <w:noWrap/>
            <w:vAlign w:val="center"/>
            <w:hideMark/>
          </w:tcPr>
          <w:p w14:paraId="7A1FD4EB" w14:textId="77777777" w:rsidR="00766C27" w:rsidRPr="00D618B7" w:rsidRDefault="00766C27" w:rsidP="004B11B7">
            <w:pPr>
              <w:jc w:val="right"/>
              <w:rPr>
                <w:color w:val="000000"/>
                <w:sz w:val="22"/>
                <w:szCs w:val="22"/>
              </w:rPr>
            </w:pPr>
            <w:r w:rsidRPr="00D618B7">
              <w:rPr>
                <w:color w:val="000000"/>
                <w:sz w:val="22"/>
                <w:szCs w:val="22"/>
              </w:rPr>
              <w:t>-0.09</w:t>
            </w:r>
          </w:p>
        </w:tc>
        <w:tc>
          <w:tcPr>
            <w:tcW w:w="641" w:type="pct"/>
            <w:tcBorders>
              <w:top w:val="nil"/>
              <w:left w:val="nil"/>
              <w:bottom w:val="nil"/>
              <w:right w:val="nil"/>
            </w:tcBorders>
            <w:shd w:val="clear" w:color="000000" w:fill="FFFFFF"/>
            <w:noWrap/>
            <w:vAlign w:val="center"/>
            <w:hideMark/>
          </w:tcPr>
          <w:p w14:paraId="323833EF" w14:textId="77777777" w:rsidR="00766C27" w:rsidRPr="00D618B7" w:rsidRDefault="00766C27" w:rsidP="004B11B7">
            <w:pPr>
              <w:jc w:val="right"/>
              <w:rPr>
                <w:color w:val="000000"/>
                <w:sz w:val="22"/>
                <w:szCs w:val="22"/>
              </w:rPr>
            </w:pPr>
            <w:r w:rsidRPr="00D618B7">
              <w:rPr>
                <w:color w:val="000000"/>
                <w:sz w:val="22"/>
                <w:szCs w:val="22"/>
              </w:rPr>
              <w:t>1.21</w:t>
            </w:r>
          </w:p>
        </w:tc>
        <w:tc>
          <w:tcPr>
            <w:tcW w:w="898" w:type="pct"/>
            <w:tcBorders>
              <w:top w:val="nil"/>
              <w:left w:val="nil"/>
              <w:bottom w:val="nil"/>
              <w:right w:val="nil"/>
            </w:tcBorders>
            <w:shd w:val="clear" w:color="000000" w:fill="FFFFFF"/>
            <w:noWrap/>
            <w:vAlign w:val="center"/>
            <w:hideMark/>
          </w:tcPr>
          <w:p w14:paraId="312D1557" w14:textId="77777777" w:rsidR="00766C27" w:rsidRPr="00D618B7" w:rsidRDefault="00766C27" w:rsidP="004B11B7">
            <w:pPr>
              <w:jc w:val="right"/>
              <w:rPr>
                <w:color w:val="000000"/>
                <w:sz w:val="22"/>
                <w:szCs w:val="22"/>
              </w:rPr>
            </w:pPr>
            <w:r w:rsidRPr="00D618B7">
              <w:rPr>
                <w:color w:val="000000"/>
                <w:sz w:val="22"/>
                <w:szCs w:val="22"/>
              </w:rPr>
              <w:t>0.03</w:t>
            </w:r>
          </w:p>
        </w:tc>
        <w:tc>
          <w:tcPr>
            <w:tcW w:w="642" w:type="pct"/>
            <w:tcBorders>
              <w:top w:val="nil"/>
              <w:left w:val="nil"/>
              <w:bottom w:val="nil"/>
              <w:right w:val="nil"/>
            </w:tcBorders>
            <w:shd w:val="clear" w:color="000000" w:fill="FFFFFF"/>
            <w:noWrap/>
            <w:vAlign w:val="center"/>
            <w:hideMark/>
          </w:tcPr>
          <w:p w14:paraId="29988951" w14:textId="77777777" w:rsidR="00766C27" w:rsidRPr="00D618B7" w:rsidRDefault="00766C27" w:rsidP="004B11B7">
            <w:pPr>
              <w:jc w:val="right"/>
              <w:rPr>
                <w:color w:val="000000"/>
                <w:sz w:val="22"/>
                <w:szCs w:val="22"/>
              </w:rPr>
            </w:pPr>
            <w:r w:rsidRPr="00D618B7">
              <w:rPr>
                <w:color w:val="000000"/>
                <w:sz w:val="22"/>
                <w:szCs w:val="22"/>
              </w:rPr>
              <w:t>1.22</w:t>
            </w:r>
          </w:p>
        </w:tc>
      </w:tr>
      <w:tr w:rsidR="00766C27" w:rsidRPr="00D618B7" w14:paraId="0F6F9B3F" w14:textId="77777777" w:rsidTr="00766C27">
        <w:trPr>
          <w:trHeight w:val="237"/>
        </w:trPr>
        <w:tc>
          <w:tcPr>
            <w:tcW w:w="741" w:type="pct"/>
            <w:tcBorders>
              <w:top w:val="nil"/>
              <w:left w:val="nil"/>
              <w:bottom w:val="nil"/>
              <w:right w:val="nil"/>
            </w:tcBorders>
            <w:shd w:val="clear" w:color="000000" w:fill="FFFFFF"/>
            <w:vAlign w:val="center"/>
            <w:hideMark/>
          </w:tcPr>
          <w:p w14:paraId="234B9747" w14:textId="77777777" w:rsidR="00766C27" w:rsidRPr="00D618B7" w:rsidRDefault="00766C27" w:rsidP="004B11B7">
            <w:pPr>
              <w:jc w:val="right"/>
              <w:rPr>
                <w:color w:val="000000"/>
                <w:sz w:val="22"/>
                <w:szCs w:val="22"/>
              </w:rPr>
            </w:pPr>
            <w:r w:rsidRPr="00D618B7">
              <w:rPr>
                <w:color w:val="000000"/>
                <w:sz w:val="22"/>
                <w:szCs w:val="22"/>
              </w:rPr>
              <w:t>2</w:t>
            </w:r>
          </w:p>
        </w:tc>
        <w:tc>
          <w:tcPr>
            <w:tcW w:w="568" w:type="pct"/>
            <w:tcBorders>
              <w:top w:val="nil"/>
              <w:left w:val="nil"/>
              <w:bottom w:val="nil"/>
              <w:right w:val="nil"/>
            </w:tcBorders>
            <w:shd w:val="clear" w:color="000000" w:fill="FFFFFF"/>
            <w:noWrap/>
            <w:vAlign w:val="center"/>
            <w:hideMark/>
          </w:tcPr>
          <w:p w14:paraId="25F73F02" w14:textId="77777777" w:rsidR="00766C27" w:rsidRPr="00D618B7" w:rsidRDefault="00766C27" w:rsidP="004B11B7">
            <w:pPr>
              <w:jc w:val="right"/>
              <w:rPr>
                <w:color w:val="000000"/>
                <w:sz w:val="22"/>
                <w:szCs w:val="22"/>
              </w:rPr>
            </w:pPr>
            <w:r w:rsidRPr="00D618B7">
              <w:rPr>
                <w:color w:val="000000"/>
                <w:sz w:val="22"/>
                <w:szCs w:val="22"/>
              </w:rPr>
              <w:t>-0.02</w:t>
            </w:r>
          </w:p>
        </w:tc>
        <w:tc>
          <w:tcPr>
            <w:tcW w:w="642" w:type="pct"/>
            <w:tcBorders>
              <w:top w:val="nil"/>
              <w:left w:val="nil"/>
              <w:bottom w:val="nil"/>
              <w:right w:val="nil"/>
            </w:tcBorders>
            <w:shd w:val="clear" w:color="000000" w:fill="FFFFFF"/>
            <w:noWrap/>
            <w:vAlign w:val="center"/>
            <w:hideMark/>
          </w:tcPr>
          <w:p w14:paraId="1938FCC1" w14:textId="77777777" w:rsidR="00766C27" w:rsidRPr="00D618B7" w:rsidRDefault="00766C27" w:rsidP="004B11B7">
            <w:pPr>
              <w:jc w:val="right"/>
              <w:rPr>
                <w:color w:val="000000"/>
                <w:sz w:val="22"/>
                <w:szCs w:val="22"/>
              </w:rPr>
            </w:pPr>
            <w:r w:rsidRPr="00D618B7">
              <w:rPr>
                <w:color w:val="000000"/>
                <w:sz w:val="22"/>
                <w:szCs w:val="22"/>
              </w:rPr>
              <w:t>1.40</w:t>
            </w:r>
          </w:p>
        </w:tc>
        <w:tc>
          <w:tcPr>
            <w:tcW w:w="867" w:type="pct"/>
            <w:tcBorders>
              <w:top w:val="nil"/>
              <w:left w:val="nil"/>
              <w:bottom w:val="nil"/>
              <w:right w:val="nil"/>
            </w:tcBorders>
            <w:shd w:val="clear" w:color="000000" w:fill="FFFFFF"/>
            <w:noWrap/>
            <w:vAlign w:val="center"/>
            <w:hideMark/>
          </w:tcPr>
          <w:p w14:paraId="3A454777" w14:textId="77777777" w:rsidR="00766C27" w:rsidRPr="00D618B7" w:rsidRDefault="00766C27" w:rsidP="004B11B7">
            <w:pPr>
              <w:jc w:val="right"/>
              <w:rPr>
                <w:color w:val="000000"/>
                <w:sz w:val="22"/>
                <w:szCs w:val="22"/>
              </w:rPr>
            </w:pPr>
            <w:r w:rsidRPr="00D618B7">
              <w:rPr>
                <w:color w:val="000000"/>
                <w:sz w:val="22"/>
                <w:szCs w:val="22"/>
              </w:rPr>
              <w:t>0.08</w:t>
            </w:r>
          </w:p>
        </w:tc>
        <w:tc>
          <w:tcPr>
            <w:tcW w:w="641" w:type="pct"/>
            <w:tcBorders>
              <w:top w:val="nil"/>
              <w:left w:val="nil"/>
              <w:bottom w:val="nil"/>
              <w:right w:val="nil"/>
            </w:tcBorders>
            <w:shd w:val="clear" w:color="000000" w:fill="FFFFFF"/>
            <w:noWrap/>
            <w:vAlign w:val="center"/>
            <w:hideMark/>
          </w:tcPr>
          <w:p w14:paraId="0ED3616C" w14:textId="77777777" w:rsidR="00766C27" w:rsidRPr="00D618B7" w:rsidRDefault="00766C27" w:rsidP="004B11B7">
            <w:pPr>
              <w:jc w:val="right"/>
              <w:rPr>
                <w:color w:val="000000"/>
                <w:sz w:val="22"/>
                <w:szCs w:val="22"/>
              </w:rPr>
            </w:pPr>
            <w:r w:rsidRPr="00D618B7">
              <w:rPr>
                <w:color w:val="000000"/>
                <w:sz w:val="22"/>
                <w:szCs w:val="22"/>
              </w:rPr>
              <w:t>1.40</w:t>
            </w:r>
          </w:p>
        </w:tc>
        <w:tc>
          <w:tcPr>
            <w:tcW w:w="898" w:type="pct"/>
            <w:tcBorders>
              <w:top w:val="nil"/>
              <w:left w:val="nil"/>
              <w:bottom w:val="nil"/>
              <w:right w:val="nil"/>
            </w:tcBorders>
            <w:shd w:val="clear" w:color="000000" w:fill="FFFFFF"/>
            <w:noWrap/>
            <w:vAlign w:val="center"/>
            <w:hideMark/>
          </w:tcPr>
          <w:p w14:paraId="5E4D20C2" w14:textId="77777777" w:rsidR="00766C27" w:rsidRPr="00D618B7" w:rsidRDefault="00766C27" w:rsidP="004B11B7">
            <w:pPr>
              <w:jc w:val="right"/>
              <w:rPr>
                <w:color w:val="000000"/>
                <w:sz w:val="22"/>
                <w:szCs w:val="22"/>
              </w:rPr>
            </w:pPr>
            <w:r w:rsidRPr="00D618B7">
              <w:rPr>
                <w:color w:val="000000"/>
                <w:sz w:val="22"/>
                <w:szCs w:val="22"/>
              </w:rPr>
              <w:t>0.58</w:t>
            </w:r>
          </w:p>
        </w:tc>
        <w:tc>
          <w:tcPr>
            <w:tcW w:w="642" w:type="pct"/>
            <w:tcBorders>
              <w:top w:val="nil"/>
              <w:left w:val="nil"/>
              <w:bottom w:val="nil"/>
              <w:right w:val="nil"/>
            </w:tcBorders>
            <w:shd w:val="clear" w:color="000000" w:fill="FFFFFF"/>
            <w:noWrap/>
            <w:vAlign w:val="center"/>
            <w:hideMark/>
          </w:tcPr>
          <w:p w14:paraId="4FEE98FA" w14:textId="77777777" w:rsidR="00766C27" w:rsidRPr="00D618B7" w:rsidRDefault="00766C27" w:rsidP="004B11B7">
            <w:pPr>
              <w:jc w:val="right"/>
              <w:rPr>
                <w:color w:val="000000"/>
                <w:sz w:val="22"/>
                <w:szCs w:val="22"/>
              </w:rPr>
            </w:pPr>
            <w:r w:rsidRPr="00D618B7">
              <w:rPr>
                <w:color w:val="000000"/>
                <w:sz w:val="22"/>
                <w:szCs w:val="22"/>
              </w:rPr>
              <w:t>1.40</w:t>
            </w:r>
          </w:p>
        </w:tc>
      </w:tr>
      <w:tr w:rsidR="00766C27" w:rsidRPr="00D618B7" w14:paraId="5240CC71" w14:textId="77777777" w:rsidTr="00766C27">
        <w:trPr>
          <w:trHeight w:val="237"/>
        </w:trPr>
        <w:tc>
          <w:tcPr>
            <w:tcW w:w="741" w:type="pct"/>
            <w:tcBorders>
              <w:top w:val="nil"/>
              <w:left w:val="nil"/>
              <w:bottom w:val="nil"/>
              <w:right w:val="nil"/>
            </w:tcBorders>
            <w:shd w:val="clear" w:color="000000" w:fill="FFFFFF"/>
            <w:vAlign w:val="center"/>
            <w:hideMark/>
          </w:tcPr>
          <w:p w14:paraId="47A36CFE" w14:textId="77777777" w:rsidR="00766C27" w:rsidRPr="00D618B7" w:rsidRDefault="00766C27" w:rsidP="004B11B7">
            <w:pPr>
              <w:jc w:val="right"/>
              <w:rPr>
                <w:color w:val="000000"/>
                <w:sz w:val="22"/>
                <w:szCs w:val="22"/>
              </w:rPr>
            </w:pPr>
            <w:r w:rsidRPr="00D618B7">
              <w:rPr>
                <w:color w:val="000000"/>
                <w:sz w:val="22"/>
                <w:szCs w:val="22"/>
              </w:rPr>
              <w:t>3</w:t>
            </w:r>
          </w:p>
        </w:tc>
        <w:tc>
          <w:tcPr>
            <w:tcW w:w="568" w:type="pct"/>
            <w:tcBorders>
              <w:top w:val="nil"/>
              <w:left w:val="nil"/>
              <w:bottom w:val="nil"/>
              <w:right w:val="nil"/>
            </w:tcBorders>
            <w:shd w:val="clear" w:color="000000" w:fill="FFFFFF"/>
            <w:noWrap/>
            <w:vAlign w:val="center"/>
            <w:hideMark/>
          </w:tcPr>
          <w:p w14:paraId="63993373" w14:textId="77777777" w:rsidR="00766C27" w:rsidRPr="00D618B7" w:rsidRDefault="00766C27" w:rsidP="004B11B7">
            <w:pPr>
              <w:jc w:val="right"/>
              <w:rPr>
                <w:color w:val="000000"/>
                <w:sz w:val="22"/>
                <w:szCs w:val="22"/>
              </w:rPr>
            </w:pPr>
            <w:r w:rsidRPr="00D618B7">
              <w:rPr>
                <w:color w:val="000000"/>
                <w:sz w:val="22"/>
                <w:szCs w:val="22"/>
              </w:rPr>
              <w:t>0.25</w:t>
            </w:r>
          </w:p>
        </w:tc>
        <w:tc>
          <w:tcPr>
            <w:tcW w:w="642" w:type="pct"/>
            <w:tcBorders>
              <w:top w:val="nil"/>
              <w:left w:val="nil"/>
              <w:bottom w:val="nil"/>
              <w:right w:val="nil"/>
            </w:tcBorders>
            <w:shd w:val="clear" w:color="000000" w:fill="FFFFFF"/>
            <w:noWrap/>
            <w:vAlign w:val="center"/>
            <w:hideMark/>
          </w:tcPr>
          <w:p w14:paraId="0757A131" w14:textId="77777777" w:rsidR="00766C27" w:rsidRPr="00D618B7" w:rsidRDefault="00766C27" w:rsidP="004B11B7">
            <w:pPr>
              <w:jc w:val="right"/>
              <w:rPr>
                <w:color w:val="000000"/>
                <w:sz w:val="22"/>
                <w:szCs w:val="22"/>
              </w:rPr>
            </w:pPr>
            <w:r w:rsidRPr="00D618B7">
              <w:rPr>
                <w:color w:val="000000"/>
                <w:sz w:val="22"/>
                <w:szCs w:val="22"/>
              </w:rPr>
              <w:t>1.20</w:t>
            </w:r>
          </w:p>
        </w:tc>
        <w:tc>
          <w:tcPr>
            <w:tcW w:w="867" w:type="pct"/>
            <w:tcBorders>
              <w:top w:val="nil"/>
              <w:left w:val="nil"/>
              <w:bottom w:val="nil"/>
              <w:right w:val="nil"/>
            </w:tcBorders>
            <w:shd w:val="clear" w:color="000000" w:fill="FFFFFF"/>
            <w:noWrap/>
            <w:vAlign w:val="center"/>
            <w:hideMark/>
          </w:tcPr>
          <w:p w14:paraId="47CF832E" w14:textId="77777777" w:rsidR="00766C27" w:rsidRPr="00D618B7" w:rsidRDefault="00766C27" w:rsidP="004B11B7">
            <w:pPr>
              <w:jc w:val="right"/>
              <w:rPr>
                <w:color w:val="000000"/>
                <w:sz w:val="22"/>
                <w:szCs w:val="22"/>
              </w:rPr>
            </w:pPr>
            <w:r w:rsidRPr="00D618B7">
              <w:rPr>
                <w:color w:val="000000"/>
                <w:sz w:val="22"/>
                <w:szCs w:val="22"/>
              </w:rPr>
              <w:t>0.06</w:t>
            </w:r>
          </w:p>
        </w:tc>
        <w:tc>
          <w:tcPr>
            <w:tcW w:w="641" w:type="pct"/>
            <w:tcBorders>
              <w:top w:val="nil"/>
              <w:left w:val="nil"/>
              <w:bottom w:val="nil"/>
              <w:right w:val="nil"/>
            </w:tcBorders>
            <w:shd w:val="clear" w:color="000000" w:fill="FFFFFF"/>
            <w:noWrap/>
            <w:vAlign w:val="center"/>
            <w:hideMark/>
          </w:tcPr>
          <w:p w14:paraId="7EE86641" w14:textId="77777777" w:rsidR="00766C27" w:rsidRPr="00D618B7" w:rsidRDefault="00766C27" w:rsidP="004B11B7">
            <w:pPr>
              <w:jc w:val="right"/>
              <w:rPr>
                <w:color w:val="000000"/>
                <w:sz w:val="22"/>
                <w:szCs w:val="22"/>
              </w:rPr>
            </w:pPr>
            <w:r w:rsidRPr="00D618B7">
              <w:rPr>
                <w:color w:val="000000"/>
                <w:sz w:val="22"/>
                <w:szCs w:val="22"/>
              </w:rPr>
              <w:t>1.20</w:t>
            </w:r>
          </w:p>
        </w:tc>
        <w:tc>
          <w:tcPr>
            <w:tcW w:w="898" w:type="pct"/>
            <w:tcBorders>
              <w:top w:val="nil"/>
              <w:left w:val="nil"/>
              <w:bottom w:val="nil"/>
              <w:right w:val="nil"/>
            </w:tcBorders>
            <w:shd w:val="clear" w:color="000000" w:fill="FFFFFF"/>
            <w:noWrap/>
            <w:vAlign w:val="center"/>
            <w:hideMark/>
          </w:tcPr>
          <w:p w14:paraId="34A7D70E" w14:textId="77777777" w:rsidR="00766C27" w:rsidRPr="00D618B7" w:rsidRDefault="00766C27" w:rsidP="004B11B7">
            <w:pPr>
              <w:jc w:val="right"/>
              <w:rPr>
                <w:color w:val="000000"/>
                <w:sz w:val="22"/>
                <w:szCs w:val="22"/>
              </w:rPr>
            </w:pPr>
            <w:r w:rsidRPr="00D618B7">
              <w:rPr>
                <w:color w:val="000000"/>
                <w:sz w:val="22"/>
                <w:szCs w:val="22"/>
              </w:rPr>
              <w:t>0.28</w:t>
            </w:r>
          </w:p>
        </w:tc>
        <w:tc>
          <w:tcPr>
            <w:tcW w:w="642" w:type="pct"/>
            <w:tcBorders>
              <w:top w:val="nil"/>
              <w:left w:val="nil"/>
              <w:bottom w:val="nil"/>
              <w:right w:val="nil"/>
            </w:tcBorders>
            <w:shd w:val="clear" w:color="000000" w:fill="FFFFFF"/>
            <w:noWrap/>
            <w:vAlign w:val="center"/>
            <w:hideMark/>
          </w:tcPr>
          <w:p w14:paraId="25F20F47" w14:textId="77777777" w:rsidR="00766C27" w:rsidRPr="00D618B7" w:rsidRDefault="00766C27" w:rsidP="004B11B7">
            <w:pPr>
              <w:jc w:val="right"/>
              <w:rPr>
                <w:color w:val="000000"/>
                <w:sz w:val="22"/>
                <w:szCs w:val="22"/>
              </w:rPr>
            </w:pPr>
            <w:r w:rsidRPr="00D618B7">
              <w:rPr>
                <w:color w:val="000000"/>
                <w:sz w:val="22"/>
                <w:szCs w:val="22"/>
              </w:rPr>
              <w:t>1.20</w:t>
            </w:r>
          </w:p>
        </w:tc>
      </w:tr>
      <w:tr w:rsidR="00766C27" w:rsidRPr="00D618B7" w14:paraId="3B9328FB" w14:textId="77777777" w:rsidTr="00766C27">
        <w:trPr>
          <w:trHeight w:val="237"/>
        </w:trPr>
        <w:tc>
          <w:tcPr>
            <w:tcW w:w="741" w:type="pct"/>
            <w:tcBorders>
              <w:top w:val="nil"/>
              <w:left w:val="nil"/>
              <w:right w:val="nil"/>
            </w:tcBorders>
            <w:shd w:val="clear" w:color="000000" w:fill="FFFFFF"/>
            <w:vAlign w:val="center"/>
            <w:hideMark/>
          </w:tcPr>
          <w:p w14:paraId="1AEFE6FE" w14:textId="77777777" w:rsidR="00766C27" w:rsidRPr="00D618B7" w:rsidRDefault="00766C27" w:rsidP="004B11B7">
            <w:pPr>
              <w:jc w:val="right"/>
              <w:rPr>
                <w:color w:val="000000"/>
                <w:sz w:val="22"/>
                <w:szCs w:val="22"/>
              </w:rPr>
            </w:pPr>
            <w:r w:rsidRPr="00D618B7">
              <w:rPr>
                <w:color w:val="000000"/>
                <w:sz w:val="22"/>
                <w:szCs w:val="22"/>
              </w:rPr>
              <w:t>4</w:t>
            </w:r>
          </w:p>
        </w:tc>
        <w:tc>
          <w:tcPr>
            <w:tcW w:w="568" w:type="pct"/>
            <w:tcBorders>
              <w:top w:val="nil"/>
              <w:left w:val="nil"/>
              <w:right w:val="nil"/>
            </w:tcBorders>
            <w:shd w:val="clear" w:color="000000" w:fill="FFFFFF"/>
            <w:noWrap/>
            <w:vAlign w:val="center"/>
            <w:hideMark/>
          </w:tcPr>
          <w:p w14:paraId="007D4CE2" w14:textId="77777777" w:rsidR="00766C27" w:rsidRPr="00D618B7" w:rsidRDefault="00766C27" w:rsidP="004B11B7">
            <w:pPr>
              <w:jc w:val="right"/>
              <w:rPr>
                <w:color w:val="000000"/>
                <w:sz w:val="22"/>
                <w:szCs w:val="22"/>
              </w:rPr>
            </w:pPr>
            <w:r w:rsidRPr="00D618B7">
              <w:rPr>
                <w:color w:val="000000"/>
                <w:sz w:val="22"/>
                <w:szCs w:val="22"/>
              </w:rPr>
              <w:t>0.43</w:t>
            </w:r>
          </w:p>
        </w:tc>
        <w:tc>
          <w:tcPr>
            <w:tcW w:w="642" w:type="pct"/>
            <w:tcBorders>
              <w:top w:val="nil"/>
              <w:left w:val="nil"/>
              <w:right w:val="nil"/>
            </w:tcBorders>
            <w:shd w:val="clear" w:color="000000" w:fill="FFFFFF"/>
            <w:noWrap/>
            <w:vAlign w:val="center"/>
            <w:hideMark/>
          </w:tcPr>
          <w:p w14:paraId="61FB2CD4" w14:textId="77777777" w:rsidR="00766C27" w:rsidRPr="00D618B7" w:rsidRDefault="00766C27" w:rsidP="004B11B7">
            <w:pPr>
              <w:jc w:val="right"/>
              <w:rPr>
                <w:color w:val="000000"/>
                <w:sz w:val="22"/>
                <w:szCs w:val="22"/>
              </w:rPr>
            </w:pPr>
            <w:r w:rsidRPr="00D618B7">
              <w:rPr>
                <w:color w:val="000000"/>
                <w:sz w:val="22"/>
                <w:szCs w:val="22"/>
              </w:rPr>
              <w:t>1.27</w:t>
            </w:r>
          </w:p>
        </w:tc>
        <w:tc>
          <w:tcPr>
            <w:tcW w:w="867" w:type="pct"/>
            <w:tcBorders>
              <w:top w:val="nil"/>
              <w:left w:val="nil"/>
              <w:right w:val="nil"/>
            </w:tcBorders>
            <w:shd w:val="clear" w:color="000000" w:fill="FFFFFF"/>
            <w:noWrap/>
            <w:vAlign w:val="center"/>
            <w:hideMark/>
          </w:tcPr>
          <w:p w14:paraId="7BF399BB" w14:textId="77777777" w:rsidR="00766C27" w:rsidRPr="00D618B7" w:rsidRDefault="00766C27" w:rsidP="004B11B7">
            <w:pPr>
              <w:jc w:val="right"/>
              <w:rPr>
                <w:color w:val="000000"/>
                <w:sz w:val="22"/>
                <w:szCs w:val="22"/>
              </w:rPr>
            </w:pPr>
            <w:r w:rsidRPr="00D618B7">
              <w:rPr>
                <w:color w:val="000000"/>
                <w:sz w:val="22"/>
                <w:szCs w:val="22"/>
              </w:rPr>
              <w:t>-0.15</w:t>
            </w:r>
          </w:p>
        </w:tc>
        <w:tc>
          <w:tcPr>
            <w:tcW w:w="641" w:type="pct"/>
            <w:tcBorders>
              <w:top w:val="nil"/>
              <w:left w:val="nil"/>
              <w:right w:val="nil"/>
            </w:tcBorders>
            <w:shd w:val="clear" w:color="000000" w:fill="FFFFFF"/>
            <w:noWrap/>
            <w:vAlign w:val="center"/>
            <w:hideMark/>
          </w:tcPr>
          <w:p w14:paraId="4B5D82A2" w14:textId="77777777" w:rsidR="00766C27" w:rsidRPr="00D618B7" w:rsidRDefault="00766C27" w:rsidP="004B11B7">
            <w:pPr>
              <w:jc w:val="right"/>
              <w:rPr>
                <w:color w:val="000000"/>
                <w:sz w:val="22"/>
                <w:szCs w:val="22"/>
              </w:rPr>
            </w:pPr>
            <w:r w:rsidRPr="00D618B7">
              <w:rPr>
                <w:color w:val="000000"/>
                <w:sz w:val="22"/>
                <w:szCs w:val="22"/>
              </w:rPr>
              <w:t>1.27</w:t>
            </w:r>
          </w:p>
        </w:tc>
        <w:tc>
          <w:tcPr>
            <w:tcW w:w="898" w:type="pct"/>
            <w:tcBorders>
              <w:top w:val="nil"/>
              <w:left w:val="nil"/>
              <w:right w:val="nil"/>
            </w:tcBorders>
            <w:shd w:val="clear" w:color="000000" w:fill="FFFFFF"/>
            <w:noWrap/>
            <w:vAlign w:val="center"/>
            <w:hideMark/>
          </w:tcPr>
          <w:p w14:paraId="5D6969AD" w14:textId="77777777" w:rsidR="00766C27" w:rsidRPr="00D618B7" w:rsidRDefault="00766C27" w:rsidP="004B11B7">
            <w:pPr>
              <w:jc w:val="right"/>
              <w:rPr>
                <w:color w:val="000000"/>
                <w:sz w:val="22"/>
                <w:szCs w:val="22"/>
              </w:rPr>
            </w:pPr>
            <w:r w:rsidRPr="00D618B7">
              <w:rPr>
                <w:color w:val="000000"/>
                <w:sz w:val="22"/>
                <w:szCs w:val="22"/>
              </w:rPr>
              <w:t>1.24</w:t>
            </w:r>
          </w:p>
        </w:tc>
        <w:tc>
          <w:tcPr>
            <w:tcW w:w="642" w:type="pct"/>
            <w:tcBorders>
              <w:top w:val="nil"/>
              <w:left w:val="nil"/>
              <w:right w:val="nil"/>
            </w:tcBorders>
            <w:shd w:val="clear" w:color="000000" w:fill="FFFFFF"/>
            <w:noWrap/>
            <w:vAlign w:val="center"/>
            <w:hideMark/>
          </w:tcPr>
          <w:p w14:paraId="3007F01C" w14:textId="77777777" w:rsidR="00766C27" w:rsidRPr="00D618B7" w:rsidRDefault="00766C27" w:rsidP="004B11B7">
            <w:pPr>
              <w:jc w:val="right"/>
              <w:rPr>
                <w:color w:val="000000"/>
                <w:sz w:val="22"/>
                <w:szCs w:val="22"/>
              </w:rPr>
            </w:pPr>
            <w:r w:rsidRPr="00D618B7">
              <w:rPr>
                <w:color w:val="000000"/>
                <w:sz w:val="22"/>
                <w:szCs w:val="22"/>
              </w:rPr>
              <w:t>1.27</w:t>
            </w:r>
          </w:p>
        </w:tc>
      </w:tr>
      <w:tr w:rsidR="00766C27" w:rsidRPr="00D618B7" w14:paraId="2E2509AA" w14:textId="77777777" w:rsidTr="00766C27">
        <w:trPr>
          <w:trHeight w:val="237"/>
        </w:trPr>
        <w:tc>
          <w:tcPr>
            <w:tcW w:w="741" w:type="pct"/>
            <w:tcBorders>
              <w:top w:val="nil"/>
              <w:left w:val="nil"/>
              <w:bottom w:val="single" w:sz="18" w:space="0" w:color="auto"/>
              <w:right w:val="nil"/>
            </w:tcBorders>
            <w:shd w:val="clear" w:color="000000" w:fill="FFFFFF"/>
            <w:vAlign w:val="center"/>
            <w:hideMark/>
          </w:tcPr>
          <w:p w14:paraId="1797F19D" w14:textId="77777777" w:rsidR="00766C27" w:rsidRPr="00D618B7" w:rsidRDefault="00766C27" w:rsidP="004B11B7">
            <w:pPr>
              <w:jc w:val="right"/>
              <w:rPr>
                <w:color w:val="000000"/>
                <w:sz w:val="22"/>
                <w:szCs w:val="22"/>
              </w:rPr>
            </w:pPr>
            <w:r w:rsidRPr="00D618B7">
              <w:rPr>
                <w:color w:val="000000"/>
                <w:sz w:val="22"/>
                <w:szCs w:val="22"/>
              </w:rPr>
              <w:t>5</w:t>
            </w:r>
          </w:p>
        </w:tc>
        <w:tc>
          <w:tcPr>
            <w:tcW w:w="568" w:type="pct"/>
            <w:tcBorders>
              <w:top w:val="nil"/>
              <w:left w:val="nil"/>
              <w:bottom w:val="single" w:sz="18" w:space="0" w:color="auto"/>
              <w:right w:val="nil"/>
            </w:tcBorders>
            <w:shd w:val="clear" w:color="000000" w:fill="FFFFFF"/>
            <w:noWrap/>
            <w:vAlign w:val="center"/>
            <w:hideMark/>
          </w:tcPr>
          <w:p w14:paraId="3B1CD200" w14:textId="77777777" w:rsidR="00766C27" w:rsidRPr="00D618B7" w:rsidRDefault="00766C27" w:rsidP="004B11B7">
            <w:pPr>
              <w:jc w:val="right"/>
              <w:rPr>
                <w:color w:val="000000"/>
                <w:sz w:val="22"/>
                <w:szCs w:val="22"/>
              </w:rPr>
            </w:pPr>
            <w:r w:rsidRPr="00D618B7">
              <w:rPr>
                <w:color w:val="000000"/>
                <w:sz w:val="22"/>
                <w:szCs w:val="22"/>
              </w:rPr>
              <w:t>-0.72</w:t>
            </w:r>
          </w:p>
        </w:tc>
        <w:tc>
          <w:tcPr>
            <w:tcW w:w="642" w:type="pct"/>
            <w:tcBorders>
              <w:top w:val="nil"/>
              <w:left w:val="nil"/>
              <w:bottom w:val="single" w:sz="18" w:space="0" w:color="auto"/>
              <w:right w:val="nil"/>
            </w:tcBorders>
            <w:shd w:val="clear" w:color="000000" w:fill="FFFFFF"/>
            <w:noWrap/>
            <w:vAlign w:val="center"/>
            <w:hideMark/>
          </w:tcPr>
          <w:p w14:paraId="5BB12C28" w14:textId="77777777" w:rsidR="00766C27" w:rsidRPr="00D618B7" w:rsidRDefault="00766C27" w:rsidP="004B11B7">
            <w:pPr>
              <w:jc w:val="right"/>
              <w:rPr>
                <w:color w:val="000000"/>
                <w:sz w:val="22"/>
                <w:szCs w:val="22"/>
              </w:rPr>
            </w:pPr>
            <w:r w:rsidRPr="00D618B7">
              <w:rPr>
                <w:color w:val="000000"/>
                <w:sz w:val="22"/>
                <w:szCs w:val="22"/>
              </w:rPr>
              <w:t>1.33</w:t>
            </w:r>
          </w:p>
        </w:tc>
        <w:tc>
          <w:tcPr>
            <w:tcW w:w="867" w:type="pct"/>
            <w:tcBorders>
              <w:top w:val="nil"/>
              <w:left w:val="nil"/>
              <w:bottom w:val="single" w:sz="18" w:space="0" w:color="auto"/>
              <w:right w:val="nil"/>
            </w:tcBorders>
            <w:shd w:val="clear" w:color="000000" w:fill="FFFFFF"/>
            <w:noWrap/>
            <w:vAlign w:val="center"/>
            <w:hideMark/>
          </w:tcPr>
          <w:p w14:paraId="36F7D26C" w14:textId="77777777" w:rsidR="00766C27" w:rsidRPr="00D618B7" w:rsidRDefault="00766C27" w:rsidP="004B11B7">
            <w:pPr>
              <w:jc w:val="right"/>
              <w:rPr>
                <w:color w:val="000000"/>
                <w:sz w:val="22"/>
                <w:szCs w:val="22"/>
              </w:rPr>
            </w:pPr>
            <w:r w:rsidRPr="00D618B7">
              <w:rPr>
                <w:color w:val="000000"/>
                <w:sz w:val="22"/>
                <w:szCs w:val="22"/>
              </w:rPr>
              <w:t>-0.06</w:t>
            </w:r>
          </w:p>
        </w:tc>
        <w:tc>
          <w:tcPr>
            <w:tcW w:w="641" w:type="pct"/>
            <w:tcBorders>
              <w:top w:val="nil"/>
              <w:left w:val="nil"/>
              <w:bottom w:val="single" w:sz="18" w:space="0" w:color="auto"/>
              <w:right w:val="nil"/>
            </w:tcBorders>
            <w:shd w:val="clear" w:color="000000" w:fill="FFFFFF"/>
            <w:noWrap/>
            <w:vAlign w:val="center"/>
            <w:hideMark/>
          </w:tcPr>
          <w:p w14:paraId="5C50558B" w14:textId="77777777" w:rsidR="00766C27" w:rsidRPr="00D618B7" w:rsidRDefault="00766C27" w:rsidP="004B11B7">
            <w:pPr>
              <w:jc w:val="right"/>
              <w:rPr>
                <w:color w:val="000000"/>
                <w:sz w:val="22"/>
                <w:szCs w:val="22"/>
              </w:rPr>
            </w:pPr>
            <w:r w:rsidRPr="00D618B7">
              <w:rPr>
                <w:color w:val="000000"/>
                <w:sz w:val="22"/>
                <w:szCs w:val="22"/>
              </w:rPr>
              <w:t>1.33</w:t>
            </w:r>
          </w:p>
        </w:tc>
        <w:tc>
          <w:tcPr>
            <w:tcW w:w="898" w:type="pct"/>
            <w:tcBorders>
              <w:top w:val="nil"/>
              <w:left w:val="nil"/>
              <w:bottom w:val="single" w:sz="18" w:space="0" w:color="auto"/>
              <w:right w:val="nil"/>
            </w:tcBorders>
            <w:shd w:val="clear" w:color="000000" w:fill="FFFFFF"/>
            <w:noWrap/>
            <w:vAlign w:val="center"/>
            <w:hideMark/>
          </w:tcPr>
          <w:p w14:paraId="10EEAD4F" w14:textId="77777777" w:rsidR="00766C27" w:rsidRPr="00D618B7" w:rsidRDefault="00766C27" w:rsidP="004B11B7">
            <w:pPr>
              <w:jc w:val="right"/>
              <w:rPr>
                <w:color w:val="000000"/>
                <w:sz w:val="22"/>
                <w:szCs w:val="22"/>
              </w:rPr>
            </w:pPr>
            <w:r w:rsidRPr="00D618B7">
              <w:rPr>
                <w:color w:val="000000"/>
                <w:sz w:val="22"/>
                <w:szCs w:val="22"/>
              </w:rPr>
              <w:t>1.79</w:t>
            </w:r>
          </w:p>
        </w:tc>
        <w:tc>
          <w:tcPr>
            <w:tcW w:w="642" w:type="pct"/>
            <w:tcBorders>
              <w:top w:val="nil"/>
              <w:left w:val="nil"/>
              <w:bottom w:val="single" w:sz="18" w:space="0" w:color="auto"/>
              <w:right w:val="nil"/>
            </w:tcBorders>
            <w:shd w:val="clear" w:color="000000" w:fill="FFFFFF"/>
            <w:noWrap/>
            <w:vAlign w:val="center"/>
            <w:hideMark/>
          </w:tcPr>
          <w:p w14:paraId="2F7B742F" w14:textId="77777777" w:rsidR="00766C27" w:rsidRPr="00D618B7" w:rsidRDefault="00766C27" w:rsidP="004B11B7">
            <w:pPr>
              <w:jc w:val="right"/>
              <w:rPr>
                <w:color w:val="000000"/>
                <w:sz w:val="22"/>
                <w:szCs w:val="22"/>
              </w:rPr>
            </w:pPr>
            <w:r w:rsidRPr="00D618B7">
              <w:rPr>
                <w:color w:val="000000"/>
                <w:sz w:val="22"/>
                <w:szCs w:val="22"/>
              </w:rPr>
              <w:t>1.33</w:t>
            </w:r>
          </w:p>
        </w:tc>
      </w:tr>
      <w:tr w:rsidR="00766C27" w:rsidRPr="00D618B7" w14:paraId="1DB65A33" w14:textId="77777777" w:rsidTr="00766C27">
        <w:trPr>
          <w:trHeight w:val="237"/>
        </w:trPr>
        <w:tc>
          <w:tcPr>
            <w:tcW w:w="741" w:type="pct"/>
            <w:tcBorders>
              <w:top w:val="single" w:sz="18" w:space="0" w:color="auto"/>
              <w:left w:val="nil"/>
              <w:bottom w:val="nil"/>
              <w:right w:val="nil"/>
            </w:tcBorders>
            <w:shd w:val="clear" w:color="000000" w:fill="FFFFFF"/>
            <w:noWrap/>
            <w:vAlign w:val="bottom"/>
            <w:hideMark/>
          </w:tcPr>
          <w:p w14:paraId="5DF08963" w14:textId="77777777" w:rsidR="00766C27" w:rsidRPr="00D618B7" w:rsidRDefault="00766C27" w:rsidP="004B11B7">
            <w:pPr>
              <w:rPr>
                <w:color w:val="000000"/>
                <w:sz w:val="22"/>
                <w:szCs w:val="22"/>
              </w:rPr>
            </w:pPr>
            <w:r w:rsidRPr="00D618B7">
              <w:rPr>
                <w:color w:val="000000"/>
                <w:sz w:val="22"/>
                <w:szCs w:val="22"/>
              </w:rPr>
              <w:t> </w:t>
            </w:r>
          </w:p>
        </w:tc>
        <w:tc>
          <w:tcPr>
            <w:tcW w:w="4259" w:type="pct"/>
            <w:gridSpan w:val="6"/>
            <w:tcBorders>
              <w:top w:val="single" w:sz="18" w:space="0" w:color="auto"/>
              <w:left w:val="nil"/>
              <w:bottom w:val="nil"/>
              <w:right w:val="nil"/>
            </w:tcBorders>
            <w:shd w:val="clear" w:color="000000" w:fill="FFFFFF"/>
            <w:noWrap/>
            <w:vAlign w:val="center"/>
            <w:hideMark/>
          </w:tcPr>
          <w:p w14:paraId="6FD37181" w14:textId="77777777" w:rsidR="00766C27" w:rsidRPr="00D618B7" w:rsidRDefault="00766C27" w:rsidP="004B11B7">
            <w:pPr>
              <w:jc w:val="center"/>
              <w:rPr>
                <w:color w:val="000000"/>
                <w:sz w:val="22"/>
                <w:szCs w:val="22"/>
              </w:rPr>
            </w:pPr>
            <w:r w:rsidRPr="00D618B7">
              <w:rPr>
                <w:color w:val="000000"/>
                <w:sz w:val="22"/>
                <w:szCs w:val="22"/>
              </w:rPr>
              <w:t>Toy-in-Reach</w:t>
            </w:r>
          </w:p>
        </w:tc>
      </w:tr>
      <w:tr w:rsidR="00766C27" w:rsidRPr="00D618B7" w14:paraId="3E80B1C4" w14:textId="77777777" w:rsidTr="00766C27">
        <w:trPr>
          <w:trHeight w:val="237"/>
        </w:trPr>
        <w:tc>
          <w:tcPr>
            <w:tcW w:w="741" w:type="pct"/>
            <w:tcBorders>
              <w:top w:val="nil"/>
              <w:left w:val="nil"/>
              <w:bottom w:val="nil"/>
              <w:right w:val="nil"/>
            </w:tcBorders>
            <w:shd w:val="clear" w:color="000000" w:fill="FFFFFF"/>
            <w:vAlign w:val="center"/>
            <w:hideMark/>
          </w:tcPr>
          <w:p w14:paraId="77AF2593" w14:textId="77777777" w:rsidR="00766C27" w:rsidRPr="00D618B7" w:rsidRDefault="00766C27" w:rsidP="004B11B7">
            <w:pPr>
              <w:jc w:val="right"/>
              <w:rPr>
                <w:color w:val="000000"/>
                <w:sz w:val="22"/>
                <w:szCs w:val="22"/>
              </w:rPr>
            </w:pPr>
            <w:r w:rsidRPr="00D618B7">
              <w:rPr>
                <w:color w:val="000000"/>
                <w:sz w:val="22"/>
                <w:szCs w:val="22"/>
              </w:rPr>
              <w:t>-5</w:t>
            </w:r>
          </w:p>
        </w:tc>
        <w:tc>
          <w:tcPr>
            <w:tcW w:w="568" w:type="pct"/>
            <w:tcBorders>
              <w:top w:val="nil"/>
              <w:left w:val="nil"/>
              <w:bottom w:val="nil"/>
              <w:right w:val="nil"/>
            </w:tcBorders>
            <w:shd w:val="clear" w:color="000000" w:fill="FFFFFF"/>
            <w:noWrap/>
            <w:vAlign w:val="center"/>
            <w:hideMark/>
          </w:tcPr>
          <w:p w14:paraId="15416A72" w14:textId="77777777" w:rsidR="00766C27" w:rsidRPr="00D618B7" w:rsidRDefault="00766C27" w:rsidP="004B11B7">
            <w:pPr>
              <w:jc w:val="right"/>
              <w:rPr>
                <w:color w:val="000000"/>
                <w:sz w:val="22"/>
                <w:szCs w:val="22"/>
              </w:rPr>
            </w:pPr>
            <w:r w:rsidRPr="00D618B7">
              <w:rPr>
                <w:color w:val="000000"/>
                <w:sz w:val="22"/>
                <w:szCs w:val="22"/>
              </w:rPr>
              <w:t>0.69</w:t>
            </w:r>
          </w:p>
        </w:tc>
        <w:tc>
          <w:tcPr>
            <w:tcW w:w="642" w:type="pct"/>
            <w:tcBorders>
              <w:top w:val="nil"/>
              <w:left w:val="nil"/>
              <w:bottom w:val="nil"/>
              <w:right w:val="nil"/>
            </w:tcBorders>
            <w:shd w:val="clear" w:color="000000" w:fill="FFFFFF"/>
            <w:noWrap/>
            <w:vAlign w:val="center"/>
            <w:hideMark/>
          </w:tcPr>
          <w:p w14:paraId="099D5C94" w14:textId="77777777" w:rsidR="00766C27" w:rsidRPr="00D618B7" w:rsidRDefault="00766C27" w:rsidP="004B11B7">
            <w:pPr>
              <w:jc w:val="right"/>
              <w:rPr>
                <w:color w:val="000000"/>
                <w:sz w:val="22"/>
                <w:szCs w:val="22"/>
              </w:rPr>
            </w:pPr>
            <w:r w:rsidRPr="00D618B7">
              <w:rPr>
                <w:color w:val="000000"/>
                <w:sz w:val="22"/>
                <w:szCs w:val="22"/>
              </w:rPr>
              <w:t>1.42</w:t>
            </w:r>
          </w:p>
        </w:tc>
        <w:tc>
          <w:tcPr>
            <w:tcW w:w="867" w:type="pct"/>
            <w:tcBorders>
              <w:top w:val="nil"/>
              <w:left w:val="nil"/>
              <w:bottom w:val="nil"/>
              <w:right w:val="nil"/>
            </w:tcBorders>
            <w:shd w:val="clear" w:color="000000" w:fill="FFFFFF"/>
            <w:noWrap/>
            <w:vAlign w:val="center"/>
            <w:hideMark/>
          </w:tcPr>
          <w:p w14:paraId="74F53FFA" w14:textId="77777777" w:rsidR="00766C27" w:rsidRPr="00D618B7" w:rsidRDefault="00766C27" w:rsidP="004B11B7">
            <w:pPr>
              <w:jc w:val="right"/>
              <w:rPr>
                <w:color w:val="000000"/>
                <w:sz w:val="22"/>
                <w:szCs w:val="22"/>
              </w:rPr>
            </w:pPr>
            <w:r w:rsidRPr="00D618B7">
              <w:rPr>
                <w:color w:val="000000"/>
                <w:sz w:val="22"/>
                <w:szCs w:val="22"/>
              </w:rPr>
              <w:t>-0.33</w:t>
            </w:r>
          </w:p>
        </w:tc>
        <w:tc>
          <w:tcPr>
            <w:tcW w:w="641" w:type="pct"/>
            <w:tcBorders>
              <w:top w:val="nil"/>
              <w:left w:val="nil"/>
              <w:bottom w:val="nil"/>
              <w:right w:val="nil"/>
            </w:tcBorders>
            <w:shd w:val="clear" w:color="000000" w:fill="FFFFFF"/>
            <w:noWrap/>
            <w:vAlign w:val="center"/>
            <w:hideMark/>
          </w:tcPr>
          <w:p w14:paraId="7FA44C15" w14:textId="77777777" w:rsidR="00766C27" w:rsidRPr="00D618B7" w:rsidRDefault="00766C27" w:rsidP="004B11B7">
            <w:pPr>
              <w:jc w:val="right"/>
              <w:rPr>
                <w:color w:val="000000"/>
                <w:sz w:val="22"/>
                <w:szCs w:val="22"/>
              </w:rPr>
            </w:pPr>
            <w:r w:rsidRPr="00D618B7">
              <w:rPr>
                <w:color w:val="000000"/>
                <w:sz w:val="22"/>
                <w:szCs w:val="22"/>
              </w:rPr>
              <w:t>1.34</w:t>
            </w:r>
          </w:p>
        </w:tc>
        <w:tc>
          <w:tcPr>
            <w:tcW w:w="898" w:type="pct"/>
            <w:tcBorders>
              <w:top w:val="nil"/>
              <w:left w:val="nil"/>
              <w:bottom w:val="nil"/>
              <w:right w:val="nil"/>
            </w:tcBorders>
            <w:shd w:val="clear" w:color="000000" w:fill="FFFFFF"/>
            <w:noWrap/>
            <w:vAlign w:val="center"/>
            <w:hideMark/>
          </w:tcPr>
          <w:p w14:paraId="5D07C1FB" w14:textId="77777777" w:rsidR="00766C27" w:rsidRPr="00D618B7" w:rsidRDefault="00766C27" w:rsidP="004B11B7">
            <w:pPr>
              <w:jc w:val="right"/>
              <w:rPr>
                <w:color w:val="000000"/>
                <w:sz w:val="22"/>
                <w:szCs w:val="22"/>
              </w:rPr>
            </w:pPr>
            <w:r w:rsidRPr="00D618B7">
              <w:rPr>
                <w:color w:val="000000"/>
                <w:sz w:val="22"/>
                <w:szCs w:val="22"/>
              </w:rPr>
              <w:t>1.07</w:t>
            </w:r>
          </w:p>
        </w:tc>
        <w:tc>
          <w:tcPr>
            <w:tcW w:w="642" w:type="pct"/>
            <w:tcBorders>
              <w:top w:val="nil"/>
              <w:left w:val="nil"/>
              <w:bottom w:val="nil"/>
              <w:right w:val="nil"/>
            </w:tcBorders>
            <w:shd w:val="clear" w:color="000000" w:fill="FFFFFF"/>
            <w:noWrap/>
            <w:vAlign w:val="center"/>
            <w:hideMark/>
          </w:tcPr>
          <w:p w14:paraId="0DA999DF" w14:textId="77777777" w:rsidR="00766C27" w:rsidRPr="00D618B7" w:rsidRDefault="00766C27" w:rsidP="004B11B7">
            <w:pPr>
              <w:jc w:val="right"/>
              <w:rPr>
                <w:color w:val="000000"/>
                <w:sz w:val="22"/>
                <w:szCs w:val="22"/>
              </w:rPr>
            </w:pPr>
            <w:r w:rsidRPr="00D618B7">
              <w:rPr>
                <w:color w:val="000000"/>
                <w:sz w:val="22"/>
                <w:szCs w:val="22"/>
              </w:rPr>
              <w:t>1.34</w:t>
            </w:r>
          </w:p>
        </w:tc>
      </w:tr>
      <w:tr w:rsidR="00766C27" w:rsidRPr="00D618B7" w14:paraId="2D8F386E" w14:textId="77777777" w:rsidTr="00766C27">
        <w:trPr>
          <w:trHeight w:val="237"/>
        </w:trPr>
        <w:tc>
          <w:tcPr>
            <w:tcW w:w="741" w:type="pct"/>
            <w:tcBorders>
              <w:top w:val="nil"/>
              <w:left w:val="nil"/>
              <w:bottom w:val="nil"/>
              <w:right w:val="nil"/>
            </w:tcBorders>
            <w:shd w:val="clear" w:color="000000" w:fill="FFFFFF"/>
            <w:vAlign w:val="center"/>
            <w:hideMark/>
          </w:tcPr>
          <w:p w14:paraId="6A30770E" w14:textId="77777777" w:rsidR="00766C27" w:rsidRPr="00D618B7" w:rsidRDefault="00766C27" w:rsidP="004B11B7">
            <w:pPr>
              <w:jc w:val="right"/>
              <w:rPr>
                <w:color w:val="000000"/>
                <w:sz w:val="22"/>
                <w:szCs w:val="22"/>
              </w:rPr>
            </w:pPr>
            <w:r w:rsidRPr="00D618B7">
              <w:rPr>
                <w:color w:val="000000"/>
                <w:sz w:val="22"/>
                <w:szCs w:val="22"/>
              </w:rPr>
              <w:t>-4</w:t>
            </w:r>
          </w:p>
        </w:tc>
        <w:tc>
          <w:tcPr>
            <w:tcW w:w="568" w:type="pct"/>
            <w:tcBorders>
              <w:top w:val="nil"/>
              <w:left w:val="nil"/>
              <w:bottom w:val="nil"/>
              <w:right w:val="nil"/>
            </w:tcBorders>
            <w:shd w:val="clear" w:color="000000" w:fill="FFFFFF"/>
            <w:noWrap/>
            <w:vAlign w:val="center"/>
            <w:hideMark/>
          </w:tcPr>
          <w:p w14:paraId="60543F88" w14:textId="77777777" w:rsidR="00766C27" w:rsidRPr="00D618B7" w:rsidRDefault="00766C27" w:rsidP="004B11B7">
            <w:pPr>
              <w:jc w:val="right"/>
              <w:rPr>
                <w:color w:val="000000"/>
                <w:sz w:val="22"/>
                <w:szCs w:val="22"/>
              </w:rPr>
            </w:pPr>
            <w:r w:rsidRPr="00D618B7">
              <w:rPr>
                <w:color w:val="000000"/>
                <w:sz w:val="22"/>
                <w:szCs w:val="22"/>
              </w:rPr>
              <w:t>-0.18</w:t>
            </w:r>
          </w:p>
        </w:tc>
        <w:tc>
          <w:tcPr>
            <w:tcW w:w="642" w:type="pct"/>
            <w:tcBorders>
              <w:top w:val="nil"/>
              <w:left w:val="nil"/>
              <w:bottom w:val="nil"/>
              <w:right w:val="nil"/>
            </w:tcBorders>
            <w:shd w:val="clear" w:color="000000" w:fill="FFFFFF"/>
            <w:noWrap/>
            <w:vAlign w:val="center"/>
            <w:hideMark/>
          </w:tcPr>
          <w:p w14:paraId="1B163061" w14:textId="77777777" w:rsidR="00766C27" w:rsidRPr="00D618B7" w:rsidRDefault="00766C27" w:rsidP="004B11B7">
            <w:pPr>
              <w:jc w:val="right"/>
              <w:rPr>
                <w:color w:val="000000"/>
                <w:sz w:val="22"/>
                <w:szCs w:val="22"/>
              </w:rPr>
            </w:pPr>
            <w:r w:rsidRPr="00D618B7">
              <w:rPr>
                <w:color w:val="000000"/>
                <w:sz w:val="22"/>
                <w:szCs w:val="22"/>
              </w:rPr>
              <w:t>1.41</w:t>
            </w:r>
          </w:p>
        </w:tc>
        <w:tc>
          <w:tcPr>
            <w:tcW w:w="867" w:type="pct"/>
            <w:tcBorders>
              <w:top w:val="nil"/>
              <w:left w:val="nil"/>
              <w:bottom w:val="nil"/>
              <w:right w:val="nil"/>
            </w:tcBorders>
            <w:shd w:val="clear" w:color="000000" w:fill="FFFFFF"/>
            <w:noWrap/>
            <w:vAlign w:val="center"/>
            <w:hideMark/>
          </w:tcPr>
          <w:p w14:paraId="3D4AC943" w14:textId="77777777" w:rsidR="00766C27" w:rsidRPr="00D618B7" w:rsidRDefault="00766C27" w:rsidP="004B11B7">
            <w:pPr>
              <w:jc w:val="right"/>
              <w:rPr>
                <w:color w:val="000000"/>
                <w:sz w:val="22"/>
                <w:szCs w:val="22"/>
              </w:rPr>
            </w:pPr>
            <w:r w:rsidRPr="00D618B7">
              <w:rPr>
                <w:color w:val="000000"/>
                <w:sz w:val="22"/>
                <w:szCs w:val="22"/>
              </w:rPr>
              <w:t>0.00</w:t>
            </w:r>
          </w:p>
        </w:tc>
        <w:tc>
          <w:tcPr>
            <w:tcW w:w="641" w:type="pct"/>
            <w:tcBorders>
              <w:top w:val="nil"/>
              <w:left w:val="nil"/>
              <w:bottom w:val="nil"/>
              <w:right w:val="nil"/>
            </w:tcBorders>
            <w:shd w:val="clear" w:color="000000" w:fill="FFFFFF"/>
            <w:noWrap/>
            <w:vAlign w:val="center"/>
            <w:hideMark/>
          </w:tcPr>
          <w:p w14:paraId="7917E8E0" w14:textId="77777777" w:rsidR="00766C27" w:rsidRPr="00D618B7" w:rsidRDefault="00766C27" w:rsidP="004B11B7">
            <w:pPr>
              <w:jc w:val="right"/>
              <w:rPr>
                <w:color w:val="000000"/>
                <w:sz w:val="22"/>
                <w:szCs w:val="22"/>
              </w:rPr>
            </w:pPr>
            <w:r w:rsidRPr="00D618B7">
              <w:rPr>
                <w:color w:val="000000"/>
                <w:sz w:val="22"/>
                <w:szCs w:val="22"/>
              </w:rPr>
              <w:t>1.38</w:t>
            </w:r>
          </w:p>
        </w:tc>
        <w:tc>
          <w:tcPr>
            <w:tcW w:w="898" w:type="pct"/>
            <w:tcBorders>
              <w:top w:val="nil"/>
              <w:left w:val="nil"/>
              <w:bottom w:val="nil"/>
              <w:right w:val="nil"/>
            </w:tcBorders>
            <w:shd w:val="clear" w:color="000000" w:fill="FFFFFF"/>
            <w:noWrap/>
            <w:vAlign w:val="center"/>
            <w:hideMark/>
          </w:tcPr>
          <w:p w14:paraId="254DDBE7" w14:textId="77777777" w:rsidR="00766C27" w:rsidRPr="00D618B7" w:rsidRDefault="00766C27" w:rsidP="004B11B7">
            <w:pPr>
              <w:jc w:val="right"/>
              <w:rPr>
                <w:color w:val="000000"/>
                <w:sz w:val="22"/>
                <w:szCs w:val="22"/>
              </w:rPr>
            </w:pPr>
            <w:r w:rsidRPr="00D618B7">
              <w:rPr>
                <w:color w:val="000000"/>
                <w:sz w:val="22"/>
                <w:szCs w:val="22"/>
              </w:rPr>
              <w:t>2.51</w:t>
            </w:r>
          </w:p>
        </w:tc>
        <w:tc>
          <w:tcPr>
            <w:tcW w:w="642" w:type="pct"/>
            <w:tcBorders>
              <w:top w:val="nil"/>
              <w:left w:val="nil"/>
              <w:bottom w:val="nil"/>
              <w:right w:val="nil"/>
            </w:tcBorders>
            <w:shd w:val="clear" w:color="000000" w:fill="FFFFFF"/>
            <w:noWrap/>
            <w:vAlign w:val="center"/>
            <w:hideMark/>
          </w:tcPr>
          <w:p w14:paraId="36F9F094" w14:textId="77777777" w:rsidR="00766C27" w:rsidRPr="00D618B7" w:rsidRDefault="00766C27" w:rsidP="004B11B7">
            <w:pPr>
              <w:jc w:val="right"/>
              <w:rPr>
                <w:color w:val="000000"/>
                <w:sz w:val="22"/>
                <w:szCs w:val="22"/>
              </w:rPr>
            </w:pPr>
            <w:r w:rsidRPr="00D618B7">
              <w:rPr>
                <w:color w:val="000000"/>
                <w:sz w:val="22"/>
                <w:szCs w:val="22"/>
              </w:rPr>
              <w:t>1.38</w:t>
            </w:r>
          </w:p>
        </w:tc>
      </w:tr>
      <w:tr w:rsidR="00766C27" w:rsidRPr="00D618B7" w14:paraId="11E864AF" w14:textId="77777777" w:rsidTr="00766C27">
        <w:trPr>
          <w:trHeight w:val="237"/>
        </w:trPr>
        <w:tc>
          <w:tcPr>
            <w:tcW w:w="741" w:type="pct"/>
            <w:tcBorders>
              <w:top w:val="nil"/>
              <w:left w:val="nil"/>
              <w:bottom w:val="nil"/>
              <w:right w:val="nil"/>
            </w:tcBorders>
            <w:shd w:val="clear" w:color="000000" w:fill="FFFFFF"/>
            <w:vAlign w:val="center"/>
            <w:hideMark/>
          </w:tcPr>
          <w:p w14:paraId="6A74A58E" w14:textId="77777777" w:rsidR="00766C27" w:rsidRPr="00D618B7" w:rsidRDefault="00766C27" w:rsidP="004B11B7">
            <w:pPr>
              <w:jc w:val="right"/>
              <w:rPr>
                <w:color w:val="000000"/>
                <w:sz w:val="22"/>
                <w:szCs w:val="22"/>
              </w:rPr>
            </w:pPr>
            <w:r w:rsidRPr="00D618B7">
              <w:rPr>
                <w:color w:val="000000"/>
                <w:sz w:val="22"/>
                <w:szCs w:val="22"/>
              </w:rPr>
              <w:t>-3</w:t>
            </w:r>
          </w:p>
        </w:tc>
        <w:tc>
          <w:tcPr>
            <w:tcW w:w="568" w:type="pct"/>
            <w:tcBorders>
              <w:top w:val="nil"/>
              <w:left w:val="nil"/>
              <w:bottom w:val="nil"/>
              <w:right w:val="nil"/>
            </w:tcBorders>
            <w:shd w:val="clear" w:color="000000" w:fill="FFFFFF"/>
            <w:noWrap/>
            <w:vAlign w:val="center"/>
            <w:hideMark/>
          </w:tcPr>
          <w:p w14:paraId="18003160" w14:textId="77777777" w:rsidR="00766C27" w:rsidRPr="00D618B7" w:rsidRDefault="00766C27" w:rsidP="004B11B7">
            <w:pPr>
              <w:jc w:val="right"/>
              <w:rPr>
                <w:color w:val="000000"/>
                <w:sz w:val="22"/>
                <w:szCs w:val="22"/>
              </w:rPr>
            </w:pPr>
            <w:r w:rsidRPr="00D618B7">
              <w:rPr>
                <w:color w:val="000000"/>
                <w:sz w:val="22"/>
                <w:szCs w:val="22"/>
              </w:rPr>
              <w:t>0.95</w:t>
            </w:r>
          </w:p>
        </w:tc>
        <w:tc>
          <w:tcPr>
            <w:tcW w:w="642" w:type="pct"/>
            <w:tcBorders>
              <w:top w:val="nil"/>
              <w:left w:val="nil"/>
              <w:bottom w:val="nil"/>
              <w:right w:val="nil"/>
            </w:tcBorders>
            <w:shd w:val="clear" w:color="000000" w:fill="FFFFFF"/>
            <w:noWrap/>
            <w:vAlign w:val="center"/>
            <w:hideMark/>
          </w:tcPr>
          <w:p w14:paraId="5A72DBDB" w14:textId="77777777" w:rsidR="00766C27" w:rsidRPr="00D618B7" w:rsidRDefault="00766C27" w:rsidP="004B11B7">
            <w:pPr>
              <w:jc w:val="right"/>
              <w:rPr>
                <w:color w:val="000000"/>
                <w:sz w:val="22"/>
                <w:szCs w:val="22"/>
              </w:rPr>
            </w:pPr>
            <w:r w:rsidRPr="00D618B7">
              <w:rPr>
                <w:color w:val="000000"/>
                <w:sz w:val="22"/>
                <w:szCs w:val="22"/>
              </w:rPr>
              <w:t>1.44</w:t>
            </w:r>
          </w:p>
        </w:tc>
        <w:tc>
          <w:tcPr>
            <w:tcW w:w="867" w:type="pct"/>
            <w:tcBorders>
              <w:top w:val="nil"/>
              <w:left w:val="nil"/>
              <w:bottom w:val="nil"/>
              <w:right w:val="nil"/>
            </w:tcBorders>
            <w:shd w:val="clear" w:color="000000" w:fill="FFFFFF"/>
            <w:noWrap/>
            <w:vAlign w:val="center"/>
            <w:hideMark/>
          </w:tcPr>
          <w:p w14:paraId="0369524E" w14:textId="77777777" w:rsidR="00766C27" w:rsidRPr="00D618B7" w:rsidRDefault="00766C27" w:rsidP="004B11B7">
            <w:pPr>
              <w:jc w:val="right"/>
              <w:rPr>
                <w:color w:val="000000"/>
                <w:sz w:val="22"/>
                <w:szCs w:val="22"/>
              </w:rPr>
            </w:pPr>
            <w:r w:rsidRPr="00D618B7">
              <w:rPr>
                <w:color w:val="000000"/>
                <w:sz w:val="22"/>
                <w:szCs w:val="22"/>
              </w:rPr>
              <w:t>0.57</w:t>
            </w:r>
          </w:p>
        </w:tc>
        <w:tc>
          <w:tcPr>
            <w:tcW w:w="641" w:type="pct"/>
            <w:tcBorders>
              <w:top w:val="nil"/>
              <w:left w:val="nil"/>
              <w:bottom w:val="nil"/>
              <w:right w:val="nil"/>
            </w:tcBorders>
            <w:shd w:val="clear" w:color="000000" w:fill="FFFFFF"/>
            <w:noWrap/>
            <w:vAlign w:val="center"/>
            <w:hideMark/>
          </w:tcPr>
          <w:p w14:paraId="7A872378" w14:textId="77777777" w:rsidR="00766C27" w:rsidRPr="00D618B7" w:rsidRDefault="00766C27" w:rsidP="004B11B7">
            <w:pPr>
              <w:jc w:val="right"/>
              <w:rPr>
                <w:color w:val="000000"/>
                <w:sz w:val="22"/>
                <w:szCs w:val="22"/>
              </w:rPr>
            </w:pPr>
            <w:r w:rsidRPr="00D618B7">
              <w:rPr>
                <w:color w:val="000000"/>
                <w:sz w:val="22"/>
                <w:szCs w:val="22"/>
              </w:rPr>
              <w:t>1.40</w:t>
            </w:r>
          </w:p>
        </w:tc>
        <w:tc>
          <w:tcPr>
            <w:tcW w:w="898" w:type="pct"/>
            <w:tcBorders>
              <w:top w:val="nil"/>
              <w:left w:val="nil"/>
              <w:bottom w:val="nil"/>
              <w:right w:val="nil"/>
            </w:tcBorders>
            <w:shd w:val="clear" w:color="000000" w:fill="FFFFFF"/>
            <w:noWrap/>
            <w:vAlign w:val="center"/>
            <w:hideMark/>
          </w:tcPr>
          <w:p w14:paraId="2D68A815" w14:textId="77777777" w:rsidR="00766C27" w:rsidRPr="00D618B7" w:rsidRDefault="00766C27" w:rsidP="004B11B7">
            <w:pPr>
              <w:jc w:val="right"/>
              <w:rPr>
                <w:color w:val="000000"/>
                <w:sz w:val="22"/>
                <w:szCs w:val="22"/>
              </w:rPr>
            </w:pPr>
            <w:r w:rsidRPr="00D618B7">
              <w:rPr>
                <w:color w:val="000000"/>
                <w:sz w:val="22"/>
                <w:szCs w:val="22"/>
              </w:rPr>
              <w:t>10.26</w:t>
            </w:r>
          </w:p>
        </w:tc>
        <w:tc>
          <w:tcPr>
            <w:tcW w:w="642" w:type="pct"/>
            <w:tcBorders>
              <w:top w:val="nil"/>
              <w:left w:val="nil"/>
              <w:bottom w:val="nil"/>
              <w:right w:val="nil"/>
            </w:tcBorders>
            <w:shd w:val="clear" w:color="000000" w:fill="FFFFFF"/>
            <w:noWrap/>
            <w:vAlign w:val="center"/>
            <w:hideMark/>
          </w:tcPr>
          <w:p w14:paraId="23050047" w14:textId="77777777" w:rsidR="00766C27" w:rsidRPr="00D618B7" w:rsidRDefault="00766C27" w:rsidP="004B11B7">
            <w:pPr>
              <w:jc w:val="right"/>
              <w:rPr>
                <w:color w:val="000000"/>
                <w:sz w:val="22"/>
                <w:szCs w:val="22"/>
              </w:rPr>
            </w:pPr>
            <w:r w:rsidRPr="00D618B7">
              <w:rPr>
                <w:color w:val="000000"/>
                <w:sz w:val="22"/>
                <w:szCs w:val="22"/>
              </w:rPr>
              <w:t>1.40</w:t>
            </w:r>
          </w:p>
        </w:tc>
      </w:tr>
      <w:tr w:rsidR="00766C27" w:rsidRPr="00D618B7" w14:paraId="7C5E6400" w14:textId="77777777" w:rsidTr="00766C27">
        <w:trPr>
          <w:trHeight w:val="237"/>
        </w:trPr>
        <w:tc>
          <w:tcPr>
            <w:tcW w:w="741" w:type="pct"/>
            <w:tcBorders>
              <w:top w:val="nil"/>
              <w:left w:val="nil"/>
              <w:bottom w:val="nil"/>
              <w:right w:val="nil"/>
            </w:tcBorders>
            <w:shd w:val="clear" w:color="000000" w:fill="FFFFFF"/>
            <w:vAlign w:val="center"/>
            <w:hideMark/>
          </w:tcPr>
          <w:p w14:paraId="1B6B4C97" w14:textId="77777777" w:rsidR="00766C27" w:rsidRPr="00D618B7" w:rsidRDefault="00766C27" w:rsidP="004B11B7">
            <w:pPr>
              <w:jc w:val="right"/>
              <w:rPr>
                <w:color w:val="000000"/>
                <w:sz w:val="22"/>
                <w:szCs w:val="22"/>
              </w:rPr>
            </w:pPr>
            <w:r w:rsidRPr="00D618B7">
              <w:rPr>
                <w:color w:val="000000"/>
                <w:sz w:val="22"/>
                <w:szCs w:val="22"/>
              </w:rPr>
              <w:t>-2</w:t>
            </w:r>
          </w:p>
        </w:tc>
        <w:tc>
          <w:tcPr>
            <w:tcW w:w="568" w:type="pct"/>
            <w:tcBorders>
              <w:top w:val="nil"/>
              <w:left w:val="nil"/>
              <w:bottom w:val="nil"/>
              <w:right w:val="nil"/>
            </w:tcBorders>
            <w:shd w:val="clear" w:color="000000" w:fill="FFFFFF"/>
            <w:noWrap/>
            <w:vAlign w:val="center"/>
            <w:hideMark/>
          </w:tcPr>
          <w:p w14:paraId="7E660D7A" w14:textId="77777777" w:rsidR="00766C27" w:rsidRPr="00D618B7" w:rsidRDefault="00766C27" w:rsidP="004B11B7">
            <w:pPr>
              <w:jc w:val="right"/>
              <w:rPr>
                <w:color w:val="000000"/>
                <w:sz w:val="22"/>
                <w:szCs w:val="22"/>
              </w:rPr>
            </w:pPr>
            <w:r w:rsidRPr="00D618B7">
              <w:rPr>
                <w:color w:val="000000"/>
                <w:sz w:val="22"/>
                <w:szCs w:val="22"/>
              </w:rPr>
              <w:t>0.55</w:t>
            </w:r>
          </w:p>
        </w:tc>
        <w:tc>
          <w:tcPr>
            <w:tcW w:w="642" w:type="pct"/>
            <w:tcBorders>
              <w:top w:val="nil"/>
              <w:left w:val="nil"/>
              <w:bottom w:val="nil"/>
              <w:right w:val="nil"/>
            </w:tcBorders>
            <w:shd w:val="clear" w:color="000000" w:fill="FFFFFF"/>
            <w:noWrap/>
            <w:vAlign w:val="center"/>
            <w:hideMark/>
          </w:tcPr>
          <w:p w14:paraId="2C1FEC3F" w14:textId="77777777" w:rsidR="00766C27" w:rsidRPr="00D618B7" w:rsidRDefault="00766C27" w:rsidP="004B11B7">
            <w:pPr>
              <w:jc w:val="right"/>
              <w:rPr>
                <w:color w:val="000000"/>
                <w:sz w:val="22"/>
                <w:szCs w:val="22"/>
              </w:rPr>
            </w:pPr>
            <w:r w:rsidRPr="00D618B7">
              <w:rPr>
                <w:color w:val="000000"/>
                <w:sz w:val="22"/>
                <w:szCs w:val="22"/>
              </w:rPr>
              <w:t>1.29</w:t>
            </w:r>
          </w:p>
        </w:tc>
        <w:tc>
          <w:tcPr>
            <w:tcW w:w="867" w:type="pct"/>
            <w:tcBorders>
              <w:top w:val="nil"/>
              <w:left w:val="nil"/>
              <w:bottom w:val="nil"/>
              <w:right w:val="nil"/>
            </w:tcBorders>
            <w:shd w:val="clear" w:color="000000" w:fill="FFFFFF"/>
            <w:noWrap/>
            <w:vAlign w:val="center"/>
            <w:hideMark/>
          </w:tcPr>
          <w:p w14:paraId="5FB6E827" w14:textId="77777777" w:rsidR="00766C27" w:rsidRPr="00D618B7" w:rsidRDefault="00766C27" w:rsidP="004B11B7">
            <w:pPr>
              <w:jc w:val="right"/>
              <w:rPr>
                <w:color w:val="000000"/>
                <w:sz w:val="22"/>
                <w:szCs w:val="22"/>
              </w:rPr>
            </w:pPr>
            <w:r w:rsidRPr="00D618B7">
              <w:rPr>
                <w:color w:val="000000"/>
                <w:sz w:val="22"/>
                <w:szCs w:val="22"/>
              </w:rPr>
              <w:t>0.08</w:t>
            </w:r>
          </w:p>
        </w:tc>
        <w:tc>
          <w:tcPr>
            <w:tcW w:w="641" w:type="pct"/>
            <w:tcBorders>
              <w:top w:val="nil"/>
              <w:left w:val="nil"/>
              <w:bottom w:val="nil"/>
              <w:right w:val="nil"/>
            </w:tcBorders>
            <w:shd w:val="clear" w:color="000000" w:fill="FFFFFF"/>
            <w:noWrap/>
            <w:vAlign w:val="center"/>
            <w:hideMark/>
          </w:tcPr>
          <w:p w14:paraId="06F51403" w14:textId="77777777" w:rsidR="00766C27" w:rsidRPr="00D618B7" w:rsidRDefault="00766C27" w:rsidP="004B11B7">
            <w:pPr>
              <w:jc w:val="right"/>
              <w:rPr>
                <w:color w:val="000000"/>
                <w:sz w:val="22"/>
                <w:szCs w:val="22"/>
              </w:rPr>
            </w:pPr>
            <w:r w:rsidRPr="00D618B7">
              <w:rPr>
                <w:color w:val="000000"/>
                <w:sz w:val="22"/>
                <w:szCs w:val="22"/>
              </w:rPr>
              <w:t>1.28</w:t>
            </w:r>
          </w:p>
        </w:tc>
        <w:tc>
          <w:tcPr>
            <w:tcW w:w="898" w:type="pct"/>
            <w:tcBorders>
              <w:top w:val="nil"/>
              <w:left w:val="nil"/>
              <w:bottom w:val="nil"/>
              <w:right w:val="nil"/>
            </w:tcBorders>
            <w:shd w:val="clear" w:color="000000" w:fill="FFFFFF"/>
            <w:noWrap/>
            <w:vAlign w:val="center"/>
            <w:hideMark/>
          </w:tcPr>
          <w:p w14:paraId="030D6387" w14:textId="77777777" w:rsidR="00766C27" w:rsidRPr="00D618B7" w:rsidRDefault="00766C27" w:rsidP="004B11B7">
            <w:pPr>
              <w:jc w:val="right"/>
              <w:rPr>
                <w:color w:val="000000"/>
                <w:sz w:val="22"/>
                <w:szCs w:val="22"/>
              </w:rPr>
            </w:pPr>
            <w:r w:rsidRPr="00D618B7">
              <w:rPr>
                <w:color w:val="000000"/>
                <w:sz w:val="22"/>
                <w:szCs w:val="22"/>
              </w:rPr>
              <w:t>5.14</w:t>
            </w:r>
          </w:p>
        </w:tc>
        <w:tc>
          <w:tcPr>
            <w:tcW w:w="642" w:type="pct"/>
            <w:tcBorders>
              <w:top w:val="nil"/>
              <w:left w:val="nil"/>
              <w:bottom w:val="nil"/>
              <w:right w:val="nil"/>
            </w:tcBorders>
            <w:shd w:val="clear" w:color="000000" w:fill="FFFFFF"/>
            <w:noWrap/>
            <w:vAlign w:val="center"/>
            <w:hideMark/>
          </w:tcPr>
          <w:p w14:paraId="33AFDA81" w14:textId="77777777" w:rsidR="00766C27" w:rsidRPr="00D618B7" w:rsidRDefault="00766C27" w:rsidP="004B11B7">
            <w:pPr>
              <w:jc w:val="right"/>
              <w:rPr>
                <w:color w:val="000000"/>
                <w:sz w:val="22"/>
                <w:szCs w:val="22"/>
              </w:rPr>
            </w:pPr>
            <w:r w:rsidRPr="00D618B7">
              <w:rPr>
                <w:color w:val="000000"/>
                <w:sz w:val="22"/>
                <w:szCs w:val="22"/>
              </w:rPr>
              <w:t>1.28</w:t>
            </w:r>
          </w:p>
        </w:tc>
      </w:tr>
      <w:tr w:rsidR="00766C27" w:rsidRPr="00D618B7" w14:paraId="51FCCE5F" w14:textId="77777777" w:rsidTr="00766C27">
        <w:trPr>
          <w:trHeight w:val="237"/>
        </w:trPr>
        <w:tc>
          <w:tcPr>
            <w:tcW w:w="741" w:type="pct"/>
            <w:tcBorders>
              <w:top w:val="nil"/>
              <w:left w:val="nil"/>
              <w:bottom w:val="nil"/>
              <w:right w:val="nil"/>
            </w:tcBorders>
            <w:shd w:val="clear" w:color="000000" w:fill="FFFFFF"/>
            <w:vAlign w:val="center"/>
            <w:hideMark/>
          </w:tcPr>
          <w:p w14:paraId="4C2F3C60" w14:textId="77777777" w:rsidR="00766C27" w:rsidRPr="00D618B7" w:rsidRDefault="00766C27" w:rsidP="004B11B7">
            <w:pPr>
              <w:jc w:val="right"/>
              <w:rPr>
                <w:color w:val="000000"/>
                <w:sz w:val="22"/>
                <w:szCs w:val="22"/>
              </w:rPr>
            </w:pPr>
            <w:r w:rsidRPr="00D618B7">
              <w:rPr>
                <w:color w:val="000000"/>
                <w:sz w:val="22"/>
                <w:szCs w:val="22"/>
              </w:rPr>
              <w:t>-1</w:t>
            </w:r>
          </w:p>
        </w:tc>
        <w:tc>
          <w:tcPr>
            <w:tcW w:w="568" w:type="pct"/>
            <w:tcBorders>
              <w:top w:val="nil"/>
              <w:left w:val="nil"/>
              <w:bottom w:val="nil"/>
              <w:right w:val="nil"/>
            </w:tcBorders>
            <w:shd w:val="clear" w:color="000000" w:fill="FFFFFF"/>
            <w:noWrap/>
            <w:vAlign w:val="center"/>
            <w:hideMark/>
          </w:tcPr>
          <w:p w14:paraId="4B2C09C3" w14:textId="77777777" w:rsidR="00766C27" w:rsidRPr="00D618B7" w:rsidRDefault="00766C27" w:rsidP="004B11B7">
            <w:pPr>
              <w:jc w:val="right"/>
              <w:rPr>
                <w:color w:val="000000"/>
                <w:sz w:val="22"/>
                <w:szCs w:val="22"/>
              </w:rPr>
            </w:pPr>
            <w:r w:rsidRPr="00D618B7">
              <w:rPr>
                <w:color w:val="000000"/>
                <w:sz w:val="22"/>
                <w:szCs w:val="22"/>
              </w:rPr>
              <w:t>0.01</w:t>
            </w:r>
          </w:p>
        </w:tc>
        <w:tc>
          <w:tcPr>
            <w:tcW w:w="642" w:type="pct"/>
            <w:tcBorders>
              <w:top w:val="nil"/>
              <w:left w:val="nil"/>
              <w:bottom w:val="nil"/>
              <w:right w:val="nil"/>
            </w:tcBorders>
            <w:shd w:val="clear" w:color="000000" w:fill="FFFFFF"/>
            <w:noWrap/>
            <w:vAlign w:val="center"/>
            <w:hideMark/>
          </w:tcPr>
          <w:p w14:paraId="737F6457" w14:textId="77777777" w:rsidR="00766C27" w:rsidRPr="00D618B7" w:rsidRDefault="00766C27" w:rsidP="004B11B7">
            <w:pPr>
              <w:jc w:val="right"/>
              <w:rPr>
                <w:color w:val="000000"/>
                <w:sz w:val="22"/>
                <w:szCs w:val="22"/>
              </w:rPr>
            </w:pPr>
            <w:r w:rsidRPr="00D618B7">
              <w:rPr>
                <w:color w:val="000000"/>
                <w:sz w:val="22"/>
                <w:szCs w:val="22"/>
              </w:rPr>
              <w:t>1.28</w:t>
            </w:r>
          </w:p>
        </w:tc>
        <w:tc>
          <w:tcPr>
            <w:tcW w:w="867" w:type="pct"/>
            <w:tcBorders>
              <w:top w:val="nil"/>
              <w:left w:val="nil"/>
              <w:bottom w:val="nil"/>
              <w:right w:val="nil"/>
            </w:tcBorders>
            <w:shd w:val="clear" w:color="000000" w:fill="FFFFFF"/>
            <w:noWrap/>
            <w:vAlign w:val="center"/>
            <w:hideMark/>
          </w:tcPr>
          <w:p w14:paraId="79394A06" w14:textId="77777777" w:rsidR="00766C27" w:rsidRPr="00D618B7" w:rsidRDefault="00766C27" w:rsidP="004B11B7">
            <w:pPr>
              <w:jc w:val="right"/>
              <w:rPr>
                <w:color w:val="000000"/>
                <w:sz w:val="22"/>
                <w:szCs w:val="22"/>
              </w:rPr>
            </w:pPr>
            <w:r w:rsidRPr="00D618B7">
              <w:rPr>
                <w:color w:val="000000"/>
                <w:sz w:val="22"/>
                <w:szCs w:val="22"/>
              </w:rPr>
              <w:t>0.54</w:t>
            </w:r>
          </w:p>
        </w:tc>
        <w:tc>
          <w:tcPr>
            <w:tcW w:w="641" w:type="pct"/>
            <w:tcBorders>
              <w:top w:val="nil"/>
              <w:left w:val="nil"/>
              <w:bottom w:val="nil"/>
              <w:right w:val="nil"/>
            </w:tcBorders>
            <w:shd w:val="clear" w:color="000000" w:fill="FFFFFF"/>
            <w:noWrap/>
            <w:vAlign w:val="center"/>
            <w:hideMark/>
          </w:tcPr>
          <w:p w14:paraId="25D9C217" w14:textId="77777777" w:rsidR="00766C27" w:rsidRPr="00D618B7" w:rsidRDefault="00766C27" w:rsidP="004B11B7">
            <w:pPr>
              <w:jc w:val="right"/>
              <w:rPr>
                <w:color w:val="000000"/>
                <w:sz w:val="22"/>
                <w:szCs w:val="22"/>
              </w:rPr>
            </w:pPr>
            <w:r w:rsidRPr="00D618B7">
              <w:rPr>
                <w:color w:val="000000"/>
                <w:sz w:val="22"/>
                <w:szCs w:val="22"/>
              </w:rPr>
              <w:t>1.27</w:t>
            </w:r>
          </w:p>
        </w:tc>
        <w:tc>
          <w:tcPr>
            <w:tcW w:w="898" w:type="pct"/>
            <w:tcBorders>
              <w:top w:val="nil"/>
              <w:left w:val="nil"/>
              <w:bottom w:val="nil"/>
              <w:right w:val="nil"/>
            </w:tcBorders>
            <w:shd w:val="clear" w:color="000000" w:fill="FFFFFF"/>
            <w:noWrap/>
            <w:vAlign w:val="center"/>
            <w:hideMark/>
          </w:tcPr>
          <w:p w14:paraId="2DF7B437" w14:textId="77777777" w:rsidR="00766C27" w:rsidRPr="00D618B7" w:rsidRDefault="00766C27" w:rsidP="004B11B7">
            <w:pPr>
              <w:jc w:val="right"/>
              <w:rPr>
                <w:color w:val="000000"/>
                <w:sz w:val="22"/>
                <w:szCs w:val="22"/>
              </w:rPr>
            </w:pPr>
            <w:r w:rsidRPr="00D618B7">
              <w:rPr>
                <w:color w:val="000000"/>
                <w:sz w:val="22"/>
                <w:szCs w:val="22"/>
              </w:rPr>
              <w:t>5.38</w:t>
            </w:r>
          </w:p>
        </w:tc>
        <w:tc>
          <w:tcPr>
            <w:tcW w:w="642" w:type="pct"/>
            <w:tcBorders>
              <w:top w:val="nil"/>
              <w:left w:val="nil"/>
              <w:bottom w:val="nil"/>
              <w:right w:val="nil"/>
            </w:tcBorders>
            <w:shd w:val="clear" w:color="000000" w:fill="FFFFFF"/>
            <w:noWrap/>
            <w:vAlign w:val="center"/>
            <w:hideMark/>
          </w:tcPr>
          <w:p w14:paraId="12C95CE1" w14:textId="77777777" w:rsidR="00766C27" w:rsidRPr="00D618B7" w:rsidRDefault="00766C27" w:rsidP="004B11B7">
            <w:pPr>
              <w:jc w:val="right"/>
              <w:rPr>
                <w:color w:val="000000"/>
                <w:sz w:val="22"/>
                <w:szCs w:val="22"/>
              </w:rPr>
            </w:pPr>
            <w:r w:rsidRPr="00D618B7">
              <w:rPr>
                <w:color w:val="000000"/>
                <w:sz w:val="22"/>
                <w:szCs w:val="22"/>
              </w:rPr>
              <w:t>1.27</w:t>
            </w:r>
          </w:p>
        </w:tc>
      </w:tr>
      <w:tr w:rsidR="00766C27" w:rsidRPr="00D618B7" w14:paraId="13F199E0" w14:textId="77777777" w:rsidTr="00766C27">
        <w:trPr>
          <w:trHeight w:val="237"/>
        </w:trPr>
        <w:tc>
          <w:tcPr>
            <w:tcW w:w="741" w:type="pct"/>
            <w:tcBorders>
              <w:top w:val="nil"/>
              <w:left w:val="nil"/>
              <w:bottom w:val="nil"/>
              <w:right w:val="nil"/>
            </w:tcBorders>
            <w:shd w:val="clear" w:color="000000" w:fill="FFFFFF"/>
            <w:vAlign w:val="center"/>
            <w:hideMark/>
          </w:tcPr>
          <w:p w14:paraId="6A85F9E9" w14:textId="77777777" w:rsidR="00766C27" w:rsidRPr="00D618B7" w:rsidRDefault="00766C27" w:rsidP="004B11B7">
            <w:pPr>
              <w:jc w:val="right"/>
              <w:rPr>
                <w:color w:val="000000"/>
                <w:sz w:val="22"/>
                <w:szCs w:val="22"/>
              </w:rPr>
            </w:pPr>
            <w:r w:rsidRPr="00D618B7">
              <w:rPr>
                <w:color w:val="000000"/>
                <w:sz w:val="22"/>
                <w:szCs w:val="22"/>
              </w:rPr>
              <w:t>0</w:t>
            </w:r>
          </w:p>
        </w:tc>
        <w:tc>
          <w:tcPr>
            <w:tcW w:w="568" w:type="pct"/>
            <w:tcBorders>
              <w:top w:val="nil"/>
              <w:left w:val="nil"/>
              <w:bottom w:val="nil"/>
              <w:right w:val="nil"/>
            </w:tcBorders>
            <w:shd w:val="clear" w:color="000000" w:fill="FFFFFF"/>
            <w:noWrap/>
            <w:vAlign w:val="center"/>
            <w:hideMark/>
          </w:tcPr>
          <w:p w14:paraId="30D152F6" w14:textId="77777777" w:rsidR="00766C27" w:rsidRPr="00D618B7" w:rsidRDefault="00766C27" w:rsidP="004B11B7">
            <w:pPr>
              <w:jc w:val="right"/>
              <w:rPr>
                <w:color w:val="000000"/>
                <w:sz w:val="22"/>
                <w:szCs w:val="22"/>
              </w:rPr>
            </w:pPr>
            <w:r w:rsidRPr="00D618B7">
              <w:rPr>
                <w:color w:val="000000"/>
                <w:sz w:val="22"/>
                <w:szCs w:val="22"/>
              </w:rPr>
              <w:t>0.24</w:t>
            </w:r>
          </w:p>
        </w:tc>
        <w:tc>
          <w:tcPr>
            <w:tcW w:w="642" w:type="pct"/>
            <w:tcBorders>
              <w:top w:val="nil"/>
              <w:left w:val="nil"/>
              <w:bottom w:val="nil"/>
              <w:right w:val="nil"/>
            </w:tcBorders>
            <w:shd w:val="clear" w:color="000000" w:fill="FFFFFF"/>
            <w:noWrap/>
            <w:vAlign w:val="center"/>
            <w:hideMark/>
          </w:tcPr>
          <w:p w14:paraId="69686FBF" w14:textId="77777777" w:rsidR="00766C27" w:rsidRPr="00D618B7" w:rsidRDefault="00766C27" w:rsidP="004B11B7">
            <w:pPr>
              <w:jc w:val="right"/>
              <w:rPr>
                <w:color w:val="000000"/>
                <w:sz w:val="22"/>
                <w:szCs w:val="22"/>
              </w:rPr>
            </w:pPr>
            <w:r w:rsidRPr="00D618B7">
              <w:rPr>
                <w:color w:val="000000"/>
                <w:sz w:val="22"/>
                <w:szCs w:val="22"/>
              </w:rPr>
              <w:t>1.22</w:t>
            </w:r>
          </w:p>
        </w:tc>
        <w:tc>
          <w:tcPr>
            <w:tcW w:w="867" w:type="pct"/>
            <w:tcBorders>
              <w:top w:val="nil"/>
              <w:left w:val="nil"/>
              <w:bottom w:val="nil"/>
              <w:right w:val="nil"/>
            </w:tcBorders>
            <w:shd w:val="clear" w:color="000000" w:fill="FFFFFF"/>
            <w:noWrap/>
            <w:vAlign w:val="center"/>
            <w:hideMark/>
          </w:tcPr>
          <w:p w14:paraId="6693DE0F" w14:textId="77777777" w:rsidR="00766C27" w:rsidRPr="00D618B7" w:rsidRDefault="00766C27" w:rsidP="004B11B7">
            <w:pPr>
              <w:jc w:val="right"/>
              <w:rPr>
                <w:color w:val="000000"/>
                <w:sz w:val="22"/>
                <w:szCs w:val="22"/>
              </w:rPr>
            </w:pPr>
            <w:r w:rsidRPr="00D618B7">
              <w:rPr>
                <w:color w:val="000000"/>
                <w:sz w:val="22"/>
                <w:szCs w:val="22"/>
              </w:rPr>
              <w:t>-0.10</w:t>
            </w:r>
          </w:p>
        </w:tc>
        <w:tc>
          <w:tcPr>
            <w:tcW w:w="641" w:type="pct"/>
            <w:tcBorders>
              <w:top w:val="nil"/>
              <w:left w:val="nil"/>
              <w:bottom w:val="nil"/>
              <w:right w:val="nil"/>
            </w:tcBorders>
            <w:shd w:val="clear" w:color="000000" w:fill="FFFFFF"/>
            <w:noWrap/>
            <w:vAlign w:val="center"/>
            <w:hideMark/>
          </w:tcPr>
          <w:p w14:paraId="51BABFF6" w14:textId="77777777" w:rsidR="00766C27" w:rsidRPr="00D618B7" w:rsidRDefault="00766C27" w:rsidP="004B11B7">
            <w:pPr>
              <w:jc w:val="right"/>
              <w:rPr>
                <w:color w:val="000000"/>
                <w:sz w:val="22"/>
                <w:szCs w:val="22"/>
              </w:rPr>
            </w:pPr>
            <w:r w:rsidRPr="00D618B7">
              <w:rPr>
                <w:color w:val="000000"/>
                <w:sz w:val="22"/>
                <w:szCs w:val="22"/>
              </w:rPr>
              <w:t>1.21</w:t>
            </w:r>
          </w:p>
        </w:tc>
        <w:tc>
          <w:tcPr>
            <w:tcW w:w="898" w:type="pct"/>
            <w:tcBorders>
              <w:top w:val="nil"/>
              <w:left w:val="nil"/>
              <w:bottom w:val="nil"/>
              <w:right w:val="nil"/>
            </w:tcBorders>
            <w:shd w:val="clear" w:color="000000" w:fill="FFFFFF"/>
            <w:noWrap/>
            <w:vAlign w:val="center"/>
            <w:hideMark/>
          </w:tcPr>
          <w:p w14:paraId="04632A65" w14:textId="77777777" w:rsidR="00766C27" w:rsidRPr="00D618B7" w:rsidRDefault="00766C27" w:rsidP="004B11B7">
            <w:pPr>
              <w:jc w:val="right"/>
              <w:rPr>
                <w:color w:val="000000"/>
                <w:sz w:val="22"/>
                <w:szCs w:val="22"/>
              </w:rPr>
            </w:pPr>
            <w:r w:rsidRPr="00D618B7">
              <w:rPr>
                <w:color w:val="000000"/>
                <w:sz w:val="22"/>
                <w:szCs w:val="22"/>
              </w:rPr>
              <w:t>5.75</w:t>
            </w:r>
          </w:p>
        </w:tc>
        <w:tc>
          <w:tcPr>
            <w:tcW w:w="642" w:type="pct"/>
            <w:tcBorders>
              <w:top w:val="nil"/>
              <w:left w:val="nil"/>
              <w:bottom w:val="nil"/>
              <w:right w:val="nil"/>
            </w:tcBorders>
            <w:shd w:val="clear" w:color="000000" w:fill="FFFFFF"/>
            <w:noWrap/>
            <w:vAlign w:val="center"/>
            <w:hideMark/>
          </w:tcPr>
          <w:p w14:paraId="6B5E18FD" w14:textId="77777777" w:rsidR="00766C27" w:rsidRPr="00D618B7" w:rsidRDefault="00766C27" w:rsidP="004B11B7">
            <w:pPr>
              <w:jc w:val="right"/>
              <w:rPr>
                <w:color w:val="000000"/>
                <w:sz w:val="22"/>
                <w:szCs w:val="22"/>
              </w:rPr>
            </w:pPr>
            <w:r w:rsidRPr="00D618B7">
              <w:rPr>
                <w:color w:val="000000"/>
                <w:sz w:val="22"/>
                <w:szCs w:val="22"/>
              </w:rPr>
              <w:t>1.21</w:t>
            </w:r>
          </w:p>
        </w:tc>
      </w:tr>
      <w:tr w:rsidR="00766C27" w:rsidRPr="00D618B7" w14:paraId="129CC03C" w14:textId="77777777" w:rsidTr="00766C27">
        <w:trPr>
          <w:trHeight w:val="237"/>
        </w:trPr>
        <w:tc>
          <w:tcPr>
            <w:tcW w:w="741" w:type="pct"/>
            <w:tcBorders>
              <w:top w:val="nil"/>
              <w:left w:val="nil"/>
              <w:bottom w:val="nil"/>
              <w:right w:val="nil"/>
            </w:tcBorders>
            <w:shd w:val="clear" w:color="000000" w:fill="FFFFFF"/>
            <w:vAlign w:val="center"/>
            <w:hideMark/>
          </w:tcPr>
          <w:p w14:paraId="36A8D282" w14:textId="77777777" w:rsidR="00766C27" w:rsidRPr="00D618B7" w:rsidRDefault="00766C27" w:rsidP="004B11B7">
            <w:pPr>
              <w:jc w:val="right"/>
              <w:rPr>
                <w:color w:val="000000"/>
                <w:sz w:val="22"/>
                <w:szCs w:val="22"/>
              </w:rPr>
            </w:pPr>
            <w:r w:rsidRPr="00D618B7">
              <w:rPr>
                <w:color w:val="000000"/>
                <w:sz w:val="22"/>
                <w:szCs w:val="22"/>
              </w:rPr>
              <w:t>1</w:t>
            </w:r>
          </w:p>
        </w:tc>
        <w:tc>
          <w:tcPr>
            <w:tcW w:w="568" w:type="pct"/>
            <w:tcBorders>
              <w:top w:val="nil"/>
              <w:left w:val="nil"/>
              <w:bottom w:val="nil"/>
              <w:right w:val="nil"/>
            </w:tcBorders>
            <w:shd w:val="clear" w:color="000000" w:fill="FFFFFF"/>
            <w:noWrap/>
            <w:vAlign w:val="center"/>
            <w:hideMark/>
          </w:tcPr>
          <w:p w14:paraId="05A09E8C" w14:textId="77777777" w:rsidR="00766C27" w:rsidRPr="00D618B7" w:rsidRDefault="00766C27" w:rsidP="004B11B7">
            <w:pPr>
              <w:jc w:val="right"/>
              <w:rPr>
                <w:color w:val="000000"/>
                <w:sz w:val="22"/>
                <w:szCs w:val="22"/>
              </w:rPr>
            </w:pPr>
            <w:r w:rsidRPr="00D618B7">
              <w:rPr>
                <w:color w:val="000000"/>
                <w:sz w:val="22"/>
                <w:szCs w:val="22"/>
              </w:rPr>
              <w:t>-0.03</w:t>
            </w:r>
          </w:p>
        </w:tc>
        <w:tc>
          <w:tcPr>
            <w:tcW w:w="642" w:type="pct"/>
            <w:tcBorders>
              <w:top w:val="nil"/>
              <w:left w:val="nil"/>
              <w:bottom w:val="nil"/>
              <w:right w:val="nil"/>
            </w:tcBorders>
            <w:shd w:val="clear" w:color="000000" w:fill="FFFFFF"/>
            <w:noWrap/>
            <w:vAlign w:val="center"/>
            <w:hideMark/>
          </w:tcPr>
          <w:p w14:paraId="7DEF01C0" w14:textId="77777777" w:rsidR="00766C27" w:rsidRPr="00D618B7" w:rsidRDefault="00766C27" w:rsidP="004B11B7">
            <w:pPr>
              <w:jc w:val="right"/>
              <w:rPr>
                <w:color w:val="000000"/>
                <w:sz w:val="22"/>
                <w:szCs w:val="22"/>
              </w:rPr>
            </w:pPr>
            <w:r w:rsidRPr="00D618B7">
              <w:rPr>
                <w:color w:val="000000"/>
                <w:sz w:val="22"/>
                <w:szCs w:val="22"/>
              </w:rPr>
              <w:t>1.22</w:t>
            </w:r>
          </w:p>
        </w:tc>
        <w:tc>
          <w:tcPr>
            <w:tcW w:w="867" w:type="pct"/>
            <w:tcBorders>
              <w:top w:val="nil"/>
              <w:left w:val="nil"/>
              <w:bottom w:val="nil"/>
              <w:right w:val="nil"/>
            </w:tcBorders>
            <w:shd w:val="clear" w:color="000000" w:fill="FFFFFF"/>
            <w:noWrap/>
            <w:vAlign w:val="center"/>
            <w:hideMark/>
          </w:tcPr>
          <w:p w14:paraId="552318FC" w14:textId="77777777" w:rsidR="00766C27" w:rsidRPr="00D618B7" w:rsidRDefault="00766C27" w:rsidP="004B11B7">
            <w:pPr>
              <w:jc w:val="right"/>
              <w:rPr>
                <w:color w:val="000000"/>
                <w:sz w:val="22"/>
                <w:szCs w:val="22"/>
              </w:rPr>
            </w:pPr>
            <w:r w:rsidRPr="00D618B7">
              <w:rPr>
                <w:color w:val="000000"/>
                <w:sz w:val="22"/>
                <w:szCs w:val="22"/>
              </w:rPr>
              <w:t>0.86</w:t>
            </w:r>
          </w:p>
        </w:tc>
        <w:tc>
          <w:tcPr>
            <w:tcW w:w="641" w:type="pct"/>
            <w:tcBorders>
              <w:top w:val="nil"/>
              <w:left w:val="nil"/>
              <w:bottom w:val="nil"/>
              <w:right w:val="nil"/>
            </w:tcBorders>
            <w:shd w:val="clear" w:color="000000" w:fill="FFFFFF"/>
            <w:noWrap/>
            <w:vAlign w:val="center"/>
            <w:hideMark/>
          </w:tcPr>
          <w:p w14:paraId="3E826DAA" w14:textId="77777777" w:rsidR="00766C27" w:rsidRPr="00D618B7" w:rsidRDefault="00766C27" w:rsidP="004B11B7">
            <w:pPr>
              <w:jc w:val="right"/>
              <w:rPr>
                <w:color w:val="000000"/>
                <w:sz w:val="22"/>
                <w:szCs w:val="22"/>
              </w:rPr>
            </w:pPr>
            <w:r w:rsidRPr="00D618B7">
              <w:rPr>
                <w:color w:val="000000"/>
                <w:sz w:val="22"/>
                <w:szCs w:val="22"/>
              </w:rPr>
              <w:t>1.21</w:t>
            </w:r>
          </w:p>
        </w:tc>
        <w:tc>
          <w:tcPr>
            <w:tcW w:w="898" w:type="pct"/>
            <w:tcBorders>
              <w:top w:val="nil"/>
              <w:left w:val="nil"/>
              <w:bottom w:val="nil"/>
              <w:right w:val="nil"/>
            </w:tcBorders>
            <w:shd w:val="clear" w:color="000000" w:fill="FFFFFF"/>
            <w:noWrap/>
            <w:vAlign w:val="center"/>
            <w:hideMark/>
          </w:tcPr>
          <w:p w14:paraId="2CB5DEBD" w14:textId="77777777" w:rsidR="00766C27" w:rsidRPr="00D618B7" w:rsidRDefault="00766C27" w:rsidP="004B11B7">
            <w:pPr>
              <w:jc w:val="right"/>
              <w:rPr>
                <w:color w:val="000000"/>
                <w:sz w:val="22"/>
                <w:szCs w:val="22"/>
              </w:rPr>
            </w:pPr>
            <w:r w:rsidRPr="00D618B7">
              <w:rPr>
                <w:color w:val="000000"/>
                <w:sz w:val="22"/>
                <w:szCs w:val="22"/>
              </w:rPr>
              <w:t>2.24</w:t>
            </w:r>
          </w:p>
        </w:tc>
        <w:tc>
          <w:tcPr>
            <w:tcW w:w="642" w:type="pct"/>
            <w:tcBorders>
              <w:top w:val="nil"/>
              <w:left w:val="nil"/>
              <w:bottom w:val="nil"/>
              <w:right w:val="nil"/>
            </w:tcBorders>
            <w:shd w:val="clear" w:color="000000" w:fill="FFFFFF"/>
            <w:noWrap/>
            <w:vAlign w:val="center"/>
            <w:hideMark/>
          </w:tcPr>
          <w:p w14:paraId="582EB32E" w14:textId="77777777" w:rsidR="00766C27" w:rsidRPr="00D618B7" w:rsidRDefault="00766C27" w:rsidP="004B11B7">
            <w:pPr>
              <w:jc w:val="right"/>
              <w:rPr>
                <w:color w:val="000000"/>
                <w:sz w:val="22"/>
                <w:szCs w:val="22"/>
              </w:rPr>
            </w:pPr>
            <w:r w:rsidRPr="00D618B7">
              <w:rPr>
                <w:color w:val="000000"/>
                <w:sz w:val="22"/>
                <w:szCs w:val="22"/>
              </w:rPr>
              <w:t>1.21</w:t>
            </w:r>
          </w:p>
        </w:tc>
      </w:tr>
      <w:tr w:rsidR="00766C27" w:rsidRPr="00D618B7" w14:paraId="68933E74" w14:textId="77777777" w:rsidTr="00766C27">
        <w:trPr>
          <w:trHeight w:val="237"/>
        </w:trPr>
        <w:tc>
          <w:tcPr>
            <w:tcW w:w="741" w:type="pct"/>
            <w:tcBorders>
              <w:top w:val="nil"/>
              <w:left w:val="nil"/>
              <w:bottom w:val="nil"/>
              <w:right w:val="nil"/>
            </w:tcBorders>
            <w:shd w:val="clear" w:color="000000" w:fill="FFFFFF"/>
            <w:vAlign w:val="center"/>
            <w:hideMark/>
          </w:tcPr>
          <w:p w14:paraId="22876D14" w14:textId="77777777" w:rsidR="00766C27" w:rsidRPr="00D618B7" w:rsidRDefault="00766C27" w:rsidP="004B11B7">
            <w:pPr>
              <w:jc w:val="right"/>
              <w:rPr>
                <w:color w:val="000000"/>
                <w:sz w:val="22"/>
                <w:szCs w:val="22"/>
              </w:rPr>
            </w:pPr>
            <w:r w:rsidRPr="00D618B7">
              <w:rPr>
                <w:color w:val="000000"/>
                <w:sz w:val="22"/>
                <w:szCs w:val="22"/>
              </w:rPr>
              <w:t>2</w:t>
            </w:r>
          </w:p>
        </w:tc>
        <w:tc>
          <w:tcPr>
            <w:tcW w:w="568" w:type="pct"/>
            <w:tcBorders>
              <w:top w:val="nil"/>
              <w:left w:val="nil"/>
              <w:bottom w:val="nil"/>
              <w:right w:val="nil"/>
            </w:tcBorders>
            <w:shd w:val="clear" w:color="000000" w:fill="FFFFFF"/>
            <w:noWrap/>
            <w:vAlign w:val="center"/>
            <w:hideMark/>
          </w:tcPr>
          <w:p w14:paraId="40706358" w14:textId="77777777" w:rsidR="00766C27" w:rsidRPr="00D618B7" w:rsidRDefault="00766C27" w:rsidP="004B11B7">
            <w:pPr>
              <w:jc w:val="right"/>
              <w:rPr>
                <w:color w:val="000000"/>
                <w:sz w:val="22"/>
                <w:szCs w:val="22"/>
              </w:rPr>
            </w:pPr>
            <w:r w:rsidRPr="00D618B7">
              <w:rPr>
                <w:color w:val="000000"/>
                <w:sz w:val="22"/>
                <w:szCs w:val="22"/>
              </w:rPr>
              <w:t>0.03</w:t>
            </w:r>
          </w:p>
        </w:tc>
        <w:tc>
          <w:tcPr>
            <w:tcW w:w="642" w:type="pct"/>
            <w:tcBorders>
              <w:top w:val="nil"/>
              <w:left w:val="nil"/>
              <w:bottom w:val="nil"/>
              <w:right w:val="nil"/>
            </w:tcBorders>
            <w:shd w:val="clear" w:color="000000" w:fill="FFFFFF"/>
            <w:noWrap/>
            <w:vAlign w:val="center"/>
            <w:hideMark/>
          </w:tcPr>
          <w:p w14:paraId="32A000F5" w14:textId="77777777" w:rsidR="00766C27" w:rsidRPr="00D618B7" w:rsidRDefault="00766C27" w:rsidP="004B11B7">
            <w:pPr>
              <w:jc w:val="right"/>
              <w:rPr>
                <w:color w:val="000000"/>
                <w:sz w:val="22"/>
                <w:szCs w:val="22"/>
              </w:rPr>
            </w:pPr>
            <w:r w:rsidRPr="00D618B7">
              <w:rPr>
                <w:color w:val="000000"/>
                <w:sz w:val="22"/>
                <w:szCs w:val="22"/>
              </w:rPr>
              <w:t>1.40</w:t>
            </w:r>
          </w:p>
        </w:tc>
        <w:tc>
          <w:tcPr>
            <w:tcW w:w="867" w:type="pct"/>
            <w:tcBorders>
              <w:top w:val="nil"/>
              <w:left w:val="nil"/>
              <w:bottom w:val="nil"/>
              <w:right w:val="nil"/>
            </w:tcBorders>
            <w:shd w:val="clear" w:color="000000" w:fill="FFFFFF"/>
            <w:noWrap/>
            <w:vAlign w:val="center"/>
            <w:hideMark/>
          </w:tcPr>
          <w:p w14:paraId="3F51969D" w14:textId="77777777" w:rsidR="00766C27" w:rsidRPr="00D618B7" w:rsidRDefault="00766C27" w:rsidP="004B11B7">
            <w:pPr>
              <w:jc w:val="right"/>
              <w:rPr>
                <w:color w:val="000000"/>
                <w:sz w:val="22"/>
                <w:szCs w:val="22"/>
              </w:rPr>
            </w:pPr>
            <w:r w:rsidRPr="00D618B7">
              <w:rPr>
                <w:color w:val="000000"/>
                <w:sz w:val="22"/>
                <w:szCs w:val="22"/>
              </w:rPr>
              <w:t>0.08</w:t>
            </w:r>
          </w:p>
        </w:tc>
        <w:tc>
          <w:tcPr>
            <w:tcW w:w="641" w:type="pct"/>
            <w:tcBorders>
              <w:top w:val="nil"/>
              <w:left w:val="nil"/>
              <w:bottom w:val="nil"/>
              <w:right w:val="nil"/>
            </w:tcBorders>
            <w:shd w:val="clear" w:color="000000" w:fill="FFFFFF"/>
            <w:noWrap/>
            <w:vAlign w:val="center"/>
            <w:hideMark/>
          </w:tcPr>
          <w:p w14:paraId="380BD62F" w14:textId="77777777" w:rsidR="00766C27" w:rsidRPr="00D618B7" w:rsidRDefault="00766C27" w:rsidP="004B11B7">
            <w:pPr>
              <w:jc w:val="right"/>
              <w:rPr>
                <w:color w:val="000000"/>
                <w:sz w:val="22"/>
                <w:szCs w:val="22"/>
              </w:rPr>
            </w:pPr>
            <w:r w:rsidRPr="00D618B7">
              <w:rPr>
                <w:color w:val="000000"/>
                <w:sz w:val="22"/>
                <w:szCs w:val="22"/>
              </w:rPr>
              <w:t>1.40</w:t>
            </w:r>
          </w:p>
        </w:tc>
        <w:tc>
          <w:tcPr>
            <w:tcW w:w="898" w:type="pct"/>
            <w:tcBorders>
              <w:top w:val="nil"/>
              <w:left w:val="nil"/>
              <w:bottom w:val="nil"/>
              <w:right w:val="nil"/>
            </w:tcBorders>
            <w:shd w:val="clear" w:color="000000" w:fill="FFFFFF"/>
            <w:noWrap/>
            <w:vAlign w:val="center"/>
            <w:hideMark/>
          </w:tcPr>
          <w:p w14:paraId="3924980D" w14:textId="77777777" w:rsidR="00766C27" w:rsidRPr="00D618B7" w:rsidRDefault="00766C27" w:rsidP="004B11B7">
            <w:pPr>
              <w:jc w:val="right"/>
              <w:rPr>
                <w:color w:val="000000"/>
                <w:sz w:val="22"/>
                <w:szCs w:val="22"/>
              </w:rPr>
            </w:pPr>
            <w:r w:rsidRPr="00D618B7">
              <w:rPr>
                <w:color w:val="000000"/>
                <w:sz w:val="22"/>
                <w:szCs w:val="22"/>
              </w:rPr>
              <w:t>0.68</w:t>
            </w:r>
          </w:p>
        </w:tc>
        <w:tc>
          <w:tcPr>
            <w:tcW w:w="642" w:type="pct"/>
            <w:tcBorders>
              <w:top w:val="nil"/>
              <w:left w:val="nil"/>
              <w:bottom w:val="nil"/>
              <w:right w:val="nil"/>
            </w:tcBorders>
            <w:shd w:val="clear" w:color="000000" w:fill="FFFFFF"/>
            <w:noWrap/>
            <w:vAlign w:val="center"/>
            <w:hideMark/>
          </w:tcPr>
          <w:p w14:paraId="4BE9EF6E" w14:textId="77777777" w:rsidR="00766C27" w:rsidRPr="00D618B7" w:rsidRDefault="00766C27" w:rsidP="004B11B7">
            <w:pPr>
              <w:jc w:val="right"/>
              <w:rPr>
                <w:color w:val="000000"/>
                <w:sz w:val="22"/>
                <w:szCs w:val="22"/>
              </w:rPr>
            </w:pPr>
            <w:r w:rsidRPr="00D618B7">
              <w:rPr>
                <w:color w:val="000000"/>
                <w:sz w:val="22"/>
                <w:szCs w:val="22"/>
              </w:rPr>
              <w:t>1.40</w:t>
            </w:r>
          </w:p>
        </w:tc>
      </w:tr>
      <w:tr w:rsidR="00766C27" w:rsidRPr="00D618B7" w14:paraId="70F556CF" w14:textId="77777777" w:rsidTr="00766C27">
        <w:trPr>
          <w:trHeight w:val="237"/>
        </w:trPr>
        <w:tc>
          <w:tcPr>
            <w:tcW w:w="741" w:type="pct"/>
            <w:tcBorders>
              <w:top w:val="nil"/>
              <w:left w:val="nil"/>
              <w:bottom w:val="nil"/>
              <w:right w:val="nil"/>
            </w:tcBorders>
            <w:shd w:val="clear" w:color="000000" w:fill="FFFFFF"/>
            <w:vAlign w:val="center"/>
            <w:hideMark/>
          </w:tcPr>
          <w:p w14:paraId="73CFCCC4" w14:textId="77777777" w:rsidR="00766C27" w:rsidRPr="00D618B7" w:rsidRDefault="00766C27" w:rsidP="004B11B7">
            <w:pPr>
              <w:jc w:val="right"/>
              <w:rPr>
                <w:color w:val="000000"/>
                <w:sz w:val="22"/>
                <w:szCs w:val="22"/>
              </w:rPr>
            </w:pPr>
            <w:r w:rsidRPr="00D618B7">
              <w:rPr>
                <w:color w:val="000000"/>
                <w:sz w:val="22"/>
                <w:szCs w:val="22"/>
              </w:rPr>
              <w:t>3</w:t>
            </w:r>
          </w:p>
        </w:tc>
        <w:tc>
          <w:tcPr>
            <w:tcW w:w="568" w:type="pct"/>
            <w:tcBorders>
              <w:top w:val="nil"/>
              <w:left w:val="nil"/>
              <w:bottom w:val="nil"/>
              <w:right w:val="nil"/>
            </w:tcBorders>
            <w:shd w:val="clear" w:color="000000" w:fill="FFFFFF"/>
            <w:noWrap/>
            <w:vAlign w:val="center"/>
            <w:hideMark/>
          </w:tcPr>
          <w:p w14:paraId="05EF793D" w14:textId="77777777" w:rsidR="00766C27" w:rsidRPr="00D618B7" w:rsidRDefault="00766C27" w:rsidP="004B11B7">
            <w:pPr>
              <w:jc w:val="right"/>
              <w:rPr>
                <w:color w:val="000000"/>
                <w:sz w:val="22"/>
                <w:szCs w:val="22"/>
              </w:rPr>
            </w:pPr>
            <w:r w:rsidRPr="00D618B7">
              <w:rPr>
                <w:color w:val="000000"/>
                <w:sz w:val="22"/>
                <w:szCs w:val="22"/>
              </w:rPr>
              <w:t>0.06</w:t>
            </w:r>
          </w:p>
        </w:tc>
        <w:tc>
          <w:tcPr>
            <w:tcW w:w="642" w:type="pct"/>
            <w:tcBorders>
              <w:top w:val="nil"/>
              <w:left w:val="nil"/>
              <w:bottom w:val="nil"/>
              <w:right w:val="nil"/>
            </w:tcBorders>
            <w:shd w:val="clear" w:color="000000" w:fill="FFFFFF"/>
            <w:noWrap/>
            <w:vAlign w:val="center"/>
            <w:hideMark/>
          </w:tcPr>
          <w:p w14:paraId="4F0ABA5A" w14:textId="77777777" w:rsidR="00766C27" w:rsidRPr="00D618B7" w:rsidRDefault="00766C27" w:rsidP="004B11B7">
            <w:pPr>
              <w:jc w:val="right"/>
              <w:rPr>
                <w:color w:val="000000"/>
                <w:sz w:val="22"/>
                <w:szCs w:val="22"/>
              </w:rPr>
            </w:pPr>
            <w:r w:rsidRPr="00D618B7">
              <w:rPr>
                <w:color w:val="000000"/>
                <w:sz w:val="22"/>
                <w:szCs w:val="22"/>
              </w:rPr>
              <w:t>1.21</w:t>
            </w:r>
          </w:p>
        </w:tc>
        <w:tc>
          <w:tcPr>
            <w:tcW w:w="867" w:type="pct"/>
            <w:tcBorders>
              <w:top w:val="nil"/>
              <w:left w:val="nil"/>
              <w:bottom w:val="nil"/>
              <w:right w:val="nil"/>
            </w:tcBorders>
            <w:shd w:val="clear" w:color="000000" w:fill="FFFFFF"/>
            <w:noWrap/>
            <w:vAlign w:val="center"/>
            <w:hideMark/>
          </w:tcPr>
          <w:p w14:paraId="699BFA71" w14:textId="77777777" w:rsidR="00766C27" w:rsidRPr="00D618B7" w:rsidRDefault="00766C27" w:rsidP="004B11B7">
            <w:pPr>
              <w:jc w:val="right"/>
              <w:rPr>
                <w:color w:val="000000"/>
                <w:sz w:val="22"/>
                <w:szCs w:val="22"/>
              </w:rPr>
            </w:pPr>
            <w:r w:rsidRPr="00D618B7">
              <w:rPr>
                <w:color w:val="000000"/>
                <w:sz w:val="22"/>
                <w:szCs w:val="22"/>
              </w:rPr>
              <w:t>-0.11</w:t>
            </w:r>
          </w:p>
        </w:tc>
        <w:tc>
          <w:tcPr>
            <w:tcW w:w="641" w:type="pct"/>
            <w:tcBorders>
              <w:top w:val="nil"/>
              <w:left w:val="nil"/>
              <w:bottom w:val="nil"/>
              <w:right w:val="nil"/>
            </w:tcBorders>
            <w:shd w:val="clear" w:color="000000" w:fill="FFFFFF"/>
            <w:noWrap/>
            <w:vAlign w:val="center"/>
            <w:hideMark/>
          </w:tcPr>
          <w:p w14:paraId="1FE3A289" w14:textId="77777777" w:rsidR="00766C27" w:rsidRPr="00D618B7" w:rsidRDefault="00766C27" w:rsidP="004B11B7">
            <w:pPr>
              <w:jc w:val="right"/>
              <w:rPr>
                <w:color w:val="000000"/>
                <w:sz w:val="22"/>
                <w:szCs w:val="22"/>
              </w:rPr>
            </w:pPr>
            <w:r w:rsidRPr="00D618B7">
              <w:rPr>
                <w:color w:val="000000"/>
                <w:sz w:val="22"/>
                <w:szCs w:val="22"/>
              </w:rPr>
              <w:t>1.20</w:t>
            </w:r>
          </w:p>
        </w:tc>
        <w:tc>
          <w:tcPr>
            <w:tcW w:w="898" w:type="pct"/>
            <w:tcBorders>
              <w:top w:val="nil"/>
              <w:left w:val="nil"/>
              <w:bottom w:val="nil"/>
              <w:right w:val="nil"/>
            </w:tcBorders>
            <w:shd w:val="clear" w:color="000000" w:fill="FFFFFF"/>
            <w:noWrap/>
            <w:vAlign w:val="center"/>
            <w:hideMark/>
          </w:tcPr>
          <w:p w14:paraId="7ADF214E" w14:textId="77777777" w:rsidR="00766C27" w:rsidRPr="00D618B7" w:rsidRDefault="00766C27" w:rsidP="004B11B7">
            <w:pPr>
              <w:jc w:val="right"/>
              <w:rPr>
                <w:color w:val="000000"/>
                <w:sz w:val="22"/>
                <w:szCs w:val="22"/>
              </w:rPr>
            </w:pPr>
            <w:r w:rsidRPr="00D618B7">
              <w:rPr>
                <w:color w:val="000000"/>
                <w:sz w:val="22"/>
                <w:szCs w:val="22"/>
              </w:rPr>
              <w:t>0.97</w:t>
            </w:r>
          </w:p>
        </w:tc>
        <w:tc>
          <w:tcPr>
            <w:tcW w:w="642" w:type="pct"/>
            <w:tcBorders>
              <w:top w:val="nil"/>
              <w:left w:val="nil"/>
              <w:bottom w:val="nil"/>
              <w:right w:val="nil"/>
            </w:tcBorders>
            <w:shd w:val="clear" w:color="000000" w:fill="FFFFFF"/>
            <w:noWrap/>
            <w:vAlign w:val="center"/>
            <w:hideMark/>
          </w:tcPr>
          <w:p w14:paraId="5D0DAEBC" w14:textId="77777777" w:rsidR="00766C27" w:rsidRPr="00D618B7" w:rsidRDefault="00766C27" w:rsidP="004B11B7">
            <w:pPr>
              <w:jc w:val="right"/>
              <w:rPr>
                <w:color w:val="000000"/>
                <w:sz w:val="22"/>
                <w:szCs w:val="22"/>
              </w:rPr>
            </w:pPr>
            <w:r w:rsidRPr="00D618B7">
              <w:rPr>
                <w:color w:val="000000"/>
                <w:sz w:val="22"/>
                <w:szCs w:val="22"/>
              </w:rPr>
              <w:t>1.20</w:t>
            </w:r>
          </w:p>
        </w:tc>
      </w:tr>
      <w:tr w:rsidR="00766C27" w:rsidRPr="00D618B7" w14:paraId="5E5BA5FD" w14:textId="77777777" w:rsidTr="00766C27">
        <w:trPr>
          <w:trHeight w:val="237"/>
        </w:trPr>
        <w:tc>
          <w:tcPr>
            <w:tcW w:w="741" w:type="pct"/>
            <w:tcBorders>
              <w:top w:val="nil"/>
              <w:left w:val="nil"/>
              <w:right w:val="nil"/>
            </w:tcBorders>
            <w:shd w:val="clear" w:color="000000" w:fill="FFFFFF"/>
            <w:vAlign w:val="center"/>
            <w:hideMark/>
          </w:tcPr>
          <w:p w14:paraId="0F102E5A" w14:textId="77777777" w:rsidR="00766C27" w:rsidRPr="00D618B7" w:rsidRDefault="00766C27" w:rsidP="004B11B7">
            <w:pPr>
              <w:jc w:val="right"/>
              <w:rPr>
                <w:color w:val="000000"/>
                <w:sz w:val="22"/>
                <w:szCs w:val="22"/>
              </w:rPr>
            </w:pPr>
            <w:r w:rsidRPr="00D618B7">
              <w:rPr>
                <w:color w:val="000000"/>
                <w:sz w:val="22"/>
                <w:szCs w:val="22"/>
              </w:rPr>
              <w:t>4</w:t>
            </w:r>
          </w:p>
        </w:tc>
        <w:tc>
          <w:tcPr>
            <w:tcW w:w="568" w:type="pct"/>
            <w:tcBorders>
              <w:top w:val="nil"/>
              <w:left w:val="nil"/>
              <w:right w:val="nil"/>
            </w:tcBorders>
            <w:shd w:val="clear" w:color="000000" w:fill="FFFFFF"/>
            <w:noWrap/>
            <w:vAlign w:val="center"/>
            <w:hideMark/>
          </w:tcPr>
          <w:p w14:paraId="7ACEDC94" w14:textId="77777777" w:rsidR="00766C27" w:rsidRPr="00D618B7" w:rsidRDefault="00766C27" w:rsidP="004B11B7">
            <w:pPr>
              <w:jc w:val="right"/>
              <w:rPr>
                <w:color w:val="000000"/>
                <w:sz w:val="22"/>
                <w:szCs w:val="22"/>
              </w:rPr>
            </w:pPr>
            <w:r w:rsidRPr="00D618B7">
              <w:rPr>
                <w:color w:val="000000"/>
                <w:sz w:val="22"/>
                <w:szCs w:val="22"/>
              </w:rPr>
              <w:t>0.10</w:t>
            </w:r>
          </w:p>
        </w:tc>
        <w:tc>
          <w:tcPr>
            <w:tcW w:w="642" w:type="pct"/>
            <w:tcBorders>
              <w:top w:val="nil"/>
              <w:left w:val="nil"/>
              <w:right w:val="nil"/>
            </w:tcBorders>
            <w:shd w:val="clear" w:color="000000" w:fill="FFFFFF"/>
            <w:noWrap/>
            <w:vAlign w:val="center"/>
            <w:hideMark/>
          </w:tcPr>
          <w:p w14:paraId="6CF10835" w14:textId="77777777" w:rsidR="00766C27" w:rsidRPr="00D618B7" w:rsidRDefault="00766C27" w:rsidP="004B11B7">
            <w:pPr>
              <w:jc w:val="right"/>
              <w:rPr>
                <w:color w:val="000000"/>
                <w:sz w:val="22"/>
                <w:szCs w:val="22"/>
              </w:rPr>
            </w:pPr>
            <w:r w:rsidRPr="00D618B7">
              <w:rPr>
                <w:color w:val="000000"/>
                <w:sz w:val="22"/>
                <w:szCs w:val="22"/>
              </w:rPr>
              <w:t>1.27</w:t>
            </w:r>
          </w:p>
        </w:tc>
        <w:tc>
          <w:tcPr>
            <w:tcW w:w="867" w:type="pct"/>
            <w:tcBorders>
              <w:top w:val="nil"/>
              <w:left w:val="nil"/>
              <w:right w:val="nil"/>
            </w:tcBorders>
            <w:shd w:val="clear" w:color="000000" w:fill="FFFFFF"/>
            <w:noWrap/>
            <w:vAlign w:val="center"/>
            <w:hideMark/>
          </w:tcPr>
          <w:p w14:paraId="75D4CF90" w14:textId="77777777" w:rsidR="00766C27" w:rsidRPr="00D618B7" w:rsidRDefault="00766C27" w:rsidP="004B11B7">
            <w:pPr>
              <w:jc w:val="right"/>
              <w:rPr>
                <w:color w:val="000000"/>
                <w:sz w:val="22"/>
                <w:szCs w:val="22"/>
              </w:rPr>
            </w:pPr>
            <w:r w:rsidRPr="00D618B7">
              <w:rPr>
                <w:color w:val="000000"/>
                <w:sz w:val="22"/>
                <w:szCs w:val="22"/>
              </w:rPr>
              <w:t>-0.01</w:t>
            </w:r>
          </w:p>
        </w:tc>
        <w:tc>
          <w:tcPr>
            <w:tcW w:w="641" w:type="pct"/>
            <w:tcBorders>
              <w:top w:val="nil"/>
              <w:left w:val="nil"/>
              <w:right w:val="nil"/>
            </w:tcBorders>
            <w:shd w:val="clear" w:color="000000" w:fill="FFFFFF"/>
            <w:noWrap/>
            <w:vAlign w:val="center"/>
            <w:hideMark/>
          </w:tcPr>
          <w:p w14:paraId="002BC053" w14:textId="77777777" w:rsidR="00766C27" w:rsidRPr="00D618B7" w:rsidRDefault="00766C27" w:rsidP="004B11B7">
            <w:pPr>
              <w:jc w:val="right"/>
              <w:rPr>
                <w:color w:val="000000"/>
                <w:sz w:val="22"/>
                <w:szCs w:val="22"/>
              </w:rPr>
            </w:pPr>
            <w:r w:rsidRPr="00D618B7">
              <w:rPr>
                <w:color w:val="000000"/>
                <w:sz w:val="22"/>
                <w:szCs w:val="22"/>
              </w:rPr>
              <w:t>1.27</w:t>
            </w:r>
          </w:p>
        </w:tc>
        <w:tc>
          <w:tcPr>
            <w:tcW w:w="898" w:type="pct"/>
            <w:tcBorders>
              <w:top w:val="nil"/>
              <w:left w:val="nil"/>
              <w:right w:val="nil"/>
            </w:tcBorders>
            <w:shd w:val="clear" w:color="000000" w:fill="FFFFFF"/>
            <w:noWrap/>
            <w:vAlign w:val="center"/>
            <w:hideMark/>
          </w:tcPr>
          <w:p w14:paraId="297DF11E" w14:textId="77777777" w:rsidR="00766C27" w:rsidRPr="00D618B7" w:rsidRDefault="00766C27" w:rsidP="004B11B7">
            <w:pPr>
              <w:jc w:val="right"/>
              <w:rPr>
                <w:color w:val="000000"/>
                <w:sz w:val="22"/>
                <w:szCs w:val="22"/>
              </w:rPr>
            </w:pPr>
            <w:r w:rsidRPr="00D618B7">
              <w:rPr>
                <w:color w:val="000000"/>
                <w:sz w:val="22"/>
                <w:szCs w:val="22"/>
              </w:rPr>
              <w:t>0.73</w:t>
            </w:r>
          </w:p>
        </w:tc>
        <w:tc>
          <w:tcPr>
            <w:tcW w:w="642" w:type="pct"/>
            <w:tcBorders>
              <w:top w:val="nil"/>
              <w:left w:val="nil"/>
              <w:right w:val="nil"/>
            </w:tcBorders>
            <w:shd w:val="clear" w:color="000000" w:fill="FFFFFF"/>
            <w:noWrap/>
            <w:vAlign w:val="center"/>
            <w:hideMark/>
          </w:tcPr>
          <w:p w14:paraId="5F97D1E2" w14:textId="77777777" w:rsidR="00766C27" w:rsidRPr="00D618B7" w:rsidRDefault="00766C27" w:rsidP="004B11B7">
            <w:pPr>
              <w:jc w:val="right"/>
              <w:rPr>
                <w:color w:val="000000"/>
                <w:sz w:val="22"/>
                <w:szCs w:val="22"/>
              </w:rPr>
            </w:pPr>
            <w:r w:rsidRPr="00D618B7">
              <w:rPr>
                <w:color w:val="000000"/>
                <w:sz w:val="22"/>
                <w:szCs w:val="22"/>
              </w:rPr>
              <w:t>1.27</w:t>
            </w:r>
          </w:p>
        </w:tc>
      </w:tr>
      <w:tr w:rsidR="00766C27" w:rsidRPr="00D618B7" w14:paraId="3D1CAC11" w14:textId="77777777" w:rsidTr="00766C27">
        <w:trPr>
          <w:trHeight w:val="237"/>
        </w:trPr>
        <w:tc>
          <w:tcPr>
            <w:tcW w:w="741" w:type="pct"/>
            <w:tcBorders>
              <w:top w:val="nil"/>
              <w:left w:val="nil"/>
              <w:bottom w:val="single" w:sz="18" w:space="0" w:color="auto"/>
              <w:right w:val="nil"/>
            </w:tcBorders>
            <w:shd w:val="clear" w:color="000000" w:fill="FFFFFF"/>
            <w:vAlign w:val="center"/>
            <w:hideMark/>
          </w:tcPr>
          <w:p w14:paraId="7CFBC169" w14:textId="77777777" w:rsidR="00766C27" w:rsidRPr="00D618B7" w:rsidRDefault="00766C27" w:rsidP="004B11B7">
            <w:pPr>
              <w:jc w:val="right"/>
              <w:rPr>
                <w:color w:val="000000"/>
                <w:sz w:val="22"/>
                <w:szCs w:val="22"/>
              </w:rPr>
            </w:pPr>
            <w:r w:rsidRPr="00D618B7">
              <w:rPr>
                <w:color w:val="000000"/>
                <w:sz w:val="22"/>
                <w:szCs w:val="22"/>
              </w:rPr>
              <w:t>5</w:t>
            </w:r>
          </w:p>
        </w:tc>
        <w:tc>
          <w:tcPr>
            <w:tcW w:w="568" w:type="pct"/>
            <w:tcBorders>
              <w:top w:val="nil"/>
              <w:left w:val="nil"/>
              <w:bottom w:val="single" w:sz="18" w:space="0" w:color="auto"/>
              <w:right w:val="nil"/>
            </w:tcBorders>
            <w:shd w:val="clear" w:color="000000" w:fill="FFFFFF"/>
            <w:noWrap/>
            <w:vAlign w:val="center"/>
            <w:hideMark/>
          </w:tcPr>
          <w:p w14:paraId="6137C590" w14:textId="77777777" w:rsidR="00766C27" w:rsidRPr="00D618B7" w:rsidRDefault="00766C27" w:rsidP="004B11B7">
            <w:pPr>
              <w:jc w:val="right"/>
              <w:rPr>
                <w:color w:val="000000"/>
                <w:sz w:val="22"/>
                <w:szCs w:val="22"/>
              </w:rPr>
            </w:pPr>
            <w:r w:rsidRPr="00D618B7">
              <w:rPr>
                <w:color w:val="000000"/>
                <w:sz w:val="22"/>
                <w:szCs w:val="22"/>
              </w:rPr>
              <w:t>0.16</w:t>
            </w:r>
          </w:p>
        </w:tc>
        <w:tc>
          <w:tcPr>
            <w:tcW w:w="642" w:type="pct"/>
            <w:tcBorders>
              <w:top w:val="nil"/>
              <w:left w:val="nil"/>
              <w:bottom w:val="single" w:sz="18" w:space="0" w:color="auto"/>
              <w:right w:val="nil"/>
            </w:tcBorders>
            <w:shd w:val="clear" w:color="000000" w:fill="FFFFFF"/>
            <w:noWrap/>
            <w:vAlign w:val="center"/>
            <w:hideMark/>
          </w:tcPr>
          <w:p w14:paraId="33A31F39" w14:textId="77777777" w:rsidR="00766C27" w:rsidRPr="00D618B7" w:rsidRDefault="00766C27" w:rsidP="004B11B7">
            <w:pPr>
              <w:jc w:val="right"/>
              <w:rPr>
                <w:color w:val="000000"/>
                <w:sz w:val="22"/>
                <w:szCs w:val="22"/>
              </w:rPr>
            </w:pPr>
            <w:r w:rsidRPr="00D618B7">
              <w:rPr>
                <w:color w:val="000000"/>
                <w:sz w:val="22"/>
                <w:szCs w:val="22"/>
              </w:rPr>
              <w:t>1.33</w:t>
            </w:r>
          </w:p>
        </w:tc>
        <w:tc>
          <w:tcPr>
            <w:tcW w:w="867" w:type="pct"/>
            <w:tcBorders>
              <w:top w:val="nil"/>
              <w:left w:val="nil"/>
              <w:bottom w:val="single" w:sz="18" w:space="0" w:color="auto"/>
              <w:right w:val="nil"/>
            </w:tcBorders>
            <w:shd w:val="clear" w:color="000000" w:fill="FFFFFF"/>
            <w:noWrap/>
            <w:vAlign w:val="center"/>
            <w:hideMark/>
          </w:tcPr>
          <w:p w14:paraId="13F1957E" w14:textId="77777777" w:rsidR="00766C27" w:rsidRPr="00D618B7" w:rsidRDefault="00766C27" w:rsidP="004B11B7">
            <w:pPr>
              <w:jc w:val="right"/>
              <w:rPr>
                <w:color w:val="000000"/>
                <w:sz w:val="22"/>
                <w:szCs w:val="22"/>
              </w:rPr>
            </w:pPr>
            <w:r w:rsidRPr="00D618B7">
              <w:rPr>
                <w:color w:val="000000"/>
                <w:sz w:val="22"/>
                <w:szCs w:val="22"/>
              </w:rPr>
              <w:t>-0.02</w:t>
            </w:r>
          </w:p>
        </w:tc>
        <w:tc>
          <w:tcPr>
            <w:tcW w:w="641" w:type="pct"/>
            <w:tcBorders>
              <w:top w:val="nil"/>
              <w:left w:val="nil"/>
              <w:bottom w:val="single" w:sz="18" w:space="0" w:color="auto"/>
              <w:right w:val="nil"/>
            </w:tcBorders>
            <w:shd w:val="clear" w:color="000000" w:fill="FFFFFF"/>
            <w:noWrap/>
            <w:vAlign w:val="center"/>
            <w:hideMark/>
          </w:tcPr>
          <w:p w14:paraId="3600B6B3" w14:textId="77777777" w:rsidR="00766C27" w:rsidRPr="00D618B7" w:rsidRDefault="00766C27" w:rsidP="004B11B7">
            <w:pPr>
              <w:jc w:val="right"/>
              <w:rPr>
                <w:color w:val="000000"/>
                <w:sz w:val="22"/>
                <w:szCs w:val="22"/>
              </w:rPr>
            </w:pPr>
            <w:r w:rsidRPr="00D618B7">
              <w:rPr>
                <w:color w:val="000000"/>
                <w:sz w:val="22"/>
                <w:szCs w:val="22"/>
              </w:rPr>
              <w:t>1.33</w:t>
            </w:r>
          </w:p>
        </w:tc>
        <w:tc>
          <w:tcPr>
            <w:tcW w:w="898" w:type="pct"/>
            <w:tcBorders>
              <w:top w:val="nil"/>
              <w:left w:val="nil"/>
              <w:bottom w:val="single" w:sz="18" w:space="0" w:color="auto"/>
              <w:right w:val="nil"/>
            </w:tcBorders>
            <w:shd w:val="clear" w:color="000000" w:fill="FFFFFF"/>
            <w:noWrap/>
            <w:vAlign w:val="center"/>
            <w:hideMark/>
          </w:tcPr>
          <w:p w14:paraId="546DC625" w14:textId="77777777" w:rsidR="00766C27" w:rsidRPr="00D618B7" w:rsidRDefault="00766C27" w:rsidP="004B11B7">
            <w:pPr>
              <w:jc w:val="right"/>
              <w:rPr>
                <w:color w:val="000000"/>
                <w:sz w:val="22"/>
                <w:szCs w:val="22"/>
              </w:rPr>
            </w:pPr>
            <w:r w:rsidRPr="00D618B7">
              <w:rPr>
                <w:color w:val="000000"/>
                <w:sz w:val="22"/>
                <w:szCs w:val="22"/>
              </w:rPr>
              <w:t>0.60</w:t>
            </w:r>
          </w:p>
        </w:tc>
        <w:tc>
          <w:tcPr>
            <w:tcW w:w="642" w:type="pct"/>
            <w:tcBorders>
              <w:top w:val="nil"/>
              <w:left w:val="nil"/>
              <w:bottom w:val="single" w:sz="18" w:space="0" w:color="auto"/>
              <w:right w:val="nil"/>
            </w:tcBorders>
            <w:shd w:val="clear" w:color="000000" w:fill="FFFFFF"/>
            <w:noWrap/>
            <w:vAlign w:val="center"/>
            <w:hideMark/>
          </w:tcPr>
          <w:p w14:paraId="12576079" w14:textId="77777777" w:rsidR="00766C27" w:rsidRPr="00D618B7" w:rsidRDefault="00766C27" w:rsidP="004B11B7">
            <w:pPr>
              <w:jc w:val="right"/>
              <w:rPr>
                <w:color w:val="000000"/>
                <w:sz w:val="22"/>
                <w:szCs w:val="22"/>
              </w:rPr>
            </w:pPr>
            <w:r w:rsidRPr="00D618B7">
              <w:rPr>
                <w:color w:val="000000"/>
                <w:sz w:val="22"/>
                <w:szCs w:val="22"/>
              </w:rPr>
              <w:t>1.33</w:t>
            </w:r>
          </w:p>
        </w:tc>
      </w:tr>
    </w:tbl>
    <w:p w14:paraId="1001E52A" w14:textId="77777777" w:rsidR="00766C27" w:rsidRPr="00D618B7" w:rsidRDefault="00766C27" w:rsidP="00766C27">
      <w:pPr>
        <w:rPr>
          <w:i/>
          <w:iCs/>
        </w:rPr>
      </w:pPr>
    </w:p>
    <w:p w14:paraId="09EDBCFE" w14:textId="0C34F4F2" w:rsidR="00D35BFB" w:rsidRPr="00D618B7" w:rsidRDefault="00766C27">
      <w:r w:rsidRPr="00D618B7">
        <w:rPr>
          <w:i/>
          <w:iCs/>
        </w:rPr>
        <w:t>Note</w:t>
      </w:r>
      <w:r w:rsidRPr="00D618B7">
        <w:t>: This table lists the estimated mean frequency and standard errors for face, hand, and mouth events for toy-out-of-reach, toy-moving-into-reach, and toy-in-reach for each week of observation around reach-onset.</w:t>
      </w:r>
      <w:r w:rsidR="00D35BFB" w:rsidRPr="00D618B7">
        <w:br w:type="page"/>
      </w:r>
    </w:p>
    <w:p w14:paraId="79474882" w14:textId="6E2D3FE7" w:rsidR="004B7288" w:rsidRPr="00D618B7" w:rsidRDefault="004B7288" w:rsidP="007C5074">
      <w:pPr>
        <w:pStyle w:val="Caption"/>
      </w:pPr>
      <w:bookmarkStart w:id="139" w:name="_Toc172716841"/>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13</w:t>
      </w:r>
      <w:r w:rsidR="00000000">
        <w:rPr>
          <w:noProof/>
        </w:rPr>
        <w:fldChar w:fldCharType="end"/>
      </w:r>
      <w:r w:rsidR="008839D5" w:rsidRPr="00D618B7">
        <w:t>:</w:t>
      </w:r>
      <w:r w:rsidR="008839D5" w:rsidRPr="00D618B7">
        <w:rPr>
          <w:rFonts w:eastAsia="Aptos"/>
          <w:kern w:val="2"/>
          <w:sz w:val="22"/>
          <w:szCs w:val="22"/>
        </w:rPr>
        <w:t xml:space="preserve"> Event rates by week</w:t>
      </w:r>
      <w:bookmarkEnd w:id="139"/>
    </w:p>
    <w:p w14:paraId="1BBE6ADE" w14:textId="66A594B8" w:rsidR="00D35BFB" w:rsidRPr="00D618B7" w:rsidRDefault="00D35BFB" w:rsidP="00D35BFB">
      <w:r w:rsidRPr="00D618B7">
        <w:t xml:space="preserve">Estimated Mean </w:t>
      </w:r>
      <w:r w:rsidR="00AF3223" w:rsidRPr="00D618B7">
        <w:t xml:space="preserve">Event Rates </w:t>
      </w:r>
      <w:r w:rsidRPr="00D618B7">
        <w:t>per Trial by Week</w:t>
      </w:r>
    </w:p>
    <w:tbl>
      <w:tblPr>
        <w:tblW w:w="5052" w:type="pct"/>
        <w:tblLook w:val="04A0" w:firstRow="1" w:lastRow="0" w:firstColumn="1" w:lastColumn="0" w:noHBand="0" w:noVBand="1"/>
      </w:tblPr>
      <w:tblGrid>
        <w:gridCol w:w="3886"/>
        <w:gridCol w:w="2422"/>
        <w:gridCol w:w="2422"/>
      </w:tblGrid>
      <w:tr w:rsidR="00D35BFB" w:rsidRPr="00D618B7" w14:paraId="0D453D15" w14:textId="77777777" w:rsidTr="008839D5">
        <w:trPr>
          <w:trHeight w:val="267"/>
        </w:trPr>
        <w:tc>
          <w:tcPr>
            <w:tcW w:w="2226" w:type="pct"/>
            <w:tcBorders>
              <w:top w:val="single" w:sz="4" w:space="0" w:color="auto"/>
              <w:left w:val="nil"/>
              <w:bottom w:val="single" w:sz="8" w:space="0" w:color="auto"/>
              <w:right w:val="nil"/>
            </w:tcBorders>
            <w:shd w:val="clear" w:color="000000" w:fill="FFFFFF"/>
            <w:vAlign w:val="center"/>
            <w:hideMark/>
          </w:tcPr>
          <w:p w14:paraId="731697F2" w14:textId="77777777" w:rsidR="00D35BFB" w:rsidRPr="00D618B7" w:rsidRDefault="00D35BFB" w:rsidP="004B11B7">
            <w:pPr>
              <w:rPr>
                <w:color w:val="000000"/>
                <w:sz w:val="22"/>
                <w:szCs w:val="22"/>
              </w:rPr>
            </w:pPr>
            <w:r w:rsidRPr="00D618B7">
              <w:rPr>
                <w:color w:val="000000"/>
                <w:sz w:val="22"/>
                <w:szCs w:val="22"/>
              </w:rPr>
              <w:t>Week</w:t>
            </w:r>
          </w:p>
        </w:tc>
        <w:tc>
          <w:tcPr>
            <w:tcW w:w="1387" w:type="pct"/>
            <w:tcBorders>
              <w:top w:val="single" w:sz="4" w:space="0" w:color="auto"/>
              <w:left w:val="nil"/>
              <w:bottom w:val="single" w:sz="8" w:space="0" w:color="auto"/>
              <w:right w:val="nil"/>
            </w:tcBorders>
            <w:shd w:val="clear" w:color="000000" w:fill="FFFFFF"/>
            <w:noWrap/>
            <w:vAlign w:val="center"/>
            <w:hideMark/>
          </w:tcPr>
          <w:p w14:paraId="44D00754" w14:textId="77777777" w:rsidR="00D35BFB" w:rsidRPr="00D618B7" w:rsidRDefault="00D35BFB" w:rsidP="004B11B7">
            <w:pPr>
              <w:jc w:val="right"/>
              <w:rPr>
                <w:color w:val="000000"/>
                <w:sz w:val="22"/>
                <w:szCs w:val="22"/>
              </w:rPr>
            </w:pPr>
            <w:r w:rsidRPr="00D618B7">
              <w:rPr>
                <w:color w:val="000000"/>
                <w:sz w:val="22"/>
                <w:szCs w:val="22"/>
              </w:rPr>
              <w:t>Mean</w:t>
            </w:r>
          </w:p>
        </w:tc>
        <w:tc>
          <w:tcPr>
            <w:tcW w:w="1387" w:type="pct"/>
            <w:tcBorders>
              <w:top w:val="single" w:sz="4" w:space="0" w:color="auto"/>
              <w:left w:val="nil"/>
              <w:bottom w:val="single" w:sz="8" w:space="0" w:color="auto"/>
              <w:right w:val="nil"/>
            </w:tcBorders>
            <w:shd w:val="clear" w:color="000000" w:fill="FFFFFF"/>
            <w:noWrap/>
            <w:vAlign w:val="center"/>
            <w:hideMark/>
          </w:tcPr>
          <w:p w14:paraId="7BB5ECAA" w14:textId="77777777" w:rsidR="00D35BFB" w:rsidRPr="00D618B7" w:rsidRDefault="00D35BFB" w:rsidP="004B11B7">
            <w:pPr>
              <w:jc w:val="right"/>
              <w:rPr>
                <w:color w:val="000000"/>
                <w:sz w:val="22"/>
                <w:szCs w:val="22"/>
              </w:rPr>
            </w:pPr>
            <w:r w:rsidRPr="00D618B7">
              <w:rPr>
                <w:color w:val="000000"/>
                <w:sz w:val="22"/>
                <w:szCs w:val="22"/>
              </w:rPr>
              <w:t>Std. Error</w:t>
            </w:r>
          </w:p>
        </w:tc>
      </w:tr>
      <w:tr w:rsidR="00A4029D" w:rsidRPr="00D618B7" w14:paraId="1493E2FF" w14:textId="77777777" w:rsidTr="008839D5">
        <w:trPr>
          <w:trHeight w:val="267"/>
        </w:trPr>
        <w:tc>
          <w:tcPr>
            <w:tcW w:w="2226" w:type="pct"/>
            <w:tcBorders>
              <w:top w:val="nil"/>
              <w:left w:val="nil"/>
              <w:bottom w:val="nil"/>
              <w:right w:val="nil"/>
            </w:tcBorders>
            <w:shd w:val="clear" w:color="000000" w:fill="FFFFFF"/>
            <w:vAlign w:val="center"/>
            <w:hideMark/>
          </w:tcPr>
          <w:p w14:paraId="344503E7" w14:textId="77777777" w:rsidR="00A4029D" w:rsidRPr="00D618B7" w:rsidRDefault="00A4029D" w:rsidP="00A4029D">
            <w:pPr>
              <w:jc w:val="center"/>
              <w:rPr>
                <w:color w:val="000000"/>
                <w:sz w:val="22"/>
                <w:szCs w:val="22"/>
              </w:rPr>
            </w:pPr>
            <w:r w:rsidRPr="00D618B7">
              <w:rPr>
                <w:color w:val="000000"/>
                <w:sz w:val="22"/>
                <w:szCs w:val="22"/>
              </w:rPr>
              <w:t>-5</w:t>
            </w:r>
          </w:p>
        </w:tc>
        <w:tc>
          <w:tcPr>
            <w:tcW w:w="1387" w:type="pct"/>
            <w:tcBorders>
              <w:top w:val="nil"/>
              <w:left w:val="nil"/>
              <w:bottom w:val="nil"/>
              <w:right w:val="nil"/>
            </w:tcBorders>
            <w:shd w:val="clear" w:color="000000" w:fill="FFFFFF"/>
            <w:noWrap/>
            <w:vAlign w:val="center"/>
            <w:hideMark/>
          </w:tcPr>
          <w:p w14:paraId="56B39460" w14:textId="153D7D69" w:rsidR="00A4029D" w:rsidRPr="00D618B7" w:rsidRDefault="00A4029D" w:rsidP="00A4029D">
            <w:pPr>
              <w:jc w:val="right"/>
              <w:rPr>
                <w:color w:val="000000"/>
                <w:sz w:val="22"/>
                <w:szCs w:val="22"/>
              </w:rPr>
            </w:pPr>
            <w:r w:rsidRPr="00D618B7">
              <w:rPr>
                <w:color w:val="000000"/>
                <w:sz w:val="22"/>
                <w:szCs w:val="22"/>
              </w:rPr>
              <w:t>0.0032</w:t>
            </w:r>
          </w:p>
        </w:tc>
        <w:tc>
          <w:tcPr>
            <w:tcW w:w="1387" w:type="pct"/>
            <w:tcBorders>
              <w:top w:val="nil"/>
              <w:left w:val="nil"/>
              <w:bottom w:val="nil"/>
              <w:right w:val="nil"/>
            </w:tcBorders>
            <w:shd w:val="clear" w:color="000000" w:fill="FFFFFF"/>
            <w:noWrap/>
            <w:vAlign w:val="center"/>
            <w:hideMark/>
          </w:tcPr>
          <w:p w14:paraId="42501073" w14:textId="0603F516" w:rsidR="00A4029D" w:rsidRPr="00D618B7" w:rsidRDefault="00A4029D" w:rsidP="00A4029D">
            <w:pPr>
              <w:jc w:val="right"/>
              <w:rPr>
                <w:color w:val="000000"/>
                <w:sz w:val="22"/>
                <w:szCs w:val="22"/>
              </w:rPr>
            </w:pPr>
            <w:r w:rsidRPr="00D618B7">
              <w:rPr>
                <w:color w:val="000000"/>
                <w:sz w:val="22"/>
                <w:szCs w:val="22"/>
              </w:rPr>
              <w:t>0.0016</w:t>
            </w:r>
          </w:p>
        </w:tc>
      </w:tr>
      <w:tr w:rsidR="00A4029D" w:rsidRPr="00D618B7" w14:paraId="5937E4C7" w14:textId="77777777" w:rsidTr="008839D5">
        <w:trPr>
          <w:trHeight w:val="267"/>
        </w:trPr>
        <w:tc>
          <w:tcPr>
            <w:tcW w:w="2226" w:type="pct"/>
            <w:tcBorders>
              <w:top w:val="nil"/>
              <w:left w:val="nil"/>
              <w:bottom w:val="nil"/>
              <w:right w:val="nil"/>
            </w:tcBorders>
            <w:shd w:val="clear" w:color="000000" w:fill="FFFFFF"/>
            <w:vAlign w:val="center"/>
            <w:hideMark/>
          </w:tcPr>
          <w:p w14:paraId="0878149A" w14:textId="77777777" w:rsidR="00A4029D" w:rsidRPr="00D618B7" w:rsidRDefault="00A4029D" w:rsidP="00A4029D">
            <w:pPr>
              <w:jc w:val="center"/>
              <w:rPr>
                <w:color w:val="000000"/>
                <w:sz w:val="22"/>
                <w:szCs w:val="22"/>
              </w:rPr>
            </w:pPr>
            <w:r w:rsidRPr="00D618B7">
              <w:rPr>
                <w:color w:val="000000"/>
                <w:sz w:val="22"/>
                <w:szCs w:val="22"/>
              </w:rPr>
              <w:t>-4</w:t>
            </w:r>
          </w:p>
        </w:tc>
        <w:tc>
          <w:tcPr>
            <w:tcW w:w="1387" w:type="pct"/>
            <w:tcBorders>
              <w:top w:val="nil"/>
              <w:left w:val="nil"/>
              <w:bottom w:val="nil"/>
              <w:right w:val="nil"/>
            </w:tcBorders>
            <w:shd w:val="clear" w:color="000000" w:fill="FFFFFF"/>
            <w:noWrap/>
            <w:vAlign w:val="center"/>
            <w:hideMark/>
          </w:tcPr>
          <w:p w14:paraId="01BB01C2" w14:textId="42822DB6" w:rsidR="00A4029D" w:rsidRPr="00D618B7" w:rsidRDefault="00A4029D" w:rsidP="00A4029D">
            <w:pPr>
              <w:jc w:val="right"/>
              <w:rPr>
                <w:color w:val="000000"/>
                <w:sz w:val="22"/>
                <w:szCs w:val="22"/>
              </w:rPr>
            </w:pPr>
            <w:r w:rsidRPr="00D618B7">
              <w:rPr>
                <w:color w:val="000000"/>
                <w:sz w:val="22"/>
                <w:szCs w:val="22"/>
              </w:rPr>
              <w:t>0.0004</w:t>
            </w:r>
          </w:p>
        </w:tc>
        <w:tc>
          <w:tcPr>
            <w:tcW w:w="1387" w:type="pct"/>
            <w:tcBorders>
              <w:top w:val="nil"/>
              <w:left w:val="nil"/>
              <w:bottom w:val="nil"/>
              <w:right w:val="nil"/>
            </w:tcBorders>
            <w:shd w:val="clear" w:color="000000" w:fill="FFFFFF"/>
            <w:noWrap/>
            <w:vAlign w:val="center"/>
            <w:hideMark/>
          </w:tcPr>
          <w:p w14:paraId="7E3F3096" w14:textId="52856F6B" w:rsidR="00A4029D" w:rsidRPr="00D618B7" w:rsidRDefault="00A4029D" w:rsidP="00A4029D">
            <w:pPr>
              <w:jc w:val="right"/>
              <w:rPr>
                <w:color w:val="000000"/>
                <w:sz w:val="22"/>
                <w:szCs w:val="22"/>
              </w:rPr>
            </w:pPr>
            <w:r w:rsidRPr="00D618B7">
              <w:rPr>
                <w:color w:val="000000"/>
                <w:sz w:val="22"/>
                <w:szCs w:val="22"/>
              </w:rPr>
              <w:t>0.0014</w:t>
            </w:r>
          </w:p>
        </w:tc>
      </w:tr>
      <w:tr w:rsidR="00A4029D" w:rsidRPr="00D618B7" w14:paraId="41D69052" w14:textId="77777777" w:rsidTr="008839D5">
        <w:trPr>
          <w:trHeight w:val="267"/>
        </w:trPr>
        <w:tc>
          <w:tcPr>
            <w:tcW w:w="2226" w:type="pct"/>
            <w:tcBorders>
              <w:top w:val="nil"/>
              <w:left w:val="nil"/>
              <w:bottom w:val="nil"/>
              <w:right w:val="nil"/>
            </w:tcBorders>
            <w:shd w:val="clear" w:color="000000" w:fill="FFFFFF"/>
            <w:vAlign w:val="center"/>
            <w:hideMark/>
          </w:tcPr>
          <w:p w14:paraId="505081A1" w14:textId="77777777" w:rsidR="00A4029D" w:rsidRPr="00D618B7" w:rsidRDefault="00A4029D" w:rsidP="00A4029D">
            <w:pPr>
              <w:jc w:val="center"/>
              <w:rPr>
                <w:color w:val="000000"/>
                <w:sz w:val="22"/>
                <w:szCs w:val="22"/>
              </w:rPr>
            </w:pPr>
            <w:r w:rsidRPr="00D618B7">
              <w:rPr>
                <w:color w:val="000000"/>
                <w:sz w:val="22"/>
                <w:szCs w:val="22"/>
              </w:rPr>
              <w:t>-3</w:t>
            </w:r>
          </w:p>
        </w:tc>
        <w:tc>
          <w:tcPr>
            <w:tcW w:w="1387" w:type="pct"/>
            <w:tcBorders>
              <w:top w:val="nil"/>
              <w:left w:val="nil"/>
              <w:bottom w:val="nil"/>
              <w:right w:val="nil"/>
            </w:tcBorders>
            <w:shd w:val="clear" w:color="000000" w:fill="FFFFFF"/>
            <w:noWrap/>
            <w:vAlign w:val="center"/>
            <w:hideMark/>
          </w:tcPr>
          <w:p w14:paraId="3B89E770" w14:textId="5E424945" w:rsidR="00A4029D" w:rsidRPr="00D618B7" w:rsidRDefault="00A4029D" w:rsidP="00A4029D">
            <w:pPr>
              <w:jc w:val="right"/>
              <w:rPr>
                <w:color w:val="000000"/>
                <w:sz w:val="22"/>
                <w:szCs w:val="22"/>
              </w:rPr>
            </w:pPr>
            <w:r w:rsidRPr="00D618B7">
              <w:rPr>
                <w:color w:val="000000"/>
                <w:sz w:val="22"/>
                <w:szCs w:val="22"/>
              </w:rPr>
              <w:t>0.0045</w:t>
            </w:r>
          </w:p>
        </w:tc>
        <w:tc>
          <w:tcPr>
            <w:tcW w:w="1387" w:type="pct"/>
            <w:tcBorders>
              <w:top w:val="nil"/>
              <w:left w:val="nil"/>
              <w:bottom w:val="nil"/>
              <w:right w:val="nil"/>
            </w:tcBorders>
            <w:shd w:val="clear" w:color="000000" w:fill="FFFFFF"/>
            <w:noWrap/>
            <w:vAlign w:val="center"/>
            <w:hideMark/>
          </w:tcPr>
          <w:p w14:paraId="34808762" w14:textId="4D3C107C" w:rsidR="00A4029D" w:rsidRPr="00D618B7" w:rsidRDefault="00A4029D" w:rsidP="00A4029D">
            <w:pPr>
              <w:jc w:val="right"/>
              <w:rPr>
                <w:color w:val="000000"/>
                <w:sz w:val="22"/>
                <w:szCs w:val="22"/>
              </w:rPr>
            </w:pPr>
            <w:r w:rsidRPr="00D618B7">
              <w:rPr>
                <w:color w:val="000000"/>
                <w:sz w:val="22"/>
                <w:szCs w:val="22"/>
              </w:rPr>
              <w:t>0.0014</w:t>
            </w:r>
          </w:p>
        </w:tc>
      </w:tr>
      <w:tr w:rsidR="00A4029D" w:rsidRPr="00D618B7" w14:paraId="284EB0A9" w14:textId="77777777" w:rsidTr="008839D5">
        <w:trPr>
          <w:trHeight w:val="267"/>
        </w:trPr>
        <w:tc>
          <w:tcPr>
            <w:tcW w:w="2226" w:type="pct"/>
            <w:tcBorders>
              <w:top w:val="nil"/>
              <w:left w:val="nil"/>
              <w:bottom w:val="nil"/>
              <w:right w:val="nil"/>
            </w:tcBorders>
            <w:shd w:val="clear" w:color="000000" w:fill="FFFFFF"/>
            <w:vAlign w:val="center"/>
            <w:hideMark/>
          </w:tcPr>
          <w:p w14:paraId="5F6B6BD5" w14:textId="77777777" w:rsidR="00A4029D" w:rsidRPr="00D618B7" w:rsidRDefault="00A4029D" w:rsidP="00A4029D">
            <w:pPr>
              <w:jc w:val="center"/>
              <w:rPr>
                <w:color w:val="000000"/>
                <w:sz w:val="22"/>
                <w:szCs w:val="22"/>
              </w:rPr>
            </w:pPr>
            <w:r w:rsidRPr="00D618B7">
              <w:rPr>
                <w:color w:val="000000"/>
                <w:sz w:val="22"/>
                <w:szCs w:val="22"/>
              </w:rPr>
              <w:t>-2</w:t>
            </w:r>
          </w:p>
        </w:tc>
        <w:tc>
          <w:tcPr>
            <w:tcW w:w="1387" w:type="pct"/>
            <w:tcBorders>
              <w:top w:val="nil"/>
              <w:left w:val="nil"/>
              <w:bottom w:val="nil"/>
              <w:right w:val="nil"/>
            </w:tcBorders>
            <w:shd w:val="clear" w:color="000000" w:fill="FFFFFF"/>
            <w:noWrap/>
            <w:vAlign w:val="center"/>
            <w:hideMark/>
          </w:tcPr>
          <w:p w14:paraId="3714C69C" w14:textId="0F72B346" w:rsidR="00A4029D" w:rsidRPr="00D618B7" w:rsidRDefault="00A4029D" w:rsidP="00A4029D">
            <w:pPr>
              <w:jc w:val="right"/>
              <w:rPr>
                <w:color w:val="000000"/>
                <w:sz w:val="22"/>
                <w:szCs w:val="22"/>
              </w:rPr>
            </w:pPr>
            <w:r w:rsidRPr="00D618B7">
              <w:rPr>
                <w:color w:val="000000"/>
                <w:sz w:val="22"/>
                <w:szCs w:val="22"/>
              </w:rPr>
              <w:t>0.0027</w:t>
            </w:r>
          </w:p>
        </w:tc>
        <w:tc>
          <w:tcPr>
            <w:tcW w:w="1387" w:type="pct"/>
            <w:tcBorders>
              <w:top w:val="nil"/>
              <w:left w:val="nil"/>
              <w:bottom w:val="nil"/>
              <w:right w:val="nil"/>
            </w:tcBorders>
            <w:shd w:val="clear" w:color="000000" w:fill="FFFFFF"/>
            <w:noWrap/>
            <w:vAlign w:val="center"/>
            <w:hideMark/>
          </w:tcPr>
          <w:p w14:paraId="33142EA8" w14:textId="4030CE1C" w:rsidR="00A4029D" w:rsidRPr="00D618B7" w:rsidRDefault="00A4029D" w:rsidP="00A4029D">
            <w:pPr>
              <w:jc w:val="right"/>
              <w:rPr>
                <w:color w:val="000000"/>
                <w:sz w:val="22"/>
                <w:szCs w:val="22"/>
              </w:rPr>
            </w:pPr>
            <w:r w:rsidRPr="00D618B7">
              <w:rPr>
                <w:color w:val="000000"/>
                <w:sz w:val="22"/>
                <w:szCs w:val="22"/>
              </w:rPr>
              <w:t>0.0013</w:t>
            </w:r>
          </w:p>
        </w:tc>
      </w:tr>
      <w:tr w:rsidR="00A4029D" w:rsidRPr="00D618B7" w14:paraId="7196D859" w14:textId="77777777" w:rsidTr="008839D5">
        <w:trPr>
          <w:trHeight w:val="267"/>
        </w:trPr>
        <w:tc>
          <w:tcPr>
            <w:tcW w:w="2226" w:type="pct"/>
            <w:tcBorders>
              <w:top w:val="nil"/>
              <w:left w:val="nil"/>
              <w:bottom w:val="nil"/>
              <w:right w:val="nil"/>
            </w:tcBorders>
            <w:shd w:val="clear" w:color="000000" w:fill="FFFFFF"/>
            <w:vAlign w:val="center"/>
            <w:hideMark/>
          </w:tcPr>
          <w:p w14:paraId="6DDBFDC3" w14:textId="77777777" w:rsidR="00A4029D" w:rsidRPr="00D618B7" w:rsidRDefault="00A4029D" w:rsidP="00A4029D">
            <w:pPr>
              <w:jc w:val="center"/>
              <w:rPr>
                <w:color w:val="000000"/>
                <w:sz w:val="22"/>
                <w:szCs w:val="22"/>
              </w:rPr>
            </w:pPr>
            <w:r w:rsidRPr="00D618B7">
              <w:rPr>
                <w:color w:val="000000"/>
                <w:sz w:val="22"/>
                <w:szCs w:val="22"/>
              </w:rPr>
              <w:t>-1</w:t>
            </w:r>
          </w:p>
        </w:tc>
        <w:tc>
          <w:tcPr>
            <w:tcW w:w="1387" w:type="pct"/>
            <w:tcBorders>
              <w:top w:val="nil"/>
              <w:left w:val="nil"/>
              <w:bottom w:val="nil"/>
              <w:right w:val="nil"/>
            </w:tcBorders>
            <w:shd w:val="clear" w:color="000000" w:fill="FFFFFF"/>
            <w:noWrap/>
            <w:vAlign w:val="center"/>
            <w:hideMark/>
          </w:tcPr>
          <w:p w14:paraId="2BA30ECA" w14:textId="16467798" w:rsidR="00A4029D" w:rsidRPr="00D618B7" w:rsidRDefault="00A4029D" w:rsidP="00A4029D">
            <w:pPr>
              <w:jc w:val="right"/>
              <w:rPr>
                <w:color w:val="000000"/>
                <w:sz w:val="22"/>
                <w:szCs w:val="22"/>
              </w:rPr>
            </w:pPr>
            <w:r w:rsidRPr="00D618B7">
              <w:rPr>
                <w:color w:val="000000"/>
                <w:sz w:val="22"/>
                <w:szCs w:val="22"/>
              </w:rPr>
              <w:t>0.0049</w:t>
            </w:r>
          </w:p>
        </w:tc>
        <w:tc>
          <w:tcPr>
            <w:tcW w:w="1387" w:type="pct"/>
            <w:tcBorders>
              <w:top w:val="nil"/>
              <w:left w:val="nil"/>
              <w:bottom w:val="nil"/>
              <w:right w:val="nil"/>
            </w:tcBorders>
            <w:shd w:val="clear" w:color="000000" w:fill="FFFFFF"/>
            <w:noWrap/>
            <w:vAlign w:val="center"/>
            <w:hideMark/>
          </w:tcPr>
          <w:p w14:paraId="297B130E" w14:textId="0ADBD6BB" w:rsidR="00A4029D" w:rsidRPr="00D618B7" w:rsidRDefault="00A4029D" w:rsidP="00A4029D">
            <w:pPr>
              <w:jc w:val="right"/>
              <w:rPr>
                <w:color w:val="000000"/>
                <w:sz w:val="22"/>
                <w:szCs w:val="22"/>
              </w:rPr>
            </w:pPr>
            <w:r w:rsidRPr="00D618B7">
              <w:rPr>
                <w:color w:val="000000"/>
                <w:sz w:val="22"/>
                <w:szCs w:val="22"/>
              </w:rPr>
              <w:t>0.0013</w:t>
            </w:r>
          </w:p>
        </w:tc>
      </w:tr>
      <w:tr w:rsidR="00A4029D" w:rsidRPr="00D618B7" w14:paraId="5D5F5354" w14:textId="77777777" w:rsidTr="008839D5">
        <w:trPr>
          <w:trHeight w:val="267"/>
        </w:trPr>
        <w:tc>
          <w:tcPr>
            <w:tcW w:w="2226" w:type="pct"/>
            <w:tcBorders>
              <w:top w:val="nil"/>
              <w:left w:val="nil"/>
              <w:bottom w:val="nil"/>
              <w:right w:val="nil"/>
            </w:tcBorders>
            <w:shd w:val="clear" w:color="000000" w:fill="FFFFFF"/>
            <w:vAlign w:val="center"/>
            <w:hideMark/>
          </w:tcPr>
          <w:p w14:paraId="42F6CD7C" w14:textId="77777777" w:rsidR="00A4029D" w:rsidRPr="00D618B7" w:rsidRDefault="00A4029D" w:rsidP="00A4029D">
            <w:pPr>
              <w:jc w:val="center"/>
              <w:rPr>
                <w:color w:val="000000"/>
                <w:sz w:val="22"/>
                <w:szCs w:val="22"/>
              </w:rPr>
            </w:pPr>
            <w:r w:rsidRPr="00D618B7">
              <w:rPr>
                <w:color w:val="000000"/>
                <w:sz w:val="22"/>
                <w:szCs w:val="22"/>
              </w:rPr>
              <w:t>0</w:t>
            </w:r>
          </w:p>
        </w:tc>
        <w:tc>
          <w:tcPr>
            <w:tcW w:w="1387" w:type="pct"/>
            <w:tcBorders>
              <w:top w:val="nil"/>
              <w:left w:val="nil"/>
              <w:bottom w:val="nil"/>
              <w:right w:val="nil"/>
            </w:tcBorders>
            <w:shd w:val="clear" w:color="000000" w:fill="FFFFFF"/>
            <w:noWrap/>
            <w:vAlign w:val="center"/>
            <w:hideMark/>
          </w:tcPr>
          <w:p w14:paraId="1135F154" w14:textId="037237C0" w:rsidR="00A4029D" w:rsidRPr="00D618B7" w:rsidRDefault="00A4029D" w:rsidP="00A4029D">
            <w:pPr>
              <w:jc w:val="right"/>
              <w:rPr>
                <w:color w:val="000000"/>
                <w:sz w:val="22"/>
                <w:szCs w:val="22"/>
              </w:rPr>
            </w:pPr>
            <w:r w:rsidRPr="00D618B7">
              <w:rPr>
                <w:color w:val="000000"/>
                <w:sz w:val="22"/>
                <w:szCs w:val="22"/>
              </w:rPr>
              <w:t>0.0047</w:t>
            </w:r>
          </w:p>
        </w:tc>
        <w:tc>
          <w:tcPr>
            <w:tcW w:w="1387" w:type="pct"/>
            <w:tcBorders>
              <w:top w:val="nil"/>
              <w:left w:val="nil"/>
              <w:bottom w:val="nil"/>
              <w:right w:val="nil"/>
            </w:tcBorders>
            <w:shd w:val="clear" w:color="000000" w:fill="FFFFFF"/>
            <w:noWrap/>
            <w:vAlign w:val="center"/>
            <w:hideMark/>
          </w:tcPr>
          <w:p w14:paraId="5D77F0D7" w14:textId="304AF36B" w:rsidR="00A4029D" w:rsidRPr="00D618B7" w:rsidRDefault="00A4029D" w:rsidP="00A4029D">
            <w:pPr>
              <w:jc w:val="right"/>
              <w:rPr>
                <w:color w:val="000000"/>
                <w:sz w:val="22"/>
                <w:szCs w:val="22"/>
              </w:rPr>
            </w:pPr>
            <w:r w:rsidRPr="00D618B7">
              <w:rPr>
                <w:color w:val="000000"/>
                <w:sz w:val="22"/>
                <w:szCs w:val="22"/>
              </w:rPr>
              <w:t>0.0012</w:t>
            </w:r>
          </w:p>
        </w:tc>
      </w:tr>
      <w:tr w:rsidR="00A4029D" w:rsidRPr="00D618B7" w14:paraId="17A4B0E1" w14:textId="77777777" w:rsidTr="008839D5">
        <w:trPr>
          <w:trHeight w:val="267"/>
        </w:trPr>
        <w:tc>
          <w:tcPr>
            <w:tcW w:w="2226" w:type="pct"/>
            <w:tcBorders>
              <w:top w:val="nil"/>
              <w:left w:val="nil"/>
              <w:bottom w:val="nil"/>
              <w:right w:val="nil"/>
            </w:tcBorders>
            <w:shd w:val="clear" w:color="000000" w:fill="FFFFFF"/>
            <w:vAlign w:val="center"/>
            <w:hideMark/>
          </w:tcPr>
          <w:p w14:paraId="2D0C9495" w14:textId="77777777" w:rsidR="00A4029D" w:rsidRPr="00D618B7" w:rsidRDefault="00A4029D" w:rsidP="00A4029D">
            <w:pPr>
              <w:jc w:val="center"/>
              <w:rPr>
                <w:color w:val="000000"/>
                <w:sz w:val="22"/>
                <w:szCs w:val="22"/>
              </w:rPr>
            </w:pPr>
            <w:r w:rsidRPr="00D618B7">
              <w:rPr>
                <w:color w:val="000000"/>
                <w:sz w:val="22"/>
                <w:szCs w:val="22"/>
              </w:rPr>
              <w:t>1</w:t>
            </w:r>
          </w:p>
        </w:tc>
        <w:tc>
          <w:tcPr>
            <w:tcW w:w="1387" w:type="pct"/>
            <w:tcBorders>
              <w:top w:val="nil"/>
              <w:left w:val="nil"/>
              <w:bottom w:val="nil"/>
              <w:right w:val="nil"/>
            </w:tcBorders>
            <w:shd w:val="clear" w:color="000000" w:fill="FFFFFF"/>
            <w:noWrap/>
            <w:vAlign w:val="center"/>
            <w:hideMark/>
          </w:tcPr>
          <w:p w14:paraId="56ACF484" w14:textId="48A91CDD" w:rsidR="00A4029D" w:rsidRPr="00D618B7" w:rsidRDefault="00A4029D" w:rsidP="00A4029D">
            <w:pPr>
              <w:jc w:val="right"/>
              <w:rPr>
                <w:color w:val="000000"/>
                <w:sz w:val="22"/>
                <w:szCs w:val="22"/>
              </w:rPr>
            </w:pPr>
            <w:r w:rsidRPr="00D618B7">
              <w:rPr>
                <w:color w:val="000000"/>
                <w:sz w:val="22"/>
                <w:szCs w:val="22"/>
              </w:rPr>
              <w:t>0.0049</w:t>
            </w:r>
          </w:p>
        </w:tc>
        <w:tc>
          <w:tcPr>
            <w:tcW w:w="1387" w:type="pct"/>
            <w:tcBorders>
              <w:top w:val="nil"/>
              <w:left w:val="nil"/>
              <w:bottom w:val="nil"/>
              <w:right w:val="nil"/>
            </w:tcBorders>
            <w:shd w:val="clear" w:color="000000" w:fill="FFFFFF"/>
            <w:noWrap/>
            <w:vAlign w:val="center"/>
            <w:hideMark/>
          </w:tcPr>
          <w:p w14:paraId="442D445E" w14:textId="15E589DF" w:rsidR="00A4029D" w:rsidRPr="00D618B7" w:rsidRDefault="00A4029D" w:rsidP="00A4029D">
            <w:pPr>
              <w:jc w:val="right"/>
              <w:rPr>
                <w:color w:val="000000"/>
                <w:sz w:val="22"/>
                <w:szCs w:val="22"/>
              </w:rPr>
            </w:pPr>
            <w:r w:rsidRPr="00D618B7">
              <w:rPr>
                <w:color w:val="000000"/>
                <w:sz w:val="22"/>
                <w:szCs w:val="22"/>
              </w:rPr>
              <w:t>0.0012</w:t>
            </w:r>
          </w:p>
        </w:tc>
      </w:tr>
      <w:tr w:rsidR="00A4029D" w:rsidRPr="00D618B7" w14:paraId="55E9AEB7" w14:textId="77777777" w:rsidTr="008839D5">
        <w:trPr>
          <w:trHeight w:val="267"/>
        </w:trPr>
        <w:tc>
          <w:tcPr>
            <w:tcW w:w="2226" w:type="pct"/>
            <w:tcBorders>
              <w:top w:val="nil"/>
              <w:left w:val="nil"/>
              <w:bottom w:val="nil"/>
              <w:right w:val="nil"/>
            </w:tcBorders>
            <w:shd w:val="clear" w:color="000000" w:fill="FFFFFF"/>
            <w:vAlign w:val="center"/>
            <w:hideMark/>
          </w:tcPr>
          <w:p w14:paraId="24225C57" w14:textId="77777777" w:rsidR="00A4029D" w:rsidRPr="00D618B7" w:rsidRDefault="00A4029D" w:rsidP="00A4029D">
            <w:pPr>
              <w:jc w:val="center"/>
              <w:rPr>
                <w:color w:val="000000"/>
                <w:sz w:val="22"/>
                <w:szCs w:val="22"/>
              </w:rPr>
            </w:pPr>
            <w:r w:rsidRPr="00D618B7">
              <w:rPr>
                <w:color w:val="000000"/>
                <w:sz w:val="22"/>
                <w:szCs w:val="22"/>
              </w:rPr>
              <w:t>2</w:t>
            </w:r>
          </w:p>
        </w:tc>
        <w:tc>
          <w:tcPr>
            <w:tcW w:w="1387" w:type="pct"/>
            <w:tcBorders>
              <w:top w:val="nil"/>
              <w:left w:val="nil"/>
              <w:bottom w:val="nil"/>
              <w:right w:val="nil"/>
            </w:tcBorders>
            <w:shd w:val="clear" w:color="000000" w:fill="FFFFFF"/>
            <w:noWrap/>
            <w:vAlign w:val="center"/>
            <w:hideMark/>
          </w:tcPr>
          <w:p w14:paraId="553D3CB6" w14:textId="33FC69B3" w:rsidR="00A4029D" w:rsidRPr="00D618B7" w:rsidRDefault="00A4029D" w:rsidP="00A4029D">
            <w:pPr>
              <w:jc w:val="right"/>
              <w:rPr>
                <w:color w:val="000000"/>
                <w:sz w:val="22"/>
                <w:szCs w:val="22"/>
              </w:rPr>
            </w:pPr>
            <w:r w:rsidRPr="00D618B7">
              <w:rPr>
                <w:color w:val="000000"/>
                <w:sz w:val="22"/>
                <w:szCs w:val="22"/>
              </w:rPr>
              <w:t>0.0032</w:t>
            </w:r>
          </w:p>
        </w:tc>
        <w:tc>
          <w:tcPr>
            <w:tcW w:w="1387" w:type="pct"/>
            <w:tcBorders>
              <w:top w:val="nil"/>
              <w:left w:val="nil"/>
              <w:bottom w:val="nil"/>
              <w:right w:val="nil"/>
            </w:tcBorders>
            <w:shd w:val="clear" w:color="000000" w:fill="FFFFFF"/>
            <w:noWrap/>
            <w:vAlign w:val="center"/>
            <w:hideMark/>
          </w:tcPr>
          <w:p w14:paraId="294EFA6B" w14:textId="5E403E68" w:rsidR="00A4029D" w:rsidRPr="00D618B7" w:rsidRDefault="00A4029D" w:rsidP="00A4029D">
            <w:pPr>
              <w:jc w:val="right"/>
              <w:rPr>
                <w:color w:val="000000"/>
                <w:sz w:val="22"/>
                <w:szCs w:val="22"/>
              </w:rPr>
            </w:pPr>
            <w:r w:rsidRPr="00D618B7">
              <w:rPr>
                <w:color w:val="000000"/>
                <w:sz w:val="22"/>
                <w:szCs w:val="22"/>
              </w:rPr>
              <w:t>0.0014</w:t>
            </w:r>
          </w:p>
        </w:tc>
      </w:tr>
      <w:tr w:rsidR="00A4029D" w:rsidRPr="00D618B7" w14:paraId="3B52CF3B" w14:textId="77777777" w:rsidTr="008839D5">
        <w:trPr>
          <w:trHeight w:val="267"/>
        </w:trPr>
        <w:tc>
          <w:tcPr>
            <w:tcW w:w="2226" w:type="pct"/>
            <w:tcBorders>
              <w:top w:val="nil"/>
              <w:left w:val="nil"/>
              <w:bottom w:val="nil"/>
              <w:right w:val="nil"/>
            </w:tcBorders>
            <w:shd w:val="clear" w:color="000000" w:fill="FFFFFF"/>
            <w:vAlign w:val="center"/>
            <w:hideMark/>
          </w:tcPr>
          <w:p w14:paraId="00E08624" w14:textId="77777777" w:rsidR="00A4029D" w:rsidRPr="00D618B7" w:rsidRDefault="00A4029D" w:rsidP="00A4029D">
            <w:pPr>
              <w:jc w:val="center"/>
              <w:rPr>
                <w:color w:val="000000"/>
                <w:sz w:val="22"/>
                <w:szCs w:val="22"/>
              </w:rPr>
            </w:pPr>
            <w:r w:rsidRPr="00D618B7">
              <w:rPr>
                <w:color w:val="000000"/>
                <w:sz w:val="22"/>
                <w:szCs w:val="22"/>
              </w:rPr>
              <w:t>3</w:t>
            </w:r>
          </w:p>
        </w:tc>
        <w:tc>
          <w:tcPr>
            <w:tcW w:w="1387" w:type="pct"/>
            <w:tcBorders>
              <w:top w:val="nil"/>
              <w:left w:val="nil"/>
              <w:bottom w:val="nil"/>
              <w:right w:val="nil"/>
            </w:tcBorders>
            <w:shd w:val="clear" w:color="000000" w:fill="FFFFFF"/>
            <w:noWrap/>
            <w:vAlign w:val="center"/>
            <w:hideMark/>
          </w:tcPr>
          <w:p w14:paraId="4086B685" w14:textId="5C9FACA4" w:rsidR="00A4029D" w:rsidRPr="00D618B7" w:rsidRDefault="00A4029D" w:rsidP="00A4029D">
            <w:pPr>
              <w:jc w:val="right"/>
              <w:rPr>
                <w:color w:val="000000"/>
                <w:sz w:val="22"/>
                <w:szCs w:val="22"/>
              </w:rPr>
            </w:pPr>
            <w:r w:rsidRPr="00D618B7">
              <w:rPr>
                <w:color w:val="000000"/>
                <w:sz w:val="22"/>
                <w:szCs w:val="22"/>
              </w:rPr>
              <w:t>0.0021</w:t>
            </w:r>
          </w:p>
        </w:tc>
        <w:tc>
          <w:tcPr>
            <w:tcW w:w="1387" w:type="pct"/>
            <w:tcBorders>
              <w:top w:val="nil"/>
              <w:left w:val="nil"/>
              <w:bottom w:val="nil"/>
              <w:right w:val="nil"/>
            </w:tcBorders>
            <w:shd w:val="clear" w:color="000000" w:fill="FFFFFF"/>
            <w:noWrap/>
            <w:vAlign w:val="center"/>
            <w:hideMark/>
          </w:tcPr>
          <w:p w14:paraId="0B14E2F0" w14:textId="761235F8" w:rsidR="00A4029D" w:rsidRPr="00D618B7" w:rsidRDefault="00A4029D" w:rsidP="00A4029D">
            <w:pPr>
              <w:jc w:val="right"/>
              <w:rPr>
                <w:color w:val="000000"/>
                <w:sz w:val="22"/>
                <w:szCs w:val="22"/>
              </w:rPr>
            </w:pPr>
            <w:r w:rsidRPr="00D618B7">
              <w:rPr>
                <w:color w:val="000000"/>
                <w:sz w:val="22"/>
                <w:szCs w:val="22"/>
              </w:rPr>
              <w:t>0.0011</w:t>
            </w:r>
          </w:p>
        </w:tc>
      </w:tr>
      <w:tr w:rsidR="00A4029D" w:rsidRPr="00D618B7" w14:paraId="5CE3A241" w14:textId="77777777" w:rsidTr="008839D5">
        <w:trPr>
          <w:trHeight w:val="267"/>
        </w:trPr>
        <w:tc>
          <w:tcPr>
            <w:tcW w:w="2226" w:type="pct"/>
            <w:tcBorders>
              <w:top w:val="nil"/>
              <w:left w:val="nil"/>
              <w:bottom w:val="nil"/>
              <w:right w:val="nil"/>
            </w:tcBorders>
            <w:shd w:val="clear" w:color="000000" w:fill="FFFFFF"/>
            <w:vAlign w:val="center"/>
            <w:hideMark/>
          </w:tcPr>
          <w:p w14:paraId="72E4CD31" w14:textId="77777777" w:rsidR="00A4029D" w:rsidRPr="00D618B7" w:rsidRDefault="00A4029D" w:rsidP="00A4029D">
            <w:pPr>
              <w:jc w:val="center"/>
              <w:rPr>
                <w:color w:val="000000"/>
                <w:sz w:val="22"/>
                <w:szCs w:val="22"/>
              </w:rPr>
            </w:pPr>
            <w:r w:rsidRPr="00D618B7">
              <w:rPr>
                <w:color w:val="000000"/>
                <w:sz w:val="22"/>
                <w:szCs w:val="22"/>
              </w:rPr>
              <w:t>4</w:t>
            </w:r>
          </w:p>
        </w:tc>
        <w:tc>
          <w:tcPr>
            <w:tcW w:w="1387" w:type="pct"/>
            <w:tcBorders>
              <w:top w:val="nil"/>
              <w:left w:val="nil"/>
              <w:bottom w:val="nil"/>
              <w:right w:val="nil"/>
            </w:tcBorders>
            <w:shd w:val="clear" w:color="000000" w:fill="FFFFFF"/>
            <w:noWrap/>
            <w:vAlign w:val="center"/>
            <w:hideMark/>
          </w:tcPr>
          <w:p w14:paraId="4EA0CAEF" w14:textId="1F3391C6" w:rsidR="00A4029D" w:rsidRPr="00D618B7" w:rsidRDefault="00A4029D" w:rsidP="00A4029D">
            <w:pPr>
              <w:jc w:val="right"/>
              <w:rPr>
                <w:color w:val="000000"/>
                <w:sz w:val="22"/>
                <w:szCs w:val="22"/>
              </w:rPr>
            </w:pPr>
            <w:r w:rsidRPr="00D618B7">
              <w:rPr>
                <w:color w:val="000000"/>
                <w:sz w:val="22"/>
                <w:szCs w:val="22"/>
              </w:rPr>
              <w:t>0.0049</w:t>
            </w:r>
          </w:p>
        </w:tc>
        <w:tc>
          <w:tcPr>
            <w:tcW w:w="1387" w:type="pct"/>
            <w:tcBorders>
              <w:top w:val="nil"/>
              <w:left w:val="nil"/>
              <w:bottom w:val="nil"/>
              <w:right w:val="nil"/>
            </w:tcBorders>
            <w:shd w:val="clear" w:color="000000" w:fill="FFFFFF"/>
            <w:noWrap/>
            <w:vAlign w:val="center"/>
            <w:hideMark/>
          </w:tcPr>
          <w:p w14:paraId="09960FAA" w14:textId="04446209" w:rsidR="00A4029D" w:rsidRPr="00D618B7" w:rsidRDefault="00A4029D" w:rsidP="00A4029D">
            <w:pPr>
              <w:jc w:val="right"/>
              <w:rPr>
                <w:color w:val="000000"/>
                <w:sz w:val="22"/>
                <w:szCs w:val="22"/>
              </w:rPr>
            </w:pPr>
            <w:r w:rsidRPr="00D618B7">
              <w:rPr>
                <w:color w:val="000000"/>
                <w:sz w:val="22"/>
                <w:szCs w:val="22"/>
              </w:rPr>
              <w:t>0.0013</w:t>
            </w:r>
          </w:p>
        </w:tc>
      </w:tr>
      <w:tr w:rsidR="00A4029D" w:rsidRPr="00D618B7" w14:paraId="0418FAA6" w14:textId="77777777" w:rsidTr="008839D5">
        <w:trPr>
          <w:trHeight w:val="267"/>
        </w:trPr>
        <w:tc>
          <w:tcPr>
            <w:tcW w:w="2226" w:type="pct"/>
            <w:tcBorders>
              <w:top w:val="nil"/>
              <w:left w:val="nil"/>
              <w:bottom w:val="single" w:sz="8" w:space="0" w:color="auto"/>
              <w:right w:val="nil"/>
            </w:tcBorders>
            <w:shd w:val="clear" w:color="000000" w:fill="FFFFFF"/>
            <w:vAlign w:val="center"/>
            <w:hideMark/>
          </w:tcPr>
          <w:p w14:paraId="23D48BFB" w14:textId="77777777" w:rsidR="00A4029D" w:rsidRPr="00D618B7" w:rsidRDefault="00A4029D" w:rsidP="00A4029D">
            <w:pPr>
              <w:jc w:val="center"/>
              <w:rPr>
                <w:color w:val="000000"/>
                <w:sz w:val="22"/>
                <w:szCs w:val="22"/>
              </w:rPr>
            </w:pPr>
            <w:r w:rsidRPr="00D618B7">
              <w:rPr>
                <w:color w:val="000000"/>
                <w:sz w:val="22"/>
                <w:szCs w:val="22"/>
              </w:rPr>
              <w:t>5</w:t>
            </w:r>
          </w:p>
        </w:tc>
        <w:tc>
          <w:tcPr>
            <w:tcW w:w="1387" w:type="pct"/>
            <w:tcBorders>
              <w:top w:val="nil"/>
              <w:left w:val="nil"/>
              <w:bottom w:val="single" w:sz="8" w:space="0" w:color="auto"/>
              <w:right w:val="nil"/>
            </w:tcBorders>
            <w:shd w:val="clear" w:color="000000" w:fill="FFFFFF"/>
            <w:noWrap/>
            <w:vAlign w:val="center"/>
            <w:hideMark/>
          </w:tcPr>
          <w:p w14:paraId="2C0AD308" w14:textId="77FA2BDC" w:rsidR="00A4029D" w:rsidRPr="00D618B7" w:rsidRDefault="00A4029D" w:rsidP="00A4029D">
            <w:pPr>
              <w:jc w:val="right"/>
              <w:rPr>
                <w:color w:val="000000"/>
                <w:sz w:val="22"/>
                <w:szCs w:val="22"/>
              </w:rPr>
            </w:pPr>
            <w:r w:rsidRPr="00D618B7">
              <w:rPr>
                <w:color w:val="000000"/>
                <w:sz w:val="22"/>
                <w:szCs w:val="22"/>
              </w:rPr>
              <w:t>0.0016</w:t>
            </w:r>
          </w:p>
        </w:tc>
        <w:tc>
          <w:tcPr>
            <w:tcW w:w="1387" w:type="pct"/>
            <w:tcBorders>
              <w:top w:val="nil"/>
              <w:left w:val="nil"/>
              <w:bottom w:val="single" w:sz="8" w:space="0" w:color="auto"/>
              <w:right w:val="nil"/>
            </w:tcBorders>
            <w:shd w:val="clear" w:color="000000" w:fill="FFFFFF"/>
            <w:noWrap/>
            <w:vAlign w:val="center"/>
            <w:hideMark/>
          </w:tcPr>
          <w:p w14:paraId="364EB23F" w14:textId="4594B168" w:rsidR="00A4029D" w:rsidRPr="00D618B7" w:rsidRDefault="00A4029D" w:rsidP="00A4029D">
            <w:pPr>
              <w:jc w:val="right"/>
              <w:rPr>
                <w:color w:val="000000"/>
                <w:sz w:val="22"/>
                <w:szCs w:val="22"/>
              </w:rPr>
            </w:pPr>
            <w:r w:rsidRPr="00D618B7">
              <w:rPr>
                <w:color w:val="000000"/>
                <w:sz w:val="22"/>
                <w:szCs w:val="22"/>
              </w:rPr>
              <w:t>0.0014</w:t>
            </w:r>
          </w:p>
        </w:tc>
      </w:tr>
    </w:tbl>
    <w:p w14:paraId="4D546B06" w14:textId="77777777" w:rsidR="00D35BFB" w:rsidRPr="00D618B7" w:rsidRDefault="00D35BFB" w:rsidP="00D35BFB">
      <w:pPr>
        <w:rPr>
          <w:i/>
          <w:iCs/>
        </w:rPr>
      </w:pPr>
    </w:p>
    <w:p w14:paraId="3A9AB247" w14:textId="77777777" w:rsidR="00D35BFB" w:rsidRPr="00D618B7" w:rsidRDefault="00D35BFB" w:rsidP="00D35BFB">
      <w:r w:rsidRPr="00D618B7">
        <w:rPr>
          <w:i/>
          <w:iCs/>
        </w:rPr>
        <w:t>Note</w:t>
      </w:r>
      <w:r w:rsidRPr="00D618B7">
        <w:t>: This table lists the estimated mean event Rates and standard errors for each week of observation around reach-onset.</w:t>
      </w:r>
    </w:p>
    <w:p w14:paraId="6535F96F" w14:textId="77777777" w:rsidR="00EE3953" w:rsidRPr="00D618B7" w:rsidRDefault="00EE3953" w:rsidP="00EE3953"/>
    <w:p w14:paraId="19231F59" w14:textId="14840AF1" w:rsidR="00A4029D" w:rsidRPr="00D618B7" w:rsidRDefault="004B7288" w:rsidP="007C5074">
      <w:pPr>
        <w:pStyle w:val="Caption"/>
      </w:pPr>
      <w:bookmarkStart w:id="140" w:name="_Toc172716842"/>
      <w:r w:rsidRPr="00D618B7">
        <w:t xml:space="preserve">Table </w:t>
      </w:r>
      <w:r w:rsidR="00000000">
        <w:fldChar w:fldCharType="begin"/>
      </w:r>
      <w:r w:rsidR="00000000">
        <w:instrText xml:space="preserve"> SEQ Table \* ARABIC </w:instrText>
      </w:r>
      <w:r w:rsidR="00000000">
        <w:fldChar w:fldCharType="separate"/>
      </w:r>
      <w:r w:rsidR="000C6E43">
        <w:rPr>
          <w:noProof/>
        </w:rPr>
        <w:t>14</w:t>
      </w:r>
      <w:r w:rsidR="00000000">
        <w:rPr>
          <w:noProof/>
        </w:rPr>
        <w:fldChar w:fldCharType="end"/>
      </w:r>
      <w:r w:rsidR="008839D5" w:rsidRPr="00D618B7">
        <w:t xml:space="preserve">: </w:t>
      </w:r>
      <w:r w:rsidR="008839D5" w:rsidRPr="00D618B7">
        <w:rPr>
          <w:rFonts w:eastAsia="Aptos"/>
          <w:kern w:val="2"/>
          <w:sz w:val="22"/>
          <w:szCs w:val="22"/>
        </w:rPr>
        <w:t>Event rates by type</w:t>
      </w:r>
      <w:bookmarkEnd w:id="140"/>
    </w:p>
    <w:p w14:paraId="7376635C" w14:textId="7A80BF59" w:rsidR="00A4029D" w:rsidRPr="00D618B7" w:rsidRDefault="00A4029D" w:rsidP="00A4029D">
      <w:r w:rsidRPr="00D618B7">
        <w:t xml:space="preserve">Estimated Mean </w:t>
      </w:r>
      <w:r w:rsidR="00AF3223" w:rsidRPr="00D618B7">
        <w:t xml:space="preserve">Event Rates </w:t>
      </w:r>
      <w:r w:rsidRPr="00D618B7">
        <w:t>per Trial by Type</w:t>
      </w:r>
    </w:p>
    <w:p w14:paraId="1FCEABF2" w14:textId="77777777" w:rsidR="00A4029D" w:rsidRPr="00D618B7" w:rsidRDefault="00A4029D" w:rsidP="00A4029D">
      <w:pPr>
        <w:rPr>
          <w:b/>
          <w:bCs/>
        </w:rPr>
      </w:pPr>
    </w:p>
    <w:tbl>
      <w:tblPr>
        <w:tblW w:w="5000" w:type="pct"/>
        <w:tblLook w:val="04A0" w:firstRow="1" w:lastRow="0" w:firstColumn="1" w:lastColumn="0" w:noHBand="0" w:noVBand="1"/>
      </w:tblPr>
      <w:tblGrid>
        <w:gridCol w:w="3961"/>
        <w:gridCol w:w="1559"/>
        <w:gridCol w:w="1560"/>
        <w:gridCol w:w="1560"/>
      </w:tblGrid>
      <w:tr w:rsidR="00A4029D" w:rsidRPr="00D618B7" w14:paraId="2A5A7E53" w14:textId="77777777" w:rsidTr="004B11B7">
        <w:trPr>
          <w:trHeight w:val="345"/>
        </w:trPr>
        <w:tc>
          <w:tcPr>
            <w:tcW w:w="2292" w:type="pct"/>
            <w:tcBorders>
              <w:top w:val="single" w:sz="4" w:space="0" w:color="auto"/>
              <w:left w:val="nil"/>
              <w:bottom w:val="single" w:sz="8" w:space="0" w:color="auto"/>
              <w:right w:val="nil"/>
            </w:tcBorders>
            <w:shd w:val="clear" w:color="000000" w:fill="FFFFFF"/>
            <w:vAlign w:val="center"/>
            <w:hideMark/>
          </w:tcPr>
          <w:p w14:paraId="56A72F91" w14:textId="77777777" w:rsidR="00A4029D" w:rsidRPr="00D618B7" w:rsidRDefault="00A4029D" w:rsidP="004B11B7">
            <w:pPr>
              <w:rPr>
                <w:color w:val="000000"/>
              </w:rPr>
            </w:pPr>
            <w:r w:rsidRPr="00D618B7">
              <w:rPr>
                <w:color w:val="000000"/>
              </w:rPr>
              <w:t>Week</w:t>
            </w:r>
          </w:p>
        </w:tc>
        <w:tc>
          <w:tcPr>
            <w:tcW w:w="902" w:type="pct"/>
            <w:tcBorders>
              <w:top w:val="single" w:sz="4" w:space="0" w:color="auto"/>
              <w:left w:val="nil"/>
              <w:bottom w:val="single" w:sz="8" w:space="0" w:color="auto"/>
              <w:right w:val="nil"/>
            </w:tcBorders>
            <w:shd w:val="clear" w:color="000000" w:fill="FFFFFF"/>
            <w:noWrap/>
            <w:vAlign w:val="center"/>
            <w:hideMark/>
          </w:tcPr>
          <w:p w14:paraId="66D8A08B" w14:textId="77777777" w:rsidR="00A4029D" w:rsidRPr="00D618B7" w:rsidRDefault="00A4029D" w:rsidP="004B11B7">
            <w:pPr>
              <w:jc w:val="right"/>
              <w:rPr>
                <w:color w:val="000000"/>
              </w:rPr>
            </w:pPr>
            <w:r w:rsidRPr="00D618B7">
              <w:rPr>
                <w:color w:val="000000"/>
              </w:rPr>
              <w:t>Mean</w:t>
            </w:r>
          </w:p>
        </w:tc>
        <w:tc>
          <w:tcPr>
            <w:tcW w:w="903" w:type="pct"/>
            <w:tcBorders>
              <w:top w:val="single" w:sz="4" w:space="0" w:color="auto"/>
              <w:left w:val="nil"/>
              <w:bottom w:val="single" w:sz="8" w:space="0" w:color="auto"/>
              <w:right w:val="nil"/>
            </w:tcBorders>
            <w:shd w:val="clear" w:color="000000" w:fill="FFFFFF"/>
          </w:tcPr>
          <w:p w14:paraId="1F93F0A8" w14:textId="77777777" w:rsidR="00A4029D" w:rsidRPr="00D618B7" w:rsidRDefault="00A4029D" w:rsidP="004B11B7">
            <w:pPr>
              <w:jc w:val="right"/>
              <w:rPr>
                <w:color w:val="000000"/>
              </w:rPr>
            </w:pPr>
          </w:p>
        </w:tc>
        <w:tc>
          <w:tcPr>
            <w:tcW w:w="903" w:type="pct"/>
            <w:tcBorders>
              <w:top w:val="single" w:sz="4" w:space="0" w:color="auto"/>
              <w:left w:val="nil"/>
              <w:bottom w:val="single" w:sz="8" w:space="0" w:color="auto"/>
              <w:right w:val="nil"/>
            </w:tcBorders>
            <w:shd w:val="clear" w:color="000000" w:fill="FFFFFF"/>
            <w:noWrap/>
            <w:vAlign w:val="center"/>
            <w:hideMark/>
          </w:tcPr>
          <w:p w14:paraId="09840FB0" w14:textId="77777777" w:rsidR="00A4029D" w:rsidRPr="00D618B7" w:rsidRDefault="00A4029D" w:rsidP="004B11B7">
            <w:pPr>
              <w:jc w:val="right"/>
              <w:rPr>
                <w:color w:val="000000"/>
              </w:rPr>
            </w:pPr>
            <w:r w:rsidRPr="00D618B7">
              <w:rPr>
                <w:color w:val="000000"/>
              </w:rPr>
              <w:t>Std. Error</w:t>
            </w:r>
          </w:p>
        </w:tc>
      </w:tr>
      <w:tr w:rsidR="00A4029D" w:rsidRPr="00D618B7" w14:paraId="370E6D22" w14:textId="77777777" w:rsidTr="004B11B7">
        <w:trPr>
          <w:trHeight w:val="345"/>
        </w:trPr>
        <w:tc>
          <w:tcPr>
            <w:tcW w:w="2292" w:type="pct"/>
            <w:tcBorders>
              <w:top w:val="nil"/>
              <w:left w:val="nil"/>
              <w:bottom w:val="nil"/>
              <w:right w:val="nil"/>
            </w:tcBorders>
            <w:shd w:val="clear" w:color="000000" w:fill="FFFFFF"/>
            <w:vAlign w:val="center"/>
            <w:hideMark/>
          </w:tcPr>
          <w:p w14:paraId="6CACF025" w14:textId="77777777" w:rsidR="00A4029D" w:rsidRPr="00D618B7" w:rsidRDefault="00A4029D" w:rsidP="004B11B7">
            <w:pPr>
              <w:rPr>
                <w:color w:val="000000"/>
              </w:rPr>
            </w:pPr>
            <w:r w:rsidRPr="00D618B7">
              <w:rPr>
                <w:color w:val="000000"/>
              </w:rPr>
              <w:t>Face</w:t>
            </w:r>
          </w:p>
        </w:tc>
        <w:tc>
          <w:tcPr>
            <w:tcW w:w="902" w:type="pct"/>
            <w:tcBorders>
              <w:top w:val="nil"/>
              <w:left w:val="nil"/>
              <w:bottom w:val="nil"/>
              <w:right w:val="nil"/>
            </w:tcBorders>
            <w:shd w:val="clear" w:color="000000" w:fill="FFFFFF"/>
            <w:noWrap/>
            <w:vAlign w:val="center"/>
            <w:hideMark/>
          </w:tcPr>
          <w:p w14:paraId="4185ABE9" w14:textId="77777777" w:rsidR="00A4029D" w:rsidRPr="00D618B7" w:rsidRDefault="00A4029D" w:rsidP="004B11B7">
            <w:pPr>
              <w:jc w:val="right"/>
              <w:rPr>
                <w:color w:val="000000"/>
              </w:rPr>
            </w:pPr>
            <w:r w:rsidRPr="00D618B7">
              <w:rPr>
                <w:color w:val="000000"/>
                <w:sz w:val="22"/>
                <w:szCs w:val="22"/>
              </w:rPr>
              <w:t>0.0019</w:t>
            </w:r>
          </w:p>
        </w:tc>
        <w:tc>
          <w:tcPr>
            <w:tcW w:w="903" w:type="pct"/>
            <w:tcBorders>
              <w:top w:val="nil"/>
              <w:left w:val="nil"/>
              <w:bottom w:val="nil"/>
              <w:right w:val="nil"/>
            </w:tcBorders>
            <w:shd w:val="clear" w:color="000000" w:fill="FFFFFF"/>
            <w:vAlign w:val="center"/>
          </w:tcPr>
          <w:p w14:paraId="4020D5D9" w14:textId="77777777" w:rsidR="00A4029D" w:rsidRPr="00D618B7" w:rsidRDefault="00A4029D" w:rsidP="004B11B7">
            <w:pPr>
              <w:jc w:val="right"/>
              <w:rPr>
                <w:color w:val="000000"/>
              </w:rPr>
            </w:pPr>
            <w:r w:rsidRPr="00D618B7">
              <w:rPr>
                <w:color w:val="000000"/>
                <w:sz w:val="22"/>
                <w:szCs w:val="22"/>
              </w:rPr>
              <w:t>0.0007</w:t>
            </w:r>
          </w:p>
        </w:tc>
        <w:tc>
          <w:tcPr>
            <w:tcW w:w="903" w:type="pct"/>
            <w:tcBorders>
              <w:top w:val="nil"/>
              <w:left w:val="nil"/>
              <w:bottom w:val="nil"/>
              <w:right w:val="nil"/>
            </w:tcBorders>
            <w:shd w:val="clear" w:color="000000" w:fill="FFFFFF"/>
            <w:noWrap/>
            <w:vAlign w:val="center"/>
            <w:hideMark/>
          </w:tcPr>
          <w:p w14:paraId="46B8B542" w14:textId="77777777" w:rsidR="00A4029D" w:rsidRPr="00D618B7" w:rsidRDefault="00A4029D" w:rsidP="004B11B7">
            <w:pPr>
              <w:jc w:val="right"/>
              <w:rPr>
                <w:color w:val="000000"/>
              </w:rPr>
            </w:pPr>
            <w:r w:rsidRPr="00D618B7">
              <w:rPr>
                <w:color w:val="000000"/>
                <w:sz w:val="22"/>
                <w:szCs w:val="22"/>
              </w:rPr>
              <w:t>0.0019</w:t>
            </w:r>
          </w:p>
        </w:tc>
      </w:tr>
      <w:tr w:rsidR="00A4029D" w:rsidRPr="00D618B7" w14:paraId="7FB12A92" w14:textId="77777777" w:rsidTr="004B11B7">
        <w:trPr>
          <w:trHeight w:val="345"/>
        </w:trPr>
        <w:tc>
          <w:tcPr>
            <w:tcW w:w="2292" w:type="pct"/>
            <w:tcBorders>
              <w:top w:val="nil"/>
              <w:left w:val="nil"/>
              <w:bottom w:val="nil"/>
              <w:right w:val="nil"/>
            </w:tcBorders>
            <w:shd w:val="clear" w:color="000000" w:fill="FFFFFF"/>
            <w:vAlign w:val="center"/>
            <w:hideMark/>
          </w:tcPr>
          <w:p w14:paraId="3F7D881E" w14:textId="77777777" w:rsidR="00A4029D" w:rsidRPr="00D618B7" w:rsidRDefault="00A4029D" w:rsidP="004B11B7">
            <w:pPr>
              <w:rPr>
                <w:color w:val="000000"/>
              </w:rPr>
            </w:pPr>
            <w:r w:rsidRPr="00D618B7">
              <w:rPr>
                <w:color w:val="000000"/>
              </w:rPr>
              <w:t>Hand</w:t>
            </w:r>
          </w:p>
        </w:tc>
        <w:tc>
          <w:tcPr>
            <w:tcW w:w="902" w:type="pct"/>
            <w:tcBorders>
              <w:top w:val="nil"/>
              <w:left w:val="nil"/>
              <w:bottom w:val="nil"/>
              <w:right w:val="nil"/>
            </w:tcBorders>
            <w:shd w:val="clear" w:color="000000" w:fill="FFFFFF"/>
            <w:noWrap/>
            <w:vAlign w:val="center"/>
            <w:hideMark/>
          </w:tcPr>
          <w:p w14:paraId="4DDBCDC6" w14:textId="77777777" w:rsidR="00A4029D" w:rsidRPr="00D618B7" w:rsidRDefault="00A4029D" w:rsidP="004B11B7">
            <w:pPr>
              <w:jc w:val="right"/>
              <w:rPr>
                <w:color w:val="000000"/>
              </w:rPr>
            </w:pPr>
            <w:r w:rsidRPr="00D618B7">
              <w:rPr>
                <w:color w:val="000000"/>
                <w:sz w:val="22"/>
                <w:szCs w:val="22"/>
              </w:rPr>
              <w:t>0.0008</w:t>
            </w:r>
          </w:p>
        </w:tc>
        <w:tc>
          <w:tcPr>
            <w:tcW w:w="903" w:type="pct"/>
            <w:tcBorders>
              <w:top w:val="nil"/>
              <w:left w:val="nil"/>
              <w:bottom w:val="nil"/>
              <w:right w:val="nil"/>
            </w:tcBorders>
            <w:shd w:val="clear" w:color="000000" w:fill="FFFFFF"/>
            <w:vAlign w:val="center"/>
          </w:tcPr>
          <w:p w14:paraId="04720DD5" w14:textId="77777777" w:rsidR="00A4029D" w:rsidRPr="00D618B7" w:rsidRDefault="00A4029D" w:rsidP="004B11B7">
            <w:pPr>
              <w:jc w:val="right"/>
              <w:rPr>
                <w:color w:val="000000"/>
              </w:rPr>
            </w:pPr>
            <w:r w:rsidRPr="00D618B7">
              <w:rPr>
                <w:color w:val="000000"/>
                <w:sz w:val="22"/>
                <w:szCs w:val="22"/>
              </w:rPr>
              <w:t>0.0007</w:t>
            </w:r>
          </w:p>
        </w:tc>
        <w:tc>
          <w:tcPr>
            <w:tcW w:w="903" w:type="pct"/>
            <w:tcBorders>
              <w:top w:val="nil"/>
              <w:left w:val="nil"/>
              <w:bottom w:val="nil"/>
              <w:right w:val="nil"/>
            </w:tcBorders>
            <w:shd w:val="clear" w:color="000000" w:fill="FFFFFF"/>
            <w:noWrap/>
            <w:vAlign w:val="center"/>
            <w:hideMark/>
          </w:tcPr>
          <w:p w14:paraId="2689633F" w14:textId="77777777" w:rsidR="00A4029D" w:rsidRPr="00D618B7" w:rsidRDefault="00A4029D" w:rsidP="004B11B7">
            <w:pPr>
              <w:jc w:val="right"/>
              <w:rPr>
                <w:color w:val="000000"/>
              </w:rPr>
            </w:pPr>
            <w:r w:rsidRPr="00D618B7">
              <w:rPr>
                <w:color w:val="000000"/>
                <w:sz w:val="22"/>
                <w:szCs w:val="22"/>
              </w:rPr>
              <w:t>0.0008</w:t>
            </w:r>
          </w:p>
        </w:tc>
      </w:tr>
      <w:tr w:rsidR="00A4029D" w:rsidRPr="00D618B7" w14:paraId="4703F450" w14:textId="77777777" w:rsidTr="004B11B7">
        <w:trPr>
          <w:trHeight w:val="345"/>
        </w:trPr>
        <w:tc>
          <w:tcPr>
            <w:tcW w:w="2292" w:type="pct"/>
            <w:tcBorders>
              <w:top w:val="nil"/>
              <w:left w:val="nil"/>
              <w:bottom w:val="single" w:sz="8" w:space="0" w:color="auto"/>
              <w:right w:val="nil"/>
            </w:tcBorders>
            <w:shd w:val="clear" w:color="000000" w:fill="FFFFFF"/>
            <w:vAlign w:val="center"/>
            <w:hideMark/>
          </w:tcPr>
          <w:p w14:paraId="4ABB1634" w14:textId="77777777" w:rsidR="00A4029D" w:rsidRPr="00D618B7" w:rsidRDefault="00A4029D" w:rsidP="004B11B7">
            <w:pPr>
              <w:rPr>
                <w:color w:val="000000"/>
              </w:rPr>
            </w:pPr>
            <w:r w:rsidRPr="00D618B7">
              <w:rPr>
                <w:color w:val="000000"/>
              </w:rPr>
              <w:t>Mouth</w:t>
            </w:r>
          </w:p>
        </w:tc>
        <w:tc>
          <w:tcPr>
            <w:tcW w:w="902" w:type="pct"/>
            <w:tcBorders>
              <w:top w:val="nil"/>
              <w:left w:val="nil"/>
              <w:bottom w:val="single" w:sz="8" w:space="0" w:color="auto"/>
              <w:right w:val="nil"/>
            </w:tcBorders>
            <w:shd w:val="clear" w:color="000000" w:fill="FFFFFF"/>
            <w:noWrap/>
            <w:vAlign w:val="center"/>
            <w:hideMark/>
          </w:tcPr>
          <w:p w14:paraId="064FA9C7" w14:textId="77777777" w:rsidR="00A4029D" w:rsidRPr="00D618B7" w:rsidRDefault="00A4029D" w:rsidP="004B11B7">
            <w:pPr>
              <w:jc w:val="right"/>
              <w:rPr>
                <w:color w:val="000000"/>
              </w:rPr>
            </w:pPr>
            <w:r w:rsidRPr="00D618B7">
              <w:rPr>
                <w:color w:val="000000"/>
                <w:sz w:val="22"/>
                <w:szCs w:val="22"/>
              </w:rPr>
              <w:t>0.0074</w:t>
            </w:r>
          </w:p>
        </w:tc>
        <w:tc>
          <w:tcPr>
            <w:tcW w:w="903" w:type="pct"/>
            <w:tcBorders>
              <w:top w:val="nil"/>
              <w:left w:val="nil"/>
              <w:bottom w:val="single" w:sz="8" w:space="0" w:color="auto"/>
              <w:right w:val="nil"/>
            </w:tcBorders>
            <w:shd w:val="clear" w:color="000000" w:fill="FFFFFF"/>
            <w:vAlign w:val="center"/>
          </w:tcPr>
          <w:p w14:paraId="3930E573" w14:textId="77777777" w:rsidR="00A4029D" w:rsidRPr="00D618B7" w:rsidRDefault="00A4029D" w:rsidP="004B11B7">
            <w:pPr>
              <w:jc w:val="right"/>
              <w:rPr>
                <w:color w:val="000000"/>
              </w:rPr>
            </w:pPr>
            <w:r w:rsidRPr="00D618B7">
              <w:rPr>
                <w:color w:val="000000"/>
                <w:sz w:val="22"/>
                <w:szCs w:val="22"/>
              </w:rPr>
              <w:t>0.0007</w:t>
            </w:r>
          </w:p>
        </w:tc>
        <w:tc>
          <w:tcPr>
            <w:tcW w:w="903" w:type="pct"/>
            <w:tcBorders>
              <w:top w:val="nil"/>
              <w:left w:val="nil"/>
              <w:bottom w:val="single" w:sz="8" w:space="0" w:color="auto"/>
              <w:right w:val="nil"/>
            </w:tcBorders>
            <w:shd w:val="clear" w:color="000000" w:fill="FFFFFF"/>
            <w:noWrap/>
            <w:vAlign w:val="center"/>
            <w:hideMark/>
          </w:tcPr>
          <w:p w14:paraId="23DF426C" w14:textId="77777777" w:rsidR="00A4029D" w:rsidRPr="00D618B7" w:rsidRDefault="00A4029D" w:rsidP="004B11B7">
            <w:pPr>
              <w:jc w:val="right"/>
              <w:rPr>
                <w:color w:val="000000"/>
              </w:rPr>
            </w:pPr>
            <w:r w:rsidRPr="00D618B7">
              <w:rPr>
                <w:color w:val="000000"/>
                <w:sz w:val="22"/>
                <w:szCs w:val="22"/>
              </w:rPr>
              <w:t>0.0074</w:t>
            </w:r>
          </w:p>
        </w:tc>
      </w:tr>
      <w:tr w:rsidR="00A4029D" w:rsidRPr="00D618B7" w14:paraId="418D4507" w14:textId="77777777" w:rsidTr="004B11B7">
        <w:trPr>
          <w:trHeight w:val="345"/>
        </w:trPr>
        <w:tc>
          <w:tcPr>
            <w:tcW w:w="2292" w:type="pct"/>
            <w:tcBorders>
              <w:top w:val="nil"/>
              <w:left w:val="nil"/>
              <w:bottom w:val="nil"/>
              <w:right w:val="nil"/>
            </w:tcBorders>
            <w:shd w:val="clear" w:color="auto" w:fill="auto"/>
            <w:noWrap/>
            <w:vAlign w:val="bottom"/>
            <w:hideMark/>
          </w:tcPr>
          <w:p w14:paraId="7DC07B0C" w14:textId="77777777" w:rsidR="00A4029D" w:rsidRPr="00D618B7" w:rsidRDefault="00A4029D" w:rsidP="004B11B7">
            <w:pPr>
              <w:jc w:val="right"/>
              <w:rPr>
                <w:color w:val="000000"/>
              </w:rPr>
            </w:pPr>
          </w:p>
        </w:tc>
        <w:tc>
          <w:tcPr>
            <w:tcW w:w="902" w:type="pct"/>
            <w:tcBorders>
              <w:top w:val="nil"/>
              <w:left w:val="nil"/>
              <w:bottom w:val="nil"/>
              <w:right w:val="nil"/>
            </w:tcBorders>
            <w:shd w:val="clear" w:color="auto" w:fill="auto"/>
            <w:noWrap/>
            <w:vAlign w:val="bottom"/>
            <w:hideMark/>
          </w:tcPr>
          <w:p w14:paraId="5C3D8154" w14:textId="77777777" w:rsidR="00A4029D" w:rsidRPr="00D618B7" w:rsidRDefault="00A4029D" w:rsidP="004B11B7">
            <w:pPr>
              <w:rPr>
                <w:sz w:val="20"/>
                <w:szCs w:val="20"/>
              </w:rPr>
            </w:pPr>
          </w:p>
        </w:tc>
        <w:tc>
          <w:tcPr>
            <w:tcW w:w="903" w:type="pct"/>
            <w:tcBorders>
              <w:top w:val="nil"/>
              <w:left w:val="nil"/>
              <w:bottom w:val="nil"/>
              <w:right w:val="nil"/>
            </w:tcBorders>
          </w:tcPr>
          <w:p w14:paraId="3E976B07" w14:textId="77777777" w:rsidR="00A4029D" w:rsidRPr="00D618B7" w:rsidRDefault="00A4029D" w:rsidP="004B11B7">
            <w:pPr>
              <w:rPr>
                <w:sz w:val="20"/>
                <w:szCs w:val="20"/>
              </w:rPr>
            </w:pPr>
          </w:p>
        </w:tc>
        <w:tc>
          <w:tcPr>
            <w:tcW w:w="903" w:type="pct"/>
            <w:tcBorders>
              <w:top w:val="nil"/>
              <w:left w:val="nil"/>
              <w:bottom w:val="nil"/>
              <w:right w:val="nil"/>
            </w:tcBorders>
            <w:shd w:val="clear" w:color="auto" w:fill="auto"/>
            <w:noWrap/>
            <w:vAlign w:val="bottom"/>
            <w:hideMark/>
          </w:tcPr>
          <w:p w14:paraId="51F1BA84" w14:textId="77777777" w:rsidR="00A4029D" w:rsidRPr="00D618B7" w:rsidRDefault="00A4029D" w:rsidP="004B11B7">
            <w:pPr>
              <w:rPr>
                <w:sz w:val="20"/>
                <w:szCs w:val="20"/>
              </w:rPr>
            </w:pPr>
          </w:p>
        </w:tc>
      </w:tr>
    </w:tbl>
    <w:p w14:paraId="639DE6AC" w14:textId="77777777" w:rsidR="00A4029D" w:rsidRPr="00D618B7" w:rsidRDefault="00A4029D" w:rsidP="00A4029D">
      <w:r w:rsidRPr="00D618B7">
        <w:rPr>
          <w:i/>
          <w:iCs/>
        </w:rPr>
        <w:t>Note</w:t>
      </w:r>
      <w:r w:rsidRPr="00D618B7">
        <w:t>: This table lists the estimated mean Rates and standard errors for face, hand, and mouth events.</w:t>
      </w:r>
    </w:p>
    <w:p w14:paraId="67B2B02C" w14:textId="77777777" w:rsidR="00822CAA" w:rsidRPr="00D618B7" w:rsidRDefault="00822CAA" w:rsidP="00A4029D"/>
    <w:p w14:paraId="533E5A88" w14:textId="363C85F8" w:rsidR="00822CAA" w:rsidRPr="00D618B7" w:rsidRDefault="004B7288" w:rsidP="007C5074">
      <w:pPr>
        <w:pStyle w:val="Caption"/>
      </w:pPr>
      <w:bookmarkStart w:id="141" w:name="_Toc172716843"/>
      <w:r w:rsidRPr="00D618B7">
        <w:t xml:space="preserve">Table </w:t>
      </w:r>
      <w:r w:rsidR="00000000">
        <w:fldChar w:fldCharType="begin"/>
      </w:r>
      <w:r w:rsidR="00000000">
        <w:instrText xml:space="preserve"> SEQ Table \* ARABIC </w:instrText>
      </w:r>
      <w:r w:rsidR="00000000">
        <w:fldChar w:fldCharType="separate"/>
      </w:r>
      <w:r w:rsidR="000C6E43">
        <w:rPr>
          <w:noProof/>
        </w:rPr>
        <w:t>15</w:t>
      </w:r>
      <w:r w:rsidR="00000000">
        <w:rPr>
          <w:noProof/>
        </w:rPr>
        <w:fldChar w:fldCharType="end"/>
      </w:r>
      <w:r w:rsidR="008839D5" w:rsidRPr="00D618B7">
        <w:t>:</w:t>
      </w:r>
      <w:r w:rsidR="008839D5" w:rsidRPr="00D618B7">
        <w:rPr>
          <w:rFonts w:eastAsia="Aptos"/>
          <w:kern w:val="2"/>
          <w:sz w:val="22"/>
          <w:szCs w:val="22"/>
        </w:rPr>
        <w:t xml:space="preserve"> Event </w:t>
      </w:r>
      <w:r w:rsidR="000C1A25" w:rsidRPr="00D618B7">
        <w:rPr>
          <w:rFonts w:eastAsia="Aptos"/>
          <w:kern w:val="2"/>
          <w:sz w:val="22"/>
          <w:szCs w:val="22"/>
        </w:rPr>
        <w:t>rates</w:t>
      </w:r>
      <w:r w:rsidR="008839D5" w:rsidRPr="00D618B7">
        <w:rPr>
          <w:rFonts w:eastAsia="Aptos"/>
          <w:kern w:val="2"/>
          <w:sz w:val="22"/>
          <w:szCs w:val="22"/>
        </w:rPr>
        <w:t xml:space="preserve"> by proximity</w:t>
      </w:r>
      <w:bookmarkEnd w:id="141"/>
    </w:p>
    <w:p w14:paraId="1A23E3CF" w14:textId="71800E5E" w:rsidR="00822CAA" w:rsidRPr="00D618B7" w:rsidRDefault="00822CAA" w:rsidP="00822CAA">
      <w:r w:rsidRPr="00D618B7">
        <w:t>Estimated Mean</w:t>
      </w:r>
      <w:r w:rsidR="00AF3223" w:rsidRPr="00D618B7">
        <w:t xml:space="preserve"> Event Rates </w:t>
      </w:r>
      <w:r w:rsidRPr="00D618B7">
        <w:t>per Trial by Proximity</w:t>
      </w:r>
    </w:p>
    <w:tbl>
      <w:tblPr>
        <w:tblW w:w="5000" w:type="pct"/>
        <w:tblLook w:val="04A0" w:firstRow="1" w:lastRow="0" w:firstColumn="1" w:lastColumn="0" w:noHBand="0" w:noVBand="1"/>
      </w:tblPr>
      <w:tblGrid>
        <w:gridCol w:w="3074"/>
        <w:gridCol w:w="2409"/>
        <w:gridCol w:w="3157"/>
      </w:tblGrid>
      <w:tr w:rsidR="00822CAA" w:rsidRPr="00D618B7" w14:paraId="58563782" w14:textId="77777777" w:rsidTr="004B11B7">
        <w:trPr>
          <w:trHeight w:val="386"/>
        </w:trPr>
        <w:tc>
          <w:tcPr>
            <w:tcW w:w="1779" w:type="pct"/>
            <w:tcBorders>
              <w:top w:val="single" w:sz="4" w:space="0" w:color="auto"/>
              <w:left w:val="nil"/>
              <w:bottom w:val="single" w:sz="8" w:space="0" w:color="auto"/>
              <w:right w:val="nil"/>
            </w:tcBorders>
            <w:shd w:val="clear" w:color="000000" w:fill="FFFFFF"/>
            <w:vAlign w:val="center"/>
            <w:hideMark/>
          </w:tcPr>
          <w:p w14:paraId="6DE72BDA" w14:textId="77777777" w:rsidR="00822CAA" w:rsidRPr="00D618B7" w:rsidRDefault="00822CAA" w:rsidP="004B11B7">
            <w:pPr>
              <w:rPr>
                <w:color w:val="000000"/>
              </w:rPr>
            </w:pPr>
            <w:r w:rsidRPr="00D618B7">
              <w:rPr>
                <w:color w:val="000000"/>
              </w:rPr>
              <w:t>Week</w:t>
            </w:r>
          </w:p>
        </w:tc>
        <w:tc>
          <w:tcPr>
            <w:tcW w:w="1394" w:type="pct"/>
            <w:tcBorders>
              <w:top w:val="single" w:sz="4" w:space="0" w:color="auto"/>
              <w:left w:val="nil"/>
              <w:bottom w:val="single" w:sz="8" w:space="0" w:color="auto"/>
              <w:right w:val="nil"/>
            </w:tcBorders>
            <w:shd w:val="clear" w:color="000000" w:fill="FFFFFF"/>
            <w:noWrap/>
            <w:vAlign w:val="center"/>
            <w:hideMark/>
          </w:tcPr>
          <w:p w14:paraId="588A381D" w14:textId="77777777" w:rsidR="00822CAA" w:rsidRPr="00D618B7" w:rsidRDefault="00822CAA" w:rsidP="004B11B7">
            <w:pPr>
              <w:jc w:val="right"/>
              <w:rPr>
                <w:color w:val="000000"/>
              </w:rPr>
            </w:pPr>
            <w:r w:rsidRPr="00D618B7">
              <w:rPr>
                <w:color w:val="000000"/>
              </w:rPr>
              <w:t>Mean</w:t>
            </w:r>
          </w:p>
        </w:tc>
        <w:tc>
          <w:tcPr>
            <w:tcW w:w="1827" w:type="pct"/>
            <w:tcBorders>
              <w:top w:val="single" w:sz="4" w:space="0" w:color="auto"/>
              <w:left w:val="nil"/>
              <w:bottom w:val="single" w:sz="8" w:space="0" w:color="auto"/>
              <w:right w:val="nil"/>
            </w:tcBorders>
            <w:shd w:val="clear" w:color="000000" w:fill="FFFFFF"/>
            <w:noWrap/>
            <w:vAlign w:val="center"/>
            <w:hideMark/>
          </w:tcPr>
          <w:p w14:paraId="49979C5B" w14:textId="77777777" w:rsidR="00822CAA" w:rsidRPr="00D618B7" w:rsidRDefault="00822CAA" w:rsidP="004B11B7">
            <w:pPr>
              <w:jc w:val="right"/>
              <w:rPr>
                <w:color w:val="000000"/>
              </w:rPr>
            </w:pPr>
            <w:r w:rsidRPr="00D618B7">
              <w:rPr>
                <w:color w:val="000000"/>
              </w:rPr>
              <w:t>Std. Error</w:t>
            </w:r>
          </w:p>
        </w:tc>
      </w:tr>
      <w:tr w:rsidR="005F726E" w:rsidRPr="00D618B7" w14:paraId="1564496E" w14:textId="77777777" w:rsidTr="004B11B7">
        <w:trPr>
          <w:trHeight w:val="386"/>
        </w:trPr>
        <w:tc>
          <w:tcPr>
            <w:tcW w:w="1779" w:type="pct"/>
            <w:tcBorders>
              <w:top w:val="nil"/>
              <w:left w:val="nil"/>
              <w:bottom w:val="nil"/>
              <w:right w:val="nil"/>
            </w:tcBorders>
            <w:shd w:val="clear" w:color="000000" w:fill="FFFFFF"/>
            <w:vAlign w:val="center"/>
            <w:hideMark/>
          </w:tcPr>
          <w:p w14:paraId="7E9C5801" w14:textId="77777777" w:rsidR="005F726E" w:rsidRPr="00D618B7" w:rsidRDefault="005F726E" w:rsidP="005F726E">
            <w:pPr>
              <w:rPr>
                <w:color w:val="000000"/>
              </w:rPr>
            </w:pPr>
            <w:r w:rsidRPr="00D618B7">
              <w:rPr>
                <w:color w:val="000000"/>
              </w:rPr>
              <w:t>Toy-out-of-Reach</w:t>
            </w:r>
          </w:p>
        </w:tc>
        <w:tc>
          <w:tcPr>
            <w:tcW w:w="1394" w:type="pct"/>
            <w:tcBorders>
              <w:top w:val="nil"/>
              <w:left w:val="nil"/>
              <w:bottom w:val="nil"/>
              <w:right w:val="nil"/>
            </w:tcBorders>
            <w:shd w:val="clear" w:color="000000" w:fill="FFFFFF"/>
            <w:noWrap/>
            <w:vAlign w:val="center"/>
            <w:hideMark/>
          </w:tcPr>
          <w:p w14:paraId="4EE92023" w14:textId="5EAB33E6" w:rsidR="005F726E" w:rsidRPr="00D618B7" w:rsidRDefault="005F726E" w:rsidP="005F726E">
            <w:pPr>
              <w:jc w:val="right"/>
              <w:rPr>
                <w:color w:val="000000"/>
              </w:rPr>
            </w:pPr>
            <w:r w:rsidRPr="00D618B7">
              <w:rPr>
                <w:color w:val="000000"/>
                <w:sz w:val="22"/>
                <w:szCs w:val="22"/>
              </w:rPr>
              <w:t>0.0083</w:t>
            </w:r>
          </w:p>
        </w:tc>
        <w:tc>
          <w:tcPr>
            <w:tcW w:w="1827" w:type="pct"/>
            <w:tcBorders>
              <w:top w:val="nil"/>
              <w:left w:val="nil"/>
              <w:bottom w:val="nil"/>
              <w:right w:val="nil"/>
            </w:tcBorders>
            <w:shd w:val="clear" w:color="000000" w:fill="FFFFFF"/>
            <w:noWrap/>
            <w:vAlign w:val="center"/>
            <w:hideMark/>
          </w:tcPr>
          <w:p w14:paraId="6082CFA1" w14:textId="4C41145D" w:rsidR="005F726E" w:rsidRPr="00D618B7" w:rsidRDefault="005F726E" w:rsidP="005F726E">
            <w:pPr>
              <w:jc w:val="right"/>
              <w:rPr>
                <w:color w:val="000000"/>
              </w:rPr>
            </w:pPr>
            <w:r w:rsidRPr="00D618B7">
              <w:rPr>
                <w:color w:val="000000"/>
                <w:sz w:val="22"/>
                <w:szCs w:val="22"/>
              </w:rPr>
              <w:t>0.0007</w:t>
            </w:r>
          </w:p>
        </w:tc>
      </w:tr>
      <w:tr w:rsidR="005F726E" w:rsidRPr="00D618B7" w14:paraId="4F7597A6" w14:textId="77777777" w:rsidTr="004B11B7">
        <w:trPr>
          <w:trHeight w:val="386"/>
        </w:trPr>
        <w:tc>
          <w:tcPr>
            <w:tcW w:w="1779" w:type="pct"/>
            <w:tcBorders>
              <w:top w:val="nil"/>
              <w:left w:val="nil"/>
              <w:bottom w:val="nil"/>
              <w:right w:val="nil"/>
            </w:tcBorders>
            <w:shd w:val="clear" w:color="000000" w:fill="FFFFFF"/>
            <w:vAlign w:val="center"/>
            <w:hideMark/>
          </w:tcPr>
          <w:p w14:paraId="4361B0B1" w14:textId="77777777" w:rsidR="005F726E" w:rsidRPr="00D618B7" w:rsidRDefault="005F726E" w:rsidP="005F726E">
            <w:pPr>
              <w:rPr>
                <w:color w:val="000000"/>
              </w:rPr>
            </w:pPr>
            <w:r w:rsidRPr="00D618B7">
              <w:rPr>
                <w:color w:val="000000"/>
              </w:rPr>
              <w:t>Toy-Moving-into-Reach</w:t>
            </w:r>
          </w:p>
        </w:tc>
        <w:tc>
          <w:tcPr>
            <w:tcW w:w="1394" w:type="pct"/>
            <w:tcBorders>
              <w:top w:val="nil"/>
              <w:left w:val="nil"/>
              <w:bottom w:val="nil"/>
              <w:right w:val="nil"/>
            </w:tcBorders>
            <w:shd w:val="clear" w:color="000000" w:fill="FFFFFF"/>
            <w:noWrap/>
            <w:vAlign w:val="center"/>
            <w:hideMark/>
          </w:tcPr>
          <w:p w14:paraId="15C444D4" w14:textId="474D055F" w:rsidR="005F726E" w:rsidRPr="00D618B7" w:rsidRDefault="005F726E" w:rsidP="005F726E">
            <w:pPr>
              <w:jc w:val="right"/>
              <w:rPr>
                <w:color w:val="000000"/>
              </w:rPr>
            </w:pPr>
            <w:r w:rsidRPr="00D618B7">
              <w:rPr>
                <w:color w:val="000000"/>
                <w:sz w:val="22"/>
                <w:szCs w:val="22"/>
              </w:rPr>
              <w:t>0.0003</w:t>
            </w:r>
          </w:p>
        </w:tc>
        <w:tc>
          <w:tcPr>
            <w:tcW w:w="1827" w:type="pct"/>
            <w:tcBorders>
              <w:top w:val="nil"/>
              <w:left w:val="nil"/>
              <w:bottom w:val="nil"/>
              <w:right w:val="nil"/>
            </w:tcBorders>
            <w:shd w:val="clear" w:color="000000" w:fill="FFFFFF"/>
            <w:noWrap/>
            <w:vAlign w:val="center"/>
            <w:hideMark/>
          </w:tcPr>
          <w:p w14:paraId="25913A48" w14:textId="0BB880DF" w:rsidR="005F726E" w:rsidRPr="00D618B7" w:rsidRDefault="005F726E" w:rsidP="005F726E">
            <w:pPr>
              <w:jc w:val="right"/>
              <w:rPr>
                <w:color w:val="000000"/>
              </w:rPr>
            </w:pPr>
            <w:r w:rsidRPr="00D618B7">
              <w:rPr>
                <w:color w:val="000000"/>
                <w:sz w:val="22"/>
                <w:szCs w:val="22"/>
              </w:rPr>
              <w:t>0.0007</w:t>
            </w:r>
          </w:p>
        </w:tc>
      </w:tr>
      <w:tr w:rsidR="005F726E" w:rsidRPr="00D618B7" w14:paraId="0692C484" w14:textId="77777777" w:rsidTr="004B11B7">
        <w:trPr>
          <w:trHeight w:val="386"/>
        </w:trPr>
        <w:tc>
          <w:tcPr>
            <w:tcW w:w="1779" w:type="pct"/>
            <w:tcBorders>
              <w:top w:val="nil"/>
              <w:left w:val="nil"/>
              <w:bottom w:val="single" w:sz="8" w:space="0" w:color="auto"/>
              <w:right w:val="nil"/>
            </w:tcBorders>
            <w:shd w:val="clear" w:color="000000" w:fill="FFFFFF"/>
            <w:vAlign w:val="center"/>
            <w:hideMark/>
          </w:tcPr>
          <w:p w14:paraId="6D479DAF" w14:textId="77777777" w:rsidR="005F726E" w:rsidRPr="00D618B7" w:rsidRDefault="005F726E" w:rsidP="005F726E">
            <w:pPr>
              <w:rPr>
                <w:color w:val="000000"/>
              </w:rPr>
            </w:pPr>
            <w:r w:rsidRPr="00D618B7">
              <w:rPr>
                <w:color w:val="000000"/>
              </w:rPr>
              <w:t>Toy-in-Reach</w:t>
            </w:r>
          </w:p>
        </w:tc>
        <w:tc>
          <w:tcPr>
            <w:tcW w:w="1394" w:type="pct"/>
            <w:tcBorders>
              <w:top w:val="nil"/>
              <w:left w:val="nil"/>
              <w:bottom w:val="single" w:sz="8" w:space="0" w:color="auto"/>
              <w:right w:val="nil"/>
            </w:tcBorders>
            <w:shd w:val="clear" w:color="000000" w:fill="FFFFFF"/>
            <w:noWrap/>
            <w:vAlign w:val="center"/>
            <w:hideMark/>
          </w:tcPr>
          <w:p w14:paraId="6F792F5E" w14:textId="3EF2E499" w:rsidR="005F726E" w:rsidRPr="00D618B7" w:rsidRDefault="005F726E" w:rsidP="005F726E">
            <w:pPr>
              <w:jc w:val="right"/>
              <w:rPr>
                <w:color w:val="000000"/>
              </w:rPr>
            </w:pPr>
            <w:r w:rsidRPr="00D618B7">
              <w:rPr>
                <w:color w:val="000000"/>
                <w:sz w:val="22"/>
                <w:szCs w:val="22"/>
              </w:rPr>
              <w:t>0.0015</w:t>
            </w:r>
          </w:p>
        </w:tc>
        <w:tc>
          <w:tcPr>
            <w:tcW w:w="1827" w:type="pct"/>
            <w:tcBorders>
              <w:top w:val="nil"/>
              <w:left w:val="nil"/>
              <w:bottom w:val="single" w:sz="8" w:space="0" w:color="auto"/>
              <w:right w:val="nil"/>
            </w:tcBorders>
            <w:shd w:val="clear" w:color="000000" w:fill="FFFFFF"/>
            <w:noWrap/>
            <w:vAlign w:val="center"/>
            <w:hideMark/>
          </w:tcPr>
          <w:p w14:paraId="171B1F77" w14:textId="217012C1" w:rsidR="005F726E" w:rsidRPr="00D618B7" w:rsidRDefault="005F726E" w:rsidP="005F726E">
            <w:pPr>
              <w:jc w:val="right"/>
              <w:rPr>
                <w:color w:val="000000"/>
              </w:rPr>
            </w:pPr>
            <w:r w:rsidRPr="00D618B7">
              <w:rPr>
                <w:color w:val="000000"/>
                <w:sz w:val="22"/>
                <w:szCs w:val="22"/>
              </w:rPr>
              <w:t>0.0007</w:t>
            </w:r>
          </w:p>
        </w:tc>
      </w:tr>
    </w:tbl>
    <w:p w14:paraId="4789BCD7" w14:textId="77777777" w:rsidR="00822CAA" w:rsidRPr="00D618B7" w:rsidRDefault="00822CAA" w:rsidP="00822CAA">
      <w:pPr>
        <w:rPr>
          <w:i/>
          <w:iCs/>
        </w:rPr>
      </w:pPr>
    </w:p>
    <w:p w14:paraId="0A1E697D" w14:textId="77777777" w:rsidR="00822CAA" w:rsidRPr="00D618B7" w:rsidRDefault="00822CAA" w:rsidP="00822CAA">
      <w:r w:rsidRPr="00D618B7">
        <w:rPr>
          <w:i/>
          <w:iCs/>
        </w:rPr>
        <w:t>Note</w:t>
      </w:r>
      <w:r w:rsidRPr="00D618B7">
        <w:t>: This table lists the estimated mean Rates and standard errors for toy-out-of-reach, toy-moving-into-reach, and toy-in-reach.</w:t>
      </w:r>
    </w:p>
    <w:p w14:paraId="0A4D4269" w14:textId="77777777" w:rsidR="00822CAA" w:rsidRPr="00D618B7" w:rsidRDefault="00822CAA" w:rsidP="00822CAA">
      <w:r w:rsidRPr="00D618B7">
        <w:rPr>
          <w:noProof/>
        </w:rPr>
        <w:lastRenderedPageBreak/>
        <w:drawing>
          <wp:inline distT="0" distB="0" distL="0" distR="0" wp14:anchorId="0A27F804" wp14:editId="6F696224">
            <wp:extent cx="5579165" cy="4831080"/>
            <wp:effectExtent l="0" t="0" r="2540" b="7620"/>
            <wp:docPr id="915258422" name="Chart 1">
              <a:extLst xmlns:a="http://schemas.openxmlformats.org/drawingml/2006/main">
                <a:ext uri="{FF2B5EF4-FFF2-40B4-BE49-F238E27FC236}">
                  <a16:creationId xmlns:a16="http://schemas.microsoft.com/office/drawing/2014/main" id="{00F38C3B-2589-47C9-8EE2-C9ACCB4E2D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E1A5FA6" w14:textId="77777777" w:rsidR="00822CAA" w:rsidRPr="00D618B7" w:rsidRDefault="00822CAA" w:rsidP="00822CAA">
      <w:pPr>
        <w:rPr>
          <w:i/>
          <w:iCs/>
        </w:rPr>
      </w:pPr>
    </w:p>
    <w:p w14:paraId="74A4D329" w14:textId="77777777" w:rsidR="001E3794" w:rsidRPr="00D618B7" w:rsidRDefault="001E3794" w:rsidP="007C5074">
      <w:pPr>
        <w:pStyle w:val="Caption"/>
      </w:pPr>
      <w:bookmarkStart w:id="142" w:name="_Toc172716949"/>
      <w:r w:rsidRPr="00D618B7">
        <w:t xml:space="preserve">Figure </w:t>
      </w:r>
      <w:r>
        <w:fldChar w:fldCharType="begin"/>
      </w:r>
      <w:r>
        <w:instrText xml:space="preserve"> SEQ Figure \* ARABIC </w:instrText>
      </w:r>
      <w:r>
        <w:fldChar w:fldCharType="separate"/>
      </w:r>
      <w:r>
        <w:rPr>
          <w:noProof/>
        </w:rPr>
        <w:t>9</w:t>
      </w:r>
      <w:r>
        <w:rPr>
          <w:noProof/>
        </w:rPr>
        <w:fldChar w:fldCharType="end"/>
      </w:r>
      <w:r w:rsidRPr="00D618B7">
        <w:t xml:space="preserve">: </w:t>
      </w:r>
      <w:r w:rsidRPr="00D618B7">
        <w:rPr>
          <w:rFonts w:eastAsia="Aptos"/>
          <w:kern w:val="2"/>
          <w:sz w:val="22"/>
          <w:szCs w:val="22"/>
        </w:rPr>
        <w:t>Event rates by type and week</w:t>
      </w:r>
      <w:bookmarkEnd w:id="142"/>
    </w:p>
    <w:p w14:paraId="7245CBA5" w14:textId="77777777" w:rsidR="001E3794" w:rsidRPr="00D618B7" w:rsidRDefault="001E3794" w:rsidP="001E3794">
      <w:r w:rsidRPr="00D618B7">
        <w:t>Estimated Mean Event Rates per Trial by Type and Week</w:t>
      </w:r>
    </w:p>
    <w:p w14:paraId="50F961C1" w14:textId="0AC8A6BA" w:rsidR="00822CAA" w:rsidRPr="00D618B7" w:rsidRDefault="00822CAA" w:rsidP="00822CAA">
      <w:r w:rsidRPr="00D618B7">
        <w:rPr>
          <w:i/>
          <w:iCs/>
        </w:rPr>
        <w:t>Note</w:t>
      </w:r>
      <w:r w:rsidRPr="00D618B7">
        <w:t>. This figure illustrates the estimated mean Rate of face, hand, and mouth events for each week of observation around reach-onset. Error bars show standard error.</w:t>
      </w:r>
    </w:p>
    <w:p w14:paraId="2C40F687" w14:textId="2ADD8D78" w:rsidR="00822CAA" w:rsidRPr="00D618B7" w:rsidRDefault="00822CAA">
      <w:r w:rsidRPr="00D618B7">
        <w:br w:type="page"/>
      </w:r>
    </w:p>
    <w:p w14:paraId="29A34E6C" w14:textId="2D79E923" w:rsidR="00822CAA" w:rsidRPr="00D618B7" w:rsidRDefault="00AF3223" w:rsidP="00822CAA">
      <w:r w:rsidRPr="00D618B7">
        <w:rPr>
          <w:noProof/>
        </w:rPr>
        <w:lastRenderedPageBreak/>
        <w:drawing>
          <wp:anchor distT="0" distB="0" distL="114300" distR="114300" simplePos="0" relativeHeight="251973120" behindDoc="0" locked="0" layoutInCell="1" allowOverlap="1" wp14:anchorId="7B833AEC" wp14:editId="1CD52651">
            <wp:simplePos x="0" y="0"/>
            <wp:positionH relativeFrom="column">
              <wp:posOffset>499745</wp:posOffset>
            </wp:positionH>
            <wp:positionV relativeFrom="paragraph">
              <wp:posOffset>0</wp:posOffset>
            </wp:positionV>
            <wp:extent cx="4429125" cy="6532880"/>
            <wp:effectExtent l="0" t="0" r="9525" b="1270"/>
            <wp:wrapTopAndBottom/>
            <wp:docPr id="45364566"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4566" name="Picture 1" descr="A screenshot of a 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429125" cy="6532880"/>
                    </a:xfrm>
                    <a:prstGeom prst="rect">
                      <a:avLst/>
                    </a:prstGeom>
                  </pic:spPr>
                </pic:pic>
              </a:graphicData>
            </a:graphic>
            <wp14:sizeRelH relativeFrom="margin">
              <wp14:pctWidth>0</wp14:pctWidth>
            </wp14:sizeRelH>
            <wp14:sizeRelV relativeFrom="margin">
              <wp14:pctHeight>0</wp14:pctHeight>
            </wp14:sizeRelV>
          </wp:anchor>
        </w:drawing>
      </w:r>
    </w:p>
    <w:p w14:paraId="054B93D9" w14:textId="77777777" w:rsidR="001E3794" w:rsidRPr="00D618B7" w:rsidRDefault="001E3794" w:rsidP="007C5074">
      <w:pPr>
        <w:pStyle w:val="Caption"/>
      </w:pPr>
      <w:bookmarkStart w:id="143" w:name="_Toc172716950"/>
      <w:r w:rsidRPr="00D618B7">
        <w:t xml:space="preserve">Figure </w:t>
      </w:r>
      <w:r>
        <w:fldChar w:fldCharType="begin"/>
      </w:r>
      <w:r>
        <w:instrText xml:space="preserve"> SEQ Figure \* ARABIC </w:instrText>
      </w:r>
      <w:r>
        <w:fldChar w:fldCharType="separate"/>
      </w:r>
      <w:r>
        <w:rPr>
          <w:noProof/>
        </w:rPr>
        <w:t>10</w:t>
      </w:r>
      <w:r>
        <w:rPr>
          <w:noProof/>
        </w:rPr>
        <w:fldChar w:fldCharType="end"/>
      </w:r>
      <w:r w:rsidRPr="00D618B7">
        <w:t>:</w:t>
      </w:r>
      <w:r w:rsidRPr="00D618B7">
        <w:rPr>
          <w:rFonts w:eastAsia="Aptos"/>
        </w:rPr>
        <w:t xml:space="preserve"> Event rates by type, proximity, and week</w:t>
      </w:r>
      <w:bookmarkEnd w:id="143"/>
    </w:p>
    <w:p w14:paraId="103967B0" w14:textId="1DD5C882" w:rsidR="001E3794" w:rsidRDefault="001E3794" w:rsidP="00822CAA">
      <w:pPr>
        <w:rPr>
          <w:i/>
          <w:iCs/>
        </w:rPr>
      </w:pPr>
      <w:r w:rsidRPr="00D618B7">
        <w:t>Estimated Mean Event Rates per Trial by Type, Proximity, and</w:t>
      </w:r>
      <w:r>
        <w:t xml:space="preserve"> Week.</w:t>
      </w:r>
    </w:p>
    <w:p w14:paraId="5072F045" w14:textId="0EA5F875" w:rsidR="00822CAA" w:rsidRPr="00D618B7" w:rsidRDefault="00822CAA" w:rsidP="00822CAA">
      <w:r w:rsidRPr="00D618B7">
        <w:rPr>
          <w:i/>
          <w:iCs/>
        </w:rPr>
        <w:t>Note</w:t>
      </w:r>
      <w:r w:rsidRPr="00D618B7">
        <w:t>. This figure illustrates the estimated mean Rate of face, hand, and mouth events for each week of observation around reach-onset.</w:t>
      </w:r>
    </w:p>
    <w:p w14:paraId="6467B0DC" w14:textId="77777777" w:rsidR="000B5C72" w:rsidRDefault="000B5C72" w:rsidP="007C5074">
      <w:pPr>
        <w:pStyle w:val="Caption"/>
      </w:pPr>
      <w:bookmarkStart w:id="144" w:name="_Toc172716844"/>
    </w:p>
    <w:p w14:paraId="54FA14AD" w14:textId="3DEDBC90" w:rsidR="00C4462A" w:rsidRPr="00D618B7" w:rsidRDefault="004B7288" w:rsidP="007C5074">
      <w:pPr>
        <w:pStyle w:val="Caption"/>
      </w:pPr>
      <w:r w:rsidRPr="00D618B7">
        <w:t xml:space="preserve">Table </w:t>
      </w:r>
      <w:r w:rsidR="00000000">
        <w:fldChar w:fldCharType="begin"/>
      </w:r>
      <w:r w:rsidR="00000000">
        <w:instrText xml:space="preserve"> SEQ Table \* ARABIC </w:instrText>
      </w:r>
      <w:r w:rsidR="00000000">
        <w:fldChar w:fldCharType="separate"/>
      </w:r>
      <w:r w:rsidR="000C6E43">
        <w:rPr>
          <w:noProof/>
        </w:rPr>
        <w:t>16</w:t>
      </w:r>
      <w:r w:rsidR="00000000">
        <w:rPr>
          <w:noProof/>
        </w:rPr>
        <w:fldChar w:fldCharType="end"/>
      </w:r>
      <w:r w:rsidR="008839D5" w:rsidRPr="00D618B7">
        <w:t xml:space="preserve">: </w:t>
      </w:r>
      <w:r w:rsidR="008839D5" w:rsidRPr="00D618B7">
        <w:rPr>
          <w:rFonts w:eastAsia="Aptos"/>
        </w:rPr>
        <w:t>Event rates by type, proximity, and week</w:t>
      </w:r>
      <w:bookmarkEnd w:id="144"/>
    </w:p>
    <w:p w14:paraId="18F80332" w14:textId="77777777" w:rsidR="00C4462A" w:rsidRPr="00D618B7" w:rsidRDefault="00C4462A" w:rsidP="00C4462A">
      <w:bookmarkStart w:id="145" w:name="_Hlk169785215"/>
      <w:r w:rsidRPr="00D618B7">
        <w:t>Estimated Mean Event Rates per Trial by Type and Week</w:t>
      </w:r>
    </w:p>
    <w:tbl>
      <w:tblPr>
        <w:tblW w:w="5000" w:type="pct"/>
        <w:tblLook w:val="04A0" w:firstRow="1" w:lastRow="0" w:firstColumn="1" w:lastColumn="0" w:noHBand="0" w:noVBand="1"/>
      </w:tblPr>
      <w:tblGrid>
        <w:gridCol w:w="993"/>
        <w:gridCol w:w="1283"/>
        <w:gridCol w:w="1163"/>
        <w:gridCol w:w="1485"/>
        <w:gridCol w:w="1163"/>
        <w:gridCol w:w="1390"/>
        <w:gridCol w:w="1163"/>
      </w:tblGrid>
      <w:tr w:rsidR="00C4462A" w:rsidRPr="00D618B7" w14:paraId="3CCB6130" w14:textId="77777777" w:rsidTr="001E3794">
        <w:trPr>
          <w:trHeight w:val="402"/>
        </w:trPr>
        <w:tc>
          <w:tcPr>
            <w:tcW w:w="608" w:type="pct"/>
            <w:tcBorders>
              <w:top w:val="single" w:sz="18" w:space="0" w:color="auto"/>
              <w:left w:val="nil"/>
              <w:bottom w:val="nil"/>
              <w:right w:val="nil"/>
            </w:tcBorders>
            <w:shd w:val="clear" w:color="000000" w:fill="FFFFFF"/>
            <w:vAlign w:val="center"/>
            <w:hideMark/>
          </w:tcPr>
          <w:p w14:paraId="7D9F608A" w14:textId="77777777" w:rsidR="00C4462A" w:rsidRPr="00D618B7" w:rsidRDefault="00C4462A" w:rsidP="004B11B7">
            <w:pPr>
              <w:rPr>
                <w:color w:val="000000"/>
              </w:rPr>
            </w:pPr>
            <w:r w:rsidRPr="00D618B7">
              <w:rPr>
                <w:color w:val="000000"/>
              </w:rPr>
              <w:t>Week</w:t>
            </w:r>
          </w:p>
        </w:tc>
        <w:tc>
          <w:tcPr>
            <w:tcW w:w="1424" w:type="pct"/>
            <w:gridSpan w:val="2"/>
            <w:tcBorders>
              <w:top w:val="single" w:sz="18" w:space="0" w:color="auto"/>
              <w:left w:val="nil"/>
              <w:bottom w:val="single" w:sz="18" w:space="0" w:color="auto"/>
              <w:right w:val="nil"/>
            </w:tcBorders>
            <w:shd w:val="clear" w:color="000000" w:fill="FFFFFF"/>
            <w:vAlign w:val="center"/>
            <w:hideMark/>
          </w:tcPr>
          <w:p w14:paraId="664783FE" w14:textId="77777777" w:rsidR="00C4462A" w:rsidRPr="00D618B7" w:rsidRDefault="00C4462A" w:rsidP="004B11B7">
            <w:pPr>
              <w:jc w:val="center"/>
              <w:rPr>
                <w:color w:val="000000"/>
              </w:rPr>
            </w:pPr>
            <w:r w:rsidRPr="00D618B7">
              <w:rPr>
                <w:color w:val="000000"/>
              </w:rPr>
              <w:t xml:space="preserve">       Face</w:t>
            </w:r>
          </w:p>
        </w:tc>
        <w:tc>
          <w:tcPr>
            <w:tcW w:w="1510" w:type="pct"/>
            <w:gridSpan w:val="2"/>
            <w:tcBorders>
              <w:top w:val="single" w:sz="18" w:space="0" w:color="auto"/>
              <w:left w:val="nil"/>
              <w:bottom w:val="single" w:sz="18" w:space="0" w:color="auto"/>
              <w:right w:val="nil"/>
            </w:tcBorders>
            <w:shd w:val="clear" w:color="000000" w:fill="FFFFFF"/>
            <w:vAlign w:val="center"/>
            <w:hideMark/>
          </w:tcPr>
          <w:p w14:paraId="609F9CD6" w14:textId="77777777" w:rsidR="00C4462A" w:rsidRPr="00D618B7" w:rsidRDefault="00C4462A" w:rsidP="004B11B7">
            <w:pPr>
              <w:jc w:val="center"/>
              <w:rPr>
                <w:color w:val="000000"/>
              </w:rPr>
            </w:pPr>
            <w:r w:rsidRPr="00D618B7">
              <w:rPr>
                <w:color w:val="000000"/>
              </w:rPr>
              <w:t xml:space="preserve">                Hand</w:t>
            </w:r>
          </w:p>
        </w:tc>
        <w:tc>
          <w:tcPr>
            <w:tcW w:w="1458" w:type="pct"/>
            <w:gridSpan w:val="2"/>
            <w:tcBorders>
              <w:top w:val="single" w:sz="18" w:space="0" w:color="auto"/>
              <w:left w:val="nil"/>
              <w:bottom w:val="single" w:sz="18" w:space="0" w:color="auto"/>
              <w:right w:val="nil"/>
            </w:tcBorders>
            <w:shd w:val="clear" w:color="000000" w:fill="FFFFFF"/>
            <w:vAlign w:val="center"/>
            <w:hideMark/>
          </w:tcPr>
          <w:p w14:paraId="6650975B" w14:textId="77777777" w:rsidR="00C4462A" w:rsidRPr="00D618B7" w:rsidRDefault="00C4462A" w:rsidP="004B11B7">
            <w:pPr>
              <w:jc w:val="center"/>
              <w:rPr>
                <w:color w:val="000000"/>
              </w:rPr>
            </w:pPr>
            <w:r w:rsidRPr="00D618B7">
              <w:rPr>
                <w:color w:val="000000"/>
              </w:rPr>
              <w:t xml:space="preserve">              Mouth</w:t>
            </w:r>
          </w:p>
        </w:tc>
      </w:tr>
      <w:tr w:rsidR="00C4462A" w:rsidRPr="00D618B7" w14:paraId="720C6B00" w14:textId="77777777" w:rsidTr="001E3794">
        <w:trPr>
          <w:trHeight w:val="402"/>
        </w:trPr>
        <w:tc>
          <w:tcPr>
            <w:tcW w:w="608" w:type="pct"/>
            <w:tcBorders>
              <w:top w:val="nil"/>
              <w:left w:val="nil"/>
              <w:bottom w:val="single" w:sz="18" w:space="0" w:color="auto"/>
              <w:right w:val="nil"/>
            </w:tcBorders>
            <w:shd w:val="clear" w:color="000000" w:fill="FFFFFF"/>
            <w:noWrap/>
            <w:vAlign w:val="bottom"/>
            <w:hideMark/>
          </w:tcPr>
          <w:p w14:paraId="615C5430" w14:textId="77777777" w:rsidR="00C4462A" w:rsidRPr="00D618B7" w:rsidRDefault="00C4462A" w:rsidP="004B11B7">
            <w:pPr>
              <w:rPr>
                <w:color w:val="000000"/>
              </w:rPr>
            </w:pPr>
            <w:r w:rsidRPr="00D618B7">
              <w:rPr>
                <w:color w:val="000000"/>
              </w:rPr>
              <w:t> </w:t>
            </w:r>
          </w:p>
        </w:tc>
        <w:tc>
          <w:tcPr>
            <w:tcW w:w="776" w:type="pct"/>
            <w:tcBorders>
              <w:top w:val="single" w:sz="18" w:space="0" w:color="auto"/>
              <w:left w:val="nil"/>
              <w:bottom w:val="single" w:sz="18" w:space="0" w:color="auto"/>
              <w:right w:val="nil"/>
            </w:tcBorders>
            <w:shd w:val="clear" w:color="000000" w:fill="FFFFFF"/>
            <w:noWrap/>
            <w:vAlign w:val="center"/>
            <w:hideMark/>
          </w:tcPr>
          <w:p w14:paraId="2E16A8E7" w14:textId="77777777" w:rsidR="00C4462A" w:rsidRPr="00D618B7" w:rsidRDefault="00C4462A" w:rsidP="004B11B7">
            <w:pPr>
              <w:jc w:val="right"/>
              <w:rPr>
                <w:color w:val="000000"/>
              </w:rPr>
            </w:pPr>
            <w:r w:rsidRPr="00D618B7">
              <w:rPr>
                <w:color w:val="000000"/>
              </w:rPr>
              <w:t>Mean</w:t>
            </w:r>
          </w:p>
        </w:tc>
        <w:tc>
          <w:tcPr>
            <w:tcW w:w="647" w:type="pct"/>
            <w:tcBorders>
              <w:top w:val="single" w:sz="18" w:space="0" w:color="auto"/>
              <w:left w:val="nil"/>
              <w:bottom w:val="single" w:sz="18" w:space="0" w:color="auto"/>
              <w:right w:val="nil"/>
            </w:tcBorders>
            <w:shd w:val="clear" w:color="000000" w:fill="FFFFFF"/>
            <w:noWrap/>
            <w:vAlign w:val="center"/>
            <w:hideMark/>
          </w:tcPr>
          <w:p w14:paraId="365A7C3C" w14:textId="77777777" w:rsidR="00C4462A" w:rsidRPr="00D618B7" w:rsidRDefault="00C4462A" w:rsidP="004B11B7">
            <w:pPr>
              <w:jc w:val="right"/>
              <w:rPr>
                <w:color w:val="000000"/>
              </w:rPr>
            </w:pPr>
            <w:r w:rsidRPr="00D618B7">
              <w:rPr>
                <w:color w:val="000000"/>
              </w:rPr>
              <w:t>Std. Error</w:t>
            </w:r>
          </w:p>
        </w:tc>
        <w:tc>
          <w:tcPr>
            <w:tcW w:w="893" w:type="pct"/>
            <w:tcBorders>
              <w:top w:val="single" w:sz="18" w:space="0" w:color="auto"/>
              <w:left w:val="nil"/>
              <w:bottom w:val="single" w:sz="18" w:space="0" w:color="auto"/>
              <w:right w:val="nil"/>
            </w:tcBorders>
            <w:shd w:val="clear" w:color="000000" w:fill="FFFFFF"/>
            <w:noWrap/>
            <w:vAlign w:val="center"/>
            <w:hideMark/>
          </w:tcPr>
          <w:p w14:paraId="485CED3A" w14:textId="77777777" w:rsidR="00C4462A" w:rsidRPr="00D618B7" w:rsidRDefault="00C4462A" w:rsidP="004B11B7">
            <w:pPr>
              <w:jc w:val="right"/>
              <w:rPr>
                <w:color w:val="000000"/>
              </w:rPr>
            </w:pPr>
            <w:r w:rsidRPr="00D618B7">
              <w:rPr>
                <w:color w:val="000000"/>
              </w:rPr>
              <w:t>Mean</w:t>
            </w:r>
          </w:p>
        </w:tc>
        <w:tc>
          <w:tcPr>
            <w:tcW w:w="617" w:type="pct"/>
            <w:tcBorders>
              <w:top w:val="single" w:sz="18" w:space="0" w:color="auto"/>
              <w:left w:val="nil"/>
              <w:bottom w:val="single" w:sz="18" w:space="0" w:color="auto"/>
              <w:right w:val="nil"/>
            </w:tcBorders>
            <w:shd w:val="clear" w:color="000000" w:fill="FFFFFF"/>
            <w:noWrap/>
            <w:vAlign w:val="center"/>
            <w:hideMark/>
          </w:tcPr>
          <w:p w14:paraId="3005A556" w14:textId="77777777" w:rsidR="00C4462A" w:rsidRPr="00D618B7" w:rsidRDefault="00C4462A" w:rsidP="004B11B7">
            <w:pPr>
              <w:jc w:val="right"/>
              <w:rPr>
                <w:color w:val="000000"/>
              </w:rPr>
            </w:pPr>
            <w:r w:rsidRPr="00D618B7">
              <w:rPr>
                <w:color w:val="000000"/>
              </w:rPr>
              <w:t>Std. Error</w:t>
            </w:r>
          </w:p>
        </w:tc>
        <w:tc>
          <w:tcPr>
            <w:tcW w:w="838" w:type="pct"/>
            <w:tcBorders>
              <w:top w:val="single" w:sz="18" w:space="0" w:color="auto"/>
              <w:left w:val="nil"/>
              <w:bottom w:val="single" w:sz="18" w:space="0" w:color="auto"/>
              <w:right w:val="nil"/>
            </w:tcBorders>
            <w:shd w:val="clear" w:color="000000" w:fill="FFFFFF"/>
            <w:noWrap/>
            <w:vAlign w:val="center"/>
            <w:hideMark/>
          </w:tcPr>
          <w:p w14:paraId="63A490DB" w14:textId="77777777" w:rsidR="00C4462A" w:rsidRPr="00D618B7" w:rsidRDefault="00C4462A" w:rsidP="004B11B7">
            <w:pPr>
              <w:jc w:val="right"/>
              <w:rPr>
                <w:color w:val="000000"/>
              </w:rPr>
            </w:pPr>
            <w:r w:rsidRPr="00D618B7">
              <w:rPr>
                <w:color w:val="000000"/>
              </w:rPr>
              <w:t>Mean</w:t>
            </w:r>
          </w:p>
        </w:tc>
        <w:tc>
          <w:tcPr>
            <w:tcW w:w="620" w:type="pct"/>
            <w:tcBorders>
              <w:top w:val="single" w:sz="18" w:space="0" w:color="auto"/>
              <w:left w:val="nil"/>
              <w:bottom w:val="single" w:sz="18" w:space="0" w:color="auto"/>
              <w:right w:val="nil"/>
            </w:tcBorders>
            <w:shd w:val="clear" w:color="000000" w:fill="FFFFFF"/>
            <w:noWrap/>
            <w:vAlign w:val="center"/>
            <w:hideMark/>
          </w:tcPr>
          <w:p w14:paraId="3B561FBD" w14:textId="77777777" w:rsidR="00C4462A" w:rsidRPr="00D618B7" w:rsidRDefault="00C4462A" w:rsidP="004B11B7">
            <w:pPr>
              <w:jc w:val="right"/>
              <w:rPr>
                <w:color w:val="000000"/>
              </w:rPr>
            </w:pPr>
            <w:r w:rsidRPr="00D618B7">
              <w:rPr>
                <w:color w:val="000000"/>
              </w:rPr>
              <w:t>Std. Error</w:t>
            </w:r>
          </w:p>
        </w:tc>
      </w:tr>
      <w:tr w:rsidR="00C4462A" w:rsidRPr="00D618B7" w14:paraId="29D7683C" w14:textId="77777777" w:rsidTr="001E3794">
        <w:trPr>
          <w:trHeight w:val="383"/>
        </w:trPr>
        <w:tc>
          <w:tcPr>
            <w:tcW w:w="608" w:type="pct"/>
            <w:tcBorders>
              <w:top w:val="single" w:sz="18" w:space="0" w:color="auto"/>
              <w:left w:val="nil"/>
              <w:bottom w:val="nil"/>
              <w:right w:val="nil"/>
            </w:tcBorders>
            <w:shd w:val="clear" w:color="000000" w:fill="FFFFFF"/>
            <w:vAlign w:val="center"/>
            <w:hideMark/>
          </w:tcPr>
          <w:p w14:paraId="6171DAEE" w14:textId="77777777" w:rsidR="00C4462A" w:rsidRPr="00D618B7" w:rsidRDefault="00C4462A" w:rsidP="004B11B7">
            <w:pPr>
              <w:jc w:val="right"/>
              <w:rPr>
                <w:color w:val="000000"/>
              </w:rPr>
            </w:pPr>
            <w:r w:rsidRPr="00D618B7">
              <w:rPr>
                <w:color w:val="000000"/>
              </w:rPr>
              <w:t>-5</w:t>
            </w:r>
          </w:p>
        </w:tc>
        <w:tc>
          <w:tcPr>
            <w:tcW w:w="776" w:type="pct"/>
            <w:tcBorders>
              <w:top w:val="single" w:sz="18" w:space="0" w:color="auto"/>
              <w:left w:val="nil"/>
              <w:bottom w:val="nil"/>
              <w:right w:val="nil"/>
            </w:tcBorders>
            <w:shd w:val="clear" w:color="000000" w:fill="FFFFFF"/>
            <w:noWrap/>
            <w:vAlign w:val="center"/>
            <w:hideMark/>
          </w:tcPr>
          <w:p w14:paraId="67E8C715" w14:textId="77777777" w:rsidR="00C4462A" w:rsidRPr="00D618B7" w:rsidRDefault="00C4462A" w:rsidP="004B11B7">
            <w:pPr>
              <w:jc w:val="right"/>
              <w:rPr>
                <w:color w:val="000000"/>
              </w:rPr>
            </w:pPr>
            <w:r w:rsidRPr="00D618B7">
              <w:rPr>
                <w:color w:val="000000"/>
                <w:sz w:val="22"/>
                <w:szCs w:val="22"/>
              </w:rPr>
              <w:t>0.0082</w:t>
            </w:r>
          </w:p>
        </w:tc>
        <w:tc>
          <w:tcPr>
            <w:tcW w:w="647" w:type="pct"/>
            <w:tcBorders>
              <w:top w:val="single" w:sz="18" w:space="0" w:color="auto"/>
              <w:left w:val="nil"/>
              <w:bottom w:val="nil"/>
              <w:right w:val="nil"/>
            </w:tcBorders>
            <w:shd w:val="clear" w:color="000000" w:fill="FFFFFF"/>
            <w:noWrap/>
            <w:vAlign w:val="center"/>
            <w:hideMark/>
          </w:tcPr>
          <w:p w14:paraId="682A5CAC" w14:textId="77777777" w:rsidR="00C4462A" w:rsidRPr="00D618B7" w:rsidRDefault="00C4462A" w:rsidP="004B11B7">
            <w:pPr>
              <w:jc w:val="right"/>
              <w:rPr>
                <w:color w:val="000000"/>
              </w:rPr>
            </w:pPr>
            <w:r w:rsidRPr="00D618B7">
              <w:rPr>
                <w:color w:val="000000"/>
                <w:sz w:val="22"/>
                <w:szCs w:val="22"/>
              </w:rPr>
              <w:t>0.0028</w:t>
            </w:r>
          </w:p>
        </w:tc>
        <w:tc>
          <w:tcPr>
            <w:tcW w:w="893" w:type="pct"/>
            <w:tcBorders>
              <w:top w:val="single" w:sz="18" w:space="0" w:color="auto"/>
              <w:left w:val="nil"/>
              <w:bottom w:val="nil"/>
              <w:right w:val="nil"/>
            </w:tcBorders>
            <w:shd w:val="clear" w:color="000000" w:fill="FFFFFF"/>
            <w:noWrap/>
            <w:vAlign w:val="center"/>
            <w:hideMark/>
          </w:tcPr>
          <w:p w14:paraId="3C322FD7" w14:textId="77777777" w:rsidR="00C4462A" w:rsidRPr="00D618B7" w:rsidRDefault="00C4462A" w:rsidP="004B11B7">
            <w:pPr>
              <w:jc w:val="right"/>
              <w:rPr>
                <w:color w:val="000000"/>
              </w:rPr>
            </w:pPr>
            <w:r w:rsidRPr="00D618B7">
              <w:rPr>
                <w:color w:val="000000"/>
                <w:sz w:val="22"/>
                <w:szCs w:val="22"/>
              </w:rPr>
              <w:t>0.0006</w:t>
            </w:r>
          </w:p>
        </w:tc>
        <w:tc>
          <w:tcPr>
            <w:tcW w:w="617" w:type="pct"/>
            <w:tcBorders>
              <w:top w:val="single" w:sz="18" w:space="0" w:color="auto"/>
              <w:left w:val="nil"/>
              <w:bottom w:val="nil"/>
              <w:right w:val="nil"/>
            </w:tcBorders>
            <w:shd w:val="clear" w:color="000000" w:fill="FFFFFF"/>
            <w:noWrap/>
            <w:vAlign w:val="center"/>
            <w:hideMark/>
          </w:tcPr>
          <w:p w14:paraId="6C622085" w14:textId="77777777" w:rsidR="00C4462A" w:rsidRPr="00D618B7" w:rsidRDefault="00C4462A" w:rsidP="004B11B7">
            <w:pPr>
              <w:jc w:val="right"/>
              <w:rPr>
                <w:color w:val="000000"/>
              </w:rPr>
            </w:pPr>
            <w:r w:rsidRPr="00D618B7">
              <w:rPr>
                <w:color w:val="000000"/>
                <w:sz w:val="22"/>
                <w:szCs w:val="22"/>
              </w:rPr>
              <w:t>0.0027</w:t>
            </w:r>
          </w:p>
        </w:tc>
        <w:tc>
          <w:tcPr>
            <w:tcW w:w="838" w:type="pct"/>
            <w:tcBorders>
              <w:top w:val="single" w:sz="18" w:space="0" w:color="auto"/>
              <w:left w:val="nil"/>
              <w:bottom w:val="nil"/>
              <w:right w:val="nil"/>
            </w:tcBorders>
            <w:shd w:val="clear" w:color="000000" w:fill="FFFFFF"/>
            <w:noWrap/>
            <w:vAlign w:val="center"/>
            <w:hideMark/>
          </w:tcPr>
          <w:p w14:paraId="0B869138" w14:textId="77777777" w:rsidR="00C4462A" w:rsidRPr="00D618B7" w:rsidRDefault="00C4462A" w:rsidP="004B11B7">
            <w:pPr>
              <w:jc w:val="right"/>
              <w:rPr>
                <w:color w:val="000000"/>
              </w:rPr>
            </w:pPr>
            <w:r w:rsidRPr="00D618B7">
              <w:rPr>
                <w:color w:val="000000"/>
                <w:sz w:val="22"/>
                <w:szCs w:val="22"/>
              </w:rPr>
              <w:t>0.0009</w:t>
            </w:r>
          </w:p>
        </w:tc>
        <w:tc>
          <w:tcPr>
            <w:tcW w:w="620" w:type="pct"/>
            <w:tcBorders>
              <w:top w:val="single" w:sz="18" w:space="0" w:color="auto"/>
              <w:left w:val="nil"/>
              <w:bottom w:val="nil"/>
              <w:right w:val="nil"/>
            </w:tcBorders>
            <w:shd w:val="clear" w:color="000000" w:fill="FFFFFF"/>
            <w:noWrap/>
            <w:vAlign w:val="center"/>
            <w:hideMark/>
          </w:tcPr>
          <w:p w14:paraId="447DD168" w14:textId="77777777" w:rsidR="00C4462A" w:rsidRPr="00D618B7" w:rsidRDefault="00C4462A" w:rsidP="004B11B7">
            <w:pPr>
              <w:jc w:val="right"/>
              <w:rPr>
                <w:color w:val="000000"/>
              </w:rPr>
            </w:pPr>
            <w:r w:rsidRPr="00D618B7">
              <w:rPr>
                <w:color w:val="000000"/>
                <w:sz w:val="22"/>
                <w:szCs w:val="22"/>
              </w:rPr>
              <w:t>0.0027</w:t>
            </w:r>
          </w:p>
        </w:tc>
      </w:tr>
      <w:tr w:rsidR="00C4462A" w:rsidRPr="00D618B7" w14:paraId="29284F16" w14:textId="77777777" w:rsidTr="001E3794">
        <w:trPr>
          <w:trHeight w:val="383"/>
        </w:trPr>
        <w:tc>
          <w:tcPr>
            <w:tcW w:w="608" w:type="pct"/>
            <w:tcBorders>
              <w:top w:val="nil"/>
              <w:left w:val="nil"/>
              <w:bottom w:val="nil"/>
              <w:right w:val="nil"/>
            </w:tcBorders>
            <w:shd w:val="clear" w:color="000000" w:fill="FFFFFF"/>
            <w:vAlign w:val="center"/>
            <w:hideMark/>
          </w:tcPr>
          <w:p w14:paraId="47C69D63" w14:textId="77777777" w:rsidR="00C4462A" w:rsidRPr="00D618B7" w:rsidRDefault="00C4462A" w:rsidP="004B11B7">
            <w:pPr>
              <w:jc w:val="right"/>
              <w:rPr>
                <w:color w:val="000000"/>
              </w:rPr>
            </w:pPr>
            <w:r w:rsidRPr="00D618B7">
              <w:rPr>
                <w:color w:val="000000"/>
              </w:rPr>
              <w:t>-4</w:t>
            </w:r>
          </w:p>
        </w:tc>
        <w:tc>
          <w:tcPr>
            <w:tcW w:w="776" w:type="pct"/>
            <w:tcBorders>
              <w:top w:val="nil"/>
              <w:left w:val="nil"/>
              <w:bottom w:val="nil"/>
              <w:right w:val="nil"/>
            </w:tcBorders>
            <w:shd w:val="clear" w:color="000000" w:fill="FFFFFF"/>
            <w:noWrap/>
            <w:vAlign w:val="center"/>
            <w:hideMark/>
          </w:tcPr>
          <w:p w14:paraId="2990C5C5" w14:textId="77777777" w:rsidR="00C4462A" w:rsidRPr="00D618B7" w:rsidRDefault="00C4462A" w:rsidP="004B11B7">
            <w:pPr>
              <w:jc w:val="right"/>
              <w:rPr>
                <w:color w:val="000000"/>
              </w:rPr>
            </w:pPr>
            <w:r w:rsidRPr="00D618B7">
              <w:rPr>
                <w:color w:val="000000"/>
                <w:sz w:val="22"/>
                <w:szCs w:val="22"/>
              </w:rPr>
              <w:t>-0.0006</w:t>
            </w:r>
          </w:p>
        </w:tc>
        <w:tc>
          <w:tcPr>
            <w:tcW w:w="647" w:type="pct"/>
            <w:tcBorders>
              <w:top w:val="nil"/>
              <w:left w:val="nil"/>
              <w:bottom w:val="nil"/>
              <w:right w:val="nil"/>
            </w:tcBorders>
            <w:shd w:val="clear" w:color="000000" w:fill="FFFFFF"/>
            <w:noWrap/>
            <w:vAlign w:val="center"/>
            <w:hideMark/>
          </w:tcPr>
          <w:p w14:paraId="31FFD223" w14:textId="77777777" w:rsidR="00C4462A" w:rsidRPr="00D618B7" w:rsidRDefault="00C4462A" w:rsidP="004B11B7">
            <w:pPr>
              <w:jc w:val="right"/>
              <w:rPr>
                <w:color w:val="000000"/>
              </w:rPr>
            </w:pPr>
            <w:r w:rsidRPr="00D618B7">
              <w:rPr>
                <w:color w:val="000000"/>
                <w:sz w:val="22"/>
                <w:szCs w:val="22"/>
              </w:rPr>
              <w:t>0.0025</w:t>
            </w:r>
          </w:p>
        </w:tc>
        <w:tc>
          <w:tcPr>
            <w:tcW w:w="893" w:type="pct"/>
            <w:tcBorders>
              <w:top w:val="nil"/>
              <w:left w:val="nil"/>
              <w:bottom w:val="nil"/>
              <w:right w:val="nil"/>
            </w:tcBorders>
            <w:shd w:val="clear" w:color="000000" w:fill="FFFFFF"/>
            <w:noWrap/>
            <w:vAlign w:val="center"/>
            <w:hideMark/>
          </w:tcPr>
          <w:p w14:paraId="3E2D4BB4" w14:textId="77777777" w:rsidR="00C4462A" w:rsidRPr="00D618B7" w:rsidRDefault="00C4462A" w:rsidP="004B11B7">
            <w:pPr>
              <w:jc w:val="right"/>
              <w:rPr>
                <w:color w:val="000000"/>
              </w:rPr>
            </w:pPr>
            <w:r w:rsidRPr="00D618B7">
              <w:rPr>
                <w:color w:val="000000"/>
                <w:sz w:val="22"/>
                <w:szCs w:val="22"/>
              </w:rPr>
              <w:t>-0.0001</w:t>
            </w:r>
          </w:p>
        </w:tc>
        <w:tc>
          <w:tcPr>
            <w:tcW w:w="617" w:type="pct"/>
            <w:tcBorders>
              <w:top w:val="nil"/>
              <w:left w:val="nil"/>
              <w:bottom w:val="nil"/>
              <w:right w:val="nil"/>
            </w:tcBorders>
            <w:shd w:val="clear" w:color="000000" w:fill="FFFFFF"/>
            <w:noWrap/>
            <w:vAlign w:val="center"/>
            <w:hideMark/>
          </w:tcPr>
          <w:p w14:paraId="6ABDFAB3" w14:textId="77777777" w:rsidR="00C4462A" w:rsidRPr="00D618B7" w:rsidRDefault="00C4462A" w:rsidP="004B11B7">
            <w:pPr>
              <w:jc w:val="right"/>
              <w:rPr>
                <w:color w:val="000000"/>
              </w:rPr>
            </w:pPr>
            <w:r w:rsidRPr="00D618B7">
              <w:rPr>
                <w:color w:val="000000"/>
                <w:sz w:val="22"/>
                <w:szCs w:val="22"/>
              </w:rPr>
              <w:t>0.0024</w:t>
            </w:r>
          </w:p>
        </w:tc>
        <w:tc>
          <w:tcPr>
            <w:tcW w:w="838" w:type="pct"/>
            <w:tcBorders>
              <w:top w:val="nil"/>
              <w:left w:val="nil"/>
              <w:bottom w:val="nil"/>
              <w:right w:val="nil"/>
            </w:tcBorders>
            <w:shd w:val="clear" w:color="000000" w:fill="FFFFFF"/>
            <w:noWrap/>
            <w:vAlign w:val="center"/>
            <w:hideMark/>
          </w:tcPr>
          <w:p w14:paraId="15479BB7" w14:textId="77777777" w:rsidR="00C4462A" w:rsidRPr="00D618B7" w:rsidRDefault="00C4462A" w:rsidP="004B11B7">
            <w:pPr>
              <w:jc w:val="right"/>
              <w:rPr>
                <w:color w:val="000000"/>
              </w:rPr>
            </w:pPr>
            <w:r w:rsidRPr="00D618B7">
              <w:rPr>
                <w:color w:val="000000"/>
                <w:sz w:val="22"/>
                <w:szCs w:val="22"/>
              </w:rPr>
              <w:t>0.0018</w:t>
            </w:r>
          </w:p>
        </w:tc>
        <w:tc>
          <w:tcPr>
            <w:tcW w:w="620" w:type="pct"/>
            <w:tcBorders>
              <w:top w:val="nil"/>
              <w:left w:val="nil"/>
              <w:bottom w:val="nil"/>
              <w:right w:val="nil"/>
            </w:tcBorders>
            <w:shd w:val="clear" w:color="000000" w:fill="FFFFFF"/>
            <w:noWrap/>
            <w:vAlign w:val="center"/>
            <w:hideMark/>
          </w:tcPr>
          <w:p w14:paraId="772D8A87" w14:textId="77777777" w:rsidR="00C4462A" w:rsidRPr="00D618B7" w:rsidRDefault="00C4462A" w:rsidP="004B11B7">
            <w:pPr>
              <w:jc w:val="right"/>
              <w:rPr>
                <w:color w:val="000000"/>
              </w:rPr>
            </w:pPr>
            <w:r w:rsidRPr="00D618B7">
              <w:rPr>
                <w:color w:val="000000"/>
                <w:sz w:val="22"/>
                <w:szCs w:val="22"/>
              </w:rPr>
              <w:t>0.0024</w:t>
            </w:r>
          </w:p>
        </w:tc>
      </w:tr>
      <w:tr w:rsidR="00C4462A" w:rsidRPr="00D618B7" w14:paraId="048B431B" w14:textId="77777777" w:rsidTr="001E3794">
        <w:trPr>
          <w:trHeight w:val="383"/>
        </w:trPr>
        <w:tc>
          <w:tcPr>
            <w:tcW w:w="608" w:type="pct"/>
            <w:tcBorders>
              <w:top w:val="nil"/>
              <w:left w:val="nil"/>
              <w:bottom w:val="nil"/>
              <w:right w:val="nil"/>
            </w:tcBorders>
            <w:shd w:val="clear" w:color="000000" w:fill="FFFFFF"/>
            <w:vAlign w:val="center"/>
            <w:hideMark/>
          </w:tcPr>
          <w:p w14:paraId="0A6EC428" w14:textId="77777777" w:rsidR="00C4462A" w:rsidRPr="00D618B7" w:rsidRDefault="00C4462A" w:rsidP="004B11B7">
            <w:pPr>
              <w:jc w:val="right"/>
              <w:rPr>
                <w:color w:val="000000"/>
              </w:rPr>
            </w:pPr>
            <w:r w:rsidRPr="00D618B7">
              <w:rPr>
                <w:color w:val="000000"/>
              </w:rPr>
              <w:t>-3</w:t>
            </w:r>
          </w:p>
        </w:tc>
        <w:tc>
          <w:tcPr>
            <w:tcW w:w="776" w:type="pct"/>
            <w:tcBorders>
              <w:top w:val="nil"/>
              <w:left w:val="nil"/>
              <w:bottom w:val="nil"/>
              <w:right w:val="nil"/>
            </w:tcBorders>
            <w:shd w:val="clear" w:color="000000" w:fill="FFFFFF"/>
            <w:noWrap/>
            <w:vAlign w:val="center"/>
            <w:hideMark/>
          </w:tcPr>
          <w:p w14:paraId="5667D8BE" w14:textId="77777777" w:rsidR="00C4462A" w:rsidRPr="00D618B7" w:rsidRDefault="00C4462A" w:rsidP="004B11B7">
            <w:pPr>
              <w:jc w:val="right"/>
              <w:rPr>
                <w:color w:val="000000"/>
              </w:rPr>
            </w:pPr>
            <w:r w:rsidRPr="00D618B7">
              <w:rPr>
                <w:color w:val="000000"/>
                <w:sz w:val="22"/>
                <w:szCs w:val="22"/>
              </w:rPr>
              <w:t>0.0042</w:t>
            </w:r>
          </w:p>
        </w:tc>
        <w:tc>
          <w:tcPr>
            <w:tcW w:w="647" w:type="pct"/>
            <w:tcBorders>
              <w:top w:val="nil"/>
              <w:left w:val="nil"/>
              <w:bottom w:val="nil"/>
              <w:right w:val="nil"/>
            </w:tcBorders>
            <w:shd w:val="clear" w:color="000000" w:fill="FFFFFF"/>
            <w:noWrap/>
            <w:vAlign w:val="center"/>
            <w:hideMark/>
          </w:tcPr>
          <w:p w14:paraId="68F2E349" w14:textId="77777777" w:rsidR="00C4462A" w:rsidRPr="00D618B7" w:rsidRDefault="00C4462A" w:rsidP="004B11B7">
            <w:pPr>
              <w:jc w:val="right"/>
              <w:rPr>
                <w:color w:val="000000"/>
              </w:rPr>
            </w:pPr>
            <w:r w:rsidRPr="00D618B7">
              <w:rPr>
                <w:color w:val="000000"/>
                <w:sz w:val="22"/>
                <w:szCs w:val="22"/>
              </w:rPr>
              <w:t>0.0025</w:t>
            </w:r>
          </w:p>
        </w:tc>
        <w:tc>
          <w:tcPr>
            <w:tcW w:w="893" w:type="pct"/>
            <w:tcBorders>
              <w:top w:val="nil"/>
              <w:left w:val="nil"/>
              <w:bottom w:val="nil"/>
              <w:right w:val="nil"/>
            </w:tcBorders>
            <w:shd w:val="clear" w:color="000000" w:fill="FFFFFF"/>
            <w:noWrap/>
            <w:vAlign w:val="center"/>
            <w:hideMark/>
          </w:tcPr>
          <w:p w14:paraId="490667CC" w14:textId="77777777" w:rsidR="00C4462A" w:rsidRPr="00D618B7" w:rsidRDefault="00C4462A" w:rsidP="004B11B7">
            <w:pPr>
              <w:jc w:val="right"/>
              <w:rPr>
                <w:color w:val="000000"/>
              </w:rPr>
            </w:pPr>
            <w:r w:rsidRPr="00D618B7">
              <w:rPr>
                <w:color w:val="000000"/>
                <w:sz w:val="22"/>
                <w:szCs w:val="22"/>
              </w:rPr>
              <w:t>0.0007</w:t>
            </w:r>
          </w:p>
        </w:tc>
        <w:tc>
          <w:tcPr>
            <w:tcW w:w="617" w:type="pct"/>
            <w:tcBorders>
              <w:top w:val="nil"/>
              <w:left w:val="nil"/>
              <w:bottom w:val="nil"/>
              <w:right w:val="nil"/>
            </w:tcBorders>
            <w:shd w:val="clear" w:color="000000" w:fill="FFFFFF"/>
            <w:noWrap/>
            <w:vAlign w:val="center"/>
            <w:hideMark/>
          </w:tcPr>
          <w:p w14:paraId="15C8D5C1" w14:textId="77777777" w:rsidR="00C4462A" w:rsidRPr="00D618B7" w:rsidRDefault="00C4462A" w:rsidP="004B11B7">
            <w:pPr>
              <w:jc w:val="right"/>
              <w:rPr>
                <w:color w:val="000000"/>
              </w:rPr>
            </w:pPr>
            <w:r w:rsidRPr="00D618B7">
              <w:rPr>
                <w:color w:val="000000"/>
                <w:sz w:val="22"/>
                <w:szCs w:val="22"/>
              </w:rPr>
              <w:t>0.0024</w:t>
            </w:r>
          </w:p>
        </w:tc>
        <w:tc>
          <w:tcPr>
            <w:tcW w:w="838" w:type="pct"/>
            <w:tcBorders>
              <w:top w:val="nil"/>
              <w:left w:val="nil"/>
              <w:bottom w:val="nil"/>
              <w:right w:val="nil"/>
            </w:tcBorders>
            <w:shd w:val="clear" w:color="000000" w:fill="FFFFFF"/>
            <w:noWrap/>
            <w:vAlign w:val="center"/>
            <w:hideMark/>
          </w:tcPr>
          <w:p w14:paraId="54BCFC04" w14:textId="77777777" w:rsidR="00C4462A" w:rsidRPr="00D618B7" w:rsidRDefault="00C4462A" w:rsidP="004B11B7">
            <w:pPr>
              <w:jc w:val="right"/>
              <w:rPr>
                <w:color w:val="000000"/>
              </w:rPr>
            </w:pPr>
            <w:r w:rsidRPr="00D618B7">
              <w:rPr>
                <w:color w:val="000000"/>
                <w:sz w:val="22"/>
                <w:szCs w:val="22"/>
              </w:rPr>
              <w:t>0.0086</w:t>
            </w:r>
          </w:p>
        </w:tc>
        <w:tc>
          <w:tcPr>
            <w:tcW w:w="620" w:type="pct"/>
            <w:tcBorders>
              <w:top w:val="nil"/>
              <w:left w:val="nil"/>
              <w:bottom w:val="nil"/>
              <w:right w:val="nil"/>
            </w:tcBorders>
            <w:shd w:val="clear" w:color="000000" w:fill="FFFFFF"/>
            <w:noWrap/>
            <w:vAlign w:val="center"/>
            <w:hideMark/>
          </w:tcPr>
          <w:p w14:paraId="711D1A6A" w14:textId="77777777" w:rsidR="00C4462A" w:rsidRPr="00D618B7" w:rsidRDefault="00C4462A" w:rsidP="004B11B7">
            <w:pPr>
              <w:jc w:val="right"/>
              <w:rPr>
                <w:color w:val="000000"/>
              </w:rPr>
            </w:pPr>
            <w:r w:rsidRPr="00D618B7">
              <w:rPr>
                <w:color w:val="000000"/>
                <w:sz w:val="22"/>
                <w:szCs w:val="22"/>
              </w:rPr>
              <w:t>0.0024</w:t>
            </w:r>
          </w:p>
        </w:tc>
      </w:tr>
      <w:tr w:rsidR="00C4462A" w:rsidRPr="00D618B7" w14:paraId="09F02E36" w14:textId="77777777" w:rsidTr="001E3794">
        <w:trPr>
          <w:trHeight w:val="383"/>
        </w:trPr>
        <w:tc>
          <w:tcPr>
            <w:tcW w:w="608" w:type="pct"/>
            <w:tcBorders>
              <w:top w:val="nil"/>
              <w:left w:val="nil"/>
              <w:bottom w:val="nil"/>
              <w:right w:val="nil"/>
            </w:tcBorders>
            <w:shd w:val="clear" w:color="000000" w:fill="FFFFFF"/>
            <w:vAlign w:val="center"/>
            <w:hideMark/>
          </w:tcPr>
          <w:p w14:paraId="6D9A1A2E" w14:textId="77777777" w:rsidR="00C4462A" w:rsidRPr="00D618B7" w:rsidRDefault="00C4462A" w:rsidP="004B11B7">
            <w:pPr>
              <w:jc w:val="right"/>
              <w:rPr>
                <w:color w:val="000000"/>
              </w:rPr>
            </w:pPr>
            <w:r w:rsidRPr="00D618B7">
              <w:rPr>
                <w:color w:val="000000"/>
              </w:rPr>
              <w:t>-2</w:t>
            </w:r>
          </w:p>
        </w:tc>
        <w:tc>
          <w:tcPr>
            <w:tcW w:w="776" w:type="pct"/>
            <w:tcBorders>
              <w:top w:val="nil"/>
              <w:left w:val="nil"/>
              <w:bottom w:val="nil"/>
              <w:right w:val="nil"/>
            </w:tcBorders>
            <w:shd w:val="clear" w:color="000000" w:fill="FFFFFF"/>
            <w:noWrap/>
            <w:vAlign w:val="center"/>
            <w:hideMark/>
          </w:tcPr>
          <w:p w14:paraId="4BEB3977" w14:textId="77777777" w:rsidR="00C4462A" w:rsidRPr="00D618B7" w:rsidRDefault="00C4462A" w:rsidP="004B11B7">
            <w:pPr>
              <w:jc w:val="right"/>
              <w:rPr>
                <w:color w:val="000000"/>
              </w:rPr>
            </w:pPr>
            <w:r w:rsidRPr="00D618B7">
              <w:rPr>
                <w:color w:val="000000"/>
                <w:sz w:val="22"/>
                <w:szCs w:val="22"/>
              </w:rPr>
              <w:t>0.0027</w:t>
            </w:r>
          </w:p>
        </w:tc>
        <w:tc>
          <w:tcPr>
            <w:tcW w:w="647" w:type="pct"/>
            <w:tcBorders>
              <w:top w:val="nil"/>
              <w:left w:val="nil"/>
              <w:bottom w:val="nil"/>
              <w:right w:val="nil"/>
            </w:tcBorders>
            <w:shd w:val="clear" w:color="000000" w:fill="FFFFFF"/>
            <w:noWrap/>
            <w:vAlign w:val="center"/>
            <w:hideMark/>
          </w:tcPr>
          <w:p w14:paraId="1A0873A8" w14:textId="77777777" w:rsidR="00C4462A" w:rsidRPr="00D618B7" w:rsidRDefault="00C4462A" w:rsidP="004B11B7">
            <w:pPr>
              <w:jc w:val="right"/>
              <w:rPr>
                <w:color w:val="000000"/>
              </w:rPr>
            </w:pPr>
            <w:r w:rsidRPr="00D618B7">
              <w:rPr>
                <w:color w:val="000000"/>
                <w:sz w:val="22"/>
                <w:szCs w:val="22"/>
              </w:rPr>
              <w:t>0.0022</w:t>
            </w:r>
          </w:p>
        </w:tc>
        <w:tc>
          <w:tcPr>
            <w:tcW w:w="893" w:type="pct"/>
            <w:tcBorders>
              <w:top w:val="nil"/>
              <w:left w:val="nil"/>
              <w:bottom w:val="nil"/>
              <w:right w:val="nil"/>
            </w:tcBorders>
            <w:shd w:val="clear" w:color="000000" w:fill="FFFFFF"/>
            <w:noWrap/>
            <w:vAlign w:val="center"/>
            <w:hideMark/>
          </w:tcPr>
          <w:p w14:paraId="5149BD4F" w14:textId="77777777" w:rsidR="00C4462A" w:rsidRPr="00D618B7" w:rsidRDefault="00C4462A" w:rsidP="004B11B7">
            <w:pPr>
              <w:jc w:val="right"/>
              <w:rPr>
                <w:color w:val="000000"/>
              </w:rPr>
            </w:pPr>
            <w:r w:rsidRPr="00D618B7">
              <w:rPr>
                <w:color w:val="000000"/>
                <w:sz w:val="22"/>
                <w:szCs w:val="22"/>
              </w:rPr>
              <w:t>-0.0004</w:t>
            </w:r>
          </w:p>
        </w:tc>
        <w:tc>
          <w:tcPr>
            <w:tcW w:w="617" w:type="pct"/>
            <w:tcBorders>
              <w:top w:val="nil"/>
              <w:left w:val="nil"/>
              <w:bottom w:val="nil"/>
              <w:right w:val="nil"/>
            </w:tcBorders>
            <w:shd w:val="clear" w:color="000000" w:fill="FFFFFF"/>
            <w:noWrap/>
            <w:vAlign w:val="center"/>
            <w:hideMark/>
          </w:tcPr>
          <w:p w14:paraId="14F07244" w14:textId="77777777" w:rsidR="00C4462A" w:rsidRPr="00D618B7" w:rsidRDefault="00C4462A" w:rsidP="004B11B7">
            <w:pPr>
              <w:jc w:val="right"/>
              <w:rPr>
                <w:color w:val="000000"/>
              </w:rPr>
            </w:pPr>
            <w:r w:rsidRPr="00D618B7">
              <w:rPr>
                <w:color w:val="000000"/>
                <w:sz w:val="22"/>
                <w:szCs w:val="22"/>
              </w:rPr>
              <w:t>0.0022</w:t>
            </w:r>
          </w:p>
        </w:tc>
        <w:tc>
          <w:tcPr>
            <w:tcW w:w="838" w:type="pct"/>
            <w:tcBorders>
              <w:top w:val="nil"/>
              <w:left w:val="nil"/>
              <w:bottom w:val="nil"/>
              <w:right w:val="nil"/>
            </w:tcBorders>
            <w:shd w:val="clear" w:color="000000" w:fill="FFFFFF"/>
            <w:noWrap/>
            <w:vAlign w:val="center"/>
            <w:hideMark/>
          </w:tcPr>
          <w:p w14:paraId="675C6A20" w14:textId="77777777" w:rsidR="00C4462A" w:rsidRPr="00D618B7" w:rsidRDefault="00C4462A" w:rsidP="004B11B7">
            <w:pPr>
              <w:jc w:val="right"/>
              <w:rPr>
                <w:color w:val="000000"/>
              </w:rPr>
            </w:pPr>
            <w:r w:rsidRPr="00D618B7">
              <w:rPr>
                <w:color w:val="000000"/>
                <w:sz w:val="22"/>
                <w:szCs w:val="22"/>
              </w:rPr>
              <w:t>0.0058</w:t>
            </w:r>
          </w:p>
        </w:tc>
        <w:tc>
          <w:tcPr>
            <w:tcW w:w="620" w:type="pct"/>
            <w:tcBorders>
              <w:top w:val="nil"/>
              <w:left w:val="nil"/>
              <w:bottom w:val="nil"/>
              <w:right w:val="nil"/>
            </w:tcBorders>
            <w:shd w:val="clear" w:color="000000" w:fill="FFFFFF"/>
            <w:noWrap/>
            <w:vAlign w:val="center"/>
            <w:hideMark/>
          </w:tcPr>
          <w:p w14:paraId="5F603C25" w14:textId="77777777" w:rsidR="00C4462A" w:rsidRPr="00D618B7" w:rsidRDefault="00C4462A" w:rsidP="004B11B7">
            <w:pPr>
              <w:jc w:val="right"/>
              <w:rPr>
                <w:color w:val="000000"/>
              </w:rPr>
            </w:pPr>
            <w:r w:rsidRPr="00D618B7">
              <w:rPr>
                <w:color w:val="000000"/>
                <w:sz w:val="22"/>
                <w:szCs w:val="22"/>
              </w:rPr>
              <w:t>0.0022</w:t>
            </w:r>
          </w:p>
        </w:tc>
      </w:tr>
      <w:tr w:rsidR="00C4462A" w:rsidRPr="00D618B7" w14:paraId="51768C5D" w14:textId="77777777" w:rsidTr="001E3794">
        <w:trPr>
          <w:trHeight w:val="383"/>
        </w:trPr>
        <w:tc>
          <w:tcPr>
            <w:tcW w:w="608" w:type="pct"/>
            <w:tcBorders>
              <w:top w:val="nil"/>
              <w:left w:val="nil"/>
              <w:bottom w:val="nil"/>
              <w:right w:val="nil"/>
            </w:tcBorders>
            <w:shd w:val="clear" w:color="000000" w:fill="FFFFFF"/>
            <w:vAlign w:val="center"/>
            <w:hideMark/>
          </w:tcPr>
          <w:p w14:paraId="5E298E21" w14:textId="77777777" w:rsidR="00C4462A" w:rsidRPr="00D618B7" w:rsidRDefault="00C4462A" w:rsidP="004B11B7">
            <w:pPr>
              <w:jc w:val="right"/>
              <w:rPr>
                <w:color w:val="000000"/>
              </w:rPr>
            </w:pPr>
            <w:r w:rsidRPr="00D618B7">
              <w:rPr>
                <w:color w:val="000000"/>
              </w:rPr>
              <w:t>-1</w:t>
            </w:r>
          </w:p>
        </w:tc>
        <w:tc>
          <w:tcPr>
            <w:tcW w:w="776" w:type="pct"/>
            <w:tcBorders>
              <w:top w:val="nil"/>
              <w:left w:val="nil"/>
              <w:bottom w:val="nil"/>
              <w:right w:val="nil"/>
            </w:tcBorders>
            <w:shd w:val="clear" w:color="000000" w:fill="FFFFFF"/>
            <w:noWrap/>
            <w:vAlign w:val="center"/>
            <w:hideMark/>
          </w:tcPr>
          <w:p w14:paraId="7B3E70E2" w14:textId="77777777" w:rsidR="00C4462A" w:rsidRPr="00D618B7" w:rsidRDefault="00C4462A" w:rsidP="004B11B7">
            <w:pPr>
              <w:jc w:val="right"/>
              <w:rPr>
                <w:color w:val="000000"/>
              </w:rPr>
            </w:pPr>
            <w:r w:rsidRPr="00D618B7">
              <w:rPr>
                <w:color w:val="000000"/>
                <w:sz w:val="22"/>
                <w:szCs w:val="22"/>
              </w:rPr>
              <w:t>0.0014</w:t>
            </w:r>
          </w:p>
        </w:tc>
        <w:tc>
          <w:tcPr>
            <w:tcW w:w="647" w:type="pct"/>
            <w:tcBorders>
              <w:top w:val="nil"/>
              <w:left w:val="nil"/>
              <w:bottom w:val="nil"/>
              <w:right w:val="nil"/>
            </w:tcBorders>
            <w:shd w:val="clear" w:color="000000" w:fill="FFFFFF"/>
            <w:noWrap/>
            <w:vAlign w:val="center"/>
            <w:hideMark/>
          </w:tcPr>
          <w:p w14:paraId="257D99B2" w14:textId="77777777" w:rsidR="00C4462A" w:rsidRPr="00D618B7" w:rsidRDefault="00C4462A" w:rsidP="004B11B7">
            <w:pPr>
              <w:jc w:val="right"/>
              <w:rPr>
                <w:color w:val="000000"/>
              </w:rPr>
            </w:pPr>
            <w:r w:rsidRPr="00D618B7">
              <w:rPr>
                <w:color w:val="000000"/>
                <w:sz w:val="22"/>
                <w:szCs w:val="22"/>
              </w:rPr>
              <w:t>0.0022</w:t>
            </w:r>
          </w:p>
        </w:tc>
        <w:tc>
          <w:tcPr>
            <w:tcW w:w="893" w:type="pct"/>
            <w:tcBorders>
              <w:top w:val="nil"/>
              <w:left w:val="nil"/>
              <w:bottom w:val="nil"/>
              <w:right w:val="nil"/>
            </w:tcBorders>
            <w:shd w:val="clear" w:color="000000" w:fill="FFFFFF"/>
            <w:noWrap/>
            <w:vAlign w:val="center"/>
            <w:hideMark/>
          </w:tcPr>
          <w:p w14:paraId="5E7E046C" w14:textId="77777777" w:rsidR="00C4462A" w:rsidRPr="00D618B7" w:rsidRDefault="00C4462A" w:rsidP="004B11B7">
            <w:pPr>
              <w:jc w:val="right"/>
              <w:rPr>
                <w:color w:val="000000"/>
              </w:rPr>
            </w:pPr>
            <w:r w:rsidRPr="00D618B7">
              <w:rPr>
                <w:color w:val="000000"/>
                <w:sz w:val="22"/>
                <w:szCs w:val="22"/>
              </w:rPr>
              <w:t>0.0008</w:t>
            </w:r>
          </w:p>
        </w:tc>
        <w:tc>
          <w:tcPr>
            <w:tcW w:w="617" w:type="pct"/>
            <w:tcBorders>
              <w:top w:val="nil"/>
              <w:left w:val="nil"/>
              <w:bottom w:val="nil"/>
              <w:right w:val="nil"/>
            </w:tcBorders>
            <w:shd w:val="clear" w:color="000000" w:fill="FFFFFF"/>
            <w:noWrap/>
            <w:vAlign w:val="center"/>
            <w:hideMark/>
          </w:tcPr>
          <w:p w14:paraId="237C9D5F" w14:textId="77777777" w:rsidR="00C4462A" w:rsidRPr="00D618B7" w:rsidRDefault="00C4462A" w:rsidP="004B11B7">
            <w:pPr>
              <w:jc w:val="right"/>
              <w:rPr>
                <w:color w:val="000000"/>
              </w:rPr>
            </w:pPr>
            <w:r w:rsidRPr="00D618B7">
              <w:rPr>
                <w:color w:val="000000"/>
                <w:sz w:val="22"/>
                <w:szCs w:val="22"/>
              </w:rPr>
              <w:t>0.0022</w:t>
            </w:r>
          </w:p>
        </w:tc>
        <w:tc>
          <w:tcPr>
            <w:tcW w:w="838" w:type="pct"/>
            <w:tcBorders>
              <w:top w:val="nil"/>
              <w:left w:val="nil"/>
              <w:bottom w:val="nil"/>
              <w:right w:val="nil"/>
            </w:tcBorders>
            <w:shd w:val="clear" w:color="000000" w:fill="FFFFFF"/>
            <w:noWrap/>
            <w:vAlign w:val="center"/>
            <w:hideMark/>
          </w:tcPr>
          <w:p w14:paraId="7EADFBD5" w14:textId="77777777" w:rsidR="00C4462A" w:rsidRPr="00D618B7" w:rsidRDefault="00C4462A" w:rsidP="004B11B7">
            <w:pPr>
              <w:jc w:val="right"/>
              <w:rPr>
                <w:color w:val="000000"/>
              </w:rPr>
            </w:pPr>
            <w:r w:rsidRPr="00D618B7">
              <w:rPr>
                <w:color w:val="000000"/>
                <w:sz w:val="22"/>
                <w:szCs w:val="22"/>
              </w:rPr>
              <w:t>0.0125</w:t>
            </w:r>
          </w:p>
        </w:tc>
        <w:tc>
          <w:tcPr>
            <w:tcW w:w="620" w:type="pct"/>
            <w:tcBorders>
              <w:top w:val="nil"/>
              <w:left w:val="nil"/>
              <w:bottom w:val="nil"/>
              <w:right w:val="nil"/>
            </w:tcBorders>
            <w:shd w:val="clear" w:color="000000" w:fill="FFFFFF"/>
            <w:noWrap/>
            <w:vAlign w:val="center"/>
            <w:hideMark/>
          </w:tcPr>
          <w:p w14:paraId="73A30EAA" w14:textId="77777777" w:rsidR="00C4462A" w:rsidRPr="00D618B7" w:rsidRDefault="00C4462A" w:rsidP="004B11B7">
            <w:pPr>
              <w:jc w:val="right"/>
              <w:rPr>
                <w:color w:val="000000"/>
              </w:rPr>
            </w:pPr>
            <w:r w:rsidRPr="00D618B7">
              <w:rPr>
                <w:color w:val="000000"/>
                <w:sz w:val="22"/>
                <w:szCs w:val="22"/>
              </w:rPr>
              <w:t>0.0022</w:t>
            </w:r>
          </w:p>
        </w:tc>
      </w:tr>
      <w:tr w:rsidR="00C4462A" w:rsidRPr="00D618B7" w14:paraId="433D74D6" w14:textId="77777777" w:rsidTr="001E3794">
        <w:trPr>
          <w:trHeight w:val="383"/>
        </w:trPr>
        <w:tc>
          <w:tcPr>
            <w:tcW w:w="608" w:type="pct"/>
            <w:tcBorders>
              <w:top w:val="nil"/>
              <w:left w:val="nil"/>
              <w:bottom w:val="nil"/>
              <w:right w:val="nil"/>
            </w:tcBorders>
            <w:shd w:val="clear" w:color="000000" w:fill="FFFFFF"/>
            <w:vAlign w:val="center"/>
            <w:hideMark/>
          </w:tcPr>
          <w:p w14:paraId="4BF3A852" w14:textId="77777777" w:rsidR="00C4462A" w:rsidRPr="00D618B7" w:rsidRDefault="00C4462A" w:rsidP="004B11B7">
            <w:pPr>
              <w:jc w:val="right"/>
              <w:rPr>
                <w:color w:val="000000"/>
              </w:rPr>
            </w:pPr>
            <w:r w:rsidRPr="00D618B7">
              <w:rPr>
                <w:color w:val="000000"/>
              </w:rPr>
              <w:t>0</w:t>
            </w:r>
          </w:p>
        </w:tc>
        <w:tc>
          <w:tcPr>
            <w:tcW w:w="776" w:type="pct"/>
            <w:tcBorders>
              <w:top w:val="nil"/>
              <w:left w:val="nil"/>
              <w:bottom w:val="nil"/>
              <w:right w:val="nil"/>
            </w:tcBorders>
            <w:shd w:val="clear" w:color="000000" w:fill="FFFFFF"/>
            <w:noWrap/>
            <w:vAlign w:val="center"/>
            <w:hideMark/>
          </w:tcPr>
          <w:p w14:paraId="5D8D3824" w14:textId="77777777" w:rsidR="00C4462A" w:rsidRPr="00D618B7" w:rsidRDefault="00C4462A" w:rsidP="004B11B7">
            <w:pPr>
              <w:jc w:val="right"/>
              <w:rPr>
                <w:color w:val="000000"/>
              </w:rPr>
            </w:pPr>
            <w:r w:rsidRPr="00D618B7">
              <w:rPr>
                <w:color w:val="000000"/>
                <w:sz w:val="22"/>
                <w:szCs w:val="22"/>
              </w:rPr>
              <w:t>0.0032</w:t>
            </w:r>
          </w:p>
        </w:tc>
        <w:tc>
          <w:tcPr>
            <w:tcW w:w="647" w:type="pct"/>
            <w:tcBorders>
              <w:top w:val="nil"/>
              <w:left w:val="nil"/>
              <w:bottom w:val="nil"/>
              <w:right w:val="nil"/>
            </w:tcBorders>
            <w:shd w:val="clear" w:color="000000" w:fill="FFFFFF"/>
            <w:noWrap/>
            <w:vAlign w:val="center"/>
            <w:hideMark/>
          </w:tcPr>
          <w:p w14:paraId="0DAF9B91" w14:textId="77777777" w:rsidR="00C4462A" w:rsidRPr="00D618B7" w:rsidRDefault="00C4462A" w:rsidP="004B11B7">
            <w:pPr>
              <w:jc w:val="right"/>
              <w:rPr>
                <w:color w:val="000000"/>
              </w:rPr>
            </w:pPr>
            <w:r w:rsidRPr="00D618B7">
              <w:rPr>
                <w:color w:val="000000"/>
                <w:sz w:val="22"/>
                <w:szCs w:val="22"/>
              </w:rPr>
              <w:t>0.0020</w:t>
            </w:r>
          </w:p>
        </w:tc>
        <w:tc>
          <w:tcPr>
            <w:tcW w:w="893" w:type="pct"/>
            <w:tcBorders>
              <w:top w:val="nil"/>
              <w:left w:val="nil"/>
              <w:bottom w:val="nil"/>
              <w:right w:val="nil"/>
            </w:tcBorders>
            <w:shd w:val="clear" w:color="000000" w:fill="FFFFFF"/>
            <w:noWrap/>
            <w:vAlign w:val="center"/>
            <w:hideMark/>
          </w:tcPr>
          <w:p w14:paraId="24EFBF07" w14:textId="77777777" w:rsidR="00C4462A" w:rsidRPr="00D618B7" w:rsidRDefault="00C4462A" w:rsidP="004B11B7">
            <w:pPr>
              <w:jc w:val="right"/>
              <w:rPr>
                <w:color w:val="000000"/>
              </w:rPr>
            </w:pPr>
            <w:r w:rsidRPr="00D618B7">
              <w:rPr>
                <w:color w:val="000000"/>
                <w:sz w:val="22"/>
                <w:szCs w:val="22"/>
              </w:rPr>
              <w:t>0.0014</w:t>
            </w:r>
          </w:p>
        </w:tc>
        <w:tc>
          <w:tcPr>
            <w:tcW w:w="617" w:type="pct"/>
            <w:tcBorders>
              <w:top w:val="nil"/>
              <w:left w:val="nil"/>
              <w:bottom w:val="nil"/>
              <w:right w:val="nil"/>
            </w:tcBorders>
            <w:shd w:val="clear" w:color="000000" w:fill="FFFFFF"/>
            <w:noWrap/>
            <w:vAlign w:val="center"/>
            <w:hideMark/>
          </w:tcPr>
          <w:p w14:paraId="1C802F9C" w14:textId="77777777" w:rsidR="00C4462A" w:rsidRPr="00D618B7" w:rsidRDefault="00C4462A" w:rsidP="004B11B7">
            <w:pPr>
              <w:jc w:val="right"/>
              <w:rPr>
                <w:color w:val="000000"/>
              </w:rPr>
            </w:pPr>
            <w:r w:rsidRPr="00D618B7">
              <w:rPr>
                <w:color w:val="000000"/>
                <w:sz w:val="22"/>
                <w:szCs w:val="22"/>
              </w:rPr>
              <w:t>0.0020</w:t>
            </w:r>
          </w:p>
        </w:tc>
        <w:tc>
          <w:tcPr>
            <w:tcW w:w="838" w:type="pct"/>
            <w:tcBorders>
              <w:top w:val="nil"/>
              <w:left w:val="nil"/>
              <w:bottom w:val="nil"/>
              <w:right w:val="nil"/>
            </w:tcBorders>
            <w:shd w:val="clear" w:color="000000" w:fill="FFFFFF"/>
            <w:noWrap/>
            <w:vAlign w:val="center"/>
            <w:hideMark/>
          </w:tcPr>
          <w:p w14:paraId="7CAF32C2" w14:textId="77777777" w:rsidR="00C4462A" w:rsidRPr="00D618B7" w:rsidRDefault="00C4462A" w:rsidP="004B11B7">
            <w:pPr>
              <w:jc w:val="right"/>
              <w:rPr>
                <w:color w:val="000000"/>
              </w:rPr>
            </w:pPr>
            <w:r w:rsidRPr="00D618B7">
              <w:rPr>
                <w:color w:val="000000"/>
                <w:sz w:val="22"/>
                <w:szCs w:val="22"/>
              </w:rPr>
              <w:t>0.0093</w:t>
            </w:r>
          </w:p>
        </w:tc>
        <w:tc>
          <w:tcPr>
            <w:tcW w:w="620" w:type="pct"/>
            <w:tcBorders>
              <w:top w:val="nil"/>
              <w:left w:val="nil"/>
              <w:bottom w:val="nil"/>
              <w:right w:val="nil"/>
            </w:tcBorders>
            <w:shd w:val="clear" w:color="000000" w:fill="FFFFFF"/>
            <w:noWrap/>
            <w:vAlign w:val="center"/>
            <w:hideMark/>
          </w:tcPr>
          <w:p w14:paraId="683B3A6E" w14:textId="77777777" w:rsidR="00C4462A" w:rsidRPr="00D618B7" w:rsidRDefault="00C4462A" w:rsidP="004B11B7">
            <w:pPr>
              <w:jc w:val="right"/>
              <w:rPr>
                <w:color w:val="000000"/>
              </w:rPr>
            </w:pPr>
            <w:r w:rsidRPr="00D618B7">
              <w:rPr>
                <w:color w:val="000000"/>
                <w:sz w:val="22"/>
                <w:szCs w:val="22"/>
              </w:rPr>
              <w:t>0.0020</w:t>
            </w:r>
          </w:p>
        </w:tc>
      </w:tr>
      <w:tr w:rsidR="00C4462A" w:rsidRPr="00D618B7" w14:paraId="7FA7352B" w14:textId="77777777" w:rsidTr="001E3794">
        <w:trPr>
          <w:trHeight w:val="383"/>
        </w:trPr>
        <w:tc>
          <w:tcPr>
            <w:tcW w:w="608" w:type="pct"/>
            <w:tcBorders>
              <w:top w:val="nil"/>
              <w:left w:val="nil"/>
              <w:bottom w:val="nil"/>
              <w:right w:val="nil"/>
            </w:tcBorders>
            <w:shd w:val="clear" w:color="000000" w:fill="FFFFFF"/>
            <w:vAlign w:val="center"/>
            <w:hideMark/>
          </w:tcPr>
          <w:p w14:paraId="27B81EA5" w14:textId="77777777" w:rsidR="00C4462A" w:rsidRPr="00D618B7" w:rsidRDefault="00C4462A" w:rsidP="004B11B7">
            <w:pPr>
              <w:jc w:val="right"/>
              <w:rPr>
                <w:color w:val="000000"/>
              </w:rPr>
            </w:pPr>
            <w:r w:rsidRPr="00D618B7">
              <w:rPr>
                <w:color w:val="000000"/>
              </w:rPr>
              <w:t>1</w:t>
            </w:r>
          </w:p>
        </w:tc>
        <w:tc>
          <w:tcPr>
            <w:tcW w:w="776" w:type="pct"/>
            <w:tcBorders>
              <w:top w:val="nil"/>
              <w:left w:val="nil"/>
              <w:bottom w:val="nil"/>
              <w:right w:val="nil"/>
            </w:tcBorders>
            <w:shd w:val="clear" w:color="000000" w:fill="FFFFFF"/>
            <w:noWrap/>
            <w:vAlign w:val="center"/>
            <w:hideMark/>
          </w:tcPr>
          <w:p w14:paraId="5D7C5ECE" w14:textId="77777777" w:rsidR="00C4462A" w:rsidRPr="00D618B7" w:rsidRDefault="00C4462A" w:rsidP="004B11B7">
            <w:pPr>
              <w:jc w:val="right"/>
              <w:rPr>
                <w:color w:val="000000"/>
              </w:rPr>
            </w:pPr>
            <w:r w:rsidRPr="00D618B7">
              <w:rPr>
                <w:color w:val="000000"/>
                <w:sz w:val="22"/>
                <w:szCs w:val="22"/>
              </w:rPr>
              <w:t>0.0009</w:t>
            </w:r>
          </w:p>
        </w:tc>
        <w:tc>
          <w:tcPr>
            <w:tcW w:w="647" w:type="pct"/>
            <w:tcBorders>
              <w:top w:val="nil"/>
              <w:left w:val="nil"/>
              <w:bottom w:val="nil"/>
              <w:right w:val="nil"/>
            </w:tcBorders>
            <w:shd w:val="clear" w:color="000000" w:fill="FFFFFF"/>
            <w:noWrap/>
            <w:vAlign w:val="center"/>
            <w:hideMark/>
          </w:tcPr>
          <w:p w14:paraId="074DEDE4" w14:textId="77777777" w:rsidR="00C4462A" w:rsidRPr="00D618B7" w:rsidRDefault="00C4462A" w:rsidP="004B11B7">
            <w:pPr>
              <w:jc w:val="right"/>
              <w:rPr>
                <w:color w:val="000000"/>
              </w:rPr>
            </w:pPr>
            <w:r w:rsidRPr="00D618B7">
              <w:rPr>
                <w:color w:val="000000"/>
                <w:sz w:val="22"/>
                <w:szCs w:val="22"/>
              </w:rPr>
              <w:t>0.0020</w:t>
            </w:r>
          </w:p>
        </w:tc>
        <w:tc>
          <w:tcPr>
            <w:tcW w:w="893" w:type="pct"/>
            <w:tcBorders>
              <w:top w:val="nil"/>
              <w:left w:val="nil"/>
              <w:bottom w:val="nil"/>
              <w:right w:val="nil"/>
            </w:tcBorders>
            <w:shd w:val="clear" w:color="000000" w:fill="FFFFFF"/>
            <w:noWrap/>
            <w:vAlign w:val="center"/>
            <w:hideMark/>
          </w:tcPr>
          <w:p w14:paraId="53ABEA44" w14:textId="77777777" w:rsidR="00C4462A" w:rsidRPr="00D618B7" w:rsidRDefault="00C4462A" w:rsidP="004B11B7">
            <w:pPr>
              <w:jc w:val="right"/>
              <w:rPr>
                <w:color w:val="000000"/>
              </w:rPr>
            </w:pPr>
            <w:r w:rsidRPr="00D618B7">
              <w:rPr>
                <w:color w:val="000000"/>
                <w:sz w:val="22"/>
                <w:szCs w:val="22"/>
              </w:rPr>
              <w:t>0.0034</w:t>
            </w:r>
          </w:p>
        </w:tc>
        <w:tc>
          <w:tcPr>
            <w:tcW w:w="617" w:type="pct"/>
            <w:tcBorders>
              <w:top w:val="nil"/>
              <w:left w:val="nil"/>
              <w:bottom w:val="nil"/>
              <w:right w:val="nil"/>
            </w:tcBorders>
            <w:shd w:val="clear" w:color="000000" w:fill="FFFFFF"/>
            <w:noWrap/>
            <w:vAlign w:val="center"/>
            <w:hideMark/>
          </w:tcPr>
          <w:p w14:paraId="05471384" w14:textId="77777777" w:rsidR="00C4462A" w:rsidRPr="00D618B7" w:rsidRDefault="00C4462A" w:rsidP="004B11B7">
            <w:pPr>
              <w:jc w:val="right"/>
              <w:rPr>
                <w:color w:val="000000"/>
              </w:rPr>
            </w:pPr>
            <w:r w:rsidRPr="00D618B7">
              <w:rPr>
                <w:color w:val="000000"/>
                <w:sz w:val="22"/>
                <w:szCs w:val="22"/>
              </w:rPr>
              <w:t>0.0020</w:t>
            </w:r>
          </w:p>
        </w:tc>
        <w:tc>
          <w:tcPr>
            <w:tcW w:w="838" w:type="pct"/>
            <w:tcBorders>
              <w:top w:val="nil"/>
              <w:left w:val="nil"/>
              <w:bottom w:val="nil"/>
              <w:right w:val="nil"/>
            </w:tcBorders>
            <w:shd w:val="clear" w:color="000000" w:fill="FFFFFF"/>
            <w:noWrap/>
            <w:vAlign w:val="center"/>
            <w:hideMark/>
          </w:tcPr>
          <w:p w14:paraId="12C45625" w14:textId="77777777" w:rsidR="00C4462A" w:rsidRPr="00D618B7" w:rsidRDefault="00C4462A" w:rsidP="004B11B7">
            <w:pPr>
              <w:jc w:val="right"/>
              <w:rPr>
                <w:color w:val="000000"/>
              </w:rPr>
            </w:pPr>
            <w:r w:rsidRPr="00D618B7">
              <w:rPr>
                <w:color w:val="000000"/>
                <w:sz w:val="22"/>
                <w:szCs w:val="22"/>
              </w:rPr>
              <w:t>0.0103</w:t>
            </w:r>
          </w:p>
        </w:tc>
        <w:tc>
          <w:tcPr>
            <w:tcW w:w="620" w:type="pct"/>
            <w:tcBorders>
              <w:top w:val="nil"/>
              <w:left w:val="nil"/>
              <w:bottom w:val="nil"/>
              <w:right w:val="nil"/>
            </w:tcBorders>
            <w:shd w:val="clear" w:color="000000" w:fill="FFFFFF"/>
            <w:noWrap/>
            <w:vAlign w:val="center"/>
            <w:hideMark/>
          </w:tcPr>
          <w:p w14:paraId="11297CD8" w14:textId="77777777" w:rsidR="00C4462A" w:rsidRPr="00D618B7" w:rsidRDefault="00C4462A" w:rsidP="004B11B7">
            <w:pPr>
              <w:jc w:val="right"/>
              <w:rPr>
                <w:color w:val="000000"/>
              </w:rPr>
            </w:pPr>
            <w:r w:rsidRPr="00D618B7">
              <w:rPr>
                <w:color w:val="000000"/>
                <w:sz w:val="22"/>
                <w:szCs w:val="22"/>
              </w:rPr>
              <w:t>0.0020</w:t>
            </w:r>
          </w:p>
        </w:tc>
      </w:tr>
      <w:tr w:rsidR="00C4462A" w:rsidRPr="00D618B7" w14:paraId="727B873E" w14:textId="77777777" w:rsidTr="001E3794">
        <w:trPr>
          <w:trHeight w:val="383"/>
        </w:trPr>
        <w:tc>
          <w:tcPr>
            <w:tcW w:w="608" w:type="pct"/>
            <w:tcBorders>
              <w:top w:val="nil"/>
              <w:left w:val="nil"/>
              <w:bottom w:val="nil"/>
              <w:right w:val="nil"/>
            </w:tcBorders>
            <w:shd w:val="clear" w:color="000000" w:fill="FFFFFF"/>
            <w:vAlign w:val="center"/>
            <w:hideMark/>
          </w:tcPr>
          <w:p w14:paraId="4CAFB67F" w14:textId="77777777" w:rsidR="00C4462A" w:rsidRPr="00D618B7" w:rsidRDefault="00C4462A" w:rsidP="004B11B7">
            <w:pPr>
              <w:jc w:val="right"/>
              <w:rPr>
                <w:color w:val="000000"/>
              </w:rPr>
            </w:pPr>
            <w:r w:rsidRPr="00D618B7">
              <w:rPr>
                <w:color w:val="000000"/>
              </w:rPr>
              <w:t>2</w:t>
            </w:r>
          </w:p>
        </w:tc>
        <w:tc>
          <w:tcPr>
            <w:tcW w:w="776" w:type="pct"/>
            <w:tcBorders>
              <w:top w:val="nil"/>
              <w:left w:val="nil"/>
              <w:bottom w:val="nil"/>
              <w:right w:val="nil"/>
            </w:tcBorders>
            <w:shd w:val="clear" w:color="000000" w:fill="FFFFFF"/>
            <w:noWrap/>
            <w:vAlign w:val="center"/>
            <w:hideMark/>
          </w:tcPr>
          <w:p w14:paraId="0BF8F3FE" w14:textId="77777777" w:rsidR="00C4462A" w:rsidRPr="00D618B7" w:rsidRDefault="00C4462A" w:rsidP="004B11B7">
            <w:pPr>
              <w:jc w:val="right"/>
              <w:rPr>
                <w:color w:val="000000"/>
              </w:rPr>
            </w:pPr>
            <w:r w:rsidRPr="00D618B7">
              <w:rPr>
                <w:color w:val="000000"/>
                <w:sz w:val="22"/>
                <w:szCs w:val="22"/>
              </w:rPr>
              <w:t>0.0002</w:t>
            </w:r>
          </w:p>
        </w:tc>
        <w:tc>
          <w:tcPr>
            <w:tcW w:w="647" w:type="pct"/>
            <w:tcBorders>
              <w:top w:val="nil"/>
              <w:left w:val="nil"/>
              <w:bottom w:val="nil"/>
              <w:right w:val="nil"/>
            </w:tcBorders>
            <w:shd w:val="clear" w:color="000000" w:fill="FFFFFF"/>
            <w:noWrap/>
            <w:vAlign w:val="center"/>
            <w:hideMark/>
          </w:tcPr>
          <w:p w14:paraId="68B5002F" w14:textId="77777777" w:rsidR="00C4462A" w:rsidRPr="00D618B7" w:rsidRDefault="00C4462A" w:rsidP="004B11B7">
            <w:pPr>
              <w:jc w:val="right"/>
              <w:rPr>
                <w:color w:val="000000"/>
              </w:rPr>
            </w:pPr>
            <w:r w:rsidRPr="00D618B7">
              <w:rPr>
                <w:color w:val="000000"/>
                <w:sz w:val="22"/>
                <w:szCs w:val="22"/>
              </w:rPr>
              <w:t>0.0025</w:t>
            </w:r>
          </w:p>
        </w:tc>
        <w:tc>
          <w:tcPr>
            <w:tcW w:w="893" w:type="pct"/>
            <w:tcBorders>
              <w:top w:val="nil"/>
              <w:left w:val="nil"/>
              <w:bottom w:val="nil"/>
              <w:right w:val="nil"/>
            </w:tcBorders>
            <w:shd w:val="clear" w:color="000000" w:fill="FFFFFF"/>
            <w:noWrap/>
            <w:vAlign w:val="center"/>
            <w:hideMark/>
          </w:tcPr>
          <w:p w14:paraId="02D4EBA9" w14:textId="77777777" w:rsidR="00C4462A" w:rsidRPr="00D618B7" w:rsidRDefault="00C4462A" w:rsidP="004B11B7">
            <w:pPr>
              <w:jc w:val="right"/>
              <w:rPr>
                <w:color w:val="000000"/>
              </w:rPr>
            </w:pPr>
            <w:r w:rsidRPr="00D618B7">
              <w:rPr>
                <w:color w:val="000000"/>
                <w:sz w:val="22"/>
                <w:szCs w:val="22"/>
              </w:rPr>
              <w:t>-0.0003</w:t>
            </w:r>
          </w:p>
        </w:tc>
        <w:tc>
          <w:tcPr>
            <w:tcW w:w="617" w:type="pct"/>
            <w:tcBorders>
              <w:top w:val="nil"/>
              <w:left w:val="nil"/>
              <w:bottom w:val="nil"/>
              <w:right w:val="nil"/>
            </w:tcBorders>
            <w:shd w:val="clear" w:color="000000" w:fill="FFFFFF"/>
            <w:noWrap/>
            <w:vAlign w:val="center"/>
            <w:hideMark/>
          </w:tcPr>
          <w:p w14:paraId="3D616B0A" w14:textId="77777777" w:rsidR="00C4462A" w:rsidRPr="00D618B7" w:rsidRDefault="00C4462A" w:rsidP="004B11B7">
            <w:pPr>
              <w:jc w:val="right"/>
              <w:rPr>
                <w:color w:val="000000"/>
              </w:rPr>
            </w:pPr>
            <w:r w:rsidRPr="00D618B7">
              <w:rPr>
                <w:color w:val="000000"/>
                <w:sz w:val="22"/>
                <w:szCs w:val="22"/>
              </w:rPr>
              <w:t>0.0024</w:t>
            </w:r>
          </w:p>
        </w:tc>
        <w:tc>
          <w:tcPr>
            <w:tcW w:w="838" w:type="pct"/>
            <w:tcBorders>
              <w:top w:val="nil"/>
              <w:left w:val="nil"/>
              <w:bottom w:val="nil"/>
              <w:right w:val="nil"/>
            </w:tcBorders>
            <w:shd w:val="clear" w:color="000000" w:fill="FFFFFF"/>
            <w:noWrap/>
            <w:vAlign w:val="center"/>
            <w:hideMark/>
          </w:tcPr>
          <w:p w14:paraId="5D5444C3" w14:textId="77777777" w:rsidR="00C4462A" w:rsidRPr="00D618B7" w:rsidRDefault="00C4462A" w:rsidP="004B11B7">
            <w:pPr>
              <w:jc w:val="right"/>
              <w:rPr>
                <w:color w:val="000000"/>
              </w:rPr>
            </w:pPr>
            <w:r w:rsidRPr="00D618B7">
              <w:rPr>
                <w:color w:val="000000"/>
                <w:sz w:val="22"/>
                <w:szCs w:val="22"/>
              </w:rPr>
              <w:t>0.0096</w:t>
            </w:r>
          </w:p>
        </w:tc>
        <w:tc>
          <w:tcPr>
            <w:tcW w:w="620" w:type="pct"/>
            <w:tcBorders>
              <w:top w:val="nil"/>
              <w:left w:val="nil"/>
              <w:bottom w:val="nil"/>
              <w:right w:val="nil"/>
            </w:tcBorders>
            <w:shd w:val="clear" w:color="000000" w:fill="FFFFFF"/>
            <w:noWrap/>
            <w:vAlign w:val="center"/>
            <w:hideMark/>
          </w:tcPr>
          <w:p w14:paraId="04DECD6D" w14:textId="77777777" w:rsidR="00C4462A" w:rsidRPr="00D618B7" w:rsidRDefault="00C4462A" w:rsidP="004B11B7">
            <w:pPr>
              <w:jc w:val="right"/>
              <w:rPr>
                <w:color w:val="000000"/>
              </w:rPr>
            </w:pPr>
            <w:r w:rsidRPr="00D618B7">
              <w:rPr>
                <w:color w:val="000000"/>
                <w:sz w:val="22"/>
                <w:szCs w:val="22"/>
              </w:rPr>
              <w:t>0.0025</w:t>
            </w:r>
          </w:p>
        </w:tc>
      </w:tr>
      <w:tr w:rsidR="00C4462A" w:rsidRPr="00D618B7" w14:paraId="35314A94" w14:textId="77777777" w:rsidTr="001E3794">
        <w:trPr>
          <w:trHeight w:val="383"/>
        </w:trPr>
        <w:tc>
          <w:tcPr>
            <w:tcW w:w="608" w:type="pct"/>
            <w:tcBorders>
              <w:top w:val="nil"/>
              <w:left w:val="nil"/>
              <w:bottom w:val="nil"/>
              <w:right w:val="nil"/>
            </w:tcBorders>
            <w:shd w:val="clear" w:color="000000" w:fill="FFFFFF"/>
            <w:vAlign w:val="center"/>
            <w:hideMark/>
          </w:tcPr>
          <w:p w14:paraId="08003BA8" w14:textId="77777777" w:rsidR="00C4462A" w:rsidRPr="00D618B7" w:rsidRDefault="00C4462A" w:rsidP="004B11B7">
            <w:pPr>
              <w:jc w:val="right"/>
              <w:rPr>
                <w:color w:val="000000"/>
              </w:rPr>
            </w:pPr>
            <w:r w:rsidRPr="00D618B7">
              <w:rPr>
                <w:color w:val="000000"/>
              </w:rPr>
              <w:t>3</w:t>
            </w:r>
          </w:p>
        </w:tc>
        <w:tc>
          <w:tcPr>
            <w:tcW w:w="776" w:type="pct"/>
            <w:tcBorders>
              <w:top w:val="nil"/>
              <w:left w:val="nil"/>
              <w:bottom w:val="nil"/>
              <w:right w:val="nil"/>
            </w:tcBorders>
            <w:shd w:val="clear" w:color="000000" w:fill="FFFFFF"/>
            <w:noWrap/>
            <w:vAlign w:val="center"/>
            <w:hideMark/>
          </w:tcPr>
          <w:p w14:paraId="0BFD3F53" w14:textId="77777777" w:rsidR="00C4462A" w:rsidRPr="00D618B7" w:rsidRDefault="00C4462A" w:rsidP="004B11B7">
            <w:pPr>
              <w:jc w:val="right"/>
              <w:rPr>
                <w:color w:val="000000"/>
              </w:rPr>
            </w:pPr>
            <w:r w:rsidRPr="00D618B7">
              <w:rPr>
                <w:color w:val="000000"/>
                <w:sz w:val="22"/>
                <w:szCs w:val="22"/>
              </w:rPr>
              <w:t>-0.0002</w:t>
            </w:r>
          </w:p>
        </w:tc>
        <w:tc>
          <w:tcPr>
            <w:tcW w:w="647" w:type="pct"/>
            <w:tcBorders>
              <w:top w:val="nil"/>
              <w:left w:val="nil"/>
              <w:bottom w:val="nil"/>
              <w:right w:val="nil"/>
            </w:tcBorders>
            <w:shd w:val="clear" w:color="000000" w:fill="FFFFFF"/>
            <w:noWrap/>
            <w:vAlign w:val="center"/>
            <w:hideMark/>
          </w:tcPr>
          <w:p w14:paraId="0D731BD6" w14:textId="77777777" w:rsidR="00C4462A" w:rsidRPr="00D618B7" w:rsidRDefault="00C4462A" w:rsidP="004B11B7">
            <w:pPr>
              <w:jc w:val="right"/>
              <w:rPr>
                <w:color w:val="000000"/>
              </w:rPr>
            </w:pPr>
            <w:r w:rsidRPr="00D618B7">
              <w:rPr>
                <w:color w:val="000000"/>
                <w:sz w:val="22"/>
                <w:szCs w:val="22"/>
              </w:rPr>
              <w:t>0.0020</w:t>
            </w:r>
          </w:p>
        </w:tc>
        <w:tc>
          <w:tcPr>
            <w:tcW w:w="893" w:type="pct"/>
            <w:tcBorders>
              <w:top w:val="nil"/>
              <w:left w:val="nil"/>
              <w:bottom w:val="nil"/>
              <w:right w:val="nil"/>
            </w:tcBorders>
            <w:shd w:val="clear" w:color="000000" w:fill="FFFFFF"/>
            <w:noWrap/>
            <w:vAlign w:val="center"/>
            <w:hideMark/>
          </w:tcPr>
          <w:p w14:paraId="13FF9B90" w14:textId="77777777" w:rsidR="00C4462A" w:rsidRPr="00D618B7" w:rsidRDefault="00C4462A" w:rsidP="004B11B7">
            <w:pPr>
              <w:jc w:val="right"/>
              <w:rPr>
                <w:color w:val="000000"/>
              </w:rPr>
            </w:pPr>
            <w:r w:rsidRPr="00D618B7">
              <w:rPr>
                <w:color w:val="000000"/>
                <w:sz w:val="22"/>
                <w:szCs w:val="22"/>
              </w:rPr>
              <w:t>0.0007</w:t>
            </w:r>
          </w:p>
        </w:tc>
        <w:tc>
          <w:tcPr>
            <w:tcW w:w="617" w:type="pct"/>
            <w:tcBorders>
              <w:top w:val="nil"/>
              <w:left w:val="nil"/>
              <w:bottom w:val="nil"/>
              <w:right w:val="nil"/>
            </w:tcBorders>
            <w:shd w:val="clear" w:color="000000" w:fill="FFFFFF"/>
            <w:noWrap/>
            <w:vAlign w:val="center"/>
            <w:hideMark/>
          </w:tcPr>
          <w:p w14:paraId="4FFFAD57" w14:textId="77777777" w:rsidR="00C4462A" w:rsidRPr="00D618B7" w:rsidRDefault="00C4462A" w:rsidP="004B11B7">
            <w:pPr>
              <w:jc w:val="right"/>
              <w:rPr>
                <w:color w:val="000000"/>
              </w:rPr>
            </w:pPr>
            <w:r w:rsidRPr="00D618B7">
              <w:rPr>
                <w:color w:val="000000"/>
                <w:sz w:val="22"/>
                <w:szCs w:val="22"/>
              </w:rPr>
              <w:t>0.0020</w:t>
            </w:r>
          </w:p>
        </w:tc>
        <w:tc>
          <w:tcPr>
            <w:tcW w:w="838" w:type="pct"/>
            <w:tcBorders>
              <w:top w:val="nil"/>
              <w:left w:val="nil"/>
              <w:bottom w:val="nil"/>
              <w:right w:val="nil"/>
            </w:tcBorders>
            <w:shd w:val="clear" w:color="000000" w:fill="FFFFFF"/>
            <w:noWrap/>
            <w:vAlign w:val="center"/>
            <w:hideMark/>
          </w:tcPr>
          <w:p w14:paraId="1EA9CE21" w14:textId="77777777" w:rsidR="00C4462A" w:rsidRPr="00D618B7" w:rsidRDefault="00C4462A" w:rsidP="004B11B7">
            <w:pPr>
              <w:jc w:val="right"/>
              <w:rPr>
                <w:color w:val="000000"/>
              </w:rPr>
            </w:pPr>
            <w:r w:rsidRPr="00D618B7">
              <w:rPr>
                <w:color w:val="000000"/>
                <w:sz w:val="22"/>
                <w:szCs w:val="22"/>
              </w:rPr>
              <w:t>0.0058</w:t>
            </w:r>
          </w:p>
        </w:tc>
        <w:tc>
          <w:tcPr>
            <w:tcW w:w="620" w:type="pct"/>
            <w:tcBorders>
              <w:top w:val="nil"/>
              <w:left w:val="nil"/>
              <w:bottom w:val="nil"/>
              <w:right w:val="nil"/>
            </w:tcBorders>
            <w:shd w:val="clear" w:color="000000" w:fill="FFFFFF"/>
            <w:noWrap/>
            <w:vAlign w:val="center"/>
            <w:hideMark/>
          </w:tcPr>
          <w:p w14:paraId="73559490" w14:textId="77777777" w:rsidR="00C4462A" w:rsidRPr="00D618B7" w:rsidRDefault="00C4462A" w:rsidP="004B11B7">
            <w:pPr>
              <w:jc w:val="right"/>
              <w:rPr>
                <w:color w:val="000000"/>
              </w:rPr>
            </w:pPr>
            <w:r w:rsidRPr="00D618B7">
              <w:rPr>
                <w:color w:val="000000"/>
                <w:sz w:val="22"/>
                <w:szCs w:val="22"/>
              </w:rPr>
              <w:t>0.0020</w:t>
            </w:r>
          </w:p>
        </w:tc>
      </w:tr>
      <w:tr w:rsidR="00C4462A" w:rsidRPr="00D618B7" w14:paraId="5E37860A" w14:textId="77777777" w:rsidTr="001E3794">
        <w:trPr>
          <w:trHeight w:val="383"/>
        </w:trPr>
        <w:tc>
          <w:tcPr>
            <w:tcW w:w="608" w:type="pct"/>
            <w:tcBorders>
              <w:top w:val="nil"/>
              <w:left w:val="nil"/>
              <w:right w:val="nil"/>
            </w:tcBorders>
            <w:shd w:val="clear" w:color="000000" w:fill="FFFFFF"/>
            <w:vAlign w:val="center"/>
            <w:hideMark/>
          </w:tcPr>
          <w:p w14:paraId="3F06E9C1" w14:textId="77777777" w:rsidR="00C4462A" w:rsidRPr="00D618B7" w:rsidRDefault="00C4462A" w:rsidP="004B11B7">
            <w:pPr>
              <w:jc w:val="right"/>
              <w:rPr>
                <w:color w:val="000000"/>
              </w:rPr>
            </w:pPr>
            <w:r w:rsidRPr="00D618B7">
              <w:rPr>
                <w:color w:val="000000"/>
              </w:rPr>
              <w:t>4</w:t>
            </w:r>
          </w:p>
        </w:tc>
        <w:tc>
          <w:tcPr>
            <w:tcW w:w="776" w:type="pct"/>
            <w:tcBorders>
              <w:top w:val="nil"/>
              <w:left w:val="nil"/>
              <w:right w:val="nil"/>
            </w:tcBorders>
            <w:shd w:val="clear" w:color="000000" w:fill="FFFFFF"/>
            <w:noWrap/>
            <w:vAlign w:val="center"/>
            <w:hideMark/>
          </w:tcPr>
          <w:p w14:paraId="074270BA" w14:textId="77777777" w:rsidR="00C4462A" w:rsidRPr="00D618B7" w:rsidRDefault="00C4462A" w:rsidP="004B11B7">
            <w:pPr>
              <w:jc w:val="right"/>
              <w:rPr>
                <w:color w:val="000000"/>
              </w:rPr>
            </w:pPr>
            <w:r w:rsidRPr="00D618B7">
              <w:rPr>
                <w:color w:val="000000"/>
                <w:sz w:val="22"/>
                <w:szCs w:val="22"/>
              </w:rPr>
              <w:t>0.0014</w:t>
            </w:r>
          </w:p>
        </w:tc>
        <w:tc>
          <w:tcPr>
            <w:tcW w:w="647" w:type="pct"/>
            <w:tcBorders>
              <w:top w:val="nil"/>
              <w:left w:val="nil"/>
              <w:right w:val="nil"/>
            </w:tcBorders>
            <w:shd w:val="clear" w:color="000000" w:fill="FFFFFF"/>
            <w:noWrap/>
            <w:vAlign w:val="center"/>
            <w:hideMark/>
          </w:tcPr>
          <w:p w14:paraId="1AEB3A5B" w14:textId="77777777" w:rsidR="00C4462A" w:rsidRPr="00D618B7" w:rsidRDefault="00C4462A" w:rsidP="004B11B7">
            <w:pPr>
              <w:jc w:val="right"/>
              <w:rPr>
                <w:color w:val="000000"/>
              </w:rPr>
            </w:pPr>
            <w:r w:rsidRPr="00D618B7">
              <w:rPr>
                <w:color w:val="000000"/>
                <w:sz w:val="22"/>
                <w:szCs w:val="22"/>
              </w:rPr>
              <w:t>0.0022</w:t>
            </w:r>
          </w:p>
        </w:tc>
        <w:tc>
          <w:tcPr>
            <w:tcW w:w="893" w:type="pct"/>
            <w:tcBorders>
              <w:top w:val="nil"/>
              <w:left w:val="nil"/>
              <w:right w:val="nil"/>
            </w:tcBorders>
            <w:shd w:val="clear" w:color="000000" w:fill="FFFFFF"/>
            <w:noWrap/>
            <w:vAlign w:val="center"/>
            <w:hideMark/>
          </w:tcPr>
          <w:p w14:paraId="4D2A8408" w14:textId="77777777" w:rsidR="00C4462A" w:rsidRPr="00D618B7" w:rsidRDefault="00C4462A" w:rsidP="004B11B7">
            <w:pPr>
              <w:jc w:val="right"/>
              <w:rPr>
                <w:color w:val="000000"/>
              </w:rPr>
            </w:pPr>
            <w:r w:rsidRPr="00D618B7">
              <w:rPr>
                <w:color w:val="000000"/>
                <w:sz w:val="22"/>
                <w:szCs w:val="22"/>
              </w:rPr>
              <w:t>0.0008</w:t>
            </w:r>
          </w:p>
        </w:tc>
        <w:tc>
          <w:tcPr>
            <w:tcW w:w="617" w:type="pct"/>
            <w:tcBorders>
              <w:top w:val="nil"/>
              <w:left w:val="nil"/>
              <w:right w:val="nil"/>
            </w:tcBorders>
            <w:shd w:val="clear" w:color="000000" w:fill="FFFFFF"/>
            <w:noWrap/>
            <w:vAlign w:val="center"/>
            <w:hideMark/>
          </w:tcPr>
          <w:p w14:paraId="731811FA" w14:textId="77777777" w:rsidR="00C4462A" w:rsidRPr="00D618B7" w:rsidRDefault="00C4462A" w:rsidP="004B11B7">
            <w:pPr>
              <w:jc w:val="right"/>
              <w:rPr>
                <w:color w:val="000000"/>
              </w:rPr>
            </w:pPr>
            <w:r w:rsidRPr="00D618B7">
              <w:rPr>
                <w:color w:val="000000"/>
                <w:sz w:val="22"/>
                <w:szCs w:val="22"/>
              </w:rPr>
              <w:t>0.0022</w:t>
            </w:r>
          </w:p>
        </w:tc>
        <w:tc>
          <w:tcPr>
            <w:tcW w:w="838" w:type="pct"/>
            <w:tcBorders>
              <w:top w:val="nil"/>
              <w:left w:val="nil"/>
              <w:right w:val="nil"/>
            </w:tcBorders>
            <w:shd w:val="clear" w:color="000000" w:fill="FFFFFF"/>
            <w:noWrap/>
            <w:vAlign w:val="center"/>
            <w:hideMark/>
          </w:tcPr>
          <w:p w14:paraId="7D76934F" w14:textId="77777777" w:rsidR="00C4462A" w:rsidRPr="00D618B7" w:rsidRDefault="00C4462A" w:rsidP="004B11B7">
            <w:pPr>
              <w:jc w:val="right"/>
              <w:rPr>
                <w:color w:val="000000"/>
              </w:rPr>
            </w:pPr>
            <w:r w:rsidRPr="00D618B7">
              <w:rPr>
                <w:color w:val="000000"/>
                <w:sz w:val="22"/>
                <w:szCs w:val="22"/>
              </w:rPr>
              <w:t>0.0125</w:t>
            </w:r>
          </w:p>
        </w:tc>
        <w:tc>
          <w:tcPr>
            <w:tcW w:w="620" w:type="pct"/>
            <w:tcBorders>
              <w:top w:val="nil"/>
              <w:left w:val="nil"/>
              <w:right w:val="nil"/>
            </w:tcBorders>
            <w:shd w:val="clear" w:color="000000" w:fill="FFFFFF"/>
            <w:noWrap/>
            <w:vAlign w:val="center"/>
            <w:hideMark/>
          </w:tcPr>
          <w:p w14:paraId="48FE48B1" w14:textId="77777777" w:rsidR="00C4462A" w:rsidRPr="00D618B7" w:rsidRDefault="00C4462A" w:rsidP="004B11B7">
            <w:pPr>
              <w:jc w:val="right"/>
              <w:rPr>
                <w:color w:val="000000"/>
              </w:rPr>
            </w:pPr>
            <w:r w:rsidRPr="00D618B7">
              <w:rPr>
                <w:color w:val="000000"/>
                <w:sz w:val="22"/>
                <w:szCs w:val="22"/>
              </w:rPr>
              <w:t>0.0022</w:t>
            </w:r>
          </w:p>
        </w:tc>
      </w:tr>
      <w:tr w:rsidR="00C4462A" w:rsidRPr="00D618B7" w14:paraId="1030A0BB" w14:textId="77777777" w:rsidTr="001E3794">
        <w:trPr>
          <w:trHeight w:val="402"/>
        </w:trPr>
        <w:tc>
          <w:tcPr>
            <w:tcW w:w="608" w:type="pct"/>
            <w:tcBorders>
              <w:top w:val="nil"/>
              <w:left w:val="nil"/>
              <w:bottom w:val="single" w:sz="18" w:space="0" w:color="auto"/>
              <w:right w:val="nil"/>
            </w:tcBorders>
            <w:shd w:val="clear" w:color="000000" w:fill="FFFFFF"/>
            <w:vAlign w:val="center"/>
            <w:hideMark/>
          </w:tcPr>
          <w:p w14:paraId="131E2260" w14:textId="77777777" w:rsidR="00C4462A" w:rsidRPr="00D618B7" w:rsidRDefault="00C4462A" w:rsidP="004B11B7">
            <w:pPr>
              <w:jc w:val="right"/>
              <w:rPr>
                <w:color w:val="000000"/>
              </w:rPr>
            </w:pPr>
            <w:r w:rsidRPr="00D618B7">
              <w:rPr>
                <w:color w:val="000000"/>
              </w:rPr>
              <w:t>5</w:t>
            </w:r>
          </w:p>
        </w:tc>
        <w:tc>
          <w:tcPr>
            <w:tcW w:w="776" w:type="pct"/>
            <w:tcBorders>
              <w:top w:val="nil"/>
              <w:left w:val="nil"/>
              <w:bottom w:val="single" w:sz="18" w:space="0" w:color="auto"/>
              <w:right w:val="nil"/>
            </w:tcBorders>
            <w:shd w:val="clear" w:color="000000" w:fill="FFFFFF"/>
            <w:noWrap/>
            <w:vAlign w:val="center"/>
            <w:hideMark/>
          </w:tcPr>
          <w:p w14:paraId="06197034" w14:textId="77777777" w:rsidR="00C4462A" w:rsidRPr="00D618B7" w:rsidRDefault="00C4462A" w:rsidP="004B11B7">
            <w:pPr>
              <w:jc w:val="right"/>
              <w:rPr>
                <w:color w:val="000000"/>
              </w:rPr>
            </w:pPr>
            <w:r w:rsidRPr="00D618B7">
              <w:rPr>
                <w:color w:val="000000"/>
                <w:sz w:val="22"/>
                <w:szCs w:val="22"/>
              </w:rPr>
              <w:t>-0.0005</w:t>
            </w:r>
          </w:p>
        </w:tc>
        <w:tc>
          <w:tcPr>
            <w:tcW w:w="647" w:type="pct"/>
            <w:tcBorders>
              <w:top w:val="nil"/>
              <w:left w:val="nil"/>
              <w:bottom w:val="single" w:sz="18" w:space="0" w:color="auto"/>
              <w:right w:val="nil"/>
            </w:tcBorders>
            <w:shd w:val="clear" w:color="000000" w:fill="FFFFFF"/>
            <w:noWrap/>
            <w:vAlign w:val="center"/>
            <w:hideMark/>
          </w:tcPr>
          <w:p w14:paraId="18F23EA1" w14:textId="77777777" w:rsidR="00C4462A" w:rsidRPr="00D618B7" w:rsidRDefault="00C4462A" w:rsidP="004B11B7">
            <w:pPr>
              <w:jc w:val="right"/>
              <w:rPr>
                <w:color w:val="000000"/>
              </w:rPr>
            </w:pPr>
            <w:r w:rsidRPr="00D618B7">
              <w:rPr>
                <w:color w:val="000000"/>
                <w:sz w:val="22"/>
                <w:szCs w:val="22"/>
              </w:rPr>
              <w:t>0.0024</w:t>
            </w:r>
          </w:p>
        </w:tc>
        <w:tc>
          <w:tcPr>
            <w:tcW w:w="893" w:type="pct"/>
            <w:tcBorders>
              <w:top w:val="nil"/>
              <w:left w:val="nil"/>
              <w:bottom w:val="single" w:sz="18" w:space="0" w:color="auto"/>
              <w:right w:val="nil"/>
            </w:tcBorders>
            <w:shd w:val="clear" w:color="000000" w:fill="FFFFFF"/>
            <w:noWrap/>
            <w:vAlign w:val="center"/>
            <w:hideMark/>
          </w:tcPr>
          <w:p w14:paraId="205961C2" w14:textId="77777777" w:rsidR="00C4462A" w:rsidRPr="00D618B7" w:rsidRDefault="00C4462A" w:rsidP="004B11B7">
            <w:pPr>
              <w:jc w:val="right"/>
              <w:rPr>
                <w:color w:val="000000"/>
              </w:rPr>
            </w:pPr>
            <w:r w:rsidRPr="00D618B7">
              <w:rPr>
                <w:color w:val="000000"/>
                <w:sz w:val="22"/>
                <w:szCs w:val="22"/>
              </w:rPr>
              <w:t>0.0007</w:t>
            </w:r>
          </w:p>
        </w:tc>
        <w:tc>
          <w:tcPr>
            <w:tcW w:w="617" w:type="pct"/>
            <w:tcBorders>
              <w:top w:val="nil"/>
              <w:left w:val="nil"/>
              <w:bottom w:val="single" w:sz="18" w:space="0" w:color="auto"/>
              <w:right w:val="nil"/>
            </w:tcBorders>
            <w:shd w:val="clear" w:color="000000" w:fill="FFFFFF"/>
            <w:noWrap/>
            <w:vAlign w:val="center"/>
            <w:hideMark/>
          </w:tcPr>
          <w:p w14:paraId="20081CF4" w14:textId="77777777" w:rsidR="00C4462A" w:rsidRPr="00D618B7" w:rsidRDefault="00C4462A" w:rsidP="004B11B7">
            <w:pPr>
              <w:jc w:val="right"/>
              <w:rPr>
                <w:color w:val="000000"/>
              </w:rPr>
            </w:pPr>
            <w:r w:rsidRPr="00D618B7">
              <w:rPr>
                <w:color w:val="000000"/>
                <w:sz w:val="22"/>
                <w:szCs w:val="22"/>
              </w:rPr>
              <w:t>0.0024</w:t>
            </w:r>
          </w:p>
        </w:tc>
        <w:tc>
          <w:tcPr>
            <w:tcW w:w="838" w:type="pct"/>
            <w:tcBorders>
              <w:top w:val="nil"/>
              <w:left w:val="nil"/>
              <w:bottom w:val="single" w:sz="18" w:space="0" w:color="auto"/>
              <w:right w:val="nil"/>
            </w:tcBorders>
            <w:shd w:val="clear" w:color="000000" w:fill="FFFFFF"/>
            <w:noWrap/>
            <w:vAlign w:val="center"/>
            <w:hideMark/>
          </w:tcPr>
          <w:p w14:paraId="724B8F6F" w14:textId="77777777" w:rsidR="00C4462A" w:rsidRPr="00D618B7" w:rsidRDefault="00C4462A" w:rsidP="004B11B7">
            <w:pPr>
              <w:jc w:val="right"/>
              <w:rPr>
                <w:color w:val="000000"/>
              </w:rPr>
            </w:pPr>
            <w:r w:rsidRPr="00D618B7">
              <w:rPr>
                <w:color w:val="000000"/>
                <w:sz w:val="22"/>
                <w:szCs w:val="22"/>
              </w:rPr>
              <w:t>0.0046</w:t>
            </w:r>
          </w:p>
        </w:tc>
        <w:tc>
          <w:tcPr>
            <w:tcW w:w="620" w:type="pct"/>
            <w:tcBorders>
              <w:top w:val="nil"/>
              <w:left w:val="nil"/>
              <w:bottom w:val="single" w:sz="18" w:space="0" w:color="auto"/>
              <w:right w:val="nil"/>
            </w:tcBorders>
            <w:shd w:val="clear" w:color="000000" w:fill="FFFFFF"/>
            <w:noWrap/>
            <w:vAlign w:val="center"/>
            <w:hideMark/>
          </w:tcPr>
          <w:p w14:paraId="57CA8A83" w14:textId="77777777" w:rsidR="00C4462A" w:rsidRPr="00D618B7" w:rsidRDefault="00C4462A" w:rsidP="004B11B7">
            <w:pPr>
              <w:jc w:val="right"/>
              <w:rPr>
                <w:color w:val="000000"/>
              </w:rPr>
            </w:pPr>
            <w:r w:rsidRPr="00D618B7">
              <w:rPr>
                <w:color w:val="000000"/>
                <w:sz w:val="22"/>
                <w:szCs w:val="22"/>
              </w:rPr>
              <w:t>0.0024</w:t>
            </w:r>
          </w:p>
        </w:tc>
      </w:tr>
    </w:tbl>
    <w:p w14:paraId="3492D0F2" w14:textId="77777777" w:rsidR="00C4462A" w:rsidRPr="00D618B7" w:rsidRDefault="00C4462A" w:rsidP="00C4462A"/>
    <w:p w14:paraId="7F66916D" w14:textId="77777777" w:rsidR="00C4462A" w:rsidRPr="00D618B7" w:rsidRDefault="00C4462A" w:rsidP="00C4462A">
      <w:r w:rsidRPr="00D618B7">
        <w:rPr>
          <w:i/>
          <w:iCs/>
        </w:rPr>
        <w:t>Note</w:t>
      </w:r>
      <w:r w:rsidRPr="00D618B7">
        <w:t>: This table lists the estimated mean Rate and standard error of face, hand, and mouth events for each week of observation around reach-onset.</w:t>
      </w:r>
    </w:p>
    <w:bookmarkEnd w:id="145"/>
    <w:p w14:paraId="720454C6" w14:textId="77777777" w:rsidR="00C4462A" w:rsidRPr="00D618B7" w:rsidRDefault="00C4462A" w:rsidP="00822CAA"/>
    <w:p w14:paraId="64787090" w14:textId="2FE68019" w:rsidR="00C4462A" w:rsidRPr="00D618B7" w:rsidRDefault="00822CAA">
      <w:r w:rsidRPr="00D618B7">
        <w:br w:type="page"/>
      </w:r>
    </w:p>
    <w:p w14:paraId="31EB9EA5" w14:textId="106D45EF" w:rsidR="00C4462A" w:rsidRPr="00D618B7" w:rsidRDefault="004B7288" w:rsidP="007C5074">
      <w:pPr>
        <w:pStyle w:val="Caption"/>
      </w:pPr>
      <w:bookmarkStart w:id="146" w:name="_Toc172716845"/>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17</w:t>
      </w:r>
      <w:r w:rsidR="00000000">
        <w:rPr>
          <w:noProof/>
        </w:rPr>
        <w:fldChar w:fldCharType="end"/>
      </w:r>
      <w:r w:rsidR="008839D5" w:rsidRPr="00D618B7">
        <w:t xml:space="preserve">: </w:t>
      </w:r>
      <w:r w:rsidR="008839D5" w:rsidRPr="00D618B7">
        <w:rPr>
          <w:rFonts w:eastAsia="Aptos"/>
          <w:kern w:val="2"/>
          <w:sz w:val="22"/>
          <w:szCs w:val="22"/>
        </w:rPr>
        <w:t>Event rates by proximity and week</w:t>
      </w:r>
      <w:bookmarkEnd w:id="146"/>
    </w:p>
    <w:p w14:paraId="3731E267" w14:textId="77777777" w:rsidR="00C4462A" w:rsidRPr="00D618B7" w:rsidRDefault="00C4462A" w:rsidP="00C4462A">
      <w:r w:rsidRPr="00D618B7">
        <w:t>Estimated Mean Rate of Events per Trial by Proximity and Week</w:t>
      </w:r>
    </w:p>
    <w:p w14:paraId="637F81FF" w14:textId="77777777" w:rsidR="00EA713F" w:rsidRPr="00D618B7" w:rsidRDefault="00EA713F" w:rsidP="00C4462A"/>
    <w:tbl>
      <w:tblPr>
        <w:tblW w:w="5000" w:type="pct"/>
        <w:tblLook w:val="04A0" w:firstRow="1" w:lastRow="0" w:firstColumn="1" w:lastColumn="0" w:noHBand="0" w:noVBand="1"/>
      </w:tblPr>
      <w:tblGrid>
        <w:gridCol w:w="1233"/>
        <w:gridCol w:w="1068"/>
        <w:gridCol w:w="1403"/>
        <w:gridCol w:w="1127"/>
        <w:gridCol w:w="1343"/>
        <w:gridCol w:w="1127"/>
        <w:gridCol w:w="1339"/>
      </w:tblGrid>
      <w:tr w:rsidR="00EA713F" w:rsidRPr="00D618B7" w14:paraId="77C2CF1A" w14:textId="77777777" w:rsidTr="00EA713F">
        <w:trPr>
          <w:trHeight w:val="315"/>
        </w:trPr>
        <w:tc>
          <w:tcPr>
            <w:tcW w:w="714" w:type="pct"/>
            <w:tcBorders>
              <w:top w:val="single" w:sz="4" w:space="0" w:color="auto"/>
              <w:left w:val="nil"/>
              <w:bottom w:val="nil"/>
              <w:right w:val="nil"/>
            </w:tcBorders>
            <w:shd w:val="clear" w:color="000000" w:fill="FFFFFF"/>
            <w:vAlign w:val="center"/>
            <w:hideMark/>
          </w:tcPr>
          <w:p w14:paraId="24486ABE" w14:textId="77777777" w:rsidR="00EA713F" w:rsidRPr="00D618B7" w:rsidRDefault="00EA713F" w:rsidP="00EA713F">
            <w:pPr>
              <w:jc w:val="center"/>
              <w:rPr>
                <w:color w:val="000000"/>
                <w:sz w:val="22"/>
                <w:szCs w:val="22"/>
              </w:rPr>
            </w:pPr>
            <w:r w:rsidRPr="00D618B7">
              <w:rPr>
                <w:color w:val="000000"/>
                <w:sz w:val="22"/>
                <w:szCs w:val="22"/>
              </w:rPr>
              <w:t>Week</w:t>
            </w:r>
          </w:p>
        </w:tc>
        <w:tc>
          <w:tcPr>
            <w:tcW w:w="1430" w:type="pct"/>
            <w:gridSpan w:val="2"/>
            <w:tcBorders>
              <w:top w:val="single" w:sz="4" w:space="0" w:color="auto"/>
              <w:left w:val="nil"/>
              <w:bottom w:val="single" w:sz="8" w:space="0" w:color="auto"/>
              <w:right w:val="nil"/>
            </w:tcBorders>
            <w:shd w:val="clear" w:color="000000" w:fill="FFFFFF"/>
            <w:vAlign w:val="center"/>
            <w:hideMark/>
          </w:tcPr>
          <w:p w14:paraId="0933C44F" w14:textId="77777777" w:rsidR="00EA713F" w:rsidRPr="00D618B7" w:rsidRDefault="00EA713F" w:rsidP="00EA713F">
            <w:pPr>
              <w:jc w:val="center"/>
              <w:rPr>
                <w:color w:val="000000"/>
                <w:sz w:val="22"/>
                <w:szCs w:val="22"/>
              </w:rPr>
            </w:pPr>
            <w:r w:rsidRPr="00D618B7">
              <w:rPr>
                <w:color w:val="000000"/>
                <w:sz w:val="22"/>
                <w:szCs w:val="22"/>
              </w:rPr>
              <w:t>Toy-out-of-Reach</w:t>
            </w:r>
          </w:p>
        </w:tc>
        <w:tc>
          <w:tcPr>
            <w:tcW w:w="1428" w:type="pct"/>
            <w:gridSpan w:val="2"/>
            <w:tcBorders>
              <w:top w:val="single" w:sz="4" w:space="0" w:color="auto"/>
              <w:left w:val="nil"/>
              <w:bottom w:val="single" w:sz="8" w:space="0" w:color="auto"/>
              <w:right w:val="nil"/>
            </w:tcBorders>
            <w:shd w:val="clear" w:color="000000" w:fill="FFFFFF"/>
            <w:vAlign w:val="center"/>
            <w:hideMark/>
          </w:tcPr>
          <w:p w14:paraId="21FEB08A" w14:textId="77777777" w:rsidR="00EA713F" w:rsidRPr="00D618B7" w:rsidRDefault="00EA713F" w:rsidP="00EA713F">
            <w:pPr>
              <w:jc w:val="center"/>
              <w:rPr>
                <w:color w:val="000000"/>
                <w:sz w:val="22"/>
                <w:szCs w:val="22"/>
              </w:rPr>
            </w:pPr>
            <w:r w:rsidRPr="00D618B7">
              <w:rPr>
                <w:color w:val="000000"/>
                <w:sz w:val="22"/>
                <w:szCs w:val="22"/>
              </w:rPr>
              <w:t>Toy-Moving-into-Reach</w:t>
            </w:r>
          </w:p>
        </w:tc>
        <w:tc>
          <w:tcPr>
            <w:tcW w:w="1428" w:type="pct"/>
            <w:gridSpan w:val="2"/>
            <w:tcBorders>
              <w:top w:val="single" w:sz="4" w:space="0" w:color="auto"/>
              <w:left w:val="nil"/>
              <w:bottom w:val="single" w:sz="8" w:space="0" w:color="auto"/>
              <w:right w:val="nil"/>
            </w:tcBorders>
            <w:shd w:val="clear" w:color="000000" w:fill="FFFFFF"/>
            <w:vAlign w:val="center"/>
            <w:hideMark/>
          </w:tcPr>
          <w:p w14:paraId="42C76D8F" w14:textId="77777777" w:rsidR="00EA713F" w:rsidRPr="00D618B7" w:rsidRDefault="00EA713F" w:rsidP="00EA713F">
            <w:pPr>
              <w:jc w:val="center"/>
              <w:rPr>
                <w:color w:val="000000"/>
                <w:sz w:val="22"/>
                <w:szCs w:val="22"/>
              </w:rPr>
            </w:pPr>
            <w:r w:rsidRPr="00D618B7">
              <w:rPr>
                <w:color w:val="000000"/>
                <w:sz w:val="22"/>
                <w:szCs w:val="22"/>
              </w:rPr>
              <w:t>Toy-in-Reach</w:t>
            </w:r>
          </w:p>
        </w:tc>
      </w:tr>
      <w:tr w:rsidR="00EA713F" w:rsidRPr="00D618B7" w14:paraId="4A043B7C" w14:textId="77777777" w:rsidTr="00EA713F">
        <w:trPr>
          <w:trHeight w:val="315"/>
        </w:trPr>
        <w:tc>
          <w:tcPr>
            <w:tcW w:w="714" w:type="pct"/>
            <w:tcBorders>
              <w:top w:val="nil"/>
              <w:left w:val="nil"/>
              <w:bottom w:val="single" w:sz="8" w:space="0" w:color="auto"/>
              <w:right w:val="nil"/>
            </w:tcBorders>
            <w:shd w:val="clear" w:color="000000" w:fill="FFFFFF"/>
            <w:noWrap/>
            <w:vAlign w:val="bottom"/>
            <w:hideMark/>
          </w:tcPr>
          <w:p w14:paraId="07901594" w14:textId="77777777" w:rsidR="00EA713F" w:rsidRPr="00D618B7" w:rsidRDefault="00EA713F" w:rsidP="00EA713F">
            <w:pPr>
              <w:rPr>
                <w:color w:val="000000"/>
                <w:sz w:val="22"/>
                <w:szCs w:val="22"/>
              </w:rPr>
            </w:pPr>
            <w:r w:rsidRPr="00D618B7">
              <w:rPr>
                <w:color w:val="000000"/>
                <w:sz w:val="22"/>
                <w:szCs w:val="22"/>
              </w:rPr>
              <w:t> </w:t>
            </w:r>
          </w:p>
        </w:tc>
        <w:tc>
          <w:tcPr>
            <w:tcW w:w="618" w:type="pct"/>
            <w:tcBorders>
              <w:top w:val="nil"/>
              <w:left w:val="nil"/>
              <w:bottom w:val="single" w:sz="8" w:space="0" w:color="auto"/>
              <w:right w:val="nil"/>
            </w:tcBorders>
            <w:shd w:val="clear" w:color="000000" w:fill="FFFFFF"/>
            <w:noWrap/>
            <w:vAlign w:val="center"/>
            <w:hideMark/>
          </w:tcPr>
          <w:p w14:paraId="3D988F6E" w14:textId="77777777" w:rsidR="00EA713F" w:rsidRPr="00D618B7" w:rsidRDefault="00EA713F" w:rsidP="00EA713F">
            <w:pPr>
              <w:jc w:val="right"/>
              <w:rPr>
                <w:color w:val="000000"/>
                <w:sz w:val="22"/>
                <w:szCs w:val="22"/>
              </w:rPr>
            </w:pPr>
            <w:r w:rsidRPr="00D618B7">
              <w:rPr>
                <w:color w:val="000000"/>
                <w:sz w:val="22"/>
                <w:szCs w:val="22"/>
              </w:rPr>
              <w:t>Mean</w:t>
            </w:r>
          </w:p>
        </w:tc>
        <w:tc>
          <w:tcPr>
            <w:tcW w:w="812" w:type="pct"/>
            <w:tcBorders>
              <w:top w:val="nil"/>
              <w:left w:val="nil"/>
              <w:bottom w:val="single" w:sz="8" w:space="0" w:color="auto"/>
              <w:right w:val="nil"/>
            </w:tcBorders>
            <w:shd w:val="clear" w:color="000000" w:fill="FFFFFF"/>
            <w:noWrap/>
            <w:vAlign w:val="center"/>
            <w:hideMark/>
          </w:tcPr>
          <w:p w14:paraId="20C33F70" w14:textId="77777777" w:rsidR="00EA713F" w:rsidRPr="00D618B7" w:rsidRDefault="00EA713F" w:rsidP="00EA713F">
            <w:pPr>
              <w:jc w:val="right"/>
              <w:rPr>
                <w:color w:val="000000"/>
                <w:sz w:val="22"/>
                <w:szCs w:val="22"/>
              </w:rPr>
            </w:pPr>
            <w:r w:rsidRPr="00D618B7">
              <w:rPr>
                <w:color w:val="000000"/>
                <w:sz w:val="22"/>
                <w:szCs w:val="22"/>
              </w:rPr>
              <w:t>Std. Error</w:t>
            </w:r>
          </w:p>
        </w:tc>
        <w:tc>
          <w:tcPr>
            <w:tcW w:w="652" w:type="pct"/>
            <w:tcBorders>
              <w:top w:val="nil"/>
              <w:left w:val="nil"/>
              <w:bottom w:val="single" w:sz="8" w:space="0" w:color="auto"/>
              <w:right w:val="nil"/>
            </w:tcBorders>
            <w:shd w:val="clear" w:color="000000" w:fill="FFFFFF"/>
            <w:noWrap/>
            <w:vAlign w:val="center"/>
            <w:hideMark/>
          </w:tcPr>
          <w:p w14:paraId="7D65624F" w14:textId="77777777" w:rsidR="00EA713F" w:rsidRPr="00D618B7" w:rsidRDefault="00EA713F" w:rsidP="00EA713F">
            <w:pPr>
              <w:jc w:val="right"/>
              <w:rPr>
                <w:color w:val="000000"/>
                <w:sz w:val="22"/>
                <w:szCs w:val="22"/>
              </w:rPr>
            </w:pPr>
            <w:r w:rsidRPr="00D618B7">
              <w:rPr>
                <w:color w:val="000000"/>
                <w:sz w:val="22"/>
                <w:szCs w:val="22"/>
              </w:rPr>
              <w:t>Mean</w:t>
            </w:r>
          </w:p>
        </w:tc>
        <w:tc>
          <w:tcPr>
            <w:tcW w:w="777" w:type="pct"/>
            <w:tcBorders>
              <w:top w:val="nil"/>
              <w:left w:val="nil"/>
              <w:bottom w:val="single" w:sz="8" w:space="0" w:color="auto"/>
              <w:right w:val="nil"/>
            </w:tcBorders>
            <w:shd w:val="clear" w:color="000000" w:fill="FFFFFF"/>
            <w:noWrap/>
            <w:vAlign w:val="center"/>
            <w:hideMark/>
          </w:tcPr>
          <w:p w14:paraId="35795A80" w14:textId="77777777" w:rsidR="00EA713F" w:rsidRPr="00D618B7" w:rsidRDefault="00EA713F" w:rsidP="00EA713F">
            <w:pPr>
              <w:jc w:val="right"/>
              <w:rPr>
                <w:color w:val="000000"/>
                <w:sz w:val="22"/>
                <w:szCs w:val="22"/>
              </w:rPr>
            </w:pPr>
            <w:r w:rsidRPr="00D618B7">
              <w:rPr>
                <w:color w:val="000000"/>
                <w:sz w:val="22"/>
                <w:szCs w:val="22"/>
              </w:rPr>
              <w:t>Std. Error</w:t>
            </w:r>
          </w:p>
        </w:tc>
        <w:tc>
          <w:tcPr>
            <w:tcW w:w="652" w:type="pct"/>
            <w:tcBorders>
              <w:top w:val="nil"/>
              <w:left w:val="nil"/>
              <w:bottom w:val="single" w:sz="8" w:space="0" w:color="auto"/>
              <w:right w:val="nil"/>
            </w:tcBorders>
            <w:shd w:val="clear" w:color="000000" w:fill="FFFFFF"/>
            <w:noWrap/>
            <w:vAlign w:val="center"/>
            <w:hideMark/>
          </w:tcPr>
          <w:p w14:paraId="0B91A643" w14:textId="77777777" w:rsidR="00EA713F" w:rsidRPr="00D618B7" w:rsidRDefault="00EA713F" w:rsidP="00EA713F">
            <w:pPr>
              <w:jc w:val="right"/>
              <w:rPr>
                <w:color w:val="000000"/>
                <w:sz w:val="22"/>
                <w:szCs w:val="22"/>
              </w:rPr>
            </w:pPr>
            <w:r w:rsidRPr="00D618B7">
              <w:rPr>
                <w:color w:val="000000"/>
                <w:sz w:val="22"/>
                <w:szCs w:val="22"/>
              </w:rPr>
              <w:t>Mean</w:t>
            </w:r>
          </w:p>
        </w:tc>
        <w:tc>
          <w:tcPr>
            <w:tcW w:w="777" w:type="pct"/>
            <w:tcBorders>
              <w:top w:val="nil"/>
              <w:left w:val="nil"/>
              <w:bottom w:val="single" w:sz="8" w:space="0" w:color="auto"/>
              <w:right w:val="nil"/>
            </w:tcBorders>
            <w:shd w:val="clear" w:color="000000" w:fill="FFFFFF"/>
            <w:noWrap/>
            <w:vAlign w:val="center"/>
            <w:hideMark/>
          </w:tcPr>
          <w:p w14:paraId="6DA40FEF" w14:textId="77777777" w:rsidR="00EA713F" w:rsidRPr="00D618B7" w:rsidRDefault="00EA713F" w:rsidP="00EA713F">
            <w:pPr>
              <w:jc w:val="right"/>
              <w:rPr>
                <w:color w:val="000000"/>
                <w:sz w:val="22"/>
                <w:szCs w:val="22"/>
              </w:rPr>
            </w:pPr>
            <w:r w:rsidRPr="00D618B7">
              <w:rPr>
                <w:color w:val="000000"/>
                <w:sz w:val="22"/>
                <w:szCs w:val="22"/>
              </w:rPr>
              <w:t>Std. Error</w:t>
            </w:r>
          </w:p>
        </w:tc>
      </w:tr>
      <w:tr w:rsidR="00EA713F" w:rsidRPr="00D618B7" w14:paraId="0D90396B" w14:textId="77777777" w:rsidTr="00EA713F">
        <w:trPr>
          <w:trHeight w:val="300"/>
        </w:trPr>
        <w:tc>
          <w:tcPr>
            <w:tcW w:w="714" w:type="pct"/>
            <w:tcBorders>
              <w:top w:val="nil"/>
              <w:left w:val="nil"/>
              <w:bottom w:val="nil"/>
              <w:right w:val="nil"/>
            </w:tcBorders>
            <w:shd w:val="clear" w:color="000000" w:fill="FFFFFF"/>
            <w:vAlign w:val="center"/>
            <w:hideMark/>
          </w:tcPr>
          <w:p w14:paraId="1F6AE109" w14:textId="77777777" w:rsidR="00EA713F" w:rsidRPr="00D618B7" w:rsidRDefault="00EA713F" w:rsidP="00EA713F">
            <w:pPr>
              <w:jc w:val="center"/>
              <w:rPr>
                <w:color w:val="000000"/>
                <w:sz w:val="22"/>
                <w:szCs w:val="22"/>
              </w:rPr>
            </w:pPr>
            <w:r w:rsidRPr="00D618B7">
              <w:rPr>
                <w:color w:val="000000"/>
                <w:sz w:val="22"/>
                <w:szCs w:val="22"/>
              </w:rPr>
              <w:t>-5</w:t>
            </w:r>
          </w:p>
        </w:tc>
        <w:tc>
          <w:tcPr>
            <w:tcW w:w="618" w:type="pct"/>
            <w:tcBorders>
              <w:top w:val="nil"/>
              <w:left w:val="nil"/>
              <w:bottom w:val="nil"/>
              <w:right w:val="nil"/>
            </w:tcBorders>
            <w:shd w:val="clear" w:color="000000" w:fill="FFFFFF"/>
            <w:noWrap/>
            <w:vAlign w:val="center"/>
            <w:hideMark/>
          </w:tcPr>
          <w:p w14:paraId="6247D9B4" w14:textId="77777777" w:rsidR="00EA713F" w:rsidRPr="00D618B7" w:rsidRDefault="00EA713F" w:rsidP="00EA713F">
            <w:pPr>
              <w:jc w:val="right"/>
              <w:rPr>
                <w:color w:val="000000"/>
                <w:sz w:val="22"/>
                <w:szCs w:val="22"/>
              </w:rPr>
            </w:pPr>
            <w:r w:rsidRPr="00D618B7">
              <w:rPr>
                <w:color w:val="000000"/>
                <w:sz w:val="22"/>
                <w:szCs w:val="22"/>
              </w:rPr>
              <w:t>0.0052</w:t>
            </w:r>
          </w:p>
        </w:tc>
        <w:tc>
          <w:tcPr>
            <w:tcW w:w="812" w:type="pct"/>
            <w:tcBorders>
              <w:top w:val="nil"/>
              <w:left w:val="nil"/>
              <w:bottom w:val="nil"/>
              <w:right w:val="nil"/>
            </w:tcBorders>
            <w:shd w:val="clear" w:color="000000" w:fill="FFFFFF"/>
            <w:noWrap/>
            <w:vAlign w:val="center"/>
            <w:hideMark/>
          </w:tcPr>
          <w:p w14:paraId="7977BA82" w14:textId="77777777" w:rsidR="00EA713F" w:rsidRPr="00D618B7" w:rsidRDefault="00EA713F" w:rsidP="00EA713F">
            <w:pPr>
              <w:jc w:val="right"/>
              <w:rPr>
                <w:color w:val="000000"/>
                <w:sz w:val="22"/>
                <w:szCs w:val="22"/>
              </w:rPr>
            </w:pPr>
            <w:r w:rsidRPr="00D618B7">
              <w:rPr>
                <w:color w:val="000000"/>
                <w:sz w:val="22"/>
                <w:szCs w:val="22"/>
              </w:rPr>
              <w:t>0.0027</w:t>
            </w:r>
          </w:p>
        </w:tc>
        <w:tc>
          <w:tcPr>
            <w:tcW w:w="652" w:type="pct"/>
            <w:tcBorders>
              <w:top w:val="nil"/>
              <w:left w:val="nil"/>
              <w:bottom w:val="nil"/>
              <w:right w:val="nil"/>
            </w:tcBorders>
            <w:shd w:val="clear" w:color="000000" w:fill="FFFFFF"/>
            <w:noWrap/>
            <w:vAlign w:val="center"/>
            <w:hideMark/>
          </w:tcPr>
          <w:p w14:paraId="013B118E" w14:textId="77777777" w:rsidR="00EA713F" w:rsidRPr="00D618B7" w:rsidRDefault="00EA713F" w:rsidP="00EA713F">
            <w:pPr>
              <w:jc w:val="right"/>
              <w:rPr>
                <w:color w:val="000000"/>
                <w:sz w:val="22"/>
                <w:szCs w:val="22"/>
              </w:rPr>
            </w:pPr>
            <w:r w:rsidRPr="00D618B7">
              <w:rPr>
                <w:color w:val="000000"/>
                <w:sz w:val="22"/>
                <w:szCs w:val="22"/>
              </w:rPr>
              <w:t>0.0002</w:t>
            </w:r>
          </w:p>
        </w:tc>
        <w:tc>
          <w:tcPr>
            <w:tcW w:w="777" w:type="pct"/>
            <w:tcBorders>
              <w:top w:val="nil"/>
              <w:left w:val="nil"/>
              <w:bottom w:val="nil"/>
              <w:right w:val="nil"/>
            </w:tcBorders>
            <w:shd w:val="clear" w:color="000000" w:fill="FFFFFF"/>
            <w:noWrap/>
            <w:vAlign w:val="center"/>
            <w:hideMark/>
          </w:tcPr>
          <w:p w14:paraId="521D1FAB" w14:textId="77777777" w:rsidR="00EA713F" w:rsidRPr="00D618B7" w:rsidRDefault="00EA713F" w:rsidP="00EA713F">
            <w:pPr>
              <w:jc w:val="right"/>
              <w:rPr>
                <w:color w:val="000000"/>
                <w:sz w:val="22"/>
                <w:szCs w:val="22"/>
              </w:rPr>
            </w:pPr>
            <w:r w:rsidRPr="00D618B7">
              <w:rPr>
                <w:color w:val="000000"/>
                <w:sz w:val="22"/>
                <w:szCs w:val="22"/>
              </w:rPr>
              <w:t>0.0027</w:t>
            </w:r>
          </w:p>
        </w:tc>
        <w:tc>
          <w:tcPr>
            <w:tcW w:w="652" w:type="pct"/>
            <w:tcBorders>
              <w:top w:val="nil"/>
              <w:left w:val="nil"/>
              <w:bottom w:val="nil"/>
              <w:right w:val="nil"/>
            </w:tcBorders>
            <w:shd w:val="clear" w:color="000000" w:fill="FFFFFF"/>
            <w:noWrap/>
            <w:vAlign w:val="center"/>
            <w:hideMark/>
          </w:tcPr>
          <w:p w14:paraId="4254CDF8" w14:textId="77777777" w:rsidR="00EA713F" w:rsidRPr="00D618B7" w:rsidRDefault="00EA713F" w:rsidP="00EA713F">
            <w:pPr>
              <w:jc w:val="right"/>
              <w:rPr>
                <w:color w:val="000000"/>
                <w:sz w:val="22"/>
                <w:szCs w:val="22"/>
              </w:rPr>
            </w:pPr>
            <w:r w:rsidRPr="00D618B7">
              <w:rPr>
                <w:color w:val="000000"/>
                <w:sz w:val="22"/>
                <w:szCs w:val="22"/>
              </w:rPr>
              <w:t>0.0043</w:t>
            </w:r>
          </w:p>
        </w:tc>
        <w:tc>
          <w:tcPr>
            <w:tcW w:w="777" w:type="pct"/>
            <w:tcBorders>
              <w:top w:val="nil"/>
              <w:left w:val="nil"/>
              <w:bottom w:val="nil"/>
              <w:right w:val="nil"/>
            </w:tcBorders>
            <w:shd w:val="clear" w:color="000000" w:fill="FFFFFF"/>
            <w:noWrap/>
            <w:vAlign w:val="center"/>
            <w:hideMark/>
          </w:tcPr>
          <w:p w14:paraId="4A6E8925" w14:textId="77777777" w:rsidR="00EA713F" w:rsidRPr="00D618B7" w:rsidRDefault="00EA713F" w:rsidP="00EA713F">
            <w:pPr>
              <w:jc w:val="right"/>
              <w:rPr>
                <w:color w:val="000000"/>
                <w:sz w:val="22"/>
                <w:szCs w:val="22"/>
              </w:rPr>
            </w:pPr>
            <w:r w:rsidRPr="00D618B7">
              <w:rPr>
                <w:color w:val="000000"/>
                <w:sz w:val="22"/>
                <w:szCs w:val="22"/>
              </w:rPr>
              <w:t>0.0027</w:t>
            </w:r>
          </w:p>
        </w:tc>
      </w:tr>
      <w:tr w:rsidR="00EA713F" w:rsidRPr="00D618B7" w14:paraId="061DB1C7" w14:textId="77777777" w:rsidTr="00EA713F">
        <w:trPr>
          <w:trHeight w:val="300"/>
        </w:trPr>
        <w:tc>
          <w:tcPr>
            <w:tcW w:w="714" w:type="pct"/>
            <w:tcBorders>
              <w:top w:val="nil"/>
              <w:left w:val="nil"/>
              <w:bottom w:val="nil"/>
              <w:right w:val="nil"/>
            </w:tcBorders>
            <w:shd w:val="clear" w:color="000000" w:fill="FFFFFF"/>
            <w:vAlign w:val="center"/>
            <w:hideMark/>
          </w:tcPr>
          <w:p w14:paraId="70F783B4" w14:textId="77777777" w:rsidR="00EA713F" w:rsidRPr="00D618B7" w:rsidRDefault="00EA713F" w:rsidP="00EA713F">
            <w:pPr>
              <w:jc w:val="center"/>
              <w:rPr>
                <w:color w:val="000000"/>
                <w:sz w:val="22"/>
                <w:szCs w:val="22"/>
              </w:rPr>
            </w:pPr>
            <w:r w:rsidRPr="00D618B7">
              <w:rPr>
                <w:color w:val="000000"/>
                <w:sz w:val="22"/>
                <w:szCs w:val="22"/>
              </w:rPr>
              <w:t>-4</w:t>
            </w:r>
          </w:p>
        </w:tc>
        <w:tc>
          <w:tcPr>
            <w:tcW w:w="618" w:type="pct"/>
            <w:tcBorders>
              <w:top w:val="nil"/>
              <w:left w:val="nil"/>
              <w:bottom w:val="nil"/>
              <w:right w:val="nil"/>
            </w:tcBorders>
            <w:shd w:val="clear" w:color="000000" w:fill="FFFFFF"/>
            <w:noWrap/>
            <w:vAlign w:val="center"/>
            <w:hideMark/>
          </w:tcPr>
          <w:p w14:paraId="62847551" w14:textId="77777777" w:rsidR="00EA713F" w:rsidRPr="00D618B7" w:rsidRDefault="00EA713F" w:rsidP="00EA713F">
            <w:pPr>
              <w:jc w:val="right"/>
              <w:rPr>
                <w:color w:val="000000"/>
                <w:sz w:val="22"/>
                <w:szCs w:val="22"/>
              </w:rPr>
            </w:pPr>
            <w:r w:rsidRPr="00D618B7">
              <w:rPr>
                <w:color w:val="000000"/>
                <w:sz w:val="22"/>
                <w:szCs w:val="22"/>
              </w:rPr>
              <w:t>0.0021</w:t>
            </w:r>
          </w:p>
        </w:tc>
        <w:tc>
          <w:tcPr>
            <w:tcW w:w="812" w:type="pct"/>
            <w:tcBorders>
              <w:top w:val="nil"/>
              <w:left w:val="nil"/>
              <w:bottom w:val="nil"/>
              <w:right w:val="nil"/>
            </w:tcBorders>
            <w:shd w:val="clear" w:color="000000" w:fill="FFFFFF"/>
            <w:noWrap/>
            <w:vAlign w:val="center"/>
            <w:hideMark/>
          </w:tcPr>
          <w:p w14:paraId="0E95980B" w14:textId="77777777" w:rsidR="00EA713F" w:rsidRPr="00D618B7" w:rsidRDefault="00EA713F" w:rsidP="00EA713F">
            <w:pPr>
              <w:jc w:val="right"/>
              <w:rPr>
                <w:color w:val="000000"/>
                <w:sz w:val="22"/>
                <w:szCs w:val="22"/>
              </w:rPr>
            </w:pPr>
            <w:r w:rsidRPr="00D618B7">
              <w:rPr>
                <w:color w:val="000000"/>
                <w:sz w:val="22"/>
                <w:szCs w:val="22"/>
              </w:rPr>
              <w:t>0.0024</w:t>
            </w:r>
          </w:p>
        </w:tc>
        <w:tc>
          <w:tcPr>
            <w:tcW w:w="652" w:type="pct"/>
            <w:tcBorders>
              <w:top w:val="nil"/>
              <w:left w:val="nil"/>
              <w:bottom w:val="nil"/>
              <w:right w:val="nil"/>
            </w:tcBorders>
            <w:shd w:val="clear" w:color="000000" w:fill="FFFFFF"/>
            <w:noWrap/>
            <w:vAlign w:val="center"/>
            <w:hideMark/>
          </w:tcPr>
          <w:p w14:paraId="1BF69BE4" w14:textId="77777777" w:rsidR="00EA713F" w:rsidRPr="00D618B7" w:rsidRDefault="00EA713F" w:rsidP="00EA713F">
            <w:pPr>
              <w:jc w:val="right"/>
              <w:rPr>
                <w:color w:val="000000"/>
                <w:sz w:val="22"/>
                <w:szCs w:val="22"/>
              </w:rPr>
            </w:pPr>
            <w:r w:rsidRPr="00D618B7">
              <w:rPr>
                <w:color w:val="000000"/>
                <w:sz w:val="22"/>
                <w:szCs w:val="22"/>
              </w:rPr>
              <w:t>-0.0005</w:t>
            </w:r>
          </w:p>
        </w:tc>
        <w:tc>
          <w:tcPr>
            <w:tcW w:w="777" w:type="pct"/>
            <w:tcBorders>
              <w:top w:val="nil"/>
              <w:left w:val="nil"/>
              <w:bottom w:val="nil"/>
              <w:right w:val="nil"/>
            </w:tcBorders>
            <w:shd w:val="clear" w:color="000000" w:fill="FFFFFF"/>
            <w:noWrap/>
            <w:vAlign w:val="center"/>
            <w:hideMark/>
          </w:tcPr>
          <w:p w14:paraId="5EC72EA7" w14:textId="77777777" w:rsidR="00EA713F" w:rsidRPr="00D618B7" w:rsidRDefault="00EA713F" w:rsidP="00EA713F">
            <w:pPr>
              <w:jc w:val="right"/>
              <w:rPr>
                <w:color w:val="000000"/>
                <w:sz w:val="22"/>
                <w:szCs w:val="22"/>
              </w:rPr>
            </w:pPr>
            <w:r w:rsidRPr="00D618B7">
              <w:rPr>
                <w:color w:val="000000"/>
                <w:sz w:val="22"/>
                <w:szCs w:val="22"/>
              </w:rPr>
              <w:t>0.0024</w:t>
            </w:r>
          </w:p>
        </w:tc>
        <w:tc>
          <w:tcPr>
            <w:tcW w:w="652" w:type="pct"/>
            <w:tcBorders>
              <w:top w:val="nil"/>
              <w:left w:val="nil"/>
              <w:bottom w:val="nil"/>
              <w:right w:val="nil"/>
            </w:tcBorders>
            <w:shd w:val="clear" w:color="000000" w:fill="FFFFFF"/>
            <w:noWrap/>
            <w:vAlign w:val="center"/>
            <w:hideMark/>
          </w:tcPr>
          <w:p w14:paraId="1A5598AF" w14:textId="77777777" w:rsidR="00EA713F" w:rsidRPr="00D618B7" w:rsidRDefault="00EA713F" w:rsidP="00EA713F">
            <w:pPr>
              <w:jc w:val="right"/>
              <w:rPr>
                <w:color w:val="000000"/>
                <w:sz w:val="22"/>
                <w:szCs w:val="22"/>
              </w:rPr>
            </w:pPr>
            <w:r w:rsidRPr="00D618B7">
              <w:rPr>
                <w:color w:val="000000"/>
                <w:sz w:val="22"/>
                <w:szCs w:val="22"/>
              </w:rPr>
              <w:t>-0.0005</w:t>
            </w:r>
          </w:p>
        </w:tc>
        <w:tc>
          <w:tcPr>
            <w:tcW w:w="777" w:type="pct"/>
            <w:tcBorders>
              <w:top w:val="nil"/>
              <w:left w:val="nil"/>
              <w:bottom w:val="nil"/>
              <w:right w:val="nil"/>
            </w:tcBorders>
            <w:shd w:val="clear" w:color="000000" w:fill="FFFFFF"/>
            <w:noWrap/>
            <w:vAlign w:val="center"/>
            <w:hideMark/>
          </w:tcPr>
          <w:p w14:paraId="60CF2725" w14:textId="77777777" w:rsidR="00EA713F" w:rsidRPr="00D618B7" w:rsidRDefault="00EA713F" w:rsidP="00EA713F">
            <w:pPr>
              <w:jc w:val="right"/>
              <w:rPr>
                <w:color w:val="000000"/>
                <w:sz w:val="22"/>
                <w:szCs w:val="22"/>
              </w:rPr>
            </w:pPr>
            <w:r w:rsidRPr="00D618B7">
              <w:rPr>
                <w:color w:val="000000"/>
                <w:sz w:val="22"/>
                <w:szCs w:val="22"/>
              </w:rPr>
              <w:t>0.0024</w:t>
            </w:r>
          </w:p>
        </w:tc>
      </w:tr>
      <w:tr w:rsidR="00EA713F" w:rsidRPr="00D618B7" w14:paraId="239C8FB7" w14:textId="77777777" w:rsidTr="00EA713F">
        <w:trPr>
          <w:trHeight w:val="300"/>
        </w:trPr>
        <w:tc>
          <w:tcPr>
            <w:tcW w:w="714" w:type="pct"/>
            <w:tcBorders>
              <w:top w:val="nil"/>
              <w:left w:val="nil"/>
              <w:bottom w:val="nil"/>
              <w:right w:val="nil"/>
            </w:tcBorders>
            <w:shd w:val="clear" w:color="000000" w:fill="FFFFFF"/>
            <w:vAlign w:val="center"/>
            <w:hideMark/>
          </w:tcPr>
          <w:p w14:paraId="3C39D205" w14:textId="77777777" w:rsidR="00EA713F" w:rsidRPr="00D618B7" w:rsidRDefault="00EA713F" w:rsidP="00EA713F">
            <w:pPr>
              <w:jc w:val="center"/>
              <w:rPr>
                <w:color w:val="000000"/>
                <w:sz w:val="22"/>
                <w:szCs w:val="22"/>
              </w:rPr>
            </w:pPr>
            <w:r w:rsidRPr="00D618B7">
              <w:rPr>
                <w:color w:val="000000"/>
                <w:sz w:val="22"/>
                <w:szCs w:val="22"/>
              </w:rPr>
              <w:t>-3</w:t>
            </w:r>
          </w:p>
        </w:tc>
        <w:tc>
          <w:tcPr>
            <w:tcW w:w="618" w:type="pct"/>
            <w:tcBorders>
              <w:top w:val="nil"/>
              <w:left w:val="nil"/>
              <w:bottom w:val="nil"/>
              <w:right w:val="nil"/>
            </w:tcBorders>
            <w:shd w:val="clear" w:color="000000" w:fill="FFFFFF"/>
            <w:noWrap/>
            <w:vAlign w:val="center"/>
            <w:hideMark/>
          </w:tcPr>
          <w:p w14:paraId="113AE289" w14:textId="77777777" w:rsidR="00EA713F" w:rsidRPr="00D618B7" w:rsidRDefault="00EA713F" w:rsidP="00EA713F">
            <w:pPr>
              <w:jc w:val="right"/>
              <w:rPr>
                <w:color w:val="000000"/>
                <w:sz w:val="22"/>
                <w:szCs w:val="22"/>
              </w:rPr>
            </w:pPr>
            <w:r w:rsidRPr="00D618B7">
              <w:rPr>
                <w:color w:val="000000"/>
                <w:sz w:val="22"/>
                <w:szCs w:val="22"/>
              </w:rPr>
              <w:t>0.0107</w:t>
            </w:r>
          </w:p>
        </w:tc>
        <w:tc>
          <w:tcPr>
            <w:tcW w:w="812" w:type="pct"/>
            <w:tcBorders>
              <w:top w:val="nil"/>
              <w:left w:val="nil"/>
              <w:bottom w:val="nil"/>
              <w:right w:val="nil"/>
            </w:tcBorders>
            <w:shd w:val="clear" w:color="000000" w:fill="FFFFFF"/>
            <w:noWrap/>
            <w:vAlign w:val="center"/>
            <w:hideMark/>
          </w:tcPr>
          <w:p w14:paraId="1B1157A5" w14:textId="77777777" w:rsidR="00EA713F" w:rsidRPr="00D618B7" w:rsidRDefault="00EA713F" w:rsidP="00EA713F">
            <w:pPr>
              <w:jc w:val="right"/>
              <w:rPr>
                <w:color w:val="000000"/>
                <w:sz w:val="22"/>
                <w:szCs w:val="22"/>
              </w:rPr>
            </w:pPr>
            <w:r w:rsidRPr="00D618B7">
              <w:rPr>
                <w:color w:val="000000"/>
                <w:sz w:val="22"/>
                <w:szCs w:val="22"/>
              </w:rPr>
              <w:t>0.0024</w:t>
            </w:r>
          </w:p>
        </w:tc>
        <w:tc>
          <w:tcPr>
            <w:tcW w:w="652" w:type="pct"/>
            <w:tcBorders>
              <w:top w:val="nil"/>
              <w:left w:val="nil"/>
              <w:bottom w:val="nil"/>
              <w:right w:val="nil"/>
            </w:tcBorders>
            <w:shd w:val="clear" w:color="000000" w:fill="FFFFFF"/>
            <w:noWrap/>
            <w:vAlign w:val="center"/>
            <w:hideMark/>
          </w:tcPr>
          <w:p w14:paraId="035C1F6D" w14:textId="77777777" w:rsidR="00EA713F" w:rsidRPr="00D618B7" w:rsidRDefault="00EA713F" w:rsidP="00EA713F">
            <w:pPr>
              <w:jc w:val="right"/>
              <w:rPr>
                <w:color w:val="000000"/>
                <w:sz w:val="22"/>
                <w:szCs w:val="22"/>
              </w:rPr>
            </w:pPr>
            <w:r w:rsidRPr="00D618B7">
              <w:rPr>
                <w:color w:val="000000"/>
                <w:sz w:val="22"/>
                <w:szCs w:val="22"/>
              </w:rPr>
              <w:t>0.0004</w:t>
            </w:r>
          </w:p>
        </w:tc>
        <w:tc>
          <w:tcPr>
            <w:tcW w:w="777" w:type="pct"/>
            <w:tcBorders>
              <w:top w:val="nil"/>
              <w:left w:val="nil"/>
              <w:bottom w:val="nil"/>
              <w:right w:val="nil"/>
            </w:tcBorders>
            <w:shd w:val="clear" w:color="000000" w:fill="FFFFFF"/>
            <w:noWrap/>
            <w:vAlign w:val="center"/>
            <w:hideMark/>
          </w:tcPr>
          <w:p w14:paraId="002E3AD8" w14:textId="77777777" w:rsidR="00EA713F" w:rsidRPr="00D618B7" w:rsidRDefault="00EA713F" w:rsidP="00EA713F">
            <w:pPr>
              <w:jc w:val="right"/>
              <w:rPr>
                <w:color w:val="000000"/>
                <w:sz w:val="22"/>
                <w:szCs w:val="22"/>
              </w:rPr>
            </w:pPr>
            <w:r w:rsidRPr="00D618B7">
              <w:rPr>
                <w:color w:val="000000"/>
                <w:sz w:val="22"/>
                <w:szCs w:val="22"/>
              </w:rPr>
              <w:t>0.0024</w:t>
            </w:r>
          </w:p>
        </w:tc>
        <w:tc>
          <w:tcPr>
            <w:tcW w:w="652" w:type="pct"/>
            <w:tcBorders>
              <w:top w:val="nil"/>
              <w:left w:val="nil"/>
              <w:bottom w:val="nil"/>
              <w:right w:val="nil"/>
            </w:tcBorders>
            <w:shd w:val="clear" w:color="000000" w:fill="FFFFFF"/>
            <w:noWrap/>
            <w:vAlign w:val="center"/>
            <w:hideMark/>
          </w:tcPr>
          <w:p w14:paraId="08942453" w14:textId="77777777" w:rsidR="00EA713F" w:rsidRPr="00D618B7" w:rsidRDefault="00EA713F" w:rsidP="00EA713F">
            <w:pPr>
              <w:jc w:val="right"/>
              <w:rPr>
                <w:color w:val="000000"/>
                <w:sz w:val="22"/>
                <w:szCs w:val="22"/>
              </w:rPr>
            </w:pPr>
            <w:r w:rsidRPr="00D618B7">
              <w:rPr>
                <w:color w:val="000000"/>
                <w:sz w:val="22"/>
                <w:szCs w:val="22"/>
              </w:rPr>
              <w:t>0.0023</w:t>
            </w:r>
          </w:p>
        </w:tc>
        <w:tc>
          <w:tcPr>
            <w:tcW w:w="777" w:type="pct"/>
            <w:tcBorders>
              <w:top w:val="nil"/>
              <w:left w:val="nil"/>
              <w:bottom w:val="nil"/>
              <w:right w:val="nil"/>
            </w:tcBorders>
            <w:shd w:val="clear" w:color="000000" w:fill="FFFFFF"/>
            <w:noWrap/>
            <w:vAlign w:val="center"/>
            <w:hideMark/>
          </w:tcPr>
          <w:p w14:paraId="36422BF1" w14:textId="77777777" w:rsidR="00EA713F" w:rsidRPr="00D618B7" w:rsidRDefault="00EA713F" w:rsidP="00EA713F">
            <w:pPr>
              <w:jc w:val="right"/>
              <w:rPr>
                <w:color w:val="000000"/>
                <w:sz w:val="22"/>
                <w:szCs w:val="22"/>
              </w:rPr>
            </w:pPr>
            <w:r w:rsidRPr="00D618B7">
              <w:rPr>
                <w:color w:val="000000"/>
                <w:sz w:val="22"/>
                <w:szCs w:val="22"/>
              </w:rPr>
              <w:t>0.0024</w:t>
            </w:r>
          </w:p>
        </w:tc>
      </w:tr>
      <w:tr w:rsidR="00EA713F" w:rsidRPr="00D618B7" w14:paraId="3DF9A180" w14:textId="77777777" w:rsidTr="00EA713F">
        <w:trPr>
          <w:trHeight w:val="300"/>
        </w:trPr>
        <w:tc>
          <w:tcPr>
            <w:tcW w:w="714" w:type="pct"/>
            <w:tcBorders>
              <w:top w:val="nil"/>
              <w:left w:val="nil"/>
              <w:bottom w:val="nil"/>
              <w:right w:val="nil"/>
            </w:tcBorders>
            <w:shd w:val="clear" w:color="000000" w:fill="FFFFFF"/>
            <w:vAlign w:val="center"/>
            <w:hideMark/>
          </w:tcPr>
          <w:p w14:paraId="48421B7F" w14:textId="77777777" w:rsidR="00EA713F" w:rsidRPr="00D618B7" w:rsidRDefault="00EA713F" w:rsidP="00EA713F">
            <w:pPr>
              <w:jc w:val="center"/>
              <w:rPr>
                <w:color w:val="000000"/>
                <w:sz w:val="22"/>
                <w:szCs w:val="22"/>
              </w:rPr>
            </w:pPr>
            <w:r w:rsidRPr="00D618B7">
              <w:rPr>
                <w:color w:val="000000"/>
                <w:sz w:val="22"/>
                <w:szCs w:val="22"/>
              </w:rPr>
              <w:t>-2</w:t>
            </w:r>
          </w:p>
        </w:tc>
        <w:tc>
          <w:tcPr>
            <w:tcW w:w="618" w:type="pct"/>
            <w:tcBorders>
              <w:top w:val="nil"/>
              <w:left w:val="nil"/>
              <w:bottom w:val="nil"/>
              <w:right w:val="nil"/>
            </w:tcBorders>
            <w:shd w:val="clear" w:color="000000" w:fill="FFFFFF"/>
            <w:noWrap/>
            <w:vAlign w:val="center"/>
            <w:hideMark/>
          </w:tcPr>
          <w:p w14:paraId="2B25C3EF" w14:textId="77777777" w:rsidR="00EA713F" w:rsidRPr="00D618B7" w:rsidRDefault="00EA713F" w:rsidP="00EA713F">
            <w:pPr>
              <w:jc w:val="right"/>
              <w:rPr>
                <w:color w:val="000000"/>
                <w:sz w:val="22"/>
                <w:szCs w:val="22"/>
              </w:rPr>
            </w:pPr>
            <w:r w:rsidRPr="00D618B7">
              <w:rPr>
                <w:color w:val="000000"/>
                <w:sz w:val="22"/>
                <w:szCs w:val="22"/>
              </w:rPr>
              <w:t>0.0054</w:t>
            </w:r>
          </w:p>
        </w:tc>
        <w:tc>
          <w:tcPr>
            <w:tcW w:w="812" w:type="pct"/>
            <w:tcBorders>
              <w:top w:val="nil"/>
              <w:left w:val="nil"/>
              <w:bottom w:val="nil"/>
              <w:right w:val="nil"/>
            </w:tcBorders>
            <w:shd w:val="clear" w:color="000000" w:fill="FFFFFF"/>
            <w:noWrap/>
            <w:vAlign w:val="center"/>
            <w:hideMark/>
          </w:tcPr>
          <w:p w14:paraId="62DA77C5" w14:textId="77777777" w:rsidR="00EA713F" w:rsidRPr="00D618B7" w:rsidRDefault="00EA713F" w:rsidP="00EA713F">
            <w:pPr>
              <w:jc w:val="right"/>
              <w:rPr>
                <w:color w:val="000000"/>
                <w:sz w:val="22"/>
                <w:szCs w:val="22"/>
              </w:rPr>
            </w:pPr>
            <w:r w:rsidRPr="00D618B7">
              <w:rPr>
                <w:color w:val="000000"/>
                <w:sz w:val="22"/>
                <w:szCs w:val="22"/>
              </w:rPr>
              <w:t>0.0021</w:t>
            </w:r>
          </w:p>
        </w:tc>
        <w:tc>
          <w:tcPr>
            <w:tcW w:w="652" w:type="pct"/>
            <w:tcBorders>
              <w:top w:val="nil"/>
              <w:left w:val="nil"/>
              <w:bottom w:val="nil"/>
              <w:right w:val="nil"/>
            </w:tcBorders>
            <w:shd w:val="clear" w:color="000000" w:fill="FFFFFF"/>
            <w:noWrap/>
            <w:vAlign w:val="center"/>
            <w:hideMark/>
          </w:tcPr>
          <w:p w14:paraId="7231B97F" w14:textId="77777777" w:rsidR="00EA713F" w:rsidRPr="00D618B7" w:rsidRDefault="00EA713F" w:rsidP="00EA713F">
            <w:pPr>
              <w:jc w:val="right"/>
              <w:rPr>
                <w:color w:val="000000"/>
                <w:sz w:val="22"/>
                <w:szCs w:val="22"/>
              </w:rPr>
            </w:pPr>
            <w:r w:rsidRPr="00D618B7">
              <w:rPr>
                <w:color w:val="000000"/>
                <w:sz w:val="22"/>
                <w:szCs w:val="22"/>
              </w:rPr>
              <w:t>-0.0004</w:t>
            </w:r>
          </w:p>
        </w:tc>
        <w:tc>
          <w:tcPr>
            <w:tcW w:w="777" w:type="pct"/>
            <w:tcBorders>
              <w:top w:val="nil"/>
              <w:left w:val="nil"/>
              <w:bottom w:val="nil"/>
              <w:right w:val="nil"/>
            </w:tcBorders>
            <w:shd w:val="clear" w:color="000000" w:fill="FFFFFF"/>
            <w:noWrap/>
            <w:vAlign w:val="center"/>
            <w:hideMark/>
          </w:tcPr>
          <w:p w14:paraId="78A643C8" w14:textId="77777777" w:rsidR="00EA713F" w:rsidRPr="00D618B7" w:rsidRDefault="00EA713F" w:rsidP="00EA713F">
            <w:pPr>
              <w:jc w:val="right"/>
              <w:rPr>
                <w:color w:val="000000"/>
                <w:sz w:val="22"/>
                <w:szCs w:val="22"/>
              </w:rPr>
            </w:pPr>
            <w:r w:rsidRPr="00D618B7">
              <w:rPr>
                <w:color w:val="000000"/>
                <w:sz w:val="22"/>
                <w:szCs w:val="22"/>
              </w:rPr>
              <w:t>0.0021</w:t>
            </w:r>
          </w:p>
        </w:tc>
        <w:tc>
          <w:tcPr>
            <w:tcW w:w="652" w:type="pct"/>
            <w:tcBorders>
              <w:top w:val="nil"/>
              <w:left w:val="nil"/>
              <w:bottom w:val="nil"/>
              <w:right w:val="nil"/>
            </w:tcBorders>
            <w:shd w:val="clear" w:color="000000" w:fill="FFFFFF"/>
            <w:noWrap/>
            <w:vAlign w:val="center"/>
            <w:hideMark/>
          </w:tcPr>
          <w:p w14:paraId="1D83393C" w14:textId="77777777" w:rsidR="00EA713F" w:rsidRPr="00D618B7" w:rsidRDefault="00EA713F" w:rsidP="00EA713F">
            <w:pPr>
              <w:jc w:val="right"/>
              <w:rPr>
                <w:color w:val="000000"/>
                <w:sz w:val="22"/>
                <w:szCs w:val="22"/>
              </w:rPr>
            </w:pPr>
            <w:r w:rsidRPr="00D618B7">
              <w:rPr>
                <w:color w:val="000000"/>
                <w:sz w:val="22"/>
                <w:szCs w:val="22"/>
              </w:rPr>
              <w:t>0.0031</w:t>
            </w:r>
          </w:p>
        </w:tc>
        <w:tc>
          <w:tcPr>
            <w:tcW w:w="777" w:type="pct"/>
            <w:tcBorders>
              <w:top w:val="nil"/>
              <w:left w:val="nil"/>
              <w:bottom w:val="nil"/>
              <w:right w:val="nil"/>
            </w:tcBorders>
            <w:shd w:val="clear" w:color="000000" w:fill="FFFFFF"/>
            <w:noWrap/>
            <w:vAlign w:val="center"/>
            <w:hideMark/>
          </w:tcPr>
          <w:p w14:paraId="4E3763B9" w14:textId="77777777" w:rsidR="00EA713F" w:rsidRPr="00D618B7" w:rsidRDefault="00EA713F" w:rsidP="00EA713F">
            <w:pPr>
              <w:jc w:val="right"/>
              <w:rPr>
                <w:color w:val="000000"/>
                <w:sz w:val="22"/>
                <w:szCs w:val="22"/>
              </w:rPr>
            </w:pPr>
            <w:r w:rsidRPr="00D618B7">
              <w:rPr>
                <w:color w:val="000000"/>
                <w:sz w:val="22"/>
                <w:szCs w:val="22"/>
              </w:rPr>
              <w:t>0.0021</w:t>
            </w:r>
          </w:p>
        </w:tc>
      </w:tr>
      <w:tr w:rsidR="00EA713F" w:rsidRPr="00D618B7" w14:paraId="3035ACB1" w14:textId="77777777" w:rsidTr="00EA713F">
        <w:trPr>
          <w:trHeight w:val="300"/>
        </w:trPr>
        <w:tc>
          <w:tcPr>
            <w:tcW w:w="714" w:type="pct"/>
            <w:tcBorders>
              <w:top w:val="nil"/>
              <w:left w:val="nil"/>
              <w:bottom w:val="nil"/>
              <w:right w:val="nil"/>
            </w:tcBorders>
            <w:shd w:val="clear" w:color="000000" w:fill="FFFFFF"/>
            <w:vAlign w:val="center"/>
            <w:hideMark/>
          </w:tcPr>
          <w:p w14:paraId="2CB5778E" w14:textId="77777777" w:rsidR="00EA713F" w:rsidRPr="00D618B7" w:rsidRDefault="00EA713F" w:rsidP="00EA713F">
            <w:pPr>
              <w:jc w:val="center"/>
              <w:rPr>
                <w:color w:val="000000"/>
                <w:sz w:val="22"/>
                <w:szCs w:val="22"/>
              </w:rPr>
            </w:pPr>
            <w:r w:rsidRPr="00D618B7">
              <w:rPr>
                <w:color w:val="000000"/>
                <w:sz w:val="22"/>
                <w:szCs w:val="22"/>
              </w:rPr>
              <w:t>-1</w:t>
            </w:r>
          </w:p>
        </w:tc>
        <w:tc>
          <w:tcPr>
            <w:tcW w:w="618" w:type="pct"/>
            <w:tcBorders>
              <w:top w:val="nil"/>
              <w:left w:val="nil"/>
              <w:bottom w:val="nil"/>
              <w:right w:val="nil"/>
            </w:tcBorders>
            <w:shd w:val="clear" w:color="000000" w:fill="FFFFFF"/>
            <w:noWrap/>
            <w:vAlign w:val="center"/>
            <w:hideMark/>
          </w:tcPr>
          <w:p w14:paraId="48B84413" w14:textId="77777777" w:rsidR="00EA713F" w:rsidRPr="00D618B7" w:rsidRDefault="00EA713F" w:rsidP="00EA713F">
            <w:pPr>
              <w:jc w:val="right"/>
              <w:rPr>
                <w:color w:val="000000"/>
                <w:sz w:val="22"/>
                <w:szCs w:val="22"/>
              </w:rPr>
            </w:pPr>
            <w:r w:rsidRPr="00D618B7">
              <w:rPr>
                <w:color w:val="000000"/>
                <w:sz w:val="22"/>
                <w:szCs w:val="22"/>
              </w:rPr>
              <w:t>0.0137</w:t>
            </w:r>
          </w:p>
        </w:tc>
        <w:tc>
          <w:tcPr>
            <w:tcW w:w="812" w:type="pct"/>
            <w:tcBorders>
              <w:top w:val="nil"/>
              <w:left w:val="nil"/>
              <w:bottom w:val="nil"/>
              <w:right w:val="nil"/>
            </w:tcBorders>
            <w:shd w:val="clear" w:color="000000" w:fill="FFFFFF"/>
            <w:noWrap/>
            <w:vAlign w:val="center"/>
            <w:hideMark/>
          </w:tcPr>
          <w:p w14:paraId="60185D4C" w14:textId="77777777" w:rsidR="00EA713F" w:rsidRPr="00D618B7" w:rsidRDefault="00EA713F" w:rsidP="00EA713F">
            <w:pPr>
              <w:jc w:val="right"/>
              <w:rPr>
                <w:color w:val="000000"/>
                <w:sz w:val="22"/>
                <w:szCs w:val="22"/>
              </w:rPr>
            </w:pPr>
            <w:r w:rsidRPr="00D618B7">
              <w:rPr>
                <w:color w:val="000000"/>
                <w:sz w:val="22"/>
                <w:szCs w:val="22"/>
              </w:rPr>
              <w:t>0.0021</w:t>
            </w:r>
          </w:p>
        </w:tc>
        <w:tc>
          <w:tcPr>
            <w:tcW w:w="652" w:type="pct"/>
            <w:tcBorders>
              <w:top w:val="nil"/>
              <w:left w:val="nil"/>
              <w:bottom w:val="nil"/>
              <w:right w:val="nil"/>
            </w:tcBorders>
            <w:shd w:val="clear" w:color="000000" w:fill="FFFFFF"/>
            <w:noWrap/>
            <w:vAlign w:val="center"/>
            <w:hideMark/>
          </w:tcPr>
          <w:p w14:paraId="21C028FE" w14:textId="77777777" w:rsidR="00EA713F" w:rsidRPr="00D618B7" w:rsidRDefault="00EA713F" w:rsidP="00EA713F">
            <w:pPr>
              <w:jc w:val="right"/>
              <w:rPr>
                <w:color w:val="000000"/>
                <w:sz w:val="22"/>
                <w:szCs w:val="22"/>
              </w:rPr>
            </w:pPr>
            <w:r w:rsidRPr="00D618B7">
              <w:rPr>
                <w:color w:val="000000"/>
                <w:sz w:val="22"/>
                <w:szCs w:val="22"/>
              </w:rPr>
              <w:t>0.0001</w:t>
            </w:r>
          </w:p>
        </w:tc>
        <w:tc>
          <w:tcPr>
            <w:tcW w:w="777" w:type="pct"/>
            <w:tcBorders>
              <w:top w:val="nil"/>
              <w:left w:val="nil"/>
              <w:bottom w:val="nil"/>
              <w:right w:val="nil"/>
            </w:tcBorders>
            <w:shd w:val="clear" w:color="000000" w:fill="FFFFFF"/>
            <w:noWrap/>
            <w:vAlign w:val="center"/>
            <w:hideMark/>
          </w:tcPr>
          <w:p w14:paraId="63F15FD4" w14:textId="77777777" w:rsidR="00EA713F" w:rsidRPr="00D618B7" w:rsidRDefault="00EA713F" w:rsidP="00EA713F">
            <w:pPr>
              <w:jc w:val="right"/>
              <w:rPr>
                <w:color w:val="000000"/>
                <w:sz w:val="22"/>
                <w:szCs w:val="22"/>
              </w:rPr>
            </w:pPr>
            <w:r w:rsidRPr="00D618B7">
              <w:rPr>
                <w:color w:val="000000"/>
                <w:sz w:val="22"/>
                <w:szCs w:val="22"/>
              </w:rPr>
              <w:t>0.0021</w:t>
            </w:r>
          </w:p>
        </w:tc>
        <w:tc>
          <w:tcPr>
            <w:tcW w:w="652" w:type="pct"/>
            <w:tcBorders>
              <w:top w:val="nil"/>
              <w:left w:val="nil"/>
              <w:bottom w:val="nil"/>
              <w:right w:val="nil"/>
            </w:tcBorders>
            <w:shd w:val="clear" w:color="000000" w:fill="FFFFFF"/>
            <w:noWrap/>
            <w:vAlign w:val="center"/>
            <w:hideMark/>
          </w:tcPr>
          <w:p w14:paraId="3DF633C3" w14:textId="77777777" w:rsidR="00EA713F" w:rsidRPr="00D618B7" w:rsidRDefault="00EA713F" w:rsidP="00EA713F">
            <w:pPr>
              <w:jc w:val="right"/>
              <w:rPr>
                <w:color w:val="000000"/>
                <w:sz w:val="22"/>
                <w:szCs w:val="22"/>
              </w:rPr>
            </w:pPr>
            <w:r w:rsidRPr="00D618B7">
              <w:rPr>
                <w:color w:val="000000"/>
                <w:sz w:val="22"/>
                <w:szCs w:val="22"/>
              </w:rPr>
              <w:t>0.0008</w:t>
            </w:r>
          </w:p>
        </w:tc>
        <w:tc>
          <w:tcPr>
            <w:tcW w:w="777" w:type="pct"/>
            <w:tcBorders>
              <w:top w:val="nil"/>
              <w:left w:val="nil"/>
              <w:bottom w:val="nil"/>
              <w:right w:val="nil"/>
            </w:tcBorders>
            <w:shd w:val="clear" w:color="000000" w:fill="FFFFFF"/>
            <w:noWrap/>
            <w:vAlign w:val="center"/>
            <w:hideMark/>
          </w:tcPr>
          <w:p w14:paraId="292CA153" w14:textId="77777777" w:rsidR="00EA713F" w:rsidRPr="00D618B7" w:rsidRDefault="00EA713F" w:rsidP="00EA713F">
            <w:pPr>
              <w:jc w:val="right"/>
              <w:rPr>
                <w:color w:val="000000"/>
                <w:sz w:val="22"/>
                <w:szCs w:val="22"/>
              </w:rPr>
            </w:pPr>
            <w:r w:rsidRPr="00D618B7">
              <w:rPr>
                <w:color w:val="000000"/>
                <w:sz w:val="22"/>
                <w:szCs w:val="22"/>
              </w:rPr>
              <w:t>0.0022</w:t>
            </w:r>
          </w:p>
        </w:tc>
      </w:tr>
      <w:tr w:rsidR="00EA713F" w:rsidRPr="00D618B7" w14:paraId="28B7E6DF" w14:textId="77777777" w:rsidTr="00EA713F">
        <w:trPr>
          <w:trHeight w:val="300"/>
        </w:trPr>
        <w:tc>
          <w:tcPr>
            <w:tcW w:w="714" w:type="pct"/>
            <w:tcBorders>
              <w:top w:val="nil"/>
              <w:left w:val="nil"/>
              <w:bottom w:val="nil"/>
              <w:right w:val="nil"/>
            </w:tcBorders>
            <w:shd w:val="clear" w:color="000000" w:fill="FFFFFF"/>
            <w:vAlign w:val="center"/>
            <w:hideMark/>
          </w:tcPr>
          <w:p w14:paraId="162EDD57" w14:textId="77777777" w:rsidR="00EA713F" w:rsidRPr="00D618B7" w:rsidRDefault="00EA713F" w:rsidP="00EA713F">
            <w:pPr>
              <w:jc w:val="center"/>
              <w:rPr>
                <w:color w:val="000000"/>
                <w:sz w:val="22"/>
                <w:szCs w:val="22"/>
              </w:rPr>
            </w:pPr>
            <w:r w:rsidRPr="00D618B7">
              <w:rPr>
                <w:color w:val="000000"/>
                <w:sz w:val="22"/>
                <w:szCs w:val="22"/>
              </w:rPr>
              <w:t>0</w:t>
            </w:r>
          </w:p>
        </w:tc>
        <w:tc>
          <w:tcPr>
            <w:tcW w:w="618" w:type="pct"/>
            <w:tcBorders>
              <w:top w:val="nil"/>
              <w:left w:val="nil"/>
              <w:bottom w:val="nil"/>
              <w:right w:val="nil"/>
            </w:tcBorders>
            <w:shd w:val="clear" w:color="000000" w:fill="FFFFFF"/>
            <w:noWrap/>
            <w:vAlign w:val="center"/>
            <w:hideMark/>
          </w:tcPr>
          <w:p w14:paraId="1EEE20AF" w14:textId="77777777" w:rsidR="00EA713F" w:rsidRPr="00D618B7" w:rsidRDefault="00EA713F" w:rsidP="00EA713F">
            <w:pPr>
              <w:jc w:val="right"/>
              <w:rPr>
                <w:color w:val="000000"/>
                <w:sz w:val="22"/>
                <w:szCs w:val="22"/>
              </w:rPr>
            </w:pPr>
            <w:r w:rsidRPr="00D618B7">
              <w:rPr>
                <w:color w:val="000000"/>
                <w:sz w:val="22"/>
                <w:szCs w:val="22"/>
              </w:rPr>
              <w:t>0.0100</w:t>
            </w:r>
          </w:p>
        </w:tc>
        <w:tc>
          <w:tcPr>
            <w:tcW w:w="812" w:type="pct"/>
            <w:tcBorders>
              <w:top w:val="nil"/>
              <w:left w:val="nil"/>
              <w:bottom w:val="nil"/>
              <w:right w:val="nil"/>
            </w:tcBorders>
            <w:shd w:val="clear" w:color="000000" w:fill="FFFFFF"/>
            <w:noWrap/>
            <w:vAlign w:val="center"/>
            <w:hideMark/>
          </w:tcPr>
          <w:p w14:paraId="30689764" w14:textId="77777777" w:rsidR="00EA713F" w:rsidRPr="00D618B7" w:rsidRDefault="00EA713F" w:rsidP="00EA713F">
            <w:pPr>
              <w:jc w:val="right"/>
              <w:rPr>
                <w:color w:val="000000"/>
                <w:sz w:val="22"/>
                <w:szCs w:val="22"/>
              </w:rPr>
            </w:pPr>
            <w:r w:rsidRPr="00D618B7">
              <w:rPr>
                <w:color w:val="000000"/>
                <w:sz w:val="22"/>
                <w:szCs w:val="22"/>
              </w:rPr>
              <w:t>0.0020</w:t>
            </w:r>
          </w:p>
        </w:tc>
        <w:tc>
          <w:tcPr>
            <w:tcW w:w="652" w:type="pct"/>
            <w:tcBorders>
              <w:top w:val="nil"/>
              <w:left w:val="nil"/>
              <w:bottom w:val="nil"/>
              <w:right w:val="nil"/>
            </w:tcBorders>
            <w:shd w:val="clear" w:color="000000" w:fill="FFFFFF"/>
            <w:noWrap/>
            <w:vAlign w:val="center"/>
            <w:hideMark/>
          </w:tcPr>
          <w:p w14:paraId="3784AB8C" w14:textId="77777777" w:rsidR="00EA713F" w:rsidRPr="00D618B7" w:rsidRDefault="00EA713F" w:rsidP="00EA713F">
            <w:pPr>
              <w:jc w:val="right"/>
              <w:rPr>
                <w:color w:val="000000"/>
                <w:sz w:val="22"/>
                <w:szCs w:val="22"/>
              </w:rPr>
            </w:pPr>
            <w:r w:rsidRPr="00D618B7">
              <w:rPr>
                <w:color w:val="000000"/>
                <w:sz w:val="22"/>
                <w:szCs w:val="22"/>
              </w:rPr>
              <w:t>0.0019</w:t>
            </w:r>
          </w:p>
        </w:tc>
        <w:tc>
          <w:tcPr>
            <w:tcW w:w="777" w:type="pct"/>
            <w:tcBorders>
              <w:top w:val="nil"/>
              <w:left w:val="nil"/>
              <w:bottom w:val="nil"/>
              <w:right w:val="nil"/>
            </w:tcBorders>
            <w:shd w:val="clear" w:color="000000" w:fill="FFFFFF"/>
            <w:noWrap/>
            <w:vAlign w:val="center"/>
            <w:hideMark/>
          </w:tcPr>
          <w:p w14:paraId="77B5F9FD" w14:textId="77777777" w:rsidR="00EA713F" w:rsidRPr="00D618B7" w:rsidRDefault="00EA713F" w:rsidP="00EA713F">
            <w:pPr>
              <w:jc w:val="right"/>
              <w:rPr>
                <w:color w:val="000000"/>
                <w:sz w:val="22"/>
                <w:szCs w:val="22"/>
              </w:rPr>
            </w:pPr>
            <w:r w:rsidRPr="00D618B7">
              <w:rPr>
                <w:color w:val="000000"/>
                <w:sz w:val="22"/>
                <w:szCs w:val="22"/>
              </w:rPr>
              <w:t>0.0020</w:t>
            </w:r>
          </w:p>
        </w:tc>
        <w:tc>
          <w:tcPr>
            <w:tcW w:w="652" w:type="pct"/>
            <w:tcBorders>
              <w:top w:val="nil"/>
              <w:left w:val="nil"/>
              <w:bottom w:val="nil"/>
              <w:right w:val="nil"/>
            </w:tcBorders>
            <w:shd w:val="clear" w:color="000000" w:fill="FFFFFF"/>
            <w:noWrap/>
            <w:vAlign w:val="center"/>
            <w:hideMark/>
          </w:tcPr>
          <w:p w14:paraId="1B4460D7" w14:textId="77777777" w:rsidR="00EA713F" w:rsidRPr="00D618B7" w:rsidRDefault="00EA713F" w:rsidP="00EA713F">
            <w:pPr>
              <w:jc w:val="right"/>
              <w:rPr>
                <w:color w:val="000000"/>
                <w:sz w:val="22"/>
                <w:szCs w:val="22"/>
              </w:rPr>
            </w:pPr>
            <w:r w:rsidRPr="00D618B7">
              <w:rPr>
                <w:color w:val="000000"/>
                <w:sz w:val="22"/>
                <w:szCs w:val="22"/>
              </w:rPr>
              <w:t>0.0021</w:t>
            </w:r>
          </w:p>
        </w:tc>
        <w:tc>
          <w:tcPr>
            <w:tcW w:w="777" w:type="pct"/>
            <w:tcBorders>
              <w:top w:val="nil"/>
              <w:left w:val="nil"/>
              <w:bottom w:val="nil"/>
              <w:right w:val="nil"/>
            </w:tcBorders>
            <w:shd w:val="clear" w:color="000000" w:fill="FFFFFF"/>
            <w:noWrap/>
            <w:vAlign w:val="center"/>
            <w:hideMark/>
          </w:tcPr>
          <w:p w14:paraId="2943CA62" w14:textId="77777777" w:rsidR="00EA713F" w:rsidRPr="00D618B7" w:rsidRDefault="00EA713F" w:rsidP="00EA713F">
            <w:pPr>
              <w:jc w:val="right"/>
              <w:rPr>
                <w:color w:val="000000"/>
                <w:sz w:val="22"/>
                <w:szCs w:val="22"/>
              </w:rPr>
            </w:pPr>
            <w:r w:rsidRPr="00D618B7">
              <w:rPr>
                <w:color w:val="000000"/>
                <w:sz w:val="22"/>
                <w:szCs w:val="22"/>
              </w:rPr>
              <w:t>0.0020</w:t>
            </w:r>
          </w:p>
        </w:tc>
      </w:tr>
      <w:tr w:rsidR="00EA713F" w:rsidRPr="00D618B7" w14:paraId="73836CD2" w14:textId="77777777" w:rsidTr="00EA713F">
        <w:trPr>
          <w:trHeight w:val="300"/>
        </w:trPr>
        <w:tc>
          <w:tcPr>
            <w:tcW w:w="714" w:type="pct"/>
            <w:tcBorders>
              <w:top w:val="nil"/>
              <w:left w:val="nil"/>
              <w:bottom w:val="nil"/>
              <w:right w:val="nil"/>
            </w:tcBorders>
            <w:shd w:val="clear" w:color="000000" w:fill="FFFFFF"/>
            <w:vAlign w:val="center"/>
            <w:hideMark/>
          </w:tcPr>
          <w:p w14:paraId="3220C79D" w14:textId="77777777" w:rsidR="00EA713F" w:rsidRPr="00D618B7" w:rsidRDefault="00EA713F" w:rsidP="00EA713F">
            <w:pPr>
              <w:jc w:val="center"/>
              <w:rPr>
                <w:color w:val="000000"/>
                <w:sz w:val="22"/>
                <w:szCs w:val="22"/>
              </w:rPr>
            </w:pPr>
            <w:r w:rsidRPr="00D618B7">
              <w:rPr>
                <w:color w:val="000000"/>
                <w:sz w:val="22"/>
                <w:szCs w:val="22"/>
              </w:rPr>
              <w:t>1</w:t>
            </w:r>
          </w:p>
        </w:tc>
        <w:tc>
          <w:tcPr>
            <w:tcW w:w="618" w:type="pct"/>
            <w:tcBorders>
              <w:top w:val="nil"/>
              <w:left w:val="nil"/>
              <w:bottom w:val="nil"/>
              <w:right w:val="nil"/>
            </w:tcBorders>
            <w:shd w:val="clear" w:color="000000" w:fill="FFFFFF"/>
            <w:noWrap/>
            <w:vAlign w:val="center"/>
            <w:hideMark/>
          </w:tcPr>
          <w:p w14:paraId="2E969A44" w14:textId="77777777" w:rsidR="00EA713F" w:rsidRPr="00D618B7" w:rsidRDefault="00EA713F" w:rsidP="00EA713F">
            <w:pPr>
              <w:jc w:val="right"/>
              <w:rPr>
                <w:color w:val="000000"/>
                <w:sz w:val="22"/>
                <w:szCs w:val="22"/>
              </w:rPr>
            </w:pPr>
            <w:r w:rsidRPr="00D618B7">
              <w:rPr>
                <w:color w:val="000000"/>
                <w:sz w:val="22"/>
                <w:szCs w:val="22"/>
              </w:rPr>
              <w:t>0.0104</w:t>
            </w:r>
          </w:p>
        </w:tc>
        <w:tc>
          <w:tcPr>
            <w:tcW w:w="812" w:type="pct"/>
            <w:tcBorders>
              <w:top w:val="nil"/>
              <w:left w:val="nil"/>
              <w:bottom w:val="nil"/>
              <w:right w:val="nil"/>
            </w:tcBorders>
            <w:shd w:val="clear" w:color="000000" w:fill="FFFFFF"/>
            <w:noWrap/>
            <w:vAlign w:val="center"/>
            <w:hideMark/>
          </w:tcPr>
          <w:p w14:paraId="62A90070" w14:textId="77777777" w:rsidR="00EA713F" w:rsidRPr="00D618B7" w:rsidRDefault="00EA713F" w:rsidP="00EA713F">
            <w:pPr>
              <w:jc w:val="right"/>
              <w:rPr>
                <w:color w:val="000000"/>
                <w:sz w:val="22"/>
                <w:szCs w:val="22"/>
              </w:rPr>
            </w:pPr>
            <w:r w:rsidRPr="00D618B7">
              <w:rPr>
                <w:color w:val="000000"/>
                <w:sz w:val="22"/>
                <w:szCs w:val="22"/>
              </w:rPr>
              <w:t>0.0020</w:t>
            </w:r>
          </w:p>
        </w:tc>
        <w:tc>
          <w:tcPr>
            <w:tcW w:w="652" w:type="pct"/>
            <w:tcBorders>
              <w:top w:val="nil"/>
              <w:left w:val="nil"/>
              <w:bottom w:val="nil"/>
              <w:right w:val="nil"/>
            </w:tcBorders>
            <w:shd w:val="clear" w:color="000000" w:fill="FFFFFF"/>
            <w:noWrap/>
            <w:vAlign w:val="center"/>
            <w:hideMark/>
          </w:tcPr>
          <w:p w14:paraId="0882AB72" w14:textId="77777777" w:rsidR="00EA713F" w:rsidRPr="00D618B7" w:rsidRDefault="00EA713F" w:rsidP="00EA713F">
            <w:pPr>
              <w:jc w:val="right"/>
              <w:rPr>
                <w:color w:val="000000"/>
                <w:sz w:val="22"/>
                <w:szCs w:val="22"/>
              </w:rPr>
            </w:pPr>
            <w:r w:rsidRPr="00D618B7">
              <w:rPr>
                <w:color w:val="000000"/>
                <w:sz w:val="22"/>
                <w:szCs w:val="22"/>
              </w:rPr>
              <w:t>0.0008</w:t>
            </w:r>
          </w:p>
        </w:tc>
        <w:tc>
          <w:tcPr>
            <w:tcW w:w="777" w:type="pct"/>
            <w:tcBorders>
              <w:top w:val="nil"/>
              <w:left w:val="nil"/>
              <w:bottom w:val="nil"/>
              <w:right w:val="nil"/>
            </w:tcBorders>
            <w:shd w:val="clear" w:color="000000" w:fill="FFFFFF"/>
            <w:noWrap/>
            <w:vAlign w:val="center"/>
            <w:hideMark/>
          </w:tcPr>
          <w:p w14:paraId="17F7F754" w14:textId="77777777" w:rsidR="00EA713F" w:rsidRPr="00D618B7" w:rsidRDefault="00EA713F" w:rsidP="00EA713F">
            <w:pPr>
              <w:jc w:val="right"/>
              <w:rPr>
                <w:color w:val="000000"/>
                <w:sz w:val="22"/>
                <w:szCs w:val="22"/>
              </w:rPr>
            </w:pPr>
            <w:r w:rsidRPr="00D618B7">
              <w:rPr>
                <w:color w:val="000000"/>
                <w:sz w:val="22"/>
                <w:szCs w:val="22"/>
              </w:rPr>
              <w:t>0.0020</w:t>
            </w:r>
          </w:p>
        </w:tc>
        <w:tc>
          <w:tcPr>
            <w:tcW w:w="652" w:type="pct"/>
            <w:tcBorders>
              <w:top w:val="nil"/>
              <w:left w:val="nil"/>
              <w:bottom w:val="nil"/>
              <w:right w:val="nil"/>
            </w:tcBorders>
            <w:shd w:val="clear" w:color="000000" w:fill="FFFFFF"/>
            <w:noWrap/>
            <w:vAlign w:val="center"/>
            <w:hideMark/>
          </w:tcPr>
          <w:p w14:paraId="1ED80CDC" w14:textId="77777777" w:rsidR="00EA713F" w:rsidRPr="00D618B7" w:rsidRDefault="00EA713F" w:rsidP="00EA713F">
            <w:pPr>
              <w:jc w:val="right"/>
              <w:rPr>
                <w:color w:val="000000"/>
                <w:sz w:val="22"/>
                <w:szCs w:val="22"/>
              </w:rPr>
            </w:pPr>
            <w:r w:rsidRPr="00D618B7">
              <w:rPr>
                <w:color w:val="000000"/>
                <w:sz w:val="22"/>
                <w:szCs w:val="22"/>
              </w:rPr>
              <w:t>0.0035</w:t>
            </w:r>
          </w:p>
        </w:tc>
        <w:tc>
          <w:tcPr>
            <w:tcW w:w="777" w:type="pct"/>
            <w:tcBorders>
              <w:top w:val="nil"/>
              <w:left w:val="nil"/>
              <w:bottom w:val="nil"/>
              <w:right w:val="nil"/>
            </w:tcBorders>
            <w:shd w:val="clear" w:color="000000" w:fill="FFFFFF"/>
            <w:noWrap/>
            <w:vAlign w:val="center"/>
            <w:hideMark/>
          </w:tcPr>
          <w:p w14:paraId="6172285D" w14:textId="77777777" w:rsidR="00EA713F" w:rsidRPr="00D618B7" w:rsidRDefault="00EA713F" w:rsidP="00EA713F">
            <w:pPr>
              <w:jc w:val="right"/>
              <w:rPr>
                <w:color w:val="000000"/>
                <w:sz w:val="22"/>
                <w:szCs w:val="22"/>
              </w:rPr>
            </w:pPr>
            <w:r w:rsidRPr="00D618B7">
              <w:rPr>
                <w:color w:val="000000"/>
                <w:sz w:val="22"/>
                <w:szCs w:val="22"/>
              </w:rPr>
              <w:t>0.0020</w:t>
            </w:r>
          </w:p>
        </w:tc>
      </w:tr>
      <w:tr w:rsidR="00EA713F" w:rsidRPr="00D618B7" w14:paraId="27EEB2D1" w14:textId="77777777" w:rsidTr="00EA713F">
        <w:trPr>
          <w:trHeight w:val="300"/>
        </w:trPr>
        <w:tc>
          <w:tcPr>
            <w:tcW w:w="714" w:type="pct"/>
            <w:tcBorders>
              <w:top w:val="nil"/>
              <w:left w:val="nil"/>
              <w:bottom w:val="nil"/>
              <w:right w:val="nil"/>
            </w:tcBorders>
            <w:shd w:val="clear" w:color="000000" w:fill="FFFFFF"/>
            <w:vAlign w:val="center"/>
            <w:hideMark/>
          </w:tcPr>
          <w:p w14:paraId="13F2A9DB" w14:textId="77777777" w:rsidR="00EA713F" w:rsidRPr="00D618B7" w:rsidRDefault="00EA713F" w:rsidP="00EA713F">
            <w:pPr>
              <w:jc w:val="center"/>
              <w:rPr>
                <w:color w:val="000000"/>
                <w:sz w:val="22"/>
                <w:szCs w:val="22"/>
              </w:rPr>
            </w:pPr>
            <w:r w:rsidRPr="00D618B7">
              <w:rPr>
                <w:color w:val="000000"/>
                <w:sz w:val="22"/>
                <w:szCs w:val="22"/>
              </w:rPr>
              <w:t>2</w:t>
            </w:r>
          </w:p>
        </w:tc>
        <w:tc>
          <w:tcPr>
            <w:tcW w:w="618" w:type="pct"/>
            <w:tcBorders>
              <w:top w:val="nil"/>
              <w:left w:val="nil"/>
              <w:bottom w:val="nil"/>
              <w:right w:val="nil"/>
            </w:tcBorders>
            <w:shd w:val="clear" w:color="000000" w:fill="FFFFFF"/>
            <w:noWrap/>
            <w:vAlign w:val="center"/>
            <w:hideMark/>
          </w:tcPr>
          <w:p w14:paraId="5F6AE9E2" w14:textId="77777777" w:rsidR="00EA713F" w:rsidRPr="00D618B7" w:rsidRDefault="00EA713F" w:rsidP="00EA713F">
            <w:pPr>
              <w:jc w:val="right"/>
              <w:rPr>
                <w:color w:val="000000"/>
                <w:sz w:val="22"/>
                <w:szCs w:val="22"/>
              </w:rPr>
            </w:pPr>
            <w:r w:rsidRPr="00D618B7">
              <w:rPr>
                <w:color w:val="000000"/>
                <w:sz w:val="22"/>
                <w:szCs w:val="22"/>
              </w:rPr>
              <w:t>0.0098</w:t>
            </w:r>
          </w:p>
        </w:tc>
        <w:tc>
          <w:tcPr>
            <w:tcW w:w="812" w:type="pct"/>
            <w:tcBorders>
              <w:top w:val="nil"/>
              <w:left w:val="nil"/>
              <w:bottom w:val="nil"/>
              <w:right w:val="nil"/>
            </w:tcBorders>
            <w:shd w:val="clear" w:color="000000" w:fill="FFFFFF"/>
            <w:noWrap/>
            <w:vAlign w:val="center"/>
            <w:hideMark/>
          </w:tcPr>
          <w:p w14:paraId="239B6D34" w14:textId="77777777" w:rsidR="00EA713F" w:rsidRPr="00D618B7" w:rsidRDefault="00EA713F" w:rsidP="00EA713F">
            <w:pPr>
              <w:jc w:val="right"/>
              <w:rPr>
                <w:color w:val="000000"/>
                <w:sz w:val="22"/>
                <w:szCs w:val="22"/>
              </w:rPr>
            </w:pPr>
            <w:r w:rsidRPr="00D618B7">
              <w:rPr>
                <w:color w:val="000000"/>
                <w:sz w:val="22"/>
                <w:szCs w:val="22"/>
              </w:rPr>
              <w:t>0.0024</w:t>
            </w:r>
          </w:p>
        </w:tc>
        <w:tc>
          <w:tcPr>
            <w:tcW w:w="652" w:type="pct"/>
            <w:tcBorders>
              <w:top w:val="nil"/>
              <w:left w:val="nil"/>
              <w:bottom w:val="nil"/>
              <w:right w:val="nil"/>
            </w:tcBorders>
            <w:shd w:val="clear" w:color="000000" w:fill="FFFFFF"/>
            <w:noWrap/>
            <w:vAlign w:val="center"/>
            <w:hideMark/>
          </w:tcPr>
          <w:p w14:paraId="1CB91F29" w14:textId="77777777" w:rsidR="00EA713F" w:rsidRPr="00D618B7" w:rsidRDefault="00EA713F" w:rsidP="00EA713F">
            <w:pPr>
              <w:jc w:val="right"/>
              <w:rPr>
                <w:color w:val="000000"/>
                <w:sz w:val="22"/>
                <w:szCs w:val="22"/>
              </w:rPr>
            </w:pPr>
            <w:r w:rsidRPr="00D618B7">
              <w:rPr>
                <w:color w:val="000000"/>
                <w:sz w:val="22"/>
                <w:szCs w:val="22"/>
              </w:rPr>
              <w:t>-0.0006</w:t>
            </w:r>
          </w:p>
        </w:tc>
        <w:tc>
          <w:tcPr>
            <w:tcW w:w="777" w:type="pct"/>
            <w:tcBorders>
              <w:top w:val="nil"/>
              <w:left w:val="nil"/>
              <w:bottom w:val="nil"/>
              <w:right w:val="nil"/>
            </w:tcBorders>
            <w:shd w:val="clear" w:color="000000" w:fill="FFFFFF"/>
            <w:noWrap/>
            <w:vAlign w:val="center"/>
            <w:hideMark/>
          </w:tcPr>
          <w:p w14:paraId="04ED3560" w14:textId="77777777" w:rsidR="00EA713F" w:rsidRPr="00D618B7" w:rsidRDefault="00EA713F" w:rsidP="00EA713F">
            <w:pPr>
              <w:jc w:val="right"/>
              <w:rPr>
                <w:color w:val="000000"/>
                <w:sz w:val="22"/>
                <w:szCs w:val="22"/>
              </w:rPr>
            </w:pPr>
            <w:r w:rsidRPr="00D618B7">
              <w:rPr>
                <w:color w:val="000000"/>
                <w:sz w:val="22"/>
                <w:szCs w:val="22"/>
              </w:rPr>
              <w:t>0.0024</w:t>
            </w:r>
          </w:p>
        </w:tc>
        <w:tc>
          <w:tcPr>
            <w:tcW w:w="652" w:type="pct"/>
            <w:tcBorders>
              <w:top w:val="nil"/>
              <w:left w:val="nil"/>
              <w:bottom w:val="nil"/>
              <w:right w:val="nil"/>
            </w:tcBorders>
            <w:shd w:val="clear" w:color="000000" w:fill="FFFFFF"/>
            <w:noWrap/>
            <w:vAlign w:val="center"/>
            <w:hideMark/>
          </w:tcPr>
          <w:p w14:paraId="1B25504F" w14:textId="77777777" w:rsidR="00EA713F" w:rsidRPr="00D618B7" w:rsidRDefault="00EA713F" w:rsidP="00EA713F">
            <w:pPr>
              <w:jc w:val="right"/>
              <w:rPr>
                <w:color w:val="000000"/>
                <w:sz w:val="22"/>
                <w:szCs w:val="22"/>
              </w:rPr>
            </w:pPr>
            <w:r w:rsidRPr="00D618B7">
              <w:rPr>
                <w:color w:val="000000"/>
                <w:sz w:val="22"/>
                <w:szCs w:val="22"/>
              </w:rPr>
              <w:t>0.0004</w:t>
            </w:r>
          </w:p>
        </w:tc>
        <w:tc>
          <w:tcPr>
            <w:tcW w:w="777" w:type="pct"/>
            <w:tcBorders>
              <w:top w:val="nil"/>
              <w:left w:val="nil"/>
              <w:bottom w:val="nil"/>
              <w:right w:val="nil"/>
            </w:tcBorders>
            <w:shd w:val="clear" w:color="000000" w:fill="FFFFFF"/>
            <w:noWrap/>
            <w:vAlign w:val="center"/>
            <w:hideMark/>
          </w:tcPr>
          <w:p w14:paraId="0186B587" w14:textId="77777777" w:rsidR="00EA713F" w:rsidRPr="00D618B7" w:rsidRDefault="00EA713F" w:rsidP="00EA713F">
            <w:pPr>
              <w:jc w:val="right"/>
              <w:rPr>
                <w:color w:val="000000"/>
                <w:sz w:val="22"/>
                <w:szCs w:val="22"/>
              </w:rPr>
            </w:pPr>
            <w:r w:rsidRPr="00D618B7">
              <w:rPr>
                <w:color w:val="000000"/>
                <w:sz w:val="22"/>
                <w:szCs w:val="22"/>
              </w:rPr>
              <w:t>0.0024</w:t>
            </w:r>
          </w:p>
        </w:tc>
      </w:tr>
      <w:tr w:rsidR="00EA713F" w:rsidRPr="00D618B7" w14:paraId="0914AA34" w14:textId="77777777" w:rsidTr="00EA713F">
        <w:trPr>
          <w:trHeight w:val="300"/>
        </w:trPr>
        <w:tc>
          <w:tcPr>
            <w:tcW w:w="714" w:type="pct"/>
            <w:tcBorders>
              <w:top w:val="nil"/>
              <w:left w:val="nil"/>
              <w:bottom w:val="nil"/>
              <w:right w:val="nil"/>
            </w:tcBorders>
            <w:shd w:val="clear" w:color="000000" w:fill="FFFFFF"/>
            <w:vAlign w:val="center"/>
            <w:hideMark/>
          </w:tcPr>
          <w:p w14:paraId="0B4ECD4D" w14:textId="77777777" w:rsidR="00EA713F" w:rsidRPr="00D618B7" w:rsidRDefault="00EA713F" w:rsidP="00EA713F">
            <w:pPr>
              <w:jc w:val="center"/>
              <w:rPr>
                <w:color w:val="000000"/>
                <w:sz w:val="22"/>
                <w:szCs w:val="22"/>
              </w:rPr>
            </w:pPr>
            <w:r w:rsidRPr="00D618B7">
              <w:rPr>
                <w:color w:val="000000"/>
                <w:sz w:val="22"/>
                <w:szCs w:val="22"/>
              </w:rPr>
              <w:t>3</w:t>
            </w:r>
          </w:p>
        </w:tc>
        <w:tc>
          <w:tcPr>
            <w:tcW w:w="618" w:type="pct"/>
            <w:tcBorders>
              <w:top w:val="nil"/>
              <w:left w:val="nil"/>
              <w:bottom w:val="nil"/>
              <w:right w:val="nil"/>
            </w:tcBorders>
            <w:shd w:val="clear" w:color="000000" w:fill="FFFFFF"/>
            <w:noWrap/>
            <w:vAlign w:val="center"/>
            <w:hideMark/>
          </w:tcPr>
          <w:p w14:paraId="6926CBFD" w14:textId="77777777" w:rsidR="00EA713F" w:rsidRPr="00D618B7" w:rsidRDefault="00EA713F" w:rsidP="00EA713F">
            <w:pPr>
              <w:jc w:val="right"/>
              <w:rPr>
                <w:color w:val="000000"/>
                <w:sz w:val="22"/>
                <w:szCs w:val="22"/>
              </w:rPr>
            </w:pPr>
            <w:r w:rsidRPr="00D618B7">
              <w:rPr>
                <w:color w:val="000000"/>
                <w:sz w:val="22"/>
                <w:szCs w:val="22"/>
              </w:rPr>
              <w:t>0.0068</w:t>
            </w:r>
          </w:p>
        </w:tc>
        <w:tc>
          <w:tcPr>
            <w:tcW w:w="812" w:type="pct"/>
            <w:tcBorders>
              <w:top w:val="nil"/>
              <w:left w:val="nil"/>
              <w:bottom w:val="nil"/>
              <w:right w:val="nil"/>
            </w:tcBorders>
            <w:shd w:val="clear" w:color="000000" w:fill="FFFFFF"/>
            <w:noWrap/>
            <w:vAlign w:val="center"/>
            <w:hideMark/>
          </w:tcPr>
          <w:p w14:paraId="106C9645" w14:textId="77777777" w:rsidR="00EA713F" w:rsidRPr="00D618B7" w:rsidRDefault="00EA713F" w:rsidP="00EA713F">
            <w:pPr>
              <w:jc w:val="right"/>
              <w:rPr>
                <w:color w:val="000000"/>
                <w:sz w:val="22"/>
                <w:szCs w:val="22"/>
              </w:rPr>
            </w:pPr>
            <w:r w:rsidRPr="00D618B7">
              <w:rPr>
                <w:color w:val="000000"/>
                <w:sz w:val="22"/>
                <w:szCs w:val="22"/>
              </w:rPr>
              <w:t>0.0020</w:t>
            </w:r>
          </w:p>
        </w:tc>
        <w:tc>
          <w:tcPr>
            <w:tcW w:w="652" w:type="pct"/>
            <w:tcBorders>
              <w:top w:val="nil"/>
              <w:left w:val="nil"/>
              <w:bottom w:val="nil"/>
              <w:right w:val="nil"/>
            </w:tcBorders>
            <w:shd w:val="clear" w:color="000000" w:fill="FFFFFF"/>
            <w:noWrap/>
            <w:vAlign w:val="center"/>
            <w:hideMark/>
          </w:tcPr>
          <w:p w14:paraId="30CD9FB2" w14:textId="77777777" w:rsidR="00EA713F" w:rsidRPr="00D618B7" w:rsidRDefault="00EA713F" w:rsidP="00EA713F">
            <w:pPr>
              <w:jc w:val="right"/>
              <w:rPr>
                <w:color w:val="000000"/>
                <w:sz w:val="22"/>
                <w:szCs w:val="22"/>
              </w:rPr>
            </w:pPr>
            <w:r w:rsidRPr="00D618B7">
              <w:rPr>
                <w:color w:val="000000"/>
                <w:sz w:val="22"/>
                <w:szCs w:val="22"/>
              </w:rPr>
              <w:t>-0.0002</w:t>
            </w:r>
          </w:p>
        </w:tc>
        <w:tc>
          <w:tcPr>
            <w:tcW w:w="777" w:type="pct"/>
            <w:tcBorders>
              <w:top w:val="nil"/>
              <w:left w:val="nil"/>
              <w:bottom w:val="nil"/>
              <w:right w:val="nil"/>
            </w:tcBorders>
            <w:shd w:val="clear" w:color="000000" w:fill="FFFFFF"/>
            <w:noWrap/>
            <w:vAlign w:val="center"/>
            <w:hideMark/>
          </w:tcPr>
          <w:p w14:paraId="5B744634" w14:textId="77777777" w:rsidR="00EA713F" w:rsidRPr="00D618B7" w:rsidRDefault="00EA713F" w:rsidP="00EA713F">
            <w:pPr>
              <w:jc w:val="right"/>
              <w:rPr>
                <w:color w:val="000000"/>
                <w:sz w:val="22"/>
                <w:szCs w:val="22"/>
              </w:rPr>
            </w:pPr>
            <w:r w:rsidRPr="00D618B7">
              <w:rPr>
                <w:color w:val="000000"/>
                <w:sz w:val="22"/>
                <w:szCs w:val="22"/>
              </w:rPr>
              <w:t>0.0019</w:t>
            </w:r>
          </w:p>
        </w:tc>
        <w:tc>
          <w:tcPr>
            <w:tcW w:w="652" w:type="pct"/>
            <w:tcBorders>
              <w:top w:val="nil"/>
              <w:left w:val="nil"/>
              <w:bottom w:val="nil"/>
              <w:right w:val="nil"/>
            </w:tcBorders>
            <w:shd w:val="clear" w:color="000000" w:fill="FFFFFF"/>
            <w:noWrap/>
            <w:vAlign w:val="center"/>
            <w:hideMark/>
          </w:tcPr>
          <w:p w14:paraId="16B6313A" w14:textId="77777777" w:rsidR="00EA713F" w:rsidRPr="00D618B7" w:rsidRDefault="00EA713F" w:rsidP="00EA713F">
            <w:pPr>
              <w:jc w:val="right"/>
              <w:rPr>
                <w:color w:val="000000"/>
                <w:sz w:val="22"/>
                <w:szCs w:val="22"/>
              </w:rPr>
            </w:pPr>
            <w:r w:rsidRPr="00D618B7">
              <w:rPr>
                <w:color w:val="000000"/>
                <w:sz w:val="22"/>
                <w:szCs w:val="22"/>
              </w:rPr>
              <w:t>-0.0003</w:t>
            </w:r>
          </w:p>
        </w:tc>
        <w:tc>
          <w:tcPr>
            <w:tcW w:w="777" w:type="pct"/>
            <w:tcBorders>
              <w:top w:val="nil"/>
              <w:left w:val="nil"/>
              <w:bottom w:val="nil"/>
              <w:right w:val="nil"/>
            </w:tcBorders>
            <w:shd w:val="clear" w:color="000000" w:fill="FFFFFF"/>
            <w:noWrap/>
            <w:vAlign w:val="center"/>
            <w:hideMark/>
          </w:tcPr>
          <w:p w14:paraId="668B4CF8" w14:textId="77777777" w:rsidR="00EA713F" w:rsidRPr="00D618B7" w:rsidRDefault="00EA713F" w:rsidP="00EA713F">
            <w:pPr>
              <w:jc w:val="right"/>
              <w:rPr>
                <w:color w:val="000000"/>
                <w:sz w:val="22"/>
                <w:szCs w:val="22"/>
              </w:rPr>
            </w:pPr>
            <w:r w:rsidRPr="00D618B7">
              <w:rPr>
                <w:color w:val="000000"/>
                <w:sz w:val="22"/>
                <w:szCs w:val="22"/>
              </w:rPr>
              <w:t>0.0019</w:t>
            </w:r>
          </w:p>
        </w:tc>
      </w:tr>
      <w:tr w:rsidR="00EA713F" w:rsidRPr="00D618B7" w14:paraId="308F81D9" w14:textId="77777777" w:rsidTr="00EA713F">
        <w:trPr>
          <w:trHeight w:val="300"/>
        </w:trPr>
        <w:tc>
          <w:tcPr>
            <w:tcW w:w="714" w:type="pct"/>
            <w:tcBorders>
              <w:top w:val="nil"/>
              <w:left w:val="nil"/>
              <w:bottom w:val="nil"/>
              <w:right w:val="nil"/>
            </w:tcBorders>
            <w:shd w:val="clear" w:color="000000" w:fill="FFFFFF"/>
            <w:vAlign w:val="center"/>
            <w:hideMark/>
          </w:tcPr>
          <w:p w14:paraId="78D233C6" w14:textId="77777777" w:rsidR="00EA713F" w:rsidRPr="00D618B7" w:rsidRDefault="00EA713F" w:rsidP="00EA713F">
            <w:pPr>
              <w:jc w:val="center"/>
              <w:rPr>
                <w:color w:val="000000"/>
                <w:sz w:val="22"/>
                <w:szCs w:val="22"/>
              </w:rPr>
            </w:pPr>
            <w:r w:rsidRPr="00D618B7">
              <w:rPr>
                <w:color w:val="000000"/>
                <w:sz w:val="22"/>
                <w:szCs w:val="22"/>
              </w:rPr>
              <w:t>4</w:t>
            </w:r>
          </w:p>
        </w:tc>
        <w:tc>
          <w:tcPr>
            <w:tcW w:w="618" w:type="pct"/>
            <w:tcBorders>
              <w:top w:val="nil"/>
              <w:left w:val="nil"/>
              <w:bottom w:val="nil"/>
              <w:right w:val="nil"/>
            </w:tcBorders>
            <w:shd w:val="clear" w:color="000000" w:fill="FFFFFF"/>
            <w:noWrap/>
            <w:vAlign w:val="center"/>
            <w:hideMark/>
          </w:tcPr>
          <w:p w14:paraId="33193D8C" w14:textId="77777777" w:rsidR="00EA713F" w:rsidRPr="00D618B7" w:rsidRDefault="00EA713F" w:rsidP="00EA713F">
            <w:pPr>
              <w:jc w:val="right"/>
              <w:rPr>
                <w:color w:val="000000"/>
                <w:sz w:val="22"/>
                <w:szCs w:val="22"/>
              </w:rPr>
            </w:pPr>
            <w:r w:rsidRPr="00D618B7">
              <w:rPr>
                <w:color w:val="000000"/>
                <w:sz w:val="22"/>
                <w:szCs w:val="22"/>
              </w:rPr>
              <w:t>0.0140</w:t>
            </w:r>
          </w:p>
        </w:tc>
        <w:tc>
          <w:tcPr>
            <w:tcW w:w="812" w:type="pct"/>
            <w:tcBorders>
              <w:top w:val="nil"/>
              <w:left w:val="nil"/>
              <w:bottom w:val="nil"/>
              <w:right w:val="nil"/>
            </w:tcBorders>
            <w:shd w:val="clear" w:color="000000" w:fill="FFFFFF"/>
            <w:noWrap/>
            <w:vAlign w:val="center"/>
            <w:hideMark/>
          </w:tcPr>
          <w:p w14:paraId="6A5AFF32" w14:textId="77777777" w:rsidR="00EA713F" w:rsidRPr="00D618B7" w:rsidRDefault="00EA713F" w:rsidP="00EA713F">
            <w:pPr>
              <w:jc w:val="right"/>
              <w:rPr>
                <w:color w:val="000000"/>
                <w:sz w:val="22"/>
                <w:szCs w:val="22"/>
              </w:rPr>
            </w:pPr>
            <w:r w:rsidRPr="00D618B7">
              <w:rPr>
                <w:color w:val="000000"/>
                <w:sz w:val="22"/>
                <w:szCs w:val="22"/>
              </w:rPr>
              <w:t>0.0021</w:t>
            </w:r>
          </w:p>
        </w:tc>
        <w:tc>
          <w:tcPr>
            <w:tcW w:w="652" w:type="pct"/>
            <w:tcBorders>
              <w:top w:val="nil"/>
              <w:left w:val="nil"/>
              <w:bottom w:val="nil"/>
              <w:right w:val="nil"/>
            </w:tcBorders>
            <w:shd w:val="clear" w:color="000000" w:fill="FFFFFF"/>
            <w:noWrap/>
            <w:vAlign w:val="center"/>
            <w:hideMark/>
          </w:tcPr>
          <w:p w14:paraId="3FFD0B1D" w14:textId="77777777" w:rsidR="00EA713F" w:rsidRPr="00D618B7" w:rsidRDefault="00EA713F" w:rsidP="00EA713F">
            <w:pPr>
              <w:jc w:val="right"/>
              <w:rPr>
                <w:color w:val="000000"/>
                <w:sz w:val="22"/>
                <w:szCs w:val="22"/>
              </w:rPr>
            </w:pPr>
            <w:r w:rsidRPr="00D618B7">
              <w:rPr>
                <w:color w:val="000000"/>
                <w:sz w:val="22"/>
                <w:szCs w:val="22"/>
              </w:rPr>
              <w:t>0.0010</w:t>
            </w:r>
          </w:p>
        </w:tc>
        <w:tc>
          <w:tcPr>
            <w:tcW w:w="777" w:type="pct"/>
            <w:tcBorders>
              <w:top w:val="nil"/>
              <w:left w:val="nil"/>
              <w:bottom w:val="nil"/>
              <w:right w:val="nil"/>
            </w:tcBorders>
            <w:shd w:val="clear" w:color="000000" w:fill="FFFFFF"/>
            <w:noWrap/>
            <w:vAlign w:val="center"/>
            <w:hideMark/>
          </w:tcPr>
          <w:p w14:paraId="69A02B3A" w14:textId="77777777" w:rsidR="00EA713F" w:rsidRPr="00D618B7" w:rsidRDefault="00EA713F" w:rsidP="00EA713F">
            <w:pPr>
              <w:jc w:val="right"/>
              <w:rPr>
                <w:color w:val="000000"/>
                <w:sz w:val="22"/>
                <w:szCs w:val="22"/>
              </w:rPr>
            </w:pPr>
            <w:r w:rsidRPr="00D618B7">
              <w:rPr>
                <w:color w:val="000000"/>
                <w:sz w:val="22"/>
                <w:szCs w:val="22"/>
              </w:rPr>
              <w:t>0.0021</w:t>
            </w:r>
          </w:p>
        </w:tc>
        <w:tc>
          <w:tcPr>
            <w:tcW w:w="652" w:type="pct"/>
            <w:tcBorders>
              <w:top w:val="nil"/>
              <w:left w:val="nil"/>
              <w:bottom w:val="nil"/>
              <w:right w:val="nil"/>
            </w:tcBorders>
            <w:shd w:val="clear" w:color="000000" w:fill="FFFFFF"/>
            <w:noWrap/>
            <w:vAlign w:val="center"/>
            <w:hideMark/>
          </w:tcPr>
          <w:p w14:paraId="40A74C27" w14:textId="77777777" w:rsidR="00EA713F" w:rsidRPr="00D618B7" w:rsidRDefault="00EA713F" w:rsidP="00EA713F">
            <w:pPr>
              <w:jc w:val="right"/>
              <w:rPr>
                <w:color w:val="000000"/>
                <w:sz w:val="22"/>
                <w:szCs w:val="22"/>
              </w:rPr>
            </w:pPr>
            <w:r w:rsidRPr="00D618B7">
              <w:rPr>
                <w:color w:val="000000"/>
                <w:sz w:val="22"/>
                <w:szCs w:val="22"/>
              </w:rPr>
              <w:t>-0.0002</w:t>
            </w:r>
          </w:p>
        </w:tc>
        <w:tc>
          <w:tcPr>
            <w:tcW w:w="777" w:type="pct"/>
            <w:tcBorders>
              <w:top w:val="nil"/>
              <w:left w:val="nil"/>
              <w:bottom w:val="nil"/>
              <w:right w:val="nil"/>
            </w:tcBorders>
            <w:shd w:val="clear" w:color="000000" w:fill="FFFFFF"/>
            <w:noWrap/>
            <w:vAlign w:val="center"/>
            <w:hideMark/>
          </w:tcPr>
          <w:p w14:paraId="6D214636" w14:textId="77777777" w:rsidR="00EA713F" w:rsidRPr="00D618B7" w:rsidRDefault="00EA713F" w:rsidP="00EA713F">
            <w:pPr>
              <w:jc w:val="right"/>
              <w:rPr>
                <w:color w:val="000000"/>
                <w:sz w:val="22"/>
                <w:szCs w:val="22"/>
              </w:rPr>
            </w:pPr>
            <w:r w:rsidRPr="00D618B7">
              <w:rPr>
                <w:color w:val="000000"/>
                <w:sz w:val="22"/>
                <w:szCs w:val="22"/>
              </w:rPr>
              <w:t>0.0021</w:t>
            </w:r>
          </w:p>
        </w:tc>
      </w:tr>
      <w:tr w:rsidR="00EA713F" w:rsidRPr="00D618B7" w14:paraId="7E634E18" w14:textId="77777777" w:rsidTr="00EA713F">
        <w:trPr>
          <w:trHeight w:val="315"/>
        </w:trPr>
        <w:tc>
          <w:tcPr>
            <w:tcW w:w="714" w:type="pct"/>
            <w:tcBorders>
              <w:top w:val="nil"/>
              <w:left w:val="nil"/>
              <w:bottom w:val="single" w:sz="8" w:space="0" w:color="auto"/>
              <w:right w:val="nil"/>
            </w:tcBorders>
            <w:shd w:val="clear" w:color="000000" w:fill="FFFFFF"/>
            <w:vAlign w:val="center"/>
            <w:hideMark/>
          </w:tcPr>
          <w:p w14:paraId="0C7541F8" w14:textId="77777777" w:rsidR="00EA713F" w:rsidRPr="00D618B7" w:rsidRDefault="00EA713F" w:rsidP="00EA713F">
            <w:pPr>
              <w:jc w:val="center"/>
              <w:rPr>
                <w:color w:val="000000"/>
                <w:sz w:val="22"/>
                <w:szCs w:val="22"/>
              </w:rPr>
            </w:pPr>
            <w:r w:rsidRPr="00D618B7">
              <w:rPr>
                <w:color w:val="000000"/>
                <w:sz w:val="22"/>
                <w:szCs w:val="22"/>
              </w:rPr>
              <w:t>5</w:t>
            </w:r>
          </w:p>
        </w:tc>
        <w:tc>
          <w:tcPr>
            <w:tcW w:w="618" w:type="pct"/>
            <w:tcBorders>
              <w:top w:val="nil"/>
              <w:left w:val="nil"/>
              <w:bottom w:val="single" w:sz="8" w:space="0" w:color="auto"/>
              <w:right w:val="nil"/>
            </w:tcBorders>
            <w:shd w:val="clear" w:color="000000" w:fill="FFFFFF"/>
            <w:noWrap/>
            <w:vAlign w:val="center"/>
            <w:hideMark/>
          </w:tcPr>
          <w:p w14:paraId="09707C4C" w14:textId="77777777" w:rsidR="00EA713F" w:rsidRPr="00D618B7" w:rsidRDefault="00EA713F" w:rsidP="00EA713F">
            <w:pPr>
              <w:jc w:val="right"/>
              <w:rPr>
                <w:color w:val="000000"/>
                <w:sz w:val="22"/>
                <w:szCs w:val="22"/>
              </w:rPr>
            </w:pPr>
            <w:r w:rsidRPr="00D618B7">
              <w:rPr>
                <w:color w:val="000000"/>
                <w:sz w:val="22"/>
                <w:szCs w:val="22"/>
              </w:rPr>
              <w:t>0.0035</w:t>
            </w:r>
          </w:p>
        </w:tc>
        <w:tc>
          <w:tcPr>
            <w:tcW w:w="812" w:type="pct"/>
            <w:tcBorders>
              <w:top w:val="nil"/>
              <w:left w:val="nil"/>
              <w:bottom w:val="single" w:sz="8" w:space="0" w:color="auto"/>
              <w:right w:val="nil"/>
            </w:tcBorders>
            <w:shd w:val="clear" w:color="000000" w:fill="FFFFFF"/>
            <w:noWrap/>
            <w:vAlign w:val="center"/>
            <w:hideMark/>
          </w:tcPr>
          <w:p w14:paraId="3B5D21BD" w14:textId="77777777" w:rsidR="00EA713F" w:rsidRPr="00D618B7" w:rsidRDefault="00EA713F" w:rsidP="00EA713F">
            <w:pPr>
              <w:jc w:val="right"/>
              <w:rPr>
                <w:color w:val="000000"/>
                <w:sz w:val="22"/>
                <w:szCs w:val="22"/>
              </w:rPr>
            </w:pPr>
            <w:r w:rsidRPr="00D618B7">
              <w:rPr>
                <w:color w:val="000000"/>
                <w:sz w:val="22"/>
                <w:szCs w:val="22"/>
              </w:rPr>
              <w:t>0.0024</w:t>
            </w:r>
          </w:p>
        </w:tc>
        <w:tc>
          <w:tcPr>
            <w:tcW w:w="652" w:type="pct"/>
            <w:tcBorders>
              <w:top w:val="nil"/>
              <w:left w:val="nil"/>
              <w:bottom w:val="single" w:sz="8" w:space="0" w:color="auto"/>
              <w:right w:val="nil"/>
            </w:tcBorders>
            <w:shd w:val="clear" w:color="000000" w:fill="FFFFFF"/>
            <w:noWrap/>
            <w:vAlign w:val="center"/>
            <w:hideMark/>
          </w:tcPr>
          <w:p w14:paraId="7EE416FD" w14:textId="77777777" w:rsidR="00EA713F" w:rsidRPr="00D618B7" w:rsidRDefault="00EA713F" w:rsidP="00EA713F">
            <w:pPr>
              <w:jc w:val="right"/>
              <w:rPr>
                <w:color w:val="000000"/>
                <w:sz w:val="22"/>
                <w:szCs w:val="22"/>
              </w:rPr>
            </w:pPr>
            <w:r w:rsidRPr="00D618B7">
              <w:rPr>
                <w:color w:val="000000"/>
                <w:sz w:val="22"/>
                <w:szCs w:val="22"/>
              </w:rPr>
              <w:t>0.0006</w:t>
            </w:r>
          </w:p>
        </w:tc>
        <w:tc>
          <w:tcPr>
            <w:tcW w:w="777" w:type="pct"/>
            <w:tcBorders>
              <w:top w:val="nil"/>
              <w:left w:val="nil"/>
              <w:bottom w:val="single" w:sz="8" w:space="0" w:color="auto"/>
              <w:right w:val="nil"/>
            </w:tcBorders>
            <w:shd w:val="clear" w:color="000000" w:fill="FFFFFF"/>
            <w:noWrap/>
            <w:vAlign w:val="center"/>
            <w:hideMark/>
          </w:tcPr>
          <w:p w14:paraId="0F52E51E" w14:textId="77777777" w:rsidR="00EA713F" w:rsidRPr="00D618B7" w:rsidRDefault="00EA713F" w:rsidP="00EA713F">
            <w:pPr>
              <w:jc w:val="right"/>
              <w:rPr>
                <w:color w:val="000000"/>
                <w:sz w:val="22"/>
                <w:szCs w:val="22"/>
              </w:rPr>
            </w:pPr>
            <w:r w:rsidRPr="00D618B7">
              <w:rPr>
                <w:color w:val="000000"/>
                <w:sz w:val="22"/>
                <w:szCs w:val="22"/>
              </w:rPr>
              <w:t>0.0023</w:t>
            </w:r>
          </w:p>
        </w:tc>
        <w:tc>
          <w:tcPr>
            <w:tcW w:w="652" w:type="pct"/>
            <w:tcBorders>
              <w:top w:val="nil"/>
              <w:left w:val="nil"/>
              <w:bottom w:val="single" w:sz="8" w:space="0" w:color="auto"/>
              <w:right w:val="nil"/>
            </w:tcBorders>
            <w:shd w:val="clear" w:color="000000" w:fill="FFFFFF"/>
            <w:noWrap/>
            <w:vAlign w:val="center"/>
            <w:hideMark/>
          </w:tcPr>
          <w:p w14:paraId="7A2C7774" w14:textId="77777777" w:rsidR="00EA713F" w:rsidRPr="00D618B7" w:rsidRDefault="00EA713F" w:rsidP="00EA713F">
            <w:pPr>
              <w:jc w:val="right"/>
              <w:rPr>
                <w:color w:val="000000"/>
                <w:sz w:val="22"/>
                <w:szCs w:val="22"/>
              </w:rPr>
            </w:pPr>
            <w:r w:rsidRPr="00D618B7">
              <w:rPr>
                <w:color w:val="000000"/>
                <w:sz w:val="22"/>
                <w:szCs w:val="22"/>
              </w:rPr>
              <w:t>0.0006</w:t>
            </w:r>
          </w:p>
        </w:tc>
        <w:tc>
          <w:tcPr>
            <w:tcW w:w="777" w:type="pct"/>
            <w:tcBorders>
              <w:top w:val="nil"/>
              <w:left w:val="nil"/>
              <w:bottom w:val="single" w:sz="8" w:space="0" w:color="auto"/>
              <w:right w:val="nil"/>
            </w:tcBorders>
            <w:shd w:val="clear" w:color="000000" w:fill="FFFFFF"/>
            <w:noWrap/>
            <w:vAlign w:val="center"/>
            <w:hideMark/>
          </w:tcPr>
          <w:p w14:paraId="16EF88E4" w14:textId="77777777" w:rsidR="00EA713F" w:rsidRPr="00D618B7" w:rsidRDefault="00EA713F" w:rsidP="00EA713F">
            <w:pPr>
              <w:jc w:val="right"/>
              <w:rPr>
                <w:color w:val="000000"/>
                <w:sz w:val="22"/>
                <w:szCs w:val="22"/>
              </w:rPr>
            </w:pPr>
            <w:r w:rsidRPr="00D618B7">
              <w:rPr>
                <w:color w:val="000000"/>
                <w:sz w:val="22"/>
                <w:szCs w:val="22"/>
              </w:rPr>
              <w:t>0.0023</w:t>
            </w:r>
          </w:p>
        </w:tc>
      </w:tr>
    </w:tbl>
    <w:p w14:paraId="5428839C" w14:textId="77777777" w:rsidR="00C4462A" w:rsidRPr="00D618B7" w:rsidRDefault="00C4462A" w:rsidP="00C4462A">
      <w:pPr>
        <w:rPr>
          <w:i/>
          <w:iCs/>
        </w:rPr>
      </w:pPr>
    </w:p>
    <w:p w14:paraId="314DD269" w14:textId="77777777" w:rsidR="00C4462A" w:rsidRPr="00D618B7" w:rsidRDefault="00C4462A" w:rsidP="00C4462A">
      <w:r w:rsidRPr="00D618B7">
        <w:rPr>
          <w:i/>
          <w:iCs/>
        </w:rPr>
        <w:t>Note</w:t>
      </w:r>
      <w:r w:rsidRPr="00D618B7">
        <w:t>: This table lists the estimated mean Rates and standard errors for toy-out-of-reach, toy-moving-into-reach, and toy-in-reach by weeks around reach-onset.</w:t>
      </w:r>
    </w:p>
    <w:p w14:paraId="3F0B967A" w14:textId="77777777" w:rsidR="00822CAA" w:rsidRPr="00D618B7" w:rsidRDefault="00822CAA" w:rsidP="00822CAA"/>
    <w:p w14:paraId="0F2AE664" w14:textId="71A8CC2C" w:rsidR="00EA713F" w:rsidRPr="00D618B7" w:rsidRDefault="004B7288" w:rsidP="007C5074">
      <w:pPr>
        <w:pStyle w:val="Caption"/>
      </w:pPr>
      <w:bookmarkStart w:id="147" w:name="_Toc172716846"/>
      <w:r w:rsidRPr="00D618B7">
        <w:t xml:space="preserve">Table </w:t>
      </w:r>
      <w:r w:rsidR="00000000">
        <w:fldChar w:fldCharType="begin"/>
      </w:r>
      <w:r w:rsidR="00000000">
        <w:instrText xml:space="preserve"> SEQ Table \* ARABIC </w:instrText>
      </w:r>
      <w:r w:rsidR="00000000">
        <w:fldChar w:fldCharType="separate"/>
      </w:r>
      <w:r w:rsidR="000C6E43">
        <w:rPr>
          <w:noProof/>
        </w:rPr>
        <w:t>18</w:t>
      </w:r>
      <w:r w:rsidR="00000000">
        <w:rPr>
          <w:noProof/>
        </w:rPr>
        <w:fldChar w:fldCharType="end"/>
      </w:r>
      <w:r w:rsidR="008839D5" w:rsidRPr="00D618B7">
        <w:t xml:space="preserve">: </w:t>
      </w:r>
      <w:r w:rsidR="008839D5" w:rsidRPr="00D618B7">
        <w:rPr>
          <w:rFonts w:eastAsia="Aptos"/>
          <w:kern w:val="2"/>
          <w:sz w:val="22"/>
          <w:szCs w:val="22"/>
        </w:rPr>
        <w:t>Event rates by type and proximity</w:t>
      </w:r>
      <w:bookmarkEnd w:id="147"/>
      <w:r w:rsidR="008839D5" w:rsidRPr="00D618B7">
        <w:rPr>
          <w:rFonts w:eastAsia="Aptos"/>
          <w:kern w:val="2"/>
          <w:sz w:val="22"/>
          <w:szCs w:val="22"/>
        </w:rPr>
        <w:t xml:space="preserve"> </w:t>
      </w:r>
    </w:p>
    <w:p w14:paraId="7BD532B6" w14:textId="77777777" w:rsidR="00EA713F" w:rsidRPr="00D618B7" w:rsidRDefault="00EA713F" w:rsidP="00EA713F">
      <w:r w:rsidRPr="00D618B7">
        <w:t>Estimated Mean Rate of Events per Trial by Type and Proximity</w:t>
      </w:r>
    </w:p>
    <w:tbl>
      <w:tblPr>
        <w:tblW w:w="5000" w:type="pct"/>
        <w:tblLook w:val="04A0" w:firstRow="1" w:lastRow="0" w:firstColumn="1" w:lastColumn="0" w:noHBand="0" w:noVBand="1"/>
      </w:tblPr>
      <w:tblGrid>
        <w:gridCol w:w="991"/>
        <w:gridCol w:w="1020"/>
        <w:gridCol w:w="1310"/>
        <w:gridCol w:w="1206"/>
        <w:gridCol w:w="1232"/>
        <w:gridCol w:w="197"/>
        <w:gridCol w:w="1020"/>
        <w:gridCol w:w="1664"/>
      </w:tblGrid>
      <w:tr w:rsidR="002B165F" w:rsidRPr="00D618B7" w14:paraId="16A766F9" w14:textId="77777777" w:rsidTr="001E3794">
        <w:trPr>
          <w:trHeight w:val="555"/>
        </w:trPr>
        <w:tc>
          <w:tcPr>
            <w:tcW w:w="574" w:type="pct"/>
            <w:tcBorders>
              <w:top w:val="single" w:sz="4" w:space="0" w:color="auto"/>
              <w:left w:val="nil"/>
              <w:bottom w:val="nil"/>
              <w:right w:val="nil"/>
            </w:tcBorders>
            <w:shd w:val="clear" w:color="000000" w:fill="FFFFFF"/>
            <w:vAlign w:val="center"/>
            <w:hideMark/>
          </w:tcPr>
          <w:p w14:paraId="3D076CA6" w14:textId="77777777" w:rsidR="00EA713F" w:rsidRPr="00D618B7" w:rsidRDefault="00EA713F" w:rsidP="004B11B7">
            <w:pPr>
              <w:rPr>
                <w:color w:val="000000"/>
                <w:sz w:val="22"/>
                <w:szCs w:val="22"/>
              </w:rPr>
            </w:pPr>
            <w:r w:rsidRPr="00D618B7">
              <w:rPr>
                <w:color w:val="000000"/>
                <w:sz w:val="22"/>
                <w:szCs w:val="22"/>
              </w:rPr>
              <w:t>Week</w:t>
            </w:r>
          </w:p>
        </w:tc>
        <w:tc>
          <w:tcPr>
            <w:tcW w:w="1348" w:type="pct"/>
            <w:gridSpan w:val="2"/>
            <w:tcBorders>
              <w:top w:val="single" w:sz="4" w:space="0" w:color="auto"/>
              <w:left w:val="nil"/>
              <w:bottom w:val="single" w:sz="8" w:space="0" w:color="auto"/>
              <w:right w:val="nil"/>
            </w:tcBorders>
            <w:shd w:val="clear" w:color="000000" w:fill="FFFFFF"/>
            <w:vAlign w:val="center"/>
            <w:hideMark/>
          </w:tcPr>
          <w:p w14:paraId="60DFF1F2" w14:textId="77777777" w:rsidR="00EA713F" w:rsidRPr="00D618B7" w:rsidRDefault="00EA713F" w:rsidP="004B11B7">
            <w:pPr>
              <w:jc w:val="center"/>
              <w:rPr>
                <w:color w:val="000000"/>
                <w:sz w:val="22"/>
                <w:szCs w:val="22"/>
              </w:rPr>
            </w:pPr>
            <w:r w:rsidRPr="00D618B7">
              <w:rPr>
                <w:color w:val="000000"/>
                <w:sz w:val="22"/>
                <w:szCs w:val="22"/>
              </w:rPr>
              <w:t xml:space="preserve">     Toy-out-of-Reach</w:t>
            </w:r>
          </w:p>
        </w:tc>
        <w:tc>
          <w:tcPr>
            <w:tcW w:w="1525" w:type="pct"/>
            <w:gridSpan w:val="3"/>
            <w:tcBorders>
              <w:top w:val="single" w:sz="4" w:space="0" w:color="auto"/>
              <w:left w:val="nil"/>
              <w:bottom w:val="single" w:sz="8" w:space="0" w:color="auto"/>
              <w:right w:val="nil"/>
            </w:tcBorders>
            <w:shd w:val="clear" w:color="000000" w:fill="FFFFFF"/>
            <w:vAlign w:val="center"/>
            <w:hideMark/>
          </w:tcPr>
          <w:p w14:paraId="0A51C25C" w14:textId="77777777" w:rsidR="00EA713F" w:rsidRPr="00D618B7" w:rsidRDefault="00EA713F" w:rsidP="004B11B7">
            <w:pPr>
              <w:jc w:val="center"/>
              <w:rPr>
                <w:color w:val="000000"/>
                <w:sz w:val="22"/>
                <w:szCs w:val="22"/>
              </w:rPr>
            </w:pPr>
            <w:r w:rsidRPr="00D618B7">
              <w:rPr>
                <w:color w:val="000000"/>
                <w:sz w:val="22"/>
                <w:szCs w:val="22"/>
              </w:rPr>
              <w:t xml:space="preserve">          Toy-Moving-into-Reach</w:t>
            </w:r>
          </w:p>
        </w:tc>
        <w:tc>
          <w:tcPr>
            <w:tcW w:w="1553" w:type="pct"/>
            <w:gridSpan w:val="2"/>
            <w:tcBorders>
              <w:top w:val="single" w:sz="4" w:space="0" w:color="auto"/>
              <w:left w:val="nil"/>
              <w:bottom w:val="single" w:sz="8" w:space="0" w:color="auto"/>
              <w:right w:val="nil"/>
            </w:tcBorders>
            <w:shd w:val="clear" w:color="000000" w:fill="FFFFFF"/>
            <w:vAlign w:val="center"/>
            <w:hideMark/>
          </w:tcPr>
          <w:p w14:paraId="7D99F70B" w14:textId="77777777" w:rsidR="00EA713F" w:rsidRPr="00D618B7" w:rsidRDefault="00EA713F" w:rsidP="004B11B7">
            <w:pPr>
              <w:jc w:val="center"/>
              <w:rPr>
                <w:color w:val="000000"/>
                <w:sz w:val="22"/>
                <w:szCs w:val="22"/>
              </w:rPr>
            </w:pPr>
            <w:r w:rsidRPr="00D618B7">
              <w:rPr>
                <w:color w:val="000000"/>
                <w:sz w:val="22"/>
                <w:szCs w:val="22"/>
              </w:rPr>
              <w:t xml:space="preserve">      Toy-in-Reach</w:t>
            </w:r>
          </w:p>
        </w:tc>
      </w:tr>
      <w:tr w:rsidR="00E765EF" w:rsidRPr="00D618B7" w14:paraId="214475D3" w14:textId="77777777" w:rsidTr="001E3794">
        <w:trPr>
          <w:trHeight w:val="555"/>
        </w:trPr>
        <w:tc>
          <w:tcPr>
            <w:tcW w:w="574" w:type="pct"/>
            <w:tcBorders>
              <w:top w:val="nil"/>
              <w:left w:val="nil"/>
              <w:bottom w:val="single" w:sz="8" w:space="0" w:color="auto"/>
              <w:right w:val="nil"/>
            </w:tcBorders>
            <w:shd w:val="clear" w:color="000000" w:fill="FFFFFF"/>
            <w:noWrap/>
            <w:vAlign w:val="bottom"/>
            <w:hideMark/>
          </w:tcPr>
          <w:p w14:paraId="2F26093E" w14:textId="77777777" w:rsidR="00EA713F" w:rsidRPr="00D618B7" w:rsidRDefault="00EA713F" w:rsidP="004B11B7">
            <w:pPr>
              <w:rPr>
                <w:color w:val="000000"/>
                <w:sz w:val="22"/>
                <w:szCs w:val="22"/>
              </w:rPr>
            </w:pPr>
            <w:r w:rsidRPr="00D618B7">
              <w:rPr>
                <w:color w:val="000000"/>
                <w:sz w:val="22"/>
                <w:szCs w:val="22"/>
              </w:rPr>
              <w:t> </w:t>
            </w:r>
          </w:p>
        </w:tc>
        <w:tc>
          <w:tcPr>
            <w:tcW w:w="590" w:type="pct"/>
            <w:tcBorders>
              <w:top w:val="nil"/>
              <w:left w:val="nil"/>
              <w:bottom w:val="single" w:sz="8" w:space="0" w:color="auto"/>
              <w:right w:val="nil"/>
            </w:tcBorders>
            <w:shd w:val="clear" w:color="000000" w:fill="FFFFFF"/>
            <w:noWrap/>
            <w:vAlign w:val="center"/>
            <w:hideMark/>
          </w:tcPr>
          <w:p w14:paraId="613D5E7F" w14:textId="77777777" w:rsidR="00EA713F" w:rsidRPr="00D618B7" w:rsidRDefault="00EA713F" w:rsidP="004B11B7">
            <w:pPr>
              <w:jc w:val="right"/>
              <w:rPr>
                <w:color w:val="000000"/>
                <w:sz w:val="22"/>
                <w:szCs w:val="22"/>
              </w:rPr>
            </w:pPr>
            <w:r w:rsidRPr="00D618B7">
              <w:rPr>
                <w:color w:val="000000"/>
                <w:sz w:val="22"/>
                <w:szCs w:val="22"/>
              </w:rPr>
              <w:t>Mean</w:t>
            </w:r>
          </w:p>
        </w:tc>
        <w:tc>
          <w:tcPr>
            <w:tcW w:w="758" w:type="pct"/>
            <w:tcBorders>
              <w:top w:val="nil"/>
              <w:left w:val="nil"/>
              <w:bottom w:val="single" w:sz="8" w:space="0" w:color="auto"/>
              <w:right w:val="nil"/>
            </w:tcBorders>
            <w:shd w:val="clear" w:color="000000" w:fill="FFFFFF"/>
            <w:noWrap/>
            <w:vAlign w:val="center"/>
            <w:hideMark/>
          </w:tcPr>
          <w:p w14:paraId="0A5F1936" w14:textId="77777777" w:rsidR="00EA713F" w:rsidRPr="00D618B7" w:rsidRDefault="00EA713F" w:rsidP="004B11B7">
            <w:pPr>
              <w:jc w:val="right"/>
              <w:rPr>
                <w:color w:val="000000"/>
                <w:sz w:val="22"/>
                <w:szCs w:val="22"/>
              </w:rPr>
            </w:pPr>
            <w:r w:rsidRPr="00D618B7">
              <w:rPr>
                <w:color w:val="000000"/>
                <w:sz w:val="22"/>
                <w:szCs w:val="22"/>
              </w:rPr>
              <w:t>Std. Error</w:t>
            </w:r>
          </w:p>
        </w:tc>
        <w:tc>
          <w:tcPr>
            <w:tcW w:w="698" w:type="pct"/>
            <w:tcBorders>
              <w:top w:val="nil"/>
              <w:left w:val="nil"/>
              <w:bottom w:val="single" w:sz="8" w:space="0" w:color="auto"/>
              <w:right w:val="nil"/>
            </w:tcBorders>
            <w:shd w:val="clear" w:color="000000" w:fill="FFFFFF"/>
            <w:noWrap/>
            <w:vAlign w:val="center"/>
            <w:hideMark/>
          </w:tcPr>
          <w:p w14:paraId="7D56F5BE" w14:textId="77777777" w:rsidR="00EA713F" w:rsidRPr="00D618B7" w:rsidRDefault="00EA713F" w:rsidP="004B11B7">
            <w:pPr>
              <w:jc w:val="right"/>
              <w:rPr>
                <w:color w:val="000000"/>
                <w:sz w:val="22"/>
                <w:szCs w:val="22"/>
              </w:rPr>
            </w:pPr>
            <w:r w:rsidRPr="00D618B7">
              <w:rPr>
                <w:color w:val="000000"/>
                <w:sz w:val="22"/>
                <w:szCs w:val="22"/>
              </w:rPr>
              <w:t>Mean</w:t>
            </w:r>
          </w:p>
        </w:tc>
        <w:tc>
          <w:tcPr>
            <w:tcW w:w="713" w:type="pct"/>
            <w:tcBorders>
              <w:top w:val="nil"/>
              <w:left w:val="nil"/>
              <w:bottom w:val="single" w:sz="8" w:space="0" w:color="auto"/>
              <w:right w:val="nil"/>
            </w:tcBorders>
            <w:shd w:val="clear" w:color="000000" w:fill="FFFFFF"/>
            <w:noWrap/>
            <w:vAlign w:val="center"/>
            <w:hideMark/>
          </w:tcPr>
          <w:p w14:paraId="0C1E8505" w14:textId="77777777" w:rsidR="00EA713F" w:rsidRPr="00D618B7" w:rsidRDefault="00EA713F" w:rsidP="004B11B7">
            <w:pPr>
              <w:jc w:val="right"/>
              <w:rPr>
                <w:color w:val="000000"/>
                <w:sz w:val="22"/>
                <w:szCs w:val="22"/>
              </w:rPr>
            </w:pPr>
            <w:r w:rsidRPr="00D618B7">
              <w:rPr>
                <w:color w:val="000000"/>
                <w:sz w:val="22"/>
                <w:szCs w:val="22"/>
              </w:rPr>
              <w:t>Std. Error</w:t>
            </w:r>
          </w:p>
        </w:tc>
        <w:tc>
          <w:tcPr>
            <w:tcW w:w="704" w:type="pct"/>
            <w:gridSpan w:val="2"/>
            <w:tcBorders>
              <w:top w:val="nil"/>
              <w:left w:val="nil"/>
              <w:bottom w:val="single" w:sz="8" w:space="0" w:color="auto"/>
              <w:right w:val="nil"/>
            </w:tcBorders>
            <w:shd w:val="clear" w:color="000000" w:fill="FFFFFF"/>
            <w:noWrap/>
            <w:vAlign w:val="center"/>
            <w:hideMark/>
          </w:tcPr>
          <w:p w14:paraId="09E1C233" w14:textId="77777777" w:rsidR="00EA713F" w:rsidRPr="00D618B7" w:rsidRDefault="00EA713F" w:rsidP="004B11B7">
            <w:pPr>
              <w:jc w:val="right"/>
              <w:rPr>
                <w:color w:val="000000"/>
                <w:sz w:val="22"/>
                <w:szCs w:val="22"/>
              </w:rPr>
            </w:pPr>
            <w:r w:rsidRPr="00D618B7">
              <w:rPr>
                <w:color w:val="000000"/>
                <w:sz w:val="22"/>
                <w:szCs w:val="22"/>
              </w:rPr>
              <w:t>Mean</w:t>
            </w:r>
          </w:p>
        </w:tc>
        <w:tc>
          <w:tcPr>
            <w:tcW w:w="963" w:type="pct"/>
            <w:tcBorders>
              <w:top w:val="nil"/>
              <w:left w:val="nil"/>
              <w:bottom w:val="single" w:sz="8" w:space="0" w:color="auto"/>
              <w:right w:val="nil"/>
            </w:tcBorders>
            <w:shd w:val="clear" w:color="000000" w:fill="FFFFFF"/>
            <w:noWrap/>
            <w:vAlign w:val="center"/>
            <w:hideMark/>
          </w:tcPr>
          <w:p w14:paraId="34E3C68A" w14:textId="77777777" w:rsidR="00EA713F" w:rsidRPr="00D618B7" w:rsidRDefault="00EA713F" w:rsidP="004B11B7">
            <w:pPr>
              <w:jc w:val="right"/>
              <w:rPr>
                <w:color w:val="000000"/>
                <w:sz w:val="22"/>
                <w:szCs w:val="22"/>
              </w:rPr>
            </w:pPr>
            <w:r w:rsidRPr="00D618B7">
              <w:rPr>
                <w:color w:val="000000"/>
                <w:sz w:val="22"/>
                <w:szCs w:val="22"/>
              </w:rPr>
              <w:t>Std. Error</w:t>
            </w:r>
          </w:p>
        </w:tc>
      </w:tr>
      <w:tr w:rsidR="00E765EF" w:rsidRPr="00D618B7" w14:paraId="177A426E" w14:textId="77777777" w:rsidTr="001E3794">
        <w:trPr>
          <w:trHeight w:val="528"/>
        </w:trPr>
        <w:tc>
          <w:tcPr>
            <w:tcW w:w="574" w:type="pct"/>
            <w:tcBorders>
              <w:top w:val="nil"/>
              <w:left w:val="nil"/>
              <w:bottom w:val="nil"/>
              <w:right w:val="nil"/>
            </w:tcBorders>
            <w:shd w:val="clear" w:color="000000" w:fill="FFFFFF"/>
            <w:vAlign w:val="center"/>
            <w:hideMark/>
          </w:tcPr>
          <w:p w14:paraId="5A68E363" w14:textId="77777777" w:rsidR="00E765EF" w:rsidRPr="00D618B7" w:rsidRDefault="00E765EF" w:rsidP="00E765EF">
            <w:pPr>
              <w:rPr>
                <w:color w:val="000000"/>
                <w:sz w:val="22"/>
                <w:szCs w:val="22"/>
              </w:rPr>
            </w:pPr>
            <w:r w:rsidRPr="00D618B7">
              <w:rPr>
                <w:color w:val="000000"/>
                <w:sz w:val="22"/>
                <w:szCs w:val="22"/>
              </w:rPr>
              <w:t>Hand</w:t>
            </w:r>
          </w:p>
        </w:tc>
        <w:tc>
          <w:tcPr>
            <w:tcW w:w="590" w:type="pct"/>
            <w:tcBorders>
              <w:top w:val="nil"/>
              <w:left w:val="nil"/>
              <w:bottom w:val="nil"/>
              <w:right w:val="nil"/>
            </w:tcBorders>
            <w:shd w:val="clear" w:color="000000" w:fill="FFFFFF"/>
            <w:noWrap/>
            <w:vAlign w:val="center"/>
            <w:hideMark/>
          </w:tcPr>
          <w:p w14:paraId="04E82E9A" w14:textId="3EB35BDA" w:rsidR="00E765EF" w:rsidRPr="00D618B7" w:rsidRDefault="00E765EF" w:rsidP="00E765EF">
            <w:pPr>
              <w:jc w:val="right"/>
              <w:rPr>
                <w:color w:val="000000"/>
                <w:sz w:val="22"/>
                <w:szCs w:val="22"/>
              </w:rPr>
            </w:pPr>
            <w:r w:rsidRPr="00D618B7">
              <w:rPr>
                <w:color w:val="000000"/>
                <w:sz w:val="22"/>
                <w:szCs w:val="22"/>
              </w:rPr>
              <w:t>0.0030</w:t>
            </w:r>
          </w:p>
        </w:tc>
        <w:tc>
          <w:tcPr>
            <w:tcW w:w="758" w:type="pct"/>
            <w:tcBorders>
              <w:top w:val="nil"/>
              <w:left w:val="nil"/>
              <w:bottom w:val="nil"/>
              <w:right w:val="nil"/>
            </w:tcBorders>
            <w:shd w:val="clear" w:color="000000" w:fill="FFFFFF"/>
            <w:noWrap/>
            <w:vAlign w:val="center"/>
            <w:hideMark/>
          </w:tcPr>
          <w:p w14:paraId="5A50710E" w14:textId="43C78C6E" w:rsidR="00E765EF" w:rsidRPr="00D618B7" w:rsidRDefault="00E765EF" w:rsidP="00E765EF">
            <w:pPr>
              <w:jc w:val="right"/>
              <w:rPr>
                <w:color w:val="000000"/>
                <w:sz w:val="22"/>
                <w:szCs w:val="22"/>
              </w:rPr>
            </w:pPr>
            <w:r w:rsidRPr="00D618B7">
              <w:rPr>
                <w:color w:val="000000"/>
                <w:sz w:val="22"/>
                <w:szCs w:val="22"/>
              </w:rPr>
              <w:t>0.0013</w:t>
            </w:r>
          </w:p>
        </w:tc>
        <w:tc>
          <w:tcPr>
            <w:tcW w:w="698" w:type="pct"/>
            <w:tcBorders>
              <w:top w:val="nil"/>
              <w:left w:val="nil"/>
              <w:bottom w:val="nil"/>
              <w:right w:val="nil"/>
            </w:tcBorders>
            <w:shd w:val="clear" w:color="000000" w:fill="FFFFFF"/>
            <w:noWrap/>
            <w:vAlign w:val="center"/>
            <w:hideMark/>
          </w:tcPr>
          <w:p w14:paraId="5B0E1F3E" w14:textId="4A7DD08C" w:rsidR="00E765EF" w:rsidRPr="00D618B7" w:rsidRDefault="00E765EF" w:rsidP="00E765EF">
            <w:pPr>
              <w:jc w:val="right"/>
              <w:rPr>
                <w:color w:val="000000"/>
                <w:sz w:val="22"/>
                <w:szCs w:val="22"/>
              </w:rPr>
            </w:pPr>
            <w:r w:rsidRPr="00D618B7">
              <w:rPr>
                <w:color w:val="000000"/>
                <w:sz w:val="22"/>
                <w:szCs w:val="22"/>
              </w:rPr>
              <w:t>-0.0001</w:t>
            </w:r>
          </w:p>
        </w:tc>
        <w:tc>
          <w:tcPr>
            <w:tcW w:w="713" w:type="pct"/>
            <w:tcBorders>
              <w:top w:val="nil"/>
              <w:left w:val="nil"/>
              <w:bottom w:val="nil"/>
              <w:right w:val="nil"/>
            </w:tcBorders>
            <w:shd w:val="clear" w:color="000000" w:fill="FFFFFF"/>
            <w:noWrap/>
            <w:vAlign w:val="center"/>
            <w:hideMark/>
          </w:tcPr>
          <w:p w14:paraId="47D182B6" w14:textId="0D22031B" w:rsidR="00E765EF" w:rsidRPr="00D618B7" w:rsidRDefault="00E765EF" w:rsidP="00E765EF">
            <w:pPr>
              <w:jc w:val="right"/>
              <w:rPr>
                <w:color w:val="000000"/>
                <w:sz w:val="22"/>
                <w:szCs w:val="22"/>
              </w:rPr>
            </w:pPr>
            <w:r w:rsidRPr="00D618B7">
              <w:rPr>
                <w:color w:val="000000"/>
                <w:sz w:val="22"/>
                <w:szCs w:val="22"/>
              </w:rPr>
              <w:t>0.0013</w:t>
            </w:r>
          </w:p>
        </w:tc>
        <w:tc>
          <w:tcPr>
            <w:tcW w:w="704" w:type="pct"/>
            <w:gridSpan w:val="2"/>
            <w:tcBorders>
              <w:top w:val="nil"/>
              <w:left w:val="nil"/>
              <w:bottom w:val="nil"/>
              <w:right w:val="nil"/>
            </w:tcBorders>
            <w:shd w:val="clear" w:color="000000" w:fill="FFFFFF"/>
            <w:noWrap/>
            <w:vAlign w:val="center"/>
            <w:hideMark/>
          </w:tcPr>
          <w:p w14:paraId="4B905D41" w14:textId="15BA5CF6" w:rsidR="00E765EF" w:rsidRPr="00D618B7" w:rsidRDefault="00E765EF" w:rsidP="00E765EF">
            <w:pPr>
              <w:jc w:val="right"/>
              <w:rPr>
                <w:color w:val="000000"/>
                <w:sz w:val="22"/>
                <w:szCs w:val="22"/>
              </w:rPr>
            </w:pPr>
            <w:r w:rsidRPr="00D618B7">
              <w:rPr>
                <w:color w:val="000000"/>
                <w:sz w:val="22"/>
                <w:szCs w:val="22"/>
              </w:rPr>
              <w:t>0.0028</w:t>
            </w:r>
          </w:p>
        </w:tc>
        <w:tc>
          <w:tcPr>
            <w:tcW w:w="963" w:type="pct"/>
            <w:tcBorders>
              <w:top w:val="nil"/>
              <w:left w:val="nil"/>
              <w:bottom w:val="nil"/>
              <w:right w:val="nil"/>
            </w:tcBorders>
            <w:shd w:val="clear" w:color="000000" w:fill="FFFFFF"/>
            <w:noWrap/>
            <w:vAlign w:val="center"/>
            <w:hideMark/>
          </w:tcPr>
          <w:p w14:paraId="7C5657FB" w14:textId="228D27F8" w:rsidR="00E765EF" w:rsidRPr="00D618B7" w:rsidRDefault="00E765EF" w:rsidP="00E765EF">
            <w:pPr>
              <w:jc w:val="right"/>
              <w:rPr>
                <w:color w:val="000000"/>
                <w:sz w:val="22"/>
                <w:szCs w:val="22"/>
              </w:rPr>
            </w:pPr>
            <w:r w:rsidRPr="00D618B7">
              <w:rPr>
                <w:color w:val="000000"/>
                <w:sz w:val="22"/>
                <w:szCs w:val="22"/>
              </w:rPr>
              <w:t>0.0013</w:t>
            </w:r>
          </w:p>
        </w:tc>
      </w:tr>
      <w:tr w:rsidR="00E765EF" w:rsidRPr="00D618B7" w14:paraId="62DD2268" w14:textId="77777777" w:rsidTr="001E3794">
        <w:trPr>
          <w:trHeight w:val="528"/>
        </w:trPr>
        <w:tc>
          <w:tcPr>
            <w:tcW w:w="574" w:type="pct"/>
            <w:tcBorders>
              <w:top w:val="nil"/>
              <w:left w:val="nil"/>
              <w:bottom w:val="nil"/>
              <w:right w:val="nil"/>
            </w:tcBorders>
            <w:shd w:val="clear" w:color="000000" w:fill="FFFFFF"/>
            <w:vAlign w:val="center"/>
            <w:hideMark/>
          </w:tcPr>
          <w:p w14:paraId="48532E62" w14:textId="77777777" w:rsidR="00E765EF" w:rsidRPr="00D618B7" w:rsidRDefault="00E765EF" w:rsidP="00E765EF">
            <w:pPr>
              <w:rPr>
                <w:color w:val="000000"/>
                <w:sz w:val="22"/>
                <w:szCs w:val="22"/>
              </w:rPr>
            </w:pPr>
            <w:r w:rsidRPr="00D618B7">
              <w:rPr>
                <w:color w:val="000000"/>
                <w:sz w:val="22"/>
                <w:szCs w:val="22"/>
              </w:rPr>
              <w:t>Face</w:t>
            </w:r>
          </w:p>
        </w:tc>
        <w:tc>
          <w:tcPr>
            <w:tcW w:w="590" w:type="pct"/>
            <w:tcBorders>
              <w:top w:val="nil"/>
              <w:left w:val="nil"/>
              <w:bottom w:val="nil"/>
              <w:right w:val="nil"/>
            </w:tcBorders>
            <w:shd w:val="clear" w:color="000000" w:fill="FFFFFF"/>
            <w:noWrap/>
            <w:vAlign w:val="center"/>
            <w:hideMark/>
          </w:tcPr>
          <w:p w14:paraId="3A2736D3" w14:textId="53FFCB73" w:rsidR="00E765EF" w:rsidRPr="00D618B7" w:rsidRDefault="00E765EF" w:rsidP="00E765EF">
            <w:pPr>
              <w:jc w:val="right"/>
              <w:rPr>
                <w:color w:val="000000"/>
                <w:sz w:val="22"/>
                <w:szCs w:val="22"/>
              </w:rPr>
            </w:pPr>
            <w:r w:rsidRPr="00D618B7">
              <w:rPr>
                <w:color w:val="000000"/>
                <w:sz w:val="22"/>
                <w:szCs w:val="22"/>
              </w:rPr>
              <w:t>0.0010</w:t>
            </w:r>
          </w:p>
        </w:tc>
        <w:tc>
          <w:tcPr>
            <w:tcW w:w="758" w:type="pct"/>
            <w:tcBorders>
              <w:top w:val="nil"/>
              <w:left w:val="nil"/>
              <w:bottom w:val="nil"/>
              <w:right w:val="nil"/>
            </w:tcBorders>
            <w:shd w:val="clear" w:color="000000" w:fill="FFFFFF"/>
            <w:noWrap/>
            <w:vAlign w:val="center"/>
            <w:hideMark/>
          </w:tcPr>
          <w:p w14:paraId="0D6F1299" w14:textId="2FB16E61" w:rsidR="00E765EF" w:rsidRPr="00D618B7" w:rsidRDefault="00E765EF" w:rsidP="00E765EF">
            <w:pPr>
              <w:jc w:val="right"/>
              <w:rPr>
                <w:color w:val="000000"/>
                <w:sz w:val="22"/>
                <w:szCs w:val="22"/>
              </w:rPr>
            </w:pPr>
            <w:r w:rsidRPr="00D618B7">
              <w:rPr>
                <w:color w:val="000000"/>
                <w:sz w:val="22"/>
                <w:szCs w:val="22"/>
              </w:rPr>
              <w:t>0.0013</w:t>
            </w:r>
          </w:p>
        </w:tc>
        <w:tc>
          <w:tcPr>
            <w:tcW w:w="698" w:type="pct"/>
            <w:tcBorders>
              <w:top w:val="nil"/>
              <w:left w:val="nil"/>
              <w:bottom w:val="nil"/>
              <w:right w:val="nil"/>
            </w:tcBorders>
            <w:shd w:val="clear" w:color="000000" w:fill="FFFFFF"/>
            <w:noWrap/>
            <w:vAlign w:val="center"/>
            <w:hideMark/>
          </w:tcPr>
          <w:p w14:paraId="7929382B" w14:textId="0614F322" w:rsidR="00E765EF" w:rsidRPr="00D618B7" w:rsidRDefault="00E765EF" w:rsidP="00E765EF">
            <w:pPr>
              <w:jc w:val="right"/>
              <w:rPr>
                <w:color w:val="000000"/>
                <w:sz w:val="22"/>
                <w:szCs w:val="22"/>
              </w:rPr>
            </w:pPr>
            <w:r w:rsidRPr="00D618B7">
              <w:rPr>
                <w:color w:val="000000"/>
                <w:sz w:val="22"/>
                <w:szCs w:val="22"/>
              </w:rPr>
              <w:t>0.0004</w:t>
            </w:r>
          </w:p>
        </w:tc>
        <w:tc>
          <w:tcPr>
            <w:tcW w:w="713" w:type="pct"/>
            <w:tcBorders>
              <w:top w:val="nil"/>
              <w:left w:val="nil"/>
              <w:bottom w:val="nil"/>
              <w:right w:val="nil"/>
            </w:tcBorders>
            <w:shd w:val="clear" w:color="000000" w:fill="FFFFFF"/>
            <w:noWrap/>
            <w:vAlign w:val="center"/>
            <w:hideMark/>
          </w:tcPr>
          <w:p w14:paraId="3D5CB97D" w14:textId="1F4EA450" w:rsidR="00E765EF" w:rsidRPr="00D618B7" w:rsidRDefault="00E765EF" w:rsidP="00E765EF">
            <w:pPr>
              <w:jc w:val="right"/>
              <w:rPr>
                <w:color w:val="000000"/>
                <w:sz w:val="22"/>
                <w:szCs w:val="22"/>
              </w:rPr>
            </w:pPr>
            <w:r w:rsidRPr="00D618B7">
              <w:rPr>
                <w:color w:val="000000"/>
                <w:sz w:val="22"/>
                <w:szCs w:val="22"/>
              </w:rPr>
              <w:t>0.0013</w:t>
            </w:r>
          </w:p>
        </w:tc>
        <w:tc>
          <w:tcPr>
            <w:tcW w:w="704" w:type="pct"/>
            <w:gridSpan w:val="2"/>
            <w:tcBorders>
              <w:top w:val="nil"/>
              <w:left w:val="nil"/>
              <w:bottom w:val="nil"/>
              <w:right w:val="nil"/>
            </w:tcBorders>
            <w:shd w:val="clear" w:color="000000" w:fill="FFFFFF"/>
            <w:noWrap/>
            <w:vAlign w:val="center"/>
            <w:hideMark/>
          </w:tcPr>
          <w:p w14:paraId="2944D198" w14:textId="1D0C33CF" w:rsidR="00E765EF" w:rsidRPr="00D618B7" w:rsidRDefault="00E765EF" w:rsidP="00E765EF">
            <w:pPr>
              <w:jc w:val="right"/>
              <w:rPr>
                <w:color w:val="000000"/>
                <w:sz w:val="22"/>
                <w:szCs w:val="22"/>
              </w:rPr>
            </w:pPr>
            <w:r w:rsidRPr="00D618B7">
              <w:rPr>
                <w:color w:val="000000"/>
                <w:sz w:val="22"/>
                <w:szCs w:val="22"/>
              </w:rPr>
              <w:t>0.0008</w:t>
            </w:r>
          </w:p>
        </w:tc>
        <w:tc>
          <w:tcPr>
            <w:tcW w:w="963" w:type="pct"/>
            <w:tcBorders>
              <w:top w:val="nil"/>
              <w:left w:val="nil"/>
              <w:bottom w:val="nil"/>
              <w:right w:val="nil"/>
            </w:tcBorders>
            <w:shd w:val="clear" w:color="000000" w:fill="FFFFFF"/>
            <w:noWrap/>
            <w:vAlign w:val="center"/>
            <w:hideMark/>
          </w:tcPr>
          <w:p w14:paraId="50297E3F" w14:textId="5482624B" w:rsidR="00E765EF" w:rsidRPr="00D618B7" w:rsidRDefault="00E765EF" w:rsidP="00E765EF">
            <w:pPr>
              <w:jc w:val="right"/>
              <w:rPr>
                <w:color w:val="000000"/>
                <w:sz w:val="22"/>
                <w:szCs w:val="22"/>
              </w:rPr>
            </w:pPr>
            <w:r w:rsidRPr="00D618B7">
              <w:rPr>
                <w:color w:val="000000"/>
                <w:sz w:val="22"/>
                <w:szCs w:val="22"/>
              </w:rPr>
              <w:t>0.0013</w:t>
            </w:r>
          </w:p>
        </w:tc>
      </w:tr>
      <w:tr w:rsidR="00E765EF" w:rsidRPr="00D618B7" w14:paraId="6D7D11B0" w14:textId="77777777" w:rsidTr="001E3794">
        <w:trPr>
          <w:trHeight w:val="555"/>
        </w:trPr>
        <w:tc>
          <w:tcPr>
            <w:tcW w:w="574" w:type="pct"/>
            <w:tcBorders>
              <w:top w:val="nil"/>
              <w:left w:val="nil"/>
              <w:bottom w:val="single" w:sz="8" w:space="0" w:color="auto"/>
              <w:right w:val="nil"/>
            </w:tcBorders>
            <w:shd w:val="clear" w:color="000000" w:fill="FFFFFF"/>
            <w:vAlign w:val="center"/>
            <w:hideMark/>
          </w:tcPr>
          <w:p w14:paraId="587DE2B8" w14:textId="77777777" w:rsidR="00E765EF" w:rsidRPr="00D618B7" w:rsidRDefault="00E765EF" w:rsidP="00E765EF">
            <w:pPr>
              <w:rPr>
                <w:color w:val="000000"/>
                <w:sz w:val="22"/>
                <w:szCs w:val="22"/>
              </w:rPr>
            </w:pPr>
            <w:r w:rsidRPr="00D618B7">
              <w:rPr>
                <w:color w:val="000000"/>
                <w:sz w:val="22"/>
                <w:szCs w:val="22"/>
              </w:rPr>
              <w:t>Mouth</w:t>
            </w:r>
          </w:p>
        </w:tc>
        <w:tc>
          <w:tcPr>
            <w:tcW w:w="590" w:type="pct"/>
            <w:tcBorders>
              <w:top w:val="nil"/>
              <w:left w:val="nil"/>
              <w:bottom w:val="single" w:sz="8" w:space="0" w:color="auto"/>
              <w:right w:val="nil"/>
            </w:tcBorders>
            <w:shd w:val="clear" w:color="000000" w:fill="FFFFFF"/>
            <w:noWrap/>
            <w:vAlign w:val="center"/>
            <w:hideMark/>
          </w:tcPr>
          <w:p w14:paraId="706F9F1B" w14:textId="4496C0C3" w:rsidR="00E765EF" w:rsidRPr="00D618B7" w:rsidRDefault="00E765EF" w:rsidP="00E765EF">
            <w:pPr>
              <w:jc w:val="right"/>
              <w:rPr>
                <w:color w:val="000000"/>
                <w:sz w:val="22"/>
                <w:szCs w:val="22"/>
              </w:rPr>
            </w:pPr>
            <w:r w:rsidRPr="00D618B7">
              <w:rPr>
                <w:color w:val="000000"/>
                <w:sz w:val="22"/>
                <w:szCs w:val="22"/>
              </w:rPr>
              <w:t>0.0209</w:t>
            </w:r>
          </w:p>
        </w:tc>
        <w:tc>
          <w:tcPr>
            <w:tcW w:w="758" w:type="pct"/>
            <w:tcBorders>
              <w:top w:val="nil"/>
              <w:left w:val="nil"/>
              <w:bottom w:val="single" w:sz="8" w:space="0" w:color="auto"/>
              <w:right w:val="nil"/>
            </w:tcBorders>
            <w:shd w:val="clear" w:color="000000" w:fill="FFFFFF"/>
            <w:noWrap/>
            <w:vAlign w:val="center"/>
            <w:hideMark/>
          </w:tcPr>
          <w:p w14:paraId="0537CF17" w14:textId="1F4662BA" w:rsidR="00E765EF" w:rsidRPr="00D618B7" w:rsidRDefault="00E765EF" w:rsidP="00E765EF">
            <w:pPr>
              <w:jc w:val="right"/>
              <w:rPr>
                <w:color w:val="000000"/>
                <w:sz w:val="22"/>
                <w:szCs w:val="22"/>
              </w:rPr>
            </w:pPr>
            <w:r w:rsidRPr="00D618B7">
              <w:rPr>
                <w:color w:val="000000"/>
                <w:sz w:val="22"/>
                <w:szCs w:val="22"/>
              </w:rPr>
              <w:t>0.0013</w:t>
            </w:r>
          </w:p>
        </w:tc>
        <w:tc>
          <w:tcPr>
            <w:tcW w:w="698" w:type="pct"/>
            <w:tcBorders>
              <w:top w:val="nil"/>
              <w:left w:val="nil"/>
              <w:bottom w:val="single" w:sz="8" w:space="0" w:color="auto"/>
              <w:right w:val="nil"/>
            </w:tcBorders>
            <w:shd w:val="clear" w:color="000000" w:fill="FFFFFF"/>
            <w:noWrap/>
            <w:vAlign w:val="center"/>
            <w:hideMark/>
          </w:tcPr>
          <w:p w14:paraId="491057A2" w14:textId="2659BC0F" w:rsidR="00E765EF" w:rsidRPr="00D618B7" w:rsidRDefault="00E765EF" w:rsidP="00E765EF">
            <w:pPr>
              <w:jc w:val="right"/>
              <w:rPr>
                <w:color w:val="000000"/>
                <w:sz w:val="22"/>
                <w:szCs w:val="22"/>
              </w:rPr>
            </w:pPr>
            <w:r w:rsidRPr="00D618B7">
              <w:rPr>
                <w:color w:val="000000"/>
                <w:sz w:val="22"/>
                <w:szCs w:val="22"/>
              </w:rPr>
              <w:t>0.0007</w:t>
            </w:r>
          </w:p>
        </w:tc>
        <w:tc>
          <w:tcPr>
            <w:tcW w:w="713" w:type="pct"/>
            <w:tcBorders>
              <w:top w:val="nil"/>
              <w:left w:val="nil"/>
              <w:bottom w:val="single" w:sz="8" w:space="0" w:color="auto"/>
              <w:right w:val="nil"/>
            </w:tcBorders>
            <w:shd w:val="clear" w:color="000000" w:fill="FFFFFF"/>
            <w:noWrap/>
            <w:vAlign w:val="center"/>
            <w:hideMark/>
          </w:tcPr>
          <w:p w14:paraId="12FEB71F" w14:textId="4D90594C" w:rsidR="00E765EF" w:rsidRPr="00D618B7" w:rsidRDefault="00E765EF" w:rsidP="00E765EF">
            <w:pPr>
              <w:jc w:val="right"/>
              <w:rPr>
                <w:color w:val="000000"/>
                <w:sz w:val="22"/>
                <w:szCs w:val="22"/>
              </w:rPr>
            </w:pPr>
            <w:r w:rsidRPr="00D618B7">
              <w:rPr>
                <w:color w:val="000000"/>
                <w:sz w:val="22"/>
                <w:szCs w:val="22"/>
              </w:rPr>
              <w:t>0.0013</w:t>
            </w:r>
          </w:p>
        </w:tc>
        <w:tc>
          <w:tcPr>
            <w:tcW w:w="704" w:type="pct"/>
            <w:gridSpan w:val="2"/>
            <w:tcBorders>
              <w:top w:val="nil"/>
              <w:left w:val="nil"/>
              <w:bottom w:val="single" w:sz="8" w:space="0" w:color="auto"/>
              <w:right w:val="nil"/>
            </w:tcBorders>
            <w:shd w:val="clear" w:color="000000" w:fill="FFFFFF"/>
            <w:noWrap/>
            <w:vAlign w:val="center"/>
            <w:hideMark/>
          </w:tcPr>
          <w:p w14:paraId="50C3EEDC" w14:textId="69B7A673" w:rsidR="00E765EF" w:rsidRPr="00D618B7" w:rsidRDefault="00E765EF" w:rsidP="00E765EF">
            <w:pPr>
              <w:jc w:val="right"/>
              <w:rPr>
                <w:color w:val="000000"/>
                <w:sz w:val="22"/>
                <w:szCs w:val="22"/>
              </w:rPr>
            </w:pPr>
            <w:r w:rsidRPr="00D618B7">
              <w:rPr>
                <w:color w:val="000000"/>
                <w:sz w:val="22"/>
                <w:szCs w:val="22"/>
              </w:rPr>
              <w:t>0.0007</w:t>
            </w:r>
          </w:p>
        </w:tc>
        <w:tc>
          <w:tcPr>
            <w:tcW w:w="963" w:type="pct"/>
            <w:tcBorders>
              <w:top w:val="nil"/>
              <w:left w:val="nil"/>
              <w:bottom w:val="single" w:sz="8" w:space="0" w:color="auto"/>
              <w:right w:val="nil"/>
            </w:tcBorders>
            <w:shd w:val="clear" w:color="000000" w:fill="FFFFFF"/>
            <w:noWrap/>
            <w:vAlign w:val="center"/>
            <w:hideMark/>
          </w:tcPr>
          <w:p w14:paraId="07AF5C85" w14:textId="5F849853" w:rsidR="00E765EF" w:rsidRPr="00D618B7" w:rsidRDefault="00E765EF" w:rsidP="00E765EF">
            <w:pPr>
              <w:jc w:val="right"/>
              <w:rPr>
                <w:color w:val="000000"/>
                <w:sz w:val="22"/>
                <w:szCs w:val="22"/>
              </w:rPr>
            </w:pPr>
            <w:r w:rsidRPr="00D618B7">
              <w:rPr>
                <w:color w:val="000000"/>
                <w:sz w:val="22"/>
                <w:szCs w:val="22"/>
              </w:rPr>
              <w:t>0.0013</w:t>
            </w:r>
          </w:p>
        </w:tc>
      </w:tr>
    </w:tbl>
    <w:p w14:paraId="721C6FB1" w14:textId="77777777" w:rsidR="00EA713F" w:rsidRPr="00D618B7" w:rsidRDefault="00EA713F" w:rsidP="00EA713F">
      <w:pPr>
        <w:rPr>
          <w:i/>
          <w:iCs/>
        </w:rPr>
      </w:pPr>
    </w:p>
    <w:p w14:paraId="47F5C2BA" w14:textId="77777777" w:rsidR="00EA713F" w:rsidRPr="00D618B7" w:rsidRDefault="00EA713F" w:rsidP="00EA713F">
      <w:r w:rsidRPr="00D618B7">
        <w:rPr>
          <w:i/>
          <w:iCs/>
        </w:rPr>
        <w:t>Note</w:t>
      </w:r>
      <w:r w:rsidRPr="00D618B7">
        <w:t>: This table lists the estimated mean Rates and standard errors for hand, face, and mouth events for toy-out-of-reach, toy-moving-into-reach, and toy-in-reach.</w:t>
      </w:r>
    </w:p>
    <w:p w14:paraId="213F2994" w14:textId="3A3DD657" w:rsidR="009372DA" w:rsidRPr="00D618B7" w:rsidRDefault="009372DA">
      <w:r w:rsidRPr="00D618B7">
        <w:br w:type="page"/>
      </w:r>
    </w:p>
    <w:p w14:paraId="54A5FC66" w14:textId="2A3383A6" w:rsidR="009372DA" w:rsidRPr="00D618B7" w:rsidRDefault="004B7288" w:rsidP="007C5074">
      <w:pPr>
        <w:pStyle w:val="Caption"/>
      </w:pPr>
      <w:bookmarkStart w:id="148" w:name="_Toc172716847"/>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19</w:t>
      </w:r>
      <w:r w:rsidR="00000000">
        <w:rPr>
          <w:noProof/>
        </w:rPr>
        <w:fldChar w:fldCharType="end"/>
      </w:r>
      <w:r w:rsidR="008839D5" w:rsidRPr="00D618B7">
        <w:t xml:space="preserve">: </w:t>
      </w:r>
      <w:r w:rsidR="008839D5" w:rsidRPr="00D618B7">
        <w:rPr>
          <w:rFonts w:eastAsia="Aptos"/>
        </w:rPr>
        <w:t>Event rates by type, proximity, and week</w:t>
      </w:r>
      <w:bookmarkEnd w:id="148"/>
    </w:p>
    <w:p w14:paraId="7ED0B615" w14:textId="77777777" w:rsidR="009372DA" w:rsidRPr="00D618B7" w:rsidRDefault="009372DA" w:rsidP="009372DA">
      <w:r w:rsidRPr="00D618B7">
        <w:t>Estimated Mean Rate of Events per Trial by Type, Proximity, and Week</w:t>
      </w:r>
    </w:p>
    <w:p w14:paraId="02A6C174" w14:textId="77777777" w:rsidR="009372DA" w:rsidRPr="00D618B7" w:rsidRDefault="009372DA" w:rsidP="009372DA"/>
    <w:tbl>
      <w:tblPr>
        <w:tblW w:w="5294" w:type="pct"/>
        <w:tblLook w:val="04A0" w:firstRow="1" w:lastRow="0" w:firstColumn="1" w:lastColumn="0" w:noHBand="0" w:noVBand="1"/>
      </w:tblPr>
      <w:tblGrid>
        <w:gridCol w:w="1382"/>
        <w:gridCol w:w="1067"/>
        <w:gridCol w:w="1134"/>
        <w:gridCol w:w="1612"/>
        <w:gridCol w:w="1122"/>
        <w:gridCol w:w="1669"/>
        <w:gridCol w:w="1162"/>
      </w:tblGrid>
      <w:tr w:rsidR="008839D5" w:rsidRPr="00D618B7" w14:paraId="3695C282" w14:textId="77777777" w:rsidTr="008839D5">
        <w:trPr>
          <w:trHeight w:val="266"/>
        </w:trPr>
        <w:tc>
          <w:tcPr>
            <w:tcW w:w="756" w:type="pct"/>
            <w:tcBorders>
              <w:top w:val="single" w:sz="4" w:space="0" w:color="auto"/>
              <w:left w:val="nil"/>
              <w:bottom w:val="nil"/>
              <w:right w:val="nil"/>
            </w:tcBorders>
            <w:shd w:val="clear" w:color="000000" w:fill="FFFFFF"/>
            <w:vAlign w:val="center"/>
            <w:hideMark/>
          </w:tcPr>
          <w:p w14:paraId="27E64C73" w14:textId="77777777" w:rsidR="009372DA" w:rsidRPr="00D618B7" w:rsidRDefault="009372DA" w:rsidP="004B11B7">
            <w:pPr>
              <w:rPr>
                <w:color w:val="000000"/>
                <w:sz w:val="22"/>
                <w:szCs w:val="22"/>
              </w:rPr>
            </w:pPr>
            <w:r w:rsidRPr="00D618B7">
              <w:rPr>
                <w:color w:val="000000"/>
                <w:sz w:val="22"/>
                <w:szCs w:val="22"/>
              </w:rPr>
              <w:t>Week</w:t>
            </w:r>
          </w:p>
        </w:tc>
        <w:tc>
          <w:tcPr>
            <w:tcW w:w="1203" w:type="pct"/>
            <w:gridSpan w:val="2"/>
            <w:tcBorders>
              <w:top w:val="single" w:sz="4" w:space="0" w:color="auto"/>
              <w:left w:val="nil"/>
              <w:bottom w:val="single" w:sz="4" w:space="0" w:color="auto"/>
              <w:right w:val="nil"/>
            </w:tcBorders>
            <w:shd w:val="clear" w:color="000000" w:fill="FFFFFF"/>
            <w:vAlign w:val="center"/>
            <w:hideMark/>
          </w:tcPr>
          <w:p w14:paraId="490FA554" w14:textId="77777777" w:rsidR="009372DA" w:rsidRPr="00D618B7" w:rsidRDefault="009372DA" w:rsidP="004B11B7">
            <w:pPr>
              <w:jc w:val="center"/>
              <w:rPr>
                <w:color w:val="000000"/>
                <w:sz w:val="22"/>
                <w:szCs w:val="22"/>
              </w:rPr>
            </w:pPr>
            <w:r w:rsidRPr="00D618B7">
              <w:rPr>
                <w:color w:val="000000"/>
                <w:sz w:val="22"/>
                <w:szCs w:val="22"/>
              </w:rPr>
              <w:t>Face</w:t>
            </w:r>
          </w:p>
        </w:tc>
        <w:tc>
          <w:tcPr>
            <w:tcW w:w="1494" w:type="pct"/>
            <w:gridSpan w:val="2"/>
            <w:tcBorders>
              <w:top w:val="single" w:sz="4" w:space="0" w:color="auto"/>
              <w:left w:val="nil"/>
              <w:bottom w:val="single" w:sz="4" w:space="0" w:color="auto"/>
              <w:right w:val="nil"/>
            </w:tcBorders>
            <w:shd w:val="clear" w:color="000000" w:fill="FFFFFF"/>
            <w:vAlign w:val="center"/>
            <w:hideMark/>
          </w:tcPr>
          <w:p w14:paraId="78466147" w14:textId="77777777" w:rsidR="009372DA" w:rsidRPr="00D618B7" w:rsidRDefault="009372DA" w:rsidP="004B11B7">
            <w:pPr>
              <w:jc w:val="center"/>
              <w:rPr>
                <w:color w:val="000000"/>
                <w:sz w:val="22"/>
                <w:szCs w:val="22"/>
              </w:rPr>
            </w:pPr>
            <w:r w:rsidRPr="00D618B7">
              <w:rPr>
                <w:color w:val="000000"/>
                <w:sz w:val="22"/>
                <w:szCs w:val="22"/>
              </w:rPr>
              <w:t xml:space="preserve">              Hand</w:t>
            </w:r>
          </w:p>
        </w:tc>
        <w:tc>
          <w:tcPr>
            <w:tcW w:w="1547" w:type="pct"/>
            <w:gridSpan w:val="2"/>
            <w:tcBorders>
              <w:top w:val="single" w:sz="4" w:space="0" w:color="auto"/>
              <w:left w:val="nil"/>
              <w:bottom w:val="single" w:sz="4" w:space="0" w:color="auto"/>
              <w:right w:val="nil"/>
            </w:tcBorders>
            <w:shd w:val="clear" w:color="000000" w:fill="FFFFFF"/>
            <w:vAlign w:val="center"/>
            <w:hideMark/>
          </w:tcPr>
          <w:p w14:paraId="3F0ED1DC" w14:textId="77777777" w:rsidR="009372DA" w:rsidRPr="00D618B7" w:rsidRDefault="009372DA" w:rsidP="004B11B7">
            <w:pPr>
              <w:jc w:val="center"/>
              <w:rPr>
                <w:color w:val="000000"/>
                <w:sz w:val="22"/>
                <w:szCs w:val="22"/>
              </w:rPr>
            </w:pPr>
            <w:r w:rsidRPr="00D618B7">
              <w:rPr>
                <w:color w:val="000000"/>
                <w:sz w:val="22"/>
                <w:szCs w:val="22"/>
              </w:rPr>
              <w:t xml:space="preserve">                Mouth</w:t>
            </w:r>
          </w:p>
        </w:tc>
      </w:tr>
      <w:tr w:rsidR="008839D5" w:rsidRPr="00D618B7" w14:paraId="595DD5B0" w14:textId="77777777" w:rsidTr="008839D5">
        <w:trPr>
          <w:trHeight w:val="266"/>
        </w:trPr>
        <w:tc>
          <w:tcPr>
            <w:tcW w:w="756" w:type="pct"/>
            <w:tcBorders>
              <w:top w:val="nil"/>
              <w:left w:val="nil"/>
              <w:bottom w:val="single" w:sz="4" w:space="0" w:color="auto"/>
              <w:right w:val="nil"/>
            </w:tcBorders>
            <w:shd w:val="clear" w:color="000000" w:fill="FFFFFF"/>
            <w:noWrap/>
            <w:vAlign w:val="bottom"/>
            <w:hideMark/>
          </w:tcPr>
          <w:p w14:paraId="2A53CA0C" w14:textId="77777777" w:rsidR="009372DA" w:rsidRPr="00D618B7" w:rsidRDefault="009372DA" w:rsidP="004B11B7">
            <w:pPr>
              <w:rPr>
                <w:color w:val="000000"/>
                <w:sz w:val="22"/>
                <w:szCs w:val="22"/>
              </w:rPr>
            </w:pPr>
            <w:r w:rsidRPr="00D618B7">
              <w:rPr>
                <w:color w:val="000000"/>
                <w:sz w:val="22"/>
                <w:szCs w:val="22"/>
              </w:rPr>
              <w:t> </w:t>
            </w:r>
          </w:p>
        </w:tc>
        <w:tc>
          <w:tcPr>
            <w:tcW w:w="583" w:type="pct"/>
            <w:tcBorders>
              <w:top w:val="single" w:sz="4" w:space="0" w:color="auto"/>
              <w:left w:val="nil"/>
              <w:bottom w:val="single" w:sz="4" w:space="0" w:color="auto"/>
              <w:right w:val="nil"/>
            </w:tcBorders>
            <w:shd w:val="clear" w:color="000000" w:fill="FFFFFF"/>
            <w:noWrap/>
            <w:vAlign w:val="center"/>
            <w:hideMark/>
          </w:tcPr>
          <w:p w14:paraId="6B7AF983" w14:textId="77777777" w:rsidR="009372DA" w:rsidRPr="00D618B7" w:rsidRDefault="009372DA" w:rsidP="004B11B7">
            <w:pPr>
              <w:jc w:val="right"/>
              <w:rPr>
                <w:color w:val="000000"/>
                <w:sz w:val="22"/>
                <w:szCs w:val="22"/>
              </w:rPr>
            </w:pPr>
            <w:r w:rsidRPr="00D618B7">
              <w:rPr>
                <w:color w:val="000000"/>
                <w:sz w:val="22"/>
                <w:szCs w:val="22"/>
              </w:rPr>
              <w:t>Mean</w:t>
            </w:r>
          </w:p>
        </w:tc>
        <w:tc>
          <w:tcPr>
            <w:tcW w:w="620" w:type="pct"/>
            <w:tcBorders>
              <w:top w:val="single" w:sz="4" w:space="0" w:color="auto"/>
              <w:left w:val="nil"/>
              <w:bottom w:val="single" w:sz="4" w:space="0" w:color="auto"/>
              <w:right w:val="nil"/>
            </w:tcBorders>
            <w:shd w:val="clear" w:color="000000" w:fill="FFFFFF"/>
            <w:noWrap/>
            <w:vAlign w:val="center"/>
            <w:hideMark/>
          </w:tcPr>
          <w:p w14:paraId="67C2F78C" w14:textId="77777777" w:rsidR="009372DA" w:rsidRPr="00D618B7" w:rsidRDefault="009372DA" w:rsidP="004B11B7">
            <w:pPr>
              <w:jc w:val="right"/>
              <w:rPr>
                <w:color w:val="000000"/>
                <w:sz w:val="22"/>
                <w:szCs w:val="22"/>
              </w:rPr>
            </w:pPr>
            <w:r w:rsidRPr="00D618B7">
              <w:rPr>
                <w:color w:val="000000"/>
                <w:sz w:val="22"/>
                <w:szCs w:val="22"/>
              </w:rPr>
              <w:t>Std. Error</w:t>
            </w:r>
          </w:p>
        </w:tc>
        <w:tc>
          <w:tcPr>
            <w:tcW w:w="881" w:type="pct"/>
            <w:tcBorders>
              <w:top w:val="single" w:sz="4" w:space="0" w:color="auto"/>
              <w:left w:val="nil"/>
              <w:bottom w:val="single" w:sz="4" w:space="0" w:color="auto"/>
              <w:right w:val="nil"/>
            </w:tcBorders>
            <w:shd w:val="clear" w:color="000000" w:fill="FFFFFF"/>
            <w:noWrap/>
            <w:vAlign w:val="center"/>
            <w:hideMark/>
          </w:tcPr>
          <w:p w14:paraId="3D9F917F" w14:textId="77777777" w:rsidR="009372DA" w:rsidRPr="00D618B7" w:rsidRDefault="009372DA" w:rsidP="004B11B7">
            <w:pPr>
              <w:jc w:val="right"/>
              <w:rPr>
                <w:color w:val="000000"/>
                <w:sz w:val="22"/>
                <w:szCs w:val="22"/>
              </w:rPr>
            </w:pPr>
            <w:r w:rsidRPr="00D618B7">
              <w:rPr>
                <w:color w:val="000000"/>
                <w:sz w:val="22"/>
                <w:szCs w:val="22"/>
              </w:rPr>
              <w:t>Mean</w:t>
            </w:r>
          </w:p>
        </w:tc>
        <w:tc>
          <w:tcPr>
            <w:tcW w:w="613" w:type="pct"/>
            <w:tcBorders>
              <w:top w:val="single" w:sz="4" w:space="0" w:color="auto"/>
              <w:left w:val="nil"/>
              <w:bottom w:val="single" w:sz="4" w:space="0" w:color="auto"/>
              <w:right w:val="nil"/>
            </w:tcBorders>
            <w:shd w:val="clear" w:color="000000" w:fill="FFFFFF"/>
            <w:noWrap/>
            <w:vAlign w:val="center"/>
            <w:hideMark/>
          </w:tcPr>
          <w:p w14:paraId="2D9D9499" w14:textId="77777777" w:rsidR="009372DA" w:rsidRPr="00D618B7" w:rsidRDefault="009372DA" w:rsidP="004B11B7">
            <w:pPr>
              <w:jc w:val="right"/>
              <w:rPr>
                <w:color w:val="000000"/>
                <w:sz w:val="22"/>
                <w:szCs w:val="22"/>
              </w:rPr>
            </w:pPr>
            <w:r w:rsidRPr="00D618B7">
              <w:rPr>
                <w:color w:val="000000"/>
                <w:sz w:val="22"/>
                <w:szCs w:val="22"/>
              </w:rPr>
              <w:t>Std. Error</w:t>
            </w:r>
          </w:p>
        </w:tc>
        <w:tc>
          <w:tcPr>
            <w:tcW w:w="912" w:type="pct"/>
            <w:tcBorders>
              <w:top w:val="single" w:sz="4" w:space="0" w:color="auto"/>
              <w:left w:val="nil"/>
              <w:bottom w:val="single" w:sz="4" w:space="0" w:color="auto"/>
              <w:right w:val="nil"/>
            </w:tcBorders>
            <w:shd w:val="clear" w:color="000000" w:fill="FFFFFF"/>
            <w:noWrap/>
            <w:vAlign w:val="center"/>
            <w:hideMark/>
          </w:tcPr>
          <w:p w14:paraId="115A74CC" w14:textId="77777777" w:rsidR="009372DA" w:rsidRPr="00D618B7" w:rsidRDefault="009372DA" w:rsidP="004B11B7">
            <w:pPr>
              <w:jc w:val="right"/>
              <w:rPr>
                <w:color w:val="000000"/>
                <w:sz w:val="22"/>
                <w:szCs w:val="22"/>
              </w:rPr>
            </w:pPr>
            <w:r w:rsidRPr="00D618B7">
              <w:rPr>
                <w:color w:val="000000"/>
                <w:sz w:val="22"/>
                <w:szCs w:val="22"/>
              </w:rPr>
              <w:t>Mean</w:t>
            </w:r>
          </w:p>
        </w:tc>
        <w:tc>
          <w:tcPr>
            <w:tcW w:w="635" w:type="pct"/>
            <w:tcBorders>
              <w:top w:val="single" w:sz="4" w:space="0" w:color="auto"/>
              <w:left w:val="nil"/>
              <w:bottom w:val="single" w:sz="4" w:space="0" w:color="auto"/>
              <w:right w:val="nil"/>
            </w:tcBorders>
            <w:shd w:val="clear" w:color="000000" w:fill="FFFFFF"/>
            <w:noWrap/>
            <w:vAlign w:val="center"/>
            <w:hideMark/>
          </w:tcPr>
          <w:p w14:paraId="563F66F6" w14:textId="77777777" w:rsidR="009372DA" w:rsidRPr="00D618B7" w:rsidRDefault="009372DA" w:rsidP="004B11B7">
            <w:pPr>
              <w:jc w:val="right"/>
              <w:rPr>
                <w:color w:val="000000"/>
                <w:sz w:val="22"/>
                <w:szCs w:val="22"/>
              </w:rPr>
            </w:pPr>
            <w:r w:rsidRPr="00D618B7">
              <w:rPr>
                <w:color w:val="000000"/>
                <w:sz w:val="22"/>
                <w:szCs w:val="22"/>
              </w:rPr>
              <w:t>Std. Error</w:t>
            </w:r>
          </w:p>
        </w:tc>
      </w:tr>
      <w:tr w:rsidR="009372DA" w:rsidRPr="00D618B7" w14:paraId="33576A52" w14:textId="77777777" w:rsidTr="008839D5">
        <w:trPr>
          <w:trHeight w:val="266"/>
        </w:trPr>
        <w:tc>
          <w:tcPr>
            <w:tcW w:w="756" w:type="pct"/>
            <w:tcBorders>
              <w:top w:val="single" w:sz="4" w:space="0" w:color="auto"/>
              <w:left w:val="nil"/>
              <w:bottom w:val="nil"/>
              <w:right w:val="nil"/>
            </w:tcBorders>
            <w:shd w:val="clear" w:color="000000" w:fill="FFFFFF"/>
            <w:noWrap/>
            <w:vAlign w:val="bottom"/>
            <w:hideMark/>
          </w:tcPr>
          <w:p w14:paraId="7FDBB778" w14:textId="77777777" w:rsidR="009372DA" w:rsidRPr="00D618B7" w:rsidRDefault="009372DA" w:rsidP="004B11B7">
            <w:pPr>
              <w:rPr>
                <w:color w:val="000000"/>
                <w:sz w:val="22"/>
                <w:szCs w:val="22"/>
              </w:rPr>
            </w:pPr>
            <w:r w:rsidRPr="00D618B7">
              <w:rPr>
                <w:color w:val="000000"/>
                <w:sz w:val="22"/>
                <w:szCs w:val="22"/>
              </w:rPr>
              <w:t> </w:t>
            </w:r>
          </w:p>
        </w:tc>
        <w:tc>
          <w:tcPr>
            <w:tcW w:w="4244" w:type="pct"/>
            <w:gridSpan w:val="6"/>
            <w:tcBorders>
              <w:top w:val="single" w:sz="4" w:space="0" w:color="auto"/>
              <w:left w:val="nil"/>
              <w:bottom w:val="nil"/>
              <w:right w:val="nil"/>
            </w:tcBorders>
            <w:shd w:val="clear" w:color="000000" w:fill="FFFFFF"/>
            <w:noWrap/>
            <w:vAlign w:val="center"/>
            <w:hideMark/>
          </w:tcPr>
          <w:p w14:paraId="2B1A846F" w14:textId="77777777" w:rsidR="009372DA" w:rsidRPr="00D618B7" w:rsidRDefault="009372DA" w:rsidP="004B11B7">
            <w:pPr>
              <w:jc w:val="center"/>
              <w:rPr>
                <w:color w:val="000000"/>
                <w:sz w:val="22"/>
                <w:szCs w:val="22"/>
              </w:rPr>
            </w:pPr>
            <w:r w:rsidRPr="00D618B7">
              <w:rPr>
                <w:color w:val="000000"/>
                <w:sz w:val="22"/>
                <w:szCs w:val="22"/>
              </w:rPr>
              <w:t>Toy-out-of-Reach</w:t>
            </w:r>
          </w:p>
        </w:tc>
      </w:tr>
      <w:tr w:rsidR="008839D5" w:rsidRPr="00D618B7" w14:paraId="26FA9A8E" w14:textId="77777777" w:rsidTr="008839D5">
        <w:trPr>
          <w:trHeight w:val="266"/>
        </w:trPr>
        <w:tc>
          <w:tcPr>
            <w:tcW w:w="756" w:type="pct"/>
            <w:tcBorders>
              <w:top w:val="nil"/>
              <w:left w:val="nil"/>
              <w:bottom w:val="nil"/>
              <w:right w:val="nil"/>
            </w:tcBorders>
            <w:shd w:val="clear" w:color="000000" w:fill="FFFFFF"/>
            <w:vAlign w:val="center"/>
            <w:hideMark/>
          </w:tcPr>
          <w:p w14:paraId="3B969705" w14:textId="77777777" w:rsidR="009372DA" w:rsidRPr="00D618B7" w:rsidRDefault="009372DA" w:rsidP="004B11B7">
            <w:pPr>
              <w:jc w:val="right"/>
              <w:rPr>
                <w:color w:val="000000"/>
                <w:sz w:val="22"/>
                <w:szCs w:val="22"/>
              </w:rPr>
            </w:pPr>
            <w:r w:rsidRPr="00D618B7">
              <w:rPr>
                <w:color w:val="000000"/>
                <w:sz w:val="22"/>
                <w:szCs w:val="22"/>
              </w:rPr>
              <w:t>-5</w:t>
            </w:r>
          </w:p>
        </w:tc>
        <w:tc>
          <w:tcPr>
            <w:tcW w:w="583" w:type="pct"/>
            <w:tcBorders>
              <w:top w:val="nil"/>
              <w:left w:val="nil"/>
              <w:bottom w:val="nil"/>
              <w:right w:val="nil"/>
            </w:tcBorders>
            <w:shd w:val="clear" w:color="000000" w:fill="FFFFFF"/>
            <w:noWrap/>
            <w:vAlign w:val="center"/>
            <w:hideMark/>
          </w:tcPr>
          <w:p w14:paraId="1B2C5C62" w14:textId="77777777" w:rsidR="009372DA" w:rsidRPr="00D618B7" w:rsidRDefault="009372DA" w:rsidP="004B11B7">
            <w:pPr>
              <w:jc w:val="right"/>
              <w:rPr>
                <w:color w:val="000000"/>
                <w:sz w:val="22"/>
                <w:szCs w:val="22"/>
              </w:rPr>
            </w:pPr>
            <w:r w:rsidRPr="00D618B7">
              <w:rPr>
                <w:color w:val="000000"/>
                <w:sz w:val="22"/>
                <w:szCs w:val="22"/>
              </w:rPr>
              <w:t>0.0138</w:t>
            </w:r>
          </w:p>
        </w:tc>
        <w:tc>
          <w:tcPr>
            <w:tcW w:w="620" w:type="pct"/>
            <w:tcBorders>
              <w:top w:val="nil"/>
              <w:left w:val="nil"/>
              <w:bottom w:val="nil"/>
              <w:right w:val="nil"/>
            </w:tcBorders>
            <w:shd w:val="clear" w:color="000000" w:fill="FFFFFF"/>
            <w:noWrap/>
            <w:vAlign w:val="center"/>
            <w:hideMark/>
          </w:tcPr>
          <w:p w14:paraId="0FE0CC9C" w14:textId="77777777" w:rsidR="009372DA" w:rsidRPr="00D618B7" w:rsidRDefault="009372DA" w:rsidP="004B11B7">
            <w:pPr>
              <w:jc w:val="right"/>
              <w:rPr>
                <w:color w:val="000000"/>
                <w:sz w:val="22"/>
                <w:szCs w:val="22"/>
              </w:rPr>
            </w:pPr>
            <w:r w:rsidRPr="00D618B7">
              <w:rPr>
                <w:color w:val="000000"/>
                <w:sz w:val="22"/>
                <w:szCs w:val="22"/>
              </w:rPr>
              <w:t>0.0046</w:t>
            </w:r>
          </w:p>
        </w:tc>
        <w:tc>
          <w:tcPr>
            <w:tcW w:w="881" w:type="pct"/>
            <w:tcBorders>
              <w:top w:val="nil"/>
              <w:left w:val="nil"/>
              <w:bottom w:val="nil"/>
              <w:right w:val="nil"/>
            </w:tcBorders>
            <w:shd w:val="clear" w:color="000000" w:fill="FFFFFF"/>
            <w:noWrap/>
            <w:vAlign w:val="center"/>
            <w:hideMark/>
          </w:tcPr>
          <w:p w14:paraId="3E162835" w14:textId="77777777" w:rsidR="009372DA" w:rsidRPr="00D618B7" w:rsidRDefault="009372DA" w:rsidP="004B11B7">
            <w:pPr>
              <w:jc w:val="right"/>
              <w:rPr>
                <w:color w:val="000000"/>
                <w:sz w:val="22"/>
                <w:szCs w:val="22"/>
              </w:rPr>
            </w:pPr>
            <w:r w:rsidRPr="00D618B7">
              <w:rPr>
                <w:color w:val="000000"/>
                <w:sz w:val="22"/>
                <w:szCs w:val="22"/>
              </w:rPr>
              <w:t>0.0004</w:t>
            </w:r>
          </w:p>
        </w:tc>
        <w:tc>
          <w:tcPr>
            <w:tcW w:w="613" w:type="pct"/>
            <w:tcBorders>
              <w:top w:val="nil"/>
              <w:left w:val="nil"/>
              <w:bottom w:val="nil"/>
              <w:right w:val="nil"/>
            </w:tcBorders>
            <w:shd w:val="clear" w:color="000000" w:fill="FFFFFF"/>
            <w:noWrap/>
            <w:vAlign w:val="center"/>
            <w:hideMark/>
          </w:tcPr>
          <w:p w14:paraId="7311412F" w14:textId="77777777" w:rsidR="009372DA" w:rsidRPr="00D618B7" w:rsidRDefault="009372DA" w:rsidP="004B11B7">
            <w:pPr>
              <w:jc w:val="right"/>
              <w:rPr>
                <w:color w:val="000000"/>
                <w:sz w:val="22"/>
                <w:szCs w:val="22"/>
              </w:rPr>
            </w:pPr>
            <w:r w:rsidRPr="00D618B7">
              <w:rPr>
                <w:color w:val="000000"/>
                <w:sz w:val="22"/>
                <w:szCs w:val="22"/>
              </w:rPr>
              <w:t>0.0046</w:t>
            </w:r>
          </w:p>
        </w:tc>
        <w:tc>
          <w:tcPr>
            <w:tcW w:w="912" w:type="pct"/>
            <w:tcBorders>
              <w:top w:val="nil"/>
              <w:left w:val="nil"/>
              <w:bottom w:val="nil"/>
              <w:right w:val="nil"/>
            </w:tcBorders>
            <w:shd w:val="clear" w:color="000000" w:fill="FFFFFF"/>
            <w:noWrap/>
            <w:vAlign w:val="center"/>
            <w:hideMark/>
          </w:tcPr>
          <w:p w14:paraId="77FE904C" w14:textId="77777777" w:rsidR="009372DA" w:rsidRPr="00D618B7" w:rsidRDefault="009372DA" w:rsidP="004B11B7">
            <w:pPr>
              <w:jc w:val="right"/>
              <w:rPr>
                <w:color w:val="000000"/>
                <w:sz w:val="22"/>
                <w:szCs w:val="22"/>
              </w:rPr>
            </w:pPr>
            <w:r w:rsidRPr="00D618B7">
              <w:rPr>
                <w:color w:val="000000"/>
                <w:sz w:val="22"/>
                <w:szCs w:val="22"/>
              </w:rPr>
              <w:t>0.0013</w:t>
            </w:r>
          </w:p>
        </w:tc>
        <w:tc>
          <w:tcPr>
            <w:tcW w:w="635" w:type="pct"/>
            <w:tcBorders>
              <w:top w:val="nil"/>
              <w:left w:val="nil"/>
              <w:bottom w:val="nil"/>
              <w:right w:val="nil"/>
            </w:tcBorders>
            <w:shd w:val="clear" w:color="000000" w:fill="FFFFFF"/>
            <w:noWrap/>
            <w:vAlign w:val="center"/>
            <w:hideMark/>
          </w:tcPr>
          <w:p w14:paraId="7BF2A6EC" w14:textId="77777777" w:rsidR="009372DA" w:rsidRPr="00D618B7" w:rsidRDefault="009372DA" w:rsidP="004B11B7">
            <w:pPr>
              <w:jc w:val="right"/>
              <w:rPr>
                <w:color w:val="000000"/>
                <w:sz w:val="22"/>
                <w:szCs w:val="22"/>
              </w:rPr>
            </w:pPr>
            <w:r w:rsidRPr="00D618B7">
              <w:rPr>
                <w:color w:val="000000"/>
                <w:sz w:val="22"/>
                <w:szCs w:val="22"/>
              </w:rPr>
              <w:t>0.0047</w:t>
            </w:r>
          </w:p>
        </w:tc>
      </w:tr>
      <w:tr w:rsidR="008839D5" w:rsidRPr="00D618B7" w14:paraId="10DF5814" w14:textId="77777777" w:rsidTr="008839D5">
        <w:trPr>
          <w:trHeight w:val="266"/>
        </w:trPr>
        <w:tc>
          <w:tcPr>
            <w:tcW w:w="756" w:type="pct"/>
            <w:tcBorders>
              <w:top w:val="nil"/>
              <w:left w:val="nil"/>
              <w:bottom w:val="nil"/>
              <w:right w:val="nil"/>
            </w:tcBorders>
            <w:shd w:val="clear" w:color="000000" w:fill="FFFFFF"/>
            <w:vAlign w:val="center"/>
            <w:hideMark/>
          </w:tcPr>
          <w:p w14:paraId="770805EF" w14:textId="77777777" w:rsidR="009372DA" w:rsidRPr="00D618B7" w:rsidRDefault="009372DA" w:rsidP="004B11B7">
            <w:pPr>
              <w:jc w:val="right"/>
              <w:rPr>
                <w:color w:val="000000"/>
                <w:sz w:val="22"/>
                <w:szCs w:val="22"/>
              </w:rPr>
            </w:pPr>
            <w:r w:rsidRPr="00D618B7">
              <w:rPr>
                <w:color w:val="000000"/>
                <w:sz w:val="22"/>
                <w:szCs w:val="22"/>
              </w:rPr>
              <w:t>-4</w:t>
            </w:r>
          </w:p>
        </w:tc>
        <w:tc>
          <w:tcPr>
            <w:tcW w:w="583" w:type="pct"/>
            <w:tcBorders>
              <w:top w:val="nil"/>
              <w:left w:val="nil"/>
              <w:bottom w:val="nil"/>
              <w:right w:val="nil"/>
            </w:tcBorders>
            <w:shd w:val="clear" w:color="000000" w:fill="FFFFFF"/>
            <w:noWrap/>
            <w:vAlign w:val="center"/>
            <w:hideMark/>
          </w:tcPr>
          <w:p w14:paraId="09D8A58D" w14:textId="77777777" w:rsidR="009372DA" w:rsidRPr="00D618B7" w:rsidRDefault="009372DA" w:rsidP="004B11B7">
            <w:pPr>
              <w:jc w:val="right"/>
              <w:rPr>
                <w:color w:val="000000"/>
                <w:sz w:val="22"/>
                <w:szCs w:val="22"/>
              </w:rPr>
            </w:pPr>
            <w:r w:rsidRPr="00D618B7">
              <w:rPr>
                <w:color w:val="000000"/>
                <w:sz w:val="22"/>
                <w:szCs w:val="22"/>
              </w:rPr>
              <w:t>0.0013</w:t>
            </w:r>
          </w:p>
        </w:tc>
        <w:tc>
          <w:tcPr>
            <w:tcW w:w="620" w:type="pct"/>
            <w:tcBorders>
              <w:top w:val="nil"/>
              <w:left w:val="nil"/>
              <w:bottom w:val="nil"/>
              <w:right w:val="nil"/>
            </w:tcBorders>
            <w:shd w:val="clear" w:color="000000" w:fill="FFFFFF"/>
            <w:noWrap/>
            <w:vAlign w:val="center"/>
            <w:hideMark/>
          </w:tcPr>
          <w:p w14:paraId="5753D249" w14:textId="77777777" w:rsidR="009372DA" w:rsidRPr="00D618B7" w:rsidRDefault="009372DA" w:rsidP="004B11B7">
            <w:pPr>
              <w:jc w:val="right"/>
              <w:rPr>
                <w:color w:val="000000"/>
                <w:sz w:val="22"/>
                <w:szCs w:val="22"/>
              </w:rPr>
            </w:pPr>
            <w:r w:rsidRPr="00D618B7">
              <w:rPr>
                <w:color w:val="000000"/>
                <w:sz w:val="22"/>
                <w:szCs w:val="22"/>
              </w:rPr>
              <w:t>0.0041</w:t>
            </w:r>
          </w:p>
        </w:tc>
        <w:tc>
          <w:tcPr>
            <w:tcW w:w="881" w:type="pct"/>
            <w:tcBorders>
              <w:top w:val="nil"/>
              <w:left w:val="nil"/>
              <w:bottom w:val="nil"/>
              <w:right w:val="nil"/>
            </w:tcBorders>
            <w:shd w:val="clear" w:color="000000" w:fill="FFFFFF"/>
            <w:noWrap/>
            <w:vAlign w:val="center"/>
            <w:hideMark/>
          </w:tcPr>
          <w:p w14:paraId="45B71FF9" w14:textId="77777777" w:rsidR="009372DA" w:rsidRPr="00D618B7" w:rsidRDefault="009372DA" w:rsidP="004B11B7">
            <w:pPr>
              <w:jc w:val="right"/>
              <w:rPr>
                <w:color w:val="000000"/>
                <w:sz w:val="22"/>
                <w:szCs w:val="22"/>
              </w:rPr>
            </w:pPr>
            <w:r w:rsidRPr="00D618B7">
              <w:rPr>
                <w:color w:val="000000"/>
                <w:sz w:val="22"/>
                <w:szCs w:val="22"/>
              </w:rPr>
              <w:t>-0.0004</w:t>
            </w:r>
          </w:p>
        </w:tc>
        <w:tc>
          <w:tcPr>
            <w:tcW w:w="613" w:type="pct"/>
            <w:tcBorders>
              <w:top w:val="nil"/>
              <w:left w:val="nil"/>
              <w:bottom w:val="nil"/>
              <w:right w:val="nil"/>
            </w:tcBorders>
            <w:shd w:val="clear" w:color="000000" w:fill="FFFFFF"/>
            <w:noWrap/>
            <w:vAlign w:val="center"/>
            <w:hideMark/>
          </w:tcPr>
          <w:p w14:paraId="1D526B0D" w14:textId="77777777" w:rsidR="009372DA" w:rsidRPr="00D618B7" w:rsidRDefault="009372DA" w:rsidP="004B11B7">
            <w:pPr>
              <w:jc w:val="right"/>
              <w:rPr>
                <w:color w:val="000000"/>
                <w:sz w:val="22"/>
                <w:szCs w:val="22"/>
              </w:rPr>
            </w:pPr>
            <w:r w:rsidRPr="00D618B7">
              <w:rPr>
                <w:color w:val="000000"/>
                <w:sz w:val="22"/>
                <w:szCs w:val="22"/>
              </w:rPr>
              <w:t>0.0041</w:t>
            </w:r>
          </w:p>
        </w:tc>
        <w:tc>
          <w:tcPr>
            <w:tcW w:w="912" w:type="pct"/>
            <w:tcBorders>
              <w:top w:val="nil"/>
              <w:left w:val="nil"/>
              <w:bottom w:val="nil"/>
              <w:right w:val="nil"/>
            </w:tcBorders>
            <w:shd w:val="clear" w:color="000000" w:fill="FFFFFF"/>
            <w:noWrap/>
            <w:vAlign w:val="center"/>
            <w:hideMark/>
          </w:tcPr>
          <w:p w14:paraId="7DE19228" w14:textId="77777777" w:rsidR="009372DA" w:rsidRPr="00D618B7" w:rsidRDefault="009372DA" w:rsidP="004B11B7">
            <w:pPr>
              <w:jc w:val="right"/>
              <w:rPr>
                <w:color w:val="000000"/>
                <w:sz w:val="22"/>
                <w:szCs w:val="22"/>
              </w:rPr>
            </w:pPr>
            <w:r w:rsidRPr="00D618B7">
              <w:rPr>
                <w:color w:val="000000"/>
                <w:sz w:val="22"/>
                <w:szCs w:val="22"/>
              </w:rPr>
              <w:t>0.0055</w:t>
            </w:r>
          </w:p>
        </w:tc>
        <w:tc>
          <w:tcPr>
            <w:tcW w:w="635" w:type="pct"/>
            <w:tcBorders>
              <w:top w:val="nil"/>
              <w:left w:val="nil"/>
              <w:bottom w:val="nil"/>
              <w:right w:val="nil"/>
            </w:tcBorders>
            <w:shd w:val="clear" w:color="000000" w:fill="FFFFFF"/>
            <w:noWrap/>
            <w:vAlign w:val="center"/>
            <w:hideMark/>
          </w:tcPr>
          <w:p w14:paraId="51B110D3" w14:textId="77777777" w:rsidR="009372DA" w:rsidRPr="00D618B7" w:rsidRDefault="009372DA" w:rsidP="004B11B7">
            <w:pPr>
              <w:jc w:val="right"/>
              <w:rPr>
                <w:color w:val="000000"/>
                <w:sz w:val="22"/>
                <w:szCs w:val="22"/>
              </w:rPr>
            </w:pPr>
            <w:r w:rsidRPr="00D618B7">
              <w:rPr>
                <w:color w:val="000000"/>
                <w:sz w:val="22"/>
                <w:szCs w:val="22"/>
              </w:rPr>
              <w:t>0.0041</w:t>
            </w:r>
          </w:p>
        </w:tc>
      </w:tr>
      <w:tr w:rsidR="008839D5" w:rsidRPr="00D618B7" w14:paraId="3436B1D2" w14:textId="77777777" w:rsidTr="008839D5">
        <w:trPr>
          <w:trHeight w:val="266"/>
        </w:trPr>
        <w:tc>
          <w:tcPr>
            <w:tcW w:w="756" w:type="pct"/>
            <w:tcBorders>
              <w:top w:val="nil"/>
              <w:left w:val="nil"/>
              <w:bottom w:val="nil"/>
              <w:right w:val="nil"/>
            </w:tcBorders>
            <w:shd w:val="clear" w:color="000000" w:fill="FFFFFF"/>
            <w:vAlign w:val="center"/>
            <w:hideMark/>
          </w:tcPr>
          <w:p w14:paraId="6342C08B" w14:textId="77777777" w:rsidR="009372DA" w:rsidRPr="00D618B7" w:rsidRDefault="009372DA"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12E18711" w14:textId="77777777" w:rsidR="009372DA" w:rsidRPr="00D618B7" w:rsidRDefault="009372DA" w:rsidP="004B11B7">
            <w:pPr>
              <w:jc w:val="right"/>
              <w:rPr>
                <w:color w:val="000000"/>
                <w:sz w:val="22"/>
                <w:szCs w:val="22"/>
              </w:rPr>
            </w:pPr>
            <w:r w:rsidRPr="00D618B7">
              <w:rPr>
                <w:color w:val="000000"/>
                <w:sz w:val="22"/>
                <w:szCs w:val="22"/>
              </w:rPr>
              <w:t>0.0081</w:t>
            </w:r>
          </w:p>
        </w:tc>
        <w:tc>
          <w:tcPr>
            <w:tcW w:w="620" w:type="pct"/>
            <w:tcBorders>
              <w:top w:val="nil"/>
              <w:left w:val="nil"/>
              <w:bottom w:val="nil"/>
              <w:right w:val="nil"/>
            </w:tcBorders>
            <w:shd w:val="clear" w:color="000000" w:fill="FFFFFF"/>
            <w:noWrap/>
            <w:vAlign w:val="center"/>
            <w:hideMark/>
          </w:tcPr>
          <w:p w14:paraId="7107403C" w14:textId="77777777" w:rsidR="009372DA" w:rsidRPr="00D618B7" w:rsidRDefault="009372DA" w:rsidP="004B11B7">
            <w:pPr>
              <w:jc w:val="right"/>
              <w:rPr>
                <w:color w:val="000000"/>
                <w:sz w:val="22"/>
                <w:szCs w:val="22"/>
              </w:rPr>
            </w:pPr>
            <w:r w:rsidRPr="00D618B7">
              <w:rPr>
                <w:color w:val="000000"/>
                <w:sz w:val="22"/>
                <w:szCs w:val="22"/>
              </w:rPr>
              <w:t>0.0041</w:t>
            </w:r>
          </w:p>
        </w:tc>
        <w:tc>
          <w:tcPr>
            <w:tcW w:w="881" w:type="pct"/>
            <w:tcBorders>
              <w:top w:val="nil"/>
              <w:left w:val="nil"/>
              <w:bottom w:val="nil"/>
              <w:right w:val="nil"/>
            </w:tcBorders>
            <w:shd w:val="clear" w:color="000000" w:fill="FFFFFF"/>
            <w:noWrap/>
            <w:vAlign w:val="center"/>
            <w:hideMark/>
          </w:tcPr>
          <w:p w14:paraId="3E382C51" w14:textId="77777777" w:rsidR="009372DA" w:rsidRPr="00D618B7" w:rsidRDefault="009372DA" w:rsidP="004B11B7">
            <w:pPr>
              <w:jc w:val="right"/>
              <w:rPr>
                <w:color w:val="000000"/>
                <w:sz w:val="22"/>
                <w:szCs w:val="22"/>
              </w:rPr>
            </w:pPr>
            <w:r w:rsidRPr="00D618B7">
              <w:rPr>
                <w:color w:val="000000"/>
                <w:sz w:val="22"/>
                <w:szCs w:val="22"/>
              </w:rPr>
              <w:t>0.0000</w:t>
            </w:r>
          </w:p>
        </w:tc>
        <w:tc>
          <w:tcPr>
            <w:tcW w:w="613" w:type="pct"/>
            <w:tcBorders>
              <w:top w:val="nil"/>
              <w:left w:val="nil"/>
              <w:bottom w:val="nil"/>
              <w:right w:val="nil"/>
            </w:tcBorders>
            <w:shd w:val="clear" w:color="000000" w:fill="FFFFFF"/>
            <w:noWrap/>
            <w:vAlign w:val="center"/>
            <w:hideMark/>
          </w:tcPr>
          <w:p w14:paraId="0C08F645" w14:textId="77777777" w:rsidR="009372DA" w:rsidRPr="00D618B7" w:rsidRDefault="009372DA" w:rsidP="004B11B7">
            <w:pPr>
              <w:jc w:val="right"/>
              <w:rPr>
                <w:color w:val="000000"/>
                <w:sz w:val="22"/>
                <w:szCs w:val="22"/>
              </w:rPr>
            </w:pPr>
            <w:r w:rsidRPr="00D618B7">
              <w:rPr>
                <w:color w:val="000000"/>
                <w:sz w:val="22"/>
                <w:szCs w:val="22"/>
              </w:rPr>
              <w:t>0.0041</w:t>
            </w:r>
          </w:p>
        </w:tc>
        <w:tc>
          <w:tcPr>
            <w:tcW w:w="912" w:type="pct"/>
            <w:tcBorders>
              <w:top w:val="nil"/>
              <w:left w:val="nil"/>
              <w:bottom w:val="nil"/>
              <w:right w:val="nil"/>
            </w:tcBorders>
            <w:shd w:val="clear" w:color="000000" w:fill="FFFFFF"/>
            <w:noWrap/>
            <w:vAlign w:val="center"/>
            <w:hideMark/>
          </w:tcPr>
          <w:p w14:paraId="4EDC7C8C" w14:textId="77777777" w:rsidR="009372DA" w:rsidRPr="00D618B7" w:rsidRDefault="009372DA" w:rsidP="004B11B7">
            <w:pPr>
              <w:jc w:val="right"/>
              <w:rPr>
                <w:color w:val="000000"/>
                <w:sz w:val="22"/>
                <w:szCs w:val="22"/>
              </w:rPr>
            </w:pPr>
            <w:r w:rsidRPr="00D618B7">
              <w:rPr>
                <w:color w:val="000000"/>
                <w:sz w:val="22"/>
                <w:szCs w:val="22"/>
              </w:rPr>
              <w:t>0.0239</w:t>
            </w:r>
          </w:p>
        </w:tc>
        <w:tc>
          <w:tcPr>
            <w:tcW w:w="635" w:type="pct"/>
            <w:tcBorders>
              <w:top w:val="nil"/>
              <w:left w:val="nil"/>
              <w:bottom w:val="nil"/>
              <w:right w:val="nil"/>
            </w:tcBorders>
            <w:shd w:val="clear" w:color="000000" w:fill="FFFFFF"/>
            <w:noWrap/>
            <w:vAlign w:val="center"/>
            <w:hideMark/>
          </w:tcPr>
          <w:p w14:paraId="7BA2EBA2" w14:textId="77777777" w:rsidR="009372DA" w:rsidRPr="00D618B7" w:rsidRDefault="009372DA" w:rsidP="004B11B7">
            <w:pPr>
              <w:jc w:val="right"/>
              <w:rPr>
                <w:color w:val="000000"/>
                <w:sz w:val="22"/>
                <w:szCs w:val="22"/>
              </w:rPr>
            </w:pPr>
            <w:r w:rsidRPr="00D618B7">
              <w:rPr>
                <w:color w:val="000000"/>
                <w:sz w:val="22"/>
                <w:szCs w:val="22"/>
              </w:rPr>
              <w:t>0.0042</w:t>
            </w:r>
          </w:p>
        </w:tc>
      </w:tr>
      <w:tr w:rsidR="008839D5" w:rsidRPr="00D618B7" w14:paraId="44FCC8DB" w14:textId="77777777" w:rsidTr="008839D5">
        <w:trPr>
          <w:trHeight w:val="266"/>
        </w:trPr>
        <w:tc>
          <w:tcPr>
            <w:tcW w:w="756" w:type="pct"/>
            <w:tcBorders>
              <w:top w:val="nil"/>
              <w:left w:val="nil"/>
              <w:bottom w:val="nil"/>
              <w:right w:val="nil"/>
            </w:tcBorders>
            <w:shd w:val="clear" w:color="000000" w:fill="FFFFFF"/>
            <w:vAlign w:val="center"/>
            <w:hideMark/>
          </w:tcPr>
          <w:p w14:paraId="31508474" w14:textId="77777777" w:rsidR="009372DA" w:rsidRPr="00D618B7" w:rsidRDefault="009372DA"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78F634B2" w14:textId="77777777" w:rsidR="009372DA" w:rsidRPr="00D618B7" w:rsidRDefault="009372DA" w:rsidP="004B11B7">
            <w:pPr>
              <w:jc w:val="right"/>
              <w:rPr>
                <w:color w:val="000000"/>
                <w:sz w:val="22"/>
                <w:szCs w:val="22"/>
              </w:rPr>
            </w:pPr>
            <w:r w:rsidRPr="00D618B7">
              <w:rPr>
                <w:color w:val="000000"/>
                <w:sz w:val="22"/>
                <w:szCs w:val="22"/>
              </w:rPr>
              <w:t>-0.0007</w:t>
            </w:r>
          </w:p>
        </w:tc>
        <w:tc>
          <w:tcPr>
            <w:tcW w:w="620" w:type="pct"/>
            <w:tcBorders>
              <w:top w:val="nil"/>
              <w:left w:val="nil"/>
              <w:bottom w:val="nil"/>
              <w:right w:val="nil"/>
            </w:tcBorders>
            <w:shd w:val="clear" w:color="000000" w:fill="FFFFFF"/>
            <w:noWrap/>
            <w:vAlign w:val="center"/>
            <w:hideMark/>
          </w:tcPr>
          <w:p w14:paraId="185099B6" w14:textId="77777777" w:rsidR="009372DA" w:rsidRPr="00D618B7" w:rsidRDefault="009372DA" w:rsidP="004B11B7">
            <w:pPr>
              <w:jc w:val="right"/>
              <w:rPr>
                <w:color w:val="000000"/>
                <w:sz w:val="22"/>
                <w:szCs w:val="22"/>
              </w:rPr>
            </w:pPr>
            <w:r w:rsidRPr="00D618B7">
              <w:rPr>
                <w:color w:val="000000"/>
                <w:sz w:val="22"/>
                <w:szCs w:val="22"/>
              </w:rPr>
              <w:t>0.0037</w:t>
            </w:r>
          </w:p>
        </w:tc>
        <w:tc>
          <w:tcPr>
            <w:tcW w:w="881" w:type="pct"/>
            <w:tcBorders>
              <w:top w:val="nil"/>
              <w:left w:val="nil"/>
              <w:bottom w:val="nil"/>
              <w:right w:val="nil"/>
            </w:tcBorders>
            <w:shd w:val="clear" w:color="000000" w:fill="FFFFFF"/>
            <w:noWrap/>
            <w:vAlign w:val="center"/>
            <w:hideMark/>
          </w:tcPr>
          <w:p w14:paraId="67259722" w14:textId="77777777" w:rsidR="009372DA" w:rsidRPr="00D618B7" w:rsidRDefault="009372DA" w:rsidP="004B11B7">
            <w:pPr>
              <w:jc w:val="right"/>
              <w:rPr>
                <w:color w:val="000000"/>
                <w:sz w:val="22"/>
                <w:szCs w:val="22"/>
              </w:rPr>
            </w:pPr>
            <w:r w:rsidRPr="00D618B7">
              <w:rPr>
                <w:color w:val="000000"/>
                <w:sz w:val="22"/>
                <w:szCs w:val="22"/>
              </w:rPr>
              <w:t>-0.0006</w:t>
            </w:r>
          </w:p>
        </w:tc>
        <w:tc>
          <w:tcPr>
            <w:tcW w:w="613" w:type="pct"/>
            <w:tcBorders>
              <w:top w:val="nil"/>
              <w:left w:val="nil"/>
              <w:bottom w:val="nil"/>
              <w:right w:val="nil"/>
            </w:tcBorders>
            <w:shd w:val="clear" w:color="000000" w:fill="FFFFFF"/>
            <w:noWrap/>
            <w:vAlign w:val="center"/>
            <w:hideMark/>
          </w:tcPr>
          <w:p w14:paraId="2823E026" w14:textId="77777777" w:rsidR="009372DA" w:rsidRPr="00D618B7" w:rsidRDefault="009372DA" w:rsidP="004B11B7">
            <w:pPr>
              <w:jc w:val="right"/>
              <w:rPr>
                <w:color w:val="000000"/>
                <w:sz w:val="22"/>
                <w:szCs w:val="22"/>
              </w:rPr>
            </w:pPr>
            <w:r w:rsidRPr="00D618B7">
              <w:rPr>
                <w:color w:val="000000"/>
                <w:sz w:val="22"/>
                <w:szCs w:val="22"/>
              </w:rPr>
              <w:t>0.0037</w:t>
            </w:r>
          </w:p>
        </w:tc>
        <w:tc>
          <w:tcPr>
            <w:tcW w:w="912" w:type="pct"/>
            <w:tcBorders>
              <w:top w:val="nil"/>
              <w:left w:val="nil"/>
              <w:bottom w:val="nil"/>
              <w:right w:val="nil"/>
            </w:tcBorders>
            <w:shd w:val="clear" w:color="000000" w:fill="FFFFFF"/>
            <w:noWrap/>
            <w:vAlign w:val="center"/>
            <w:hideMark/>
          </w:tcPr>
          <w:p w14:paraId="035AE1C2" w14:textId="77777777" w:rsidR="009372DA" w:rsidRPr="00D618B7" w:rsidRDefault="009372DA" w:rsidP="004B11B7">
            <w:pPr>
              <w:jc w:val="right"/>
              <w:rPr>
                <w:color w:val="000000"/>
                <w:sz w:val="22"/>
                <w:szCs w:val="22"/>
              </w:rPr>
            </w:pPr>
            <w:r w:rsidRPr="00D618B7">
              <w:rPr>
                <w:color w:val="000000"/>
                <w:sz w:val="22"/>
                <w:szCs w:val="22"/>
              </w:rPr>
              <w:t>0.0174</w:t>
            </w:r>
          </w:p>
        </w:tc>
        <w:tc>
          <w:tcPr>
            <w:tcW w:w="635" w:type="pct"/>
            <w:tcBorders>
              <w:top w:val="nil"/>
              <w:left w:val="nil"/>
              <w:bottom w:val="nil"/>
              <w:right w:val="nil"/>
            </w:tcBorders>
            <w:shd w:val="clear" w:color="000000" w:fill="FFFFFF"/>
            <w:noWrap/>
            <w:vAlign w:val="center"/>
            <w:hideMark/>
          </w:tcPr>
          <w:p w14:paraId="50937BAF" w14:textId="77777777" w:rsidR="009372DA" w:rsidRPr="00D618B7" w:rsidRDefault="009372DA" w:rsidP="004B11B7">
            <w:pPr>
              <w:jc w:val="right"/>
              <w:rPr>
                <w:color w:val="000000"/>
                <w:sz w:val="22"/>
                <w:szCs w:val="22"/>
              </w:rPr>
            </w:pPr>
            <w:r w:rsidRPr="00D618B7">
              <w:rPr>
                <w:color w:val="000000"/>
                <w:sz w:val="22"/>
                <w:szCs w:val="22"/>
              </w:rPr>
              <w:t>0.0037</w:t>
            </w:r>
          </w:p>
        </w:tc>
      </w:tr>
      <w:tr w:rsidR="008839D5" w:rsidRPr="00D618B7" w14:paraId="3465FBE8" w14:textId="77777777" w:rsidTr="008839D5">
        <w:trPr>
          <w:trHeight w:val="266"/>
        </w:trPr>
        <w:tc>
          <w:tcPr>
            <w:tcW w:w="756" w:type="pct"/>
            <w:tcBorders>
              <w:top w:val="nil"/>
              <w:left w:val="nil"/>
              <w:bottom w:val="nil"/>
              <w:right w:val="nil"/>
            </w:tcBorders>
            <w:shd w:val="clear" w:color="000000" w:fill="FFFFFF"/>
            <w:vAlign w:val="center"/>
            <w:hideMark/>
          </w:tcPr>
          <w:p w14:paraId="30B2630F" w14:textId="77777777" w:rsidR="009372DA" w:rsidRPr="00D618B7" w:rsidRDefault="009372DA"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468F06B3" w14:textId="77777777" w:rsidR="009372DA" w:rsidRPr="00D618B7" w:rsidRDefault="009372DA" w:rsidP="004B11B7">
            <w:pPr>
              <w:jc w:val="right"/>
              <w:rPr>
                <w:color w:val="000000"/>
                <w:sz w:val="22"/>
                <w:szCs w:val="22"/>
              </w:rPr>
            </w:pPr>
            <w:r w:rsidRPr="00D618B7">
              <w:rPr>
                <w:color w:val="000000"/>
                <w:sz w:val="22"/>
                <w:szCs w:val="22"/>
              </w:rPr>
              <w:t>0.0038</w:t>
            </w:r>
          </w:p>
        </w:tc>
        <w:tc>
          <w:tcPr>
            <w:tcW w:w="620" w:type="pct"/>
            <w:tcBorders>
              <w:top w:val="nil"/>
              <w:left w:val="nil"/>
              <w:bottom w:val="nil"/>
              <w:right w:val="nil"/>
            </w:tcBorders>
            <w:shd w:val="clear" w:color="000000" w:fill="FFFFFF"/>
            <w:noWrap/>
            <w:vAlign w:val="center"/>
            <w:hideMark/>
          </w:tcPr>
          <w:p w14:paraId="7800C91B" w14:textId="77777777" w:rsidR="009372DA" w:rsidRPr="00D618B7" w:rsidRDefault="009372DA" w:rsidP="004B11B7">
            <w:pPr>
              <w:jc w:val="right"/>
              <w:rPr>
                <w:color w:val="000000"/>
                <w:sz w:val="22"/>
                <w:szCs w:val="22"/>
              </w:rPr>
            </w:pPr>
            <w:r w:rsidRPr="00D618B7">
              <w:rPr>
                <w:color w:val="000000"/>
                <w:sz w:val="22"/>
                <w:szCs w:val="22"/>
              </w:rPr>
              <w:t>0.0037</w:t>
            </w:r>
          </w:p>
        </w:tc>
        <w:tc>
          <w:tcPr>
            <w:tcW w:w="881" w:type="pct"/>
            <w:tcBorders>
              <w:top w:val="nil"/>
              <w:left w:val="nil"/>
              <w:bottom w:val="nil"/>
              <w:right w:val="nil"/>
            </w:tcBorders>
            <w:shd w:val="clear" w:color="000000" w:fill="FFFFFF"/>
            <w:noWrap/>
            <w:vAlign w:val="center"/>
            <w:hideMark/>
          </w:tcPr>
          <w:p w14:paraId="513006F8" w14:textId="77777777" w:rsidR="009372DA" w:rsidRPr="00D618B7" w:rsidRDefault="009372DA" w:rsidP="004B11B7">
            <w:pPr>
              <w:jc w:val="right"/>
              <w:rPr>
                <w:color w:val="000000"/>
                <w:sz w:val="22"/>
                <w:szCs w:val="22"/>
              </w:rPr>
            </w:pPr>
            <w:r w:rsidRPr="00D618B7">
              <w:rPr>
                <w:color w:val="000000"/>
                <w:sz w:val="22"/>
                <w:szCs w:val="22"/>
              </w:rPr>
              <w:t>0.0010</w:t>
            </w:r>
          </w:p>
        </w:tc>
        <w:tc>
          <w:tcPr>
            <w:tcW w:w="613" w:type="pct"/>
            <w:tcBorders>
              <w:top w:val="nil"/>
              <w:left w:val="nil"/>
              <w:bottom w:val="nil"/>
              <w:right w:val="nil"/>
            </w:tcBorders>
            <w:shd w:val="clear" w:color="000000" w:fill="FFFFFF"/>
            <w:noWrap/>
            <w:vAlign w:val="center"/>
            <w:hideMark/>
          </w:tcPr>
          <w:p w14:paraId="3A88432B" w14:textId="77777777" w:rsidR="009372DA" w:rsidRPr="00D618B7" w:rsidRDefault="009372DA" w:rsidP="004B11B7">
            <w:pPr>
              <w:jc w:val="right"/>
              <w:rPr>
                <w:color w:val="000000"/>
                <w:sz w:val="22"/>
                <w:szCs w:val="22"/>
              </w:rPr>
            </w:pPr>
            <w:r w:rsidRPr="00D618B7">
              <w:rPr>
                <w:color w:val="000000"/>
                <w:sz w:val="22"/>
                <w:szCs w:val="22"/>
              </w:rPr>
              <w:t>0.0037</w:t>
            </w:r>
          </w:p>
        </w:tc>
        <w:tc>
          <w:tcPr>
            <w:tcW w:w="912" w:type="pct"/>
            <w:tcBorders>
              <w:top w:val="nil"/>
              <w:left w:val="nil"/>
              <w:bottom w:val="nil"/>
              <w:right w:val="nil"/>
            </w:tcBorders>
            <w:shd w:val="clear" w:color="000000" w:fill="FFFFFF"/>
            <w:noWrap/>
            <w:vAlign w:val="center"/>
            <w:hideMark/>
          </w:tcPr>
          <w:p w14:paraId="188591C1" w14:textId="77777777" w:rsidR="009372DA" w:rsidRPr="00D618B7" w:rsidRDefault="009372DA" w:rsidP="004B11B7">
            <w:pPr>
              <w:jc w:val="right"/>
              <w:rPr>
                <w:color w:val="000000"/>
                <w:sz w:val="22"/>
                <w:szCs w:val="22"/>
              </w:rPr>
            </w:pPr>
            <w:r w:rsidRPr="00D618B7">
              <w:rPr>
                <w:color w:val="000000"/>
                <w:sz w:val="22"/>
                <w:szCs w:val="22"/>
              </w:rPr>
              <w:t>0.0364</w:t>
            </w:r>
          </w:p>
        </w:tc>
        <w:tc>
          <w:tcPr>
            <w:tcW w:w="635" w:type="pct"/>
            <w:tcBorders>
              <w:top w:val="nil"/>
              <w:left w:val="nil"/>
              <w:bottom w:val="nil"/>
              <w:right w:val="nil"/>
            </w:tcBorders>
            <w:shd w:val="clear" w:color="000000" w:fill="FFFFFF"/>
            <w:noWrap/>
            <w:vAlign w:val="center"/>
            <w:hideMark/>
          </w:tcPr>
          <w:p w14:paraId="57355761" w14:textId="77777777" w:rsidR="009372DA" w:rsidRPr="00D618B7" w:rsidRDefault="009372DA" w:rsidP="004B11B7">
            <w:pPr>
              <w:jc w:val="right"/>
              <w:rPr>
                <w:color w:val="000000"/>
                <w:sz w:val="22"/>
                <w:szCs w:val="22"/>
              </w:rPr>
            </w:pPr>
            <w:r w:rsidRPr="00D618B7">
              <w:rPr>
                <w:color w:val="000000"/>
                <w:sz w:val="22"/>
                <w:szCs w:val="22"/>
              </w:rPr>
              <w:t>0.0037</w:t>
            </w:r>
          </w:p>
        </w:tc>
      </w:tr>
      <w:tr w:rsidR="008839D5" w:rsidRPr="00D618B7" w14:paraId="6EFE66DD" w14:textId="77777777" w:rsidTr="008839D5">
        <w:trPr>
          <w:trHeight w:val="266"/>
        </w:trPr>
        <w:tc>
          <w:tcPr>
            <w:tcW w:w="756" w:type="pct"/>
            <w:tcBorders>
              <w:top w:val="nil"/>
              <w:left w:val="nil"/>
              <w:bottom w:val="nil"/>
              <w:right w:val="nil"/>
            </w:tcBorders>
            <w:shd w:val="clear" w:color="000000" w:fill="FFFFFF"/>
            <w:vAlign w:val="center"/>
            <w:hideMark/>
          </w:tcPr>
          <w:p w14:paraId="477DBAB0" w14:textId="77777777" w:rsidR="009372DA" w:rsidRPr="00D618B7" w:rsidRDefault="009372DA" w:rsidP="004B11B7">
            <w:pPr>
              <w:jc w:val="right"/>
              <w:rPr>
                <w:color w:val="000000"/>
                <w:sz w:val="22"/>
                <w:szCs w:val="22"/>
              </w:rPr>
            </w:pPr>
            <w:r w:rsidRPr="00D618B7">
              <w:rPr>
                <w:color w:val="000000"/>
                <w:sz w:val="22"/>
                <w:szCs w:val="22"/>
              </w:rPr>
              <w:t>0</w:t>
            </w:r>
          </w:p>
        </w:tc>
        <w:tc>
          <w:tcPr>
            <w:tcW w:w="583" w:type="pct"/>
            <w:tcBorders>
              <w:top w:val="nil"/>
              <w:left w:val="nil"/>
              <w:bottom w:val="nil"/>
              <w:right w:val="nil"/>
            </w:tcBorders>
            <w:shd w:val="clear" w:color="000000" w:fill="FFFFFF"/>
            <w:noWrap/>
            <w:vAlign w:val="center"/>
            <w:hideMark/>
          </w:tcPr>
          <w:p w14:paraId="3D6FCFC0" w14:textId="77777777" w:rsidR="009372DA" w:rsidRPr="00D618B7" w:rsidRDefault="009372DA" w:rsidP="004B11B7">
            <w:pPr>
              <w:jc w:val="right"/>
              <w:rPr>
                <w:color w:val="000000"/>
                <w:sz w:val="22"/>
                <w:szCs w:val="22"/>
              </w:rPr>
            </w:pPr>
            <w:r w:rsidRPr="00D618B7">
              <w:rPr>
                <w:color w:val="000000"/>
                <w:sz w:val="22"/>
                <w:szCs w:val="22"/>
              </w:rPr>
              <w:t>0.0021</w:t>
            </w:r>
          </w:p>
        </w:tc>
        <w:tc>
          <w:tcPr>
            <w:tcW w:w="620" w:type="pct"/>
            <w:tcBorders>
              <w:top w:val="nil"/>
              <w:left w:val="nil"/>
              <w:bottom w:val="nil"/>
              <w:right w:val="nil"/>
            </w:tcBorders>
            <w:shd w:val="clear" w:color="000000" w:fill="FFFFFF"/>
            <w:noWrap/>
            <w:vAlign w:val="center"/>
            <w:hideMark/>
          </w:tcPr>
          <w:p w14:paraId="0581BC1D" w14:textId="77777777" w:rsidR="009372DA" w:rsidRPr="00D618B7" w:rsidRDefault="009372DA" w:rsidP="004B11B7">
            <w:pPr>
              <w:jc w:val="right"/>
              <w:rPr>
                <w:color w:val="000000"/>
                <w:sz w:val="22"/>
                <w:szCs w:val="22"/>
              </w:rPr>
            </w:pPr>
            <w:r w:rsidRPr="00D618B7">
              <w:rPr>
                <w:color w:val="000000"/>
                <w:sz w:val="22"/>
                <w:szCs w:val="22"/>
              </w:rPr>
              <w:t>0.0034</w:t>
            </w:r>
          </w:p>
        </w:tc>
        <w:tc>
          <w:tcPr>
            <w:tcW w:w="881" w:type="pct"/>
            <w:tcBorders>
              <w:top w:val="nil"/>
              <w:left w:val="nil"/>
              <w:bottom w:val="nil"/>
              <w:right w:val="nil"/>
            </w:tcBorders>
            <w:shd w:val="clear" w:color="000000" w:fill="FFFFFF"/>
            <w:noWrap/>
            <w:vAlign w:val="center"/>
            <w:hideMark/>
          </w:tcPr>
          <w:p w14:paraId="5D1A6353" w14:textId="77777777" w:rsidR="009372DA" w:rsidRPr="00D618B7" w:rsidRDefault="009372DA" w:rsidP="004B11B7">
            <w:pPr>
              <w:jc w:val="right"/>
              <w:rPr>
                <w:color w:val="000000"/>
                <w:sz w:val="22"/>
                <w:szCs w:val="22"/>
              </w:rPr>
            </w:pPr>
            <w:r w:rsidRPr="00D618B7">
              <w:rPr>
                <w:color w:val="000000"/>
                <w:sz w:val="22"/>
                <w:szCs w:val="22"/>
              </w:rPr>
              <w:t>0.0015</w:t>
            </w:r>
          </w:p>
        </w:tc>
        <w:tc>
          <w:tcPr>
            <w:tcW w:w="613" w:type="pct"/>
            <w:tcBorders>
              <w:top w:val="nil"/>
              <w:left w:val="nil"/>
              <w:bottom w:val="nil"/>
              <w:right w:val="nil"/>
            </w:tcBorders>
            <w:shd w:val="clear" w:color="000000" w:fill="FFFFFF"/>
            <w:noWrap/>
            <w:vAlign w:val="center"/>
            <w:hideMark/>
          </w:tcPr>
          <w:p w14:paraId="5861493B" w14:textId="77777777" w:rsidR="009372DA" w:rsidRPr="00D618B7" w:rsidRDefault="009372DA" w:rsidP="004B11B7">
            <w:pPr>
              <w:jc w:val="right"/>
              <w:rPr>
                <w:color w:val="000000"/>
                <w:sz w:val="22"/>
                <w:szCs w:val="22"/>
              </w:rPr>
            </w:pPr>
            <w:r w:rsidRPr="00D618B7">
              <w:rPr>
                <w:color w:val="000000"/>
                <w:sz w:val="22"/>
                <w:szCs w:val="22"/>
              </w:rPr>
              <w:t>0.0034</w:t>
            </w:r>
          </w:p>
        </w:tc>
        <w:tc>
          <w:tcPr>
            <w:tcW w:w="912" w:type="pct"/>
            <w:tcBorders>
              <w:top w:val="nil"/>
              <w:left w:val="nil"/>
              <w:bottom w:val="nil"/>
              <w:right w:val="nil"/>
            </w:tcBorders>
            <w:shd w:val="clear" w:color="000000" w:fill="FFFFFF"/>
            <w:noWrap/>
            <w:vAlign w:val="center"/>
            <w:hideMark/>
          </w:tcPr>
          <w:p w14:paraId="274353B9" w14:textId="77777777" w:rsidR="009372DA" w:rsidRPr="00D618B7" w:rsidRDefault="009372DA" w:rsidP="004B11B7">
            <w:pPr>
              <w:jc w:val="right"/>
              <w:rPr>
                <w:color w:val="000000"/>
                <w:sz w:val="22"/>
                <w:szCs w:val="22"/>
              </w:rPr>
            </w:pPr>
            <w:r w:rsidRPr="00D618B7">
              <w:rPr>
                <w:color w:val="000000"/>
                <w:sz w:val="22"/>
                <w:szCs w:val="22"/>
              </w:rPr>
              <w:t>0.0264</w:t>
            </w:r>
          </w:p>
        </w:tc>
        <w:tc>
          <w:tcPr>
            <w:tcW w:w="635" w:type="pct"/>
            <w:tcBorders>
              <w:top w:val="nil"/>
              <w:left w:val="nil"/>
              <w:bottom w:val="nil"/>
              <w:right w:val="nil"/>
            </w:tcBorders>
            <w:shd w:val="clear" w:color="000000" w:fill="FFFFFF"/>
            <w:noWrap/>
            <w:vAlign w:val="center"/>
            <w:hideMark/>
          </w:tcPr>
          <w:p w14:paraId="5CEF9A46" w14:textId="77777777" w:rsidR="009372DA" w:rsidRPr="00D618B7" w:rsidRDefault="009372DA" w:rsidP="004B11B7">
            <w:pPr>
              <w:jc w:val="right"/>
              <w:rPr>
                <w:color w:val="000000"/>
                <w:sz w:val="22"/>
                <w:szCs w:val="22"/>
              </w:rPr>
            </w:pPr>
            <w:r w:rsidRPr="00D618B7">
              <w:rPr>
                <w:color w:val="000000"/>
                <w:sz w:val="22"/>
                <w:szCs w:val="22"/>
              </w:rPr>
              <w:t>0.0034</w:t>
            </w:r>
          </w:p>
        </w:tc>
      </w:tr>
      <w:tr w:rsidR="008839D5" w:rsidRPr="00D618B7" w14:paraId="0CBE36E6" w14:textId="77777777" w:rsidTr="008839D5">
        <w:trPr>
          <w:trHeight w:val="266"/>
        </w:trPr>
        <w:tc>
          <w:tcPr>
            <w:tcW w:w="756" w:type="pct"/>
            <w:tcBorders>
              <w:top w:val="nil"/>
              <w:left w:val="nil"/>
              <w:bottom w:val="nil"/>
              <w:right w:val="nil"/>
            </w:tcBorders>
            <w:shd w:val="clear" w:color="000000" w:fill="FFFFFF"/>
            <w:vAlign w:val="center"/>
            <w:hideMark/>
          </w:tcPr>
          <w:p w14:paraId="30BD1AA8" w14:textId="77777777" w:rsidR="009372DA" w:rsidRPr="00D618B7" w:rsidRDefault="009372DA"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61B467EF" w14:textId="77777777" w:rsidR="009372DA" w:rsidRPr="00D618B7" w:rsidRDefault="009372DA" w:rsidP="004B11B7">
            <w:pPr>
              <w:jc w:val="right"/>
              <w:rPr>
                <w:color w:val="000000"/>
                <w:sz w:val="22"/>
                <w:szCs w:val="22"/>
              </w:rPr>
            </w:pPr>
            <w:r w:rsidRPr="00D618B7">
              <w:rPr>
                <w:color w:val="000000"/>
                <w:sz w:val="22"/>
                <w:szCs w:val="22"/>
              </w:rPr>
              <w:t>0.0024</w:t>
            </w:r>
          </w:p>
        </w:tc>
        <w:tc>
          <w:tcPr>
            <w:tcW w:w="620" w:type="pct"/>
            <w:tcBorders>
              <w:top w:val="nil"/>
              <w:left w:val="nil"/>
              <w:bottom w:val="nil"/>
              <w:right w:val="nil"/>
            </w:tcBorders>
            <w:shd w:val="clear" w:color="000000" w:fill="FFFFFF"/>
            <w:noWrap/>
            <w:vAlign w:val="center"/>
            <w:hideMark/>
          </w:tcPr>
          <w:p w14:paraId="610431E9" w14:textId="77777777" w:rsidR="009372DA" w:rsidRPr="00D618B7" w:rsidRDefault="009372DA" w:rsidP="004B11B7">
            <w:pPr>
              <w:jc w:val="right"/>
              <w:rPr>
                <w:color w:val="000000"/>
                <w:sz w:val="22"/>
                <w:szCs w:val="22"/>
              </w:rPr>
            </w:pPr>
            <w:r w:rsidRPr="00D618B7">
              <w:rPr>
                <w:color w:val="000000"/>
                <w:sz w:val="22"/>
                <w:szCs w:val="22"/>
              </w:rPr>
              <w:t>0.0034</w:t>
            </w:r>
          </w:p>
        </w:tc>
        <w:tc>
          <w:tcPr>
            <w:tcW w:w="881" w:type="pct"/>
            <w:tcBorders>
              <w:top w:val="nil"/>
              <w:left w:val="nil"/>
              <w:bottom w:val="nil"/>
              <w:right w:val="nil"/>
            </w:tcBorders>
            <w:shd w:val="clear" w:color="000000" w:fill="FFFFFF"/>
            <w:noWrap/>
            <w:vAlign w:val="center"/>
            <w:hideMark/>
          </w:tcPr>
          <w:p w14:paraId="78FB9BAC" w14:textId="77777777" w:rsidR="009372DA" w:rsidRPr="00D618B7" w:rsidRDefault="009372DA" w:rsidP="004B11B7">
            <w:pPr>
              <w:jc w:val="right"/>
              <w:rPr>
                <w:color w:val="000000"/>
                <w:sz w:val="22"/>
                <w:szCs w:val="22"/>
              </w:rPr>
            </w:pPr>
            <w:r w:rsidRPr="00D618B7">
              <w:rPr>
                <w:color w:val="000000"/>
                <w:sz w:val="22"/>
                <w:szCs w:val="22"/>
              </w:rPr>
              <w:t>0.0044</w:t>
            </w:r>
          </w:p>
        </w:tc>
        <w:tc>
          <w:tcPr>
            <w:tcW w:w="613" w:type="pct"/>
            <w:tcBorders>
              <w:top w:val="nil"/>
              <w:left w:val="nil"/>
              <w:bottom w:val="nil"/>
              <w:right w:val="nil"/>
            </w:tcBorders>
            <w:shd w:val="clear" w:color="000000" w:fill="FFFFFF"/>
            <w:noWrap/>
            <w:vAlign w:val="center"/>
            <w:hideMark/>
          </w:tcPr>
          <w:p w14:paraId="67900221" w14:textId="77777777" w:rsidR="009372DA" w:rsidRPr="00D618B7" w:rsidRDefault="009372DA" w:rsidP="004B11B7">
            <w:pPr>
              <w:jc w:val="right"/>
              <w:rPr>
                <w:color w:val="000000"/>
                <w:sz w:val="22"/>
                <w:szCs w:val="22"/>
              </w:rPr>
            </w:pPr>
            <w:r w:rsidRPr="00D618B7">
              <w:rPr>
                <w:color w:val="000000"/>
                <w:sz w:val="22"/>
                <w:szCs w:val="22"/>
              </w:rPr>
              <w:t>0.0034</w:t>
            </w:r>
          </w:p>
        </w:tc>
        <w:tc>
          <w:tcPr>
            <w:tcW w:w="912" w:type="pct"/>
            <w:tcBorders>
              <w:top w:val="nil"/>
              <w:left w:val="nil"/>
              <w:bottom w:val="nil"/>
              <w:right w:val="nil"/>
            </w:tcBorders>
            <w:shd w:val="clear" w:color="000000" w:fill="FFFFFF"/>
            <w:noWrap/>
            <w:vAlign w:val="center"/>
            <w:hideMark/>
          </w:tcPr>
          <w:p w14:paraId="1AAE9484" w14:textId="77777777" w:rsidR="009372DA" w:rsidRPr="00D618B7" w:rsidRDefault="009372DA" w:rsidP="004B11B7">
            <w:pPr>
              <w:jc w:val="right"/>
              <w:rPr>
                <w:color w:val="000000"/>
                <w:sz w:val="22"/>
                <w:szCs w:val="22"/>
              </w:rPr>
            </w:pPr>
            <w:r w:rsidRPr="00D618B7">
              <w:rPr>
                <w:color w:val="000000"/>
                <w:sz w:val="22"/>
                <w:szCs w:val="22"/>
              </w:rPr>
              <w:t>0.0244</w:t>
            </w:r>
          </w:p>
        </w:tc>
        <w:tc>
          <w:tcPr>
            <w:tcW w:w="635" w:type="pct"/>
            <w:tcBorders>
              <w:top w:val="nil"/>
              <w:left w:val="nil"/>
              <w:bottom w:val="nil"/>
              <w:right w:val="nil"/>
            </w:tcBorders>
            <w:shd w:val="clear" w:color="000000" w:fill="FFFFFF"/>
            <w:noWrap/>
            <w:vAlign w:val="center"/>
            <w:hideMark/>
          </w:tcPr>
          <w:p w14:paraId="36844E57" w14:textId="77777777" w:rsidR="009372DA" w:rsidRPr="00D618B7" w:rsidRDefault="009372DA" w:rsidP="004B11B7">
            <w:pPr>
              <w:jc w:val="right"/>
              <w:rPr>
                <w:color w:val="000000"/>
                <w:sz w:val="22"/>
                <w:szCs w:val="22"/>
              </w:rPr>
            </w:pPr>
            <w:r w:rsidRPr="00D618B7">
              <w:rPr>
                <w:color w:val="000000"/>
                <w:sz w:val="22"/>
                <w:szCs w:val="22"/>
              </w:rPr>
              <w:t>0.0035</w:t>
            </w:r>
          </w:p>
        </w:tc>
      </w:tr>
      <w:tr w:rsidR="008839D5" w:rsidRPr="00D618B7" w14:paraId="4B6F734E" w14:textId="77777777" w:rsidTr="008839D5">
        <w:trPr>
          <w:trHeight w:val="266"/>
        </w:trPr>
        <w:tc>
          <w:tcPr>
            <w:tcW w:w="756" w:type="pct"/>
            <w:tcBorders>
              <w:top w:val="nil"/>
              <w:left w:val="nil"/>
              <w:bottom w:val="nil"/>
              <w:right w:val="nil"/>
            </w:tcBorders>
            <w:shd w:val="clear" w:color="000000" w:fill="FFFFFF"/>
            <w:vAlign w:val="center"/>
            <w:hideMark/>
          </w:tcPr>
          <w:p w14:paraId="784CE07B" w14:textId="77777777" w:rsidR="009372DA" w:rsidRPr="00D618B7" w:rsidRDefault="009372DA"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384CC11A" w14:textId="77777777" w:rsidR="009372DA" w:rsidRPr="00D618B7" w:rsidRDefault="009372DA" w:rsidP="004B11B7">
            <w:pPr>
              <w:jc w:val="right"/>
              <w:rPr>
                <w:color w:val="000000"/>
                <w:sz w:val="22"/>
                <w:szCs w:val="22"/>
              </w:rPr>
            </w:pPr>
            <w:r w:rsidRPr="00D618B7">
              <w:rPr>
                <w:color w:val="000000"/>
                <w:sz w:val="22"/>
                <w:szCs w:val="22"/>
              </w:rPr>
              <w:t>0.0002</w:t>
            </w:r>
          </w:p>
        </w:tc>
        <w:tc>
          <w:tcPr>
            <w:tcW w:w="620" w:type="pct"/>
            <w:tcBorders>
              <w:top w:val="nil"/>
              <w:left w:val="nil"/>
              <w:bottom w:val="nil"/>
              <w:right w:val="nil"/>
            </w:tcBorders>
            <w:shd w:val="clear" w:color="000000" w:fill="FFFFFF"/>
            <w:noWrap/>
            <w:vAlign w:val="center"/>
            <w:hideMark/>
          </w:tcPr>
          <w:p w14:paraId="7398C401" w14:textId="77777777" w:rsidR="009372DA" w:rsidRPr="00D618B7" w:rsidRDefault="009372DA" w:rsidP="004B11B7">
            <w:pPr>
              <w:jc w:val="right"/>
              <w:rPr>
                <w:color w:val="000000"/>
                <w:sz w:val="22"/>
                <w:szCs w:val="22"/>
              </w:rPr>
            </w:pPr>
            <w:r w:rsidRPr="00D618B7">
              <w:rPr>
                <w:color w:val="000000"/>
                <w:sz w:val="22"/>
                <w:szCs w:val="22"/>
              </w:rPr>
              <w:t>0.0042</w:t>
            </w:r>
          </w:p>
        </w:tc>
        <w:tc>
          <w:tcPr>
            <w:tcW w:w="881" w:type="pct"/>
            <w:tcBorders>
              <w:top w:val="nil"/>
              <w:left w:val="nil"/>
              <w:bottom w:val="nil"/>
              <w:right w:val="nil"/>
            </w:tcBorders>
            <w:shd w:val="clear" w:color="000000" w:fill="FFFFFF"/>
            <w:noWrap/>
            <w:vAlign w:val="center"/>
            <w:hideMark/>
          </w:tcPr>
          <w:p w14:paraId="46A45818" w14:textId="77777777" w:rsidR="009372DA" w:rsidRPr="00D618B7" w:rsidRDefault="009372DA" w:rsidP="004B11B7">
            <w:pPr>
              <w:jc w:val="right"/>
              <w:rPr>
                <w:color w:val="000000"/>
                <w:sz w:val="22"/>
                <w:szCs w:val="22"/>
              </w:rPr>
            </w:pPr>
            <w:r w:rsidRPr="00D618B7">
              <w:rPr>
                <w:color w:val="000000"/>
                <w:sz w:val="22"/>
                <w:szCs w:val="22"/>
              </w:rPr>
              <w:t>-0.0005</w:t>
            </w:r>
          </w:p>
        </w:tc>
        <w:tc>
          <w:tcPr>
            <w:tcW w:w="613" w:type="pct"/>
            <w:tcBorders>
              <w:top w:val="nil"/>
              <w:left w:val="nil"/>
              <w:bottom w:val="nil"/>
              <w:right w:val="nil"/>
            </w:tcBorders>
            <w:shd w:val="clear" w:color="000000" w:fill="FFFFFF"/>
            <w:noWrap/>
            <w:vAlign w:val="center"/>
            <w:hideMark/>
          </w:tcPr>
          <w:p w14:paraId="29D462C4" w14:textId="77777777" w:rsidR="009372DA" w:rsidRPr="00D618B7" w:rsidRDefault="009372DA" w:rsidP="004B11B7">
            <w:pPr>
              <w:jc w:val="right"/>
              <w:rPr>
                <w:color w:val="000000"/>
                <w:sz w:val="22"/>
                <w:szCs w:val="22"/>
              </w:rPr>
            </w:pPr>
            <w:r w:rsidRPr="00D618B7">
              <w:rPr>
                <w:color w:val="000000"/>
                <w:sz w:val="22"/>
                <w:szCs w:val="22"/>
              </w:rPr>
              <w:t>0.0042</w:t>
            </w:r>
          </w:p>
        </w:tc>
        <w:tc>
          <w:tcPr>
            <w:tcW w:w="912" w:type="pct"/>
            <w:tcBorders>
              <w:top w:val="nil"/>
              <w:left w:val="nil"/>
              <w:bottom w:val="nil"/>
              <w:right w:val="nil"/>
            </w:tcBorders>
            <w:shd w:val="clear" w:color="000000" w:fill="FFFFFF"/>
            <w:noWrap/>
            <w:vAlign w:val="center"/>
            <w:hideMark/>
          </w:tcPr>
          <w:p w14:paraId="53DDCF12" w14:textId="77777777" w:rsidR="009372DA" w:rsidRPr="00D618B7" w:rsidRDefault="009372DA" w:rsidP="004B11B7">
            <w:pPr>
              <w:jc w:val="right"/>
              <w:rPr>
                <w:color w:val="000000"/>
                <w:sz w:val="22"/>
                <w:szCs w:val="22"/>
              </w:rPr>
            </w:pPr>
            <w:r w:rsidRPr="00D618B7">
              <w:rPr>
                <w:color w:val="000000"/>
                <w:sz w:val="22"/>
                <w:szCs w:val="22"/>
              </w:rPr>
              <w:t>0.0296</w:t>
            </w:r>
          </w:p>
        </w:tc>
        <w:tc>
          <w:tcPr>
            <w:tcW w:w="635" w:type="pct"/>
            <w:tcBorders>
              <w:top w:val="nil"/>
              <w:left w:val="nil"/>
              <w:bottom w:val="nil"/>
              <w:right w:val="nil"/>
            </w:tcBorders>
            <w:shd w:val="clear" w:color="000000" w:fill="FFFFFF"/>
            <w:noWrap/>
            <w:vAlign w:val="center"/>
            <w:hideMark/>
          </w:tcPr>
          <w:p w14:paraId="7F5DC585" w14:textId="77777777" w:rsidR="009372DA" w:rsidRPr="00D618B7" w:rsidRDefault="009372DA" w:rsidP="004B11B7">
            <w:pPr>
              <w:jc w:val="right"/>
              <w:rPr>
                <w:color w:val="000000"/>
                <w:sz w:val="22"/>
                <w:szCs w:val="22"/>
              </w:rPr>
            </w:pPr>
            <w:r w:rsidRPr="00D618B7">
              <w:rPr>
                <w:color w:val="000000"/>
                <w:sz w:val="22"/>
                <w:szCs w:val="22"/>
              </w:rPr>
              <w:t>0.0043</w:t>
            </w:r>
          </w:p>
        </w:tc>
      </w:tr>
      <w:tr w:rsidR="008839D5" w:rsidRPr="00D618B7" w14:paraId="5FDE9DD6" w14:textId="77777777" w:rsidTr="008839D5">
        <w:trPr>
          <w:trHeight w:val="266"/>
        </w:trPr>
        <w:tc>
          <w:tcPr>
            <w:tcW w:w="756" w:type="pct"/>
            <w:tcBorders>
              <w:top w:val="nil"/>
              <w:left w:val="nil"/>
              <w:bottom w:val="nil"/>
              <w:right w:val="nil"/>
            </w:tcBorders>
            <w:shd w:val="clear" w:color="000000" w:fill="FFFFFF"/>
            <w:vAlign w:val="center"/>
            <w:hideMark/>
          </w:tcPr>
          <w:p w14:paraId="0DA75812" w14:textId="77777777" w:rsidR="009372DA" w:rsidRPr="00D618B7" w:rsidRDefault="009372DA"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67EA711F" w14:textId="77777777" w:rsidR="009372DA" w:rsidRPr="00D618B7" w:rsidRDefault="009372DA" w:rsidP="004B11B7">
            <w:pPr>
              <w:jc w:val="right"/>
              <w:rPr>
                <w:color w:val="000000"/>
                <w:sz w:val="22"/>
                <w:szCs w:val="22"/>
              </w:rPr>
            </w:pPr>
            <w:r w:rsidRPr="00D618B7">
              <w:rPr>
                <w:color w:val="000000"/>
                <w:sz w:val="22"/>
                <w:szCs w:val="22"/>
              </w:rPr>
              <w:t>0.0011</w:t>
            </w:r>
          </w:p>
        </w:tc>
        <w:tc>
          <w:tcPr>
            <w:tcW w:w="620" w:type="pct"/>
            <w:tcBorders>
              <w:top w:val="nil"/>
              <w:left w:val="nil"/>
              <w:bottom w:val="nil"/>
              <w:right w:val="nil"/>
            </w:tcBorders>
            <w:shd w:val="clear" w:color="000000" w:fill="FFFFFF"/>
            <w:noWrap/>
            <w:vAlign w:val="center"/>
            <w:hideMark/>
          </w:tcPr>
          <w:p w14:paraId="28029026" w14:textId="77777777" w:rsidR="009372DA" w:rsidRPr="00D618B7" w:rsidRDefault="009372DA" w:rsidP="004B11B7">
            <w:pPr>
              <w:jc w:val="right"/>
              <w:rPr>
                <w:color w:val="000000"/>
                <w:sz w:val="22"/>
                <w:szCs w:val="22"/>
              </w:rPr>
            </w:pPr>
            <w:r w:rsidRPr="00D618B7">
              <w:rPr>
                <w:color w:val="000000"/>
                <w:sz w:val="22"/>
                <w:szCs w:val="22"/>
              </w:rPr>
              <w:t>0.0034</w:t>
            </w:r>
          </w:p>
        </w:tc>
        <w:tc>
          <w:tcPr>
            <w:tcW w:w="881" w:type="pct"/>
            <w:tcBorders>
              <w:top w:val="nil"/>
              <w:left w:val="nil"/>
              <w:bottom w:val="nil"/>
              <w:right w:val="nil"/>
            </w:tcBorders>
            <w:shd w:val="clear" w:color="000000" w:fill="FFFFFF"/>
            <w:noWrap/>
            <w:vAlign w:val="center"/>
            <w:hideMark/>
          </w:tcPr>
          <w:p w14:paraId="0560CC23" w14:textId="77777777" w:rsidR="009372DA" w:rsidRPr="00D618B7" w:rsidRDefault="009372DA" w:rsidP="004B11B7">
            <w:pPr>
              <w:jc w:val="right"/>
              <w:rPr>
                <w:color w:val="000000"/>
                <w:sz w:val="22"/>
                <w:szCs w:val="22"/>
              </w:rPr>
            </w:pPr>
            <w:r w:rsidRPr="00D618B7">
              <w:rPr>
                <w:color w:val="000000"/>
                <w:sz w:val="22"/>
                <w:szCs w:val="22"/>
              </w:rPr>
              <w:t>0.0028</w:t>
            </w:r>
          </w:p>
        </w:tc>
        <w:tc>
          <w:tcPr>
            <w:tcW w:w="613" w:type="pct"/>
            <w:tcBorders>
              <w:top w:val="nil"/>
              <w:left w:val="nil"/>
              <w:bottom w:val="nil"/>
              <w:right w:val="nil"/>
            </w:tcBorders>
            <w:shd w:val="clear" w:color="000000" w:fill="FFFFFF"/>
            <w:noWrap/>
            <w:vAlign w:val="center"/>
            <w:hideMark/>
          </w:tcPr>
          <w:p w14:paraId="6D841562" w14:textId="77777777" w:rsidR="009372DA" w:rsidRPr="00D618B7" w:rsidRDefault="009372DA" w:rsidP="004B11B7">
            <w:pPr>
              <w:jc w:val="right"/>
              <w:rPr>
                <w:color w:val="000000"/>
                <w:sz w:val="22"/>
                <w:szCs w:val="22"/>
              </w:rPr>
            </w:pPr>
            <w:r w:rsidRPr="00D618B7">
              <w:rPr>
                <w:color w:val="000000"/>
                <w:sz w:val="22"/>
                <w:szCs w:val="22"/>
              </w:rPr>
              <w:t>0.0034</w:t>
            </w:r>
          </w:p>
        </w:tc>
        <w:tc>
          <w:tcPr>
            <w:tcW w:w="912" w:type="pct"/>
            <w:tcBorders>
              <w:top w:val="nil"/>
              <w:left w:val="nil"/>
              <w:bottom w:val="nil"/>
              <w:right w:val="nil"/>
            </w:tcBorders>
            <w:shd w:val="clear" w:color="000000" w:fill="FFFFFF"/>
            <w:noWrap/>
            <w:vAlign w:val="center"/>
            <w:hideMark/>
          </w:tcPr>
          <w:p w14:paraId="7F35330E" w14:textId="77777777" w:rsidR="009372DA" w:rsidRPr="00D618B7" w:rsidRDefault="009372DA" w:rsidP="004B11B7">
            <w:pPr>
              <w:jc w:val="right"/>
              <w:rPr>
                <w:color w:val="000000"/>
                <w:sz w:val="22"/>
                <w:szCs w:val="22"/>
              </w:rPr>
            </w:pPr>
            <w:r w:rsidRPr="00D618B7">
              <w:rPr>
                <w:color w:val="000000"/>
                <w:sz w:val="22"/>
                <w:szCs w:val="22"/>
              </w:rPr>
              <w:t>0.0163</w:t>
            </w:r>
          </w:p>
        </w:tc>
        <w:tc>
          <w:tcPr>
            <w:tcW w:w="635" w:type="pct"/>
            <w:tcBorders>
              <w:top w:val="nil"/>
              <w:left w:val="nil"/>
              <w:bottom w:val="nil"/>
              <w:right w:val="nil"/>
            </w:tcBorders>
            <w:shd w:val="clear" w:color="000000" w:fill="FFFFFF"/>
            <w:noWrap/>
            <w:vAlign w:val="center"/>
            <w:hideMark/>
          </w:tcPr>
          <w:p w14:paraId="36F49400" w14:textId="77777777" w:rsidR="009372DA" w:rsidRPr="00D618B7" w:rsidRDefault="009372DA" w:rsidP="004B11B7">
            <w:pPr>
              <w:jc w:val="right"/>
              <w:rPr>
                <w:color w:val="000000"/>
                <w:sz w:val="22"/>
                <w:szCs w:val="22"/>
              </w:rPr>
            </w:pPr>
            <w:r w:rsidRPr="00D618B7">
              <w:rPr>
                <w:color w:val="000000"/>
                <w:sz w:val="22"/>
                <w:szCs w:val="22"/>
              </w:rPr>
              <w:t>0.0035</w:t>
            </w:r>
          </w:p>
        </w:tc>
      </w:tr>
      <w:tr w:rsidR="008839D5" w:rsidRPr="00D618B7" w14:paraId="45FF8AEA" w14:textId="77777777" w:rsidTr="008839D5">
        <w:trPr>
          <w:trHeight w:val="266"/>
        </w:trPr>
        <w:tc>
          <w:tcPr>
            <w:tcW w:w="756" w:type="pct"/>
            <w:tcBorders>
              <w:top w:val="nil"/>
              <w:left w:val="nil"/>
              <w:right w:val="nil"/>
            </w:tcBorders>
            <w:shd w:val="clear" w:color="000000" w:fill="FFFFFF"/>
            <w:vAlign w:val="center"/>
            <w:hideMark/>
          </w:tcPr>
          <w:p w14:paraId="7A5A12C6" w14:textId="77777777" w:rsidR="009372DA" w:rsidRPr="00D618B7" w:rsidRDefault="009372DA" w:rsidP="004B11B7">
            <w:pPr>
              <w:jc w:val="right"/>
              <w:rPr>
                <w:color w:val="000000"/>
                <w:sz w:val="22"/>
                <w:szCs w:val="22"/>
              </w:rPr>
            </w:pPr>
            <w:r w:rsidRPr="00D618B7">
              <w:rPr>
                <w:color w:val="000000"/>
                <w:sz w:val="22"/>
                <w:szCs w:val="22"/>
              </w:rPr>
              <w:t>4</w:t>
            </w:r>
          </w:p>
        </w:tc>
        <w:tc>
          <w:tcPr>
            <w:tcW w:w="583" w:type="pct"/>
            <w:tcBorders>
              <w:top w:val="nil"/>
              <w:left w:val="nil"/>
              <w:right w:val="nil"/>
            </w:tcBorders>
            <w:shd w:val="clear" w:color="000000" w:fill="FFFFFF"/>
            <w:noWrap/>
            <w:vAlign w:val="center"/>
            <w:hideMark/>
          </w:tcPr>
          <w:p w14:paraId="6C8F35AE" w14:textId="77777777" w:rsidR="009372DA" w:rsidRPr="00D618B7" w:rsidRDefault="009372DA" w:rsidP="004B11B7">
            <w:pPr>
              <w:jc w:val="right"/>
              <w:rPr>
                <w:color w:val="000000"/>
                <w:sz w:val="22"/>
                <w:szCs w:val="22"/>
              </w:rPr>
            </w:pPr>
            <w:r w:rsidRPr="00D618B7">
              <w:rPr>
                <w:color w:val="000000"/>
                <w:sz w:val="22"/>
                <w:szCs w:val="22"/>
              </w:rPr>
              <w:t>0.0020</w:t>
            </w:r>
          </w:p>
        </w:tc>
        <w:tc>
          <w:tcPr>
            <w:tcW w:w="620" w:type="pct"/>
            <w:tcBorders>
              <w:top w:val="nil"/>
              <w:left w:val="nil"/>
              <w:right w:val="nil"/>
            </w:tcBorders>
            <w:shd w:val="clear" w:color="000000" w:fill="FFFFFF"/>
            <w:noWrap/>
            <w:vAlign w:val="center"/>
            <w:hideMark/>
          </w:tcPr>
          <w:p w14:paraId="4D0B48E0" w14:textId="77777777" w:rsidR="009372DA" w:rsidRPr="00D618B7" w:rsidRDefault="009372DA" w:rsidP="004B11B7">
            <w:pPr>
              <w:jc w:val="right"/>
              <w:rPr>
                <w:color w:val="000000"/>
                <w:sz w:val="22"/>
                <w:szCs w:val="22"/>
              </w:rPr>
            </w:pPr>
            <w:r w:rsidRPr="00D618B7">
              <w:rPr>
                <w:color w:val="000000"/>
                <w:sz w:val="22"/>
                <w:szCs w:val="22"/>
              </w:rPr>
              <w:t>0.0037</w:t>
            </w:r>
          </w:p>
        </w:tc>
        <w:tc>
          <w:tcPr>
            <w:tcW w:w="881" w:type="pct"/>
            <w:tcBorders>
              <w:top w:val="nil"/>
              <w:left w:val="nil"/>
              <w:right w:val="nil"/>
            </w:tcBorders>
            <w:shd w:val="clear" w:color="000000" w:fill="FFFFFF"/>
            <w:noWrap/>
            <w:vAlign w:val="center"/>
            <w:hideMark/>
          </w:tcPr>
          <w:p w14:paraId="44F78C2C" w14:textId="77777777" w:rsidR="009372DA" w:rsidRPr="00D618B7" w:rsidRDefault="009372DA" w:rsidP="004B11B7">
            <w:pPr>
              <w:jc w:val="right"/>
              <w:rPr>
                <w:color w:val="000000"/>
                <w:sz w:val="22"/>
                <w:szCs w:val="22"/>
              </w:rPr>
            </w:pPr>
            <w:r w:rsidRPr="00D618B7">
              <w:rPr>
                <w:color w:val="000000"/>
                <w:sz w:val="22"/>
                <w:szCs w:val="22"/>
              </w:rPr>
              <w:t>0.0026</w:t>
            </w:r>
          </w:p>
        </w:tc>
        <w:tc>
          <w:tcPr>
            <w:tcW w:w="613" w:type="pct"/>
            <w:tcBorders>
              <w:top w:val="nil"/>
              <w:left w:val="nil"/>
              <w:right w:val="nil"/>
            </w:tcBorders>
            <w:shd w:val="clear" w:color="000000" w:fill="FFFFFF"/>
            <w:noWrap/>
            <w:vAlign w:val="center"/>
            <w:hideMark/>
          </w:tcPr>
          <w:p w14:paraId="67C942CF" w14:textId="77777777" w:rsidR="009372DA" w:rsidRPr="00D618B7" w:rsidRDefault="009372DA" w:rsidP="004B11B7">
            <w:pPr>
              <w:jc w:val="right"/>
              <w:rPr>
                <w:color w:val="000000"/>
                <w:sz w:val="22"/>
                <w:szCs w:val="22"/>
              </w:rPr>
            </w:pPr>
            <w:r w:rsidRPr="00D618B7">
              <w:rPr>
                <w:color w:val="000000"/>
                <w:sz w:val="22"/>
                <w:szCs w:val="22"/>
              </w:rPr>
              <w:t>0.0037</w:t>
            </w:r>
          </w:p>
        </w:tc>
        <w:tc>
          <w:tcPr>
            <w:tcW w:w="912" w:type="pct"/>
            <w:tcBorders>
              <w:top w:val="nil"/>
              <w:left w:val="nil"/>
              <w:right w:val="nil"/>
            </w:tcBorders>
            <w:shd w:val="clear" w:color="000000" w:fill="FFFFFF"/>
            <w:noWrap/>
            <w:vAlign w:val="center"/>
            <w:hideMark/>
          </w:tcPr>
          <w:p w14:paraId="2F14DC56" w14:textId="77777777" w:rsidR="009372DA" w:rsidRPr="00D618B7" w:rsidRDefault="009372DA" w:rsidP="004B11B7">
            <w:pPr>
              <w:jc w:val="right"/>
              <w:rPr>
                <w:color w:val="000000"/>
                <w:sz w:val="22"/>
                <w:szCs w:val="22"/>
              </w:rPr>
            </w:pPr>
            <w:r w:rsidRPr="00D618B7">
              <w:rPr>
                <w:color w:val="000000"/>
                <w:sz w:val="22"/>
                <w:szCs w:val="22"/>
              </w:rPr>
              <w:t>0.0374</w:t>
            </w:r>
          </w:p>
        </w:tc>
        <w:tc>
          <w:tcPr>
            <w:tcW w:w="635" w:type="pct"/>
            <w:tcBorders>
              <w:top w:val="nil"/>
              <w:left w:val="nil"/>
              <w:right w:val="nil"/>
            </w:tcBorders>
            <w:shd w:val="clear" w:color="000000" w:fill="FFFFFF"/>
            <w:noWrap/>
            <w:vAlign w:val="center"/>
            <w:hideMark/>
          </w:tcPr>
          <w:p w14:paraId="4E55A09D" w14:textId="77777777" w:rsidR="009372DA" w:rsidRPr="00D618B7" w:rsidRDefault="009372DA" w:rsidP="004B11B7">
            <w:pPr>
              <w:jc w:val="right"/>
              <w:rPr>
                <w:color w:val="000000"/>
                <w:sz w:val="22"/>
                <w:szCs w:val="22"/>
              </w:rPr>
            </w:pPr>
            <w:r w:rsidRPr="00D618B7">
              <w:rPr>
                <w:color w:val="000000"/>
                <w:sz w:val="22"/>
                <w:szCs w:val="22"/>
              </w:rPr>
              <w:t>0.0038</w:t>
            </w:r>
          </w:p>
        </w:tc>
      </w:tr>
      <w:tr w:rsidR="008839D5" w:rsidRPr="00D618B7" w14:paraId="7F5E5D30" w14:textId="77777777" w:rsidTr="008839D5">
        <w:trPr>
          <w:trHeight w:val="266"/>
        </w:trPr>
        <w:tc>
          <w:tcPr>
            <w:tcW w:w="756" w:type="pct"/>
            <w:tcBorders>
              <w:top w:val="nil"/>
              <w:left w:val="nil"/>
              <w:bottom w:val="single" w:sz="4" w:space="0" w:color="auto"/>
              <w:right w:val="nil"/>
            </w:tcBorders>
            <w:shd w:val="clear" w:color="000000" w:fill="FFFFFF"/>
            <w:vAlign w:val="center"/>
            <w:hideMark/>
          </w:tcPr>
          <w:p w14:paraId="778111B7" w14:textId="77777777" w:rsidR="009372DA" w:rsidRPr="00D618B7" w:rsidRDefault="009372DA" w:rsidP="004B11B7">
            <w:pPr>
              <w:jc w:val="right"/>
              <w:rPr>
                <w:color w:val="000000"/>
                <w:sz w:val="22"/>
                <w:szCs w:val="22"/>
              </w:rPr>
            </w:pPr>
            <w:r w:rsidRPr="00D618B7">
              <w:rPr>
                <w:color w:val="000000"/>
                <w:sz w:val="22"/>
                <w:szCs w:val="22"/>
              </w:rPr>
              <w:t>5</w:t>
            </w:r>
          </w:p>
        </w:tc>
        <w:tc>
          <w:tcPr>
            <w:tcW w:w="583" w:type="pct"/>
            <w:tcBorders>
              <w:top w:val="nil"/>
              <w:left w:val="nil"/>
              <w:bottom w:val="single" w:sz="4" w:space="0" w:color="auto"/>
              <w:right w:val="nil"/>
            </w:tcBorders>
            <w:shd w:val="clear" w:color="000000" w:fill="FFFFFF"/>
            <w:noWrap/>
            <w:vAlign w:val="center"/>
            <w:hideMark/>
          </w:tcPr>
          <w:p w14:paraId="2D918A19" w14:textId="77777777" w:rsidR="009372DA" w:rsidRPr="00D618B7" w:rsidRDefault="009372DA" w:rsidP="004B11B7">
            <w:pPr>
              <w:jc w:val="right"/>
              <w:rPr>
                <w:color w:val="000000"/>
                <w:sz w:val="22"/>
                <w:szCs w:val="22"/>
              </w:rPr>
            </w:pPr>
            <w:r w:rsidRPr="00D618B7">
              <w:rPr>
                <w:color w:val="000000"/>
                <w:sz w:val="22"/>
                <w:szCs w:val="22"/>
              </w:rPr>
              <w:t>-0.0013</w:t>
            </w:r>
          </w:p>
        </w:tc>
        <w:tc>
          <w:tcPr>
            <w:tcW w:w="620" w:type="pct"/>
            <w:tcBorders>
              <w:top w:val="nil"/>
              <w:left w:val="nil"/>
              <w:bottom w:val="single" w:sz="4" w:space="0" w:color="auto"/>
              <w:right w:val="nil"/>
            </w:tcBorders>
            <w:shd w:val="clear" w:color="000000" w:fill="FFFFFF"/>
            <w:noWrap/>
            <w:vAlign w:val="center"/>
            <w:hideMark/>
          </w:tcPr>
          <w:p w14:paraId="436BBB39" w14:textId="77777777" w:rsidR="009372DA" w:rsidRPr="00D618B7" w:rsidRDefault="009372DA" w:rsidP="004B11B7">
            <w:pPr>
              <w:jc w:val="right"/>
              <w:rPr>
                <w:color w:val="000000"/>
                <w:sz w:val="22"/>
                <w:szCs w:val="22"/>
              </w:rPr>
            </w:pPr>
            <w:r w:rsidRPr="00D618B7">
              <w:rPr>
                <w:color w:val="000000"/>
                <w:sz w:val="22"/>
                <w:szCs w:val="22"/>
              </w:rPr>
              <w:t>0.0040</w:t>
            </w:r>
          </w:p>
        </w:tc>
        <w:tc>
          <w:tcPr>
            <w:tcW w:w="881" w:type="pct"/>
            <w:tcBorders>
              <w:top w:val="nil"/>
              <w:left w:val="nil"/>
              <w:bottom w:val="single" w:sz="4" w:space="0" w:color="auto"/>
              <w:right w:val="nil"/>
            </w:tcBorders>
            <w:shd w:val="clear" w:color="000000" w:fill="FFFFFF"/>
            <w:noWrap/>
            <w:vAlign w:val="center"/>
            <w:hideMark/>
          </w:tcPr>
          <w:p w14:paraId="16FA40E4" w14:textId="77777777" w:rsidR="009372DA" w:rsidRPr="00D618B7" w:rsidRDefault="009372DA" w:rsidP="004B11B7">
            <w:pPr>
              <w:jc w:val="right"/>
              <w:rPr>
                <w:color w:val="000000"/>
                <w:sz w:val="22"/>
                <w:szCs w:val="22"/>
              </w:rPr>
            </w:pPr>
            <w:r w:rsidRPr="00D618B7">
              <w:rPr>
                <w:color w:val="000000"/>
                <w:sz w:val="22"/>
                <w:szCs w:val="22"/>
              </w:rPr>
              <w:t>0.0001</w:t>
            </w:r>
          </w:p>
        </w:tc>
        <w:tc>
          <w:tcPr>
            <w:tcW w:w="613" w:type="pct"/>
            <w:tcBorders>
              <w:top w:val="nil"/>
              <w:left w:val="nil"/>
              <w:bottom w:val="single" w:sz="4" w:space="0" w:color="auto"/>
              <w:right w:val="nil"/>
            </w:tcBorders>
            <w:shd w:val="clear" w:color="000000" w:fill="FFFFFF"/>
            <w:noWrap/>
            <w:vAlign w:val="center"/>
            <w:hideMark/>
          </w:tcPr>
          <w:p w14:paraId="199833BC" w14:textId="77777777" w:rsidR="009372DA" w:rsidRPr="00D618B7" w:rsidRDefault="009372DA" w:rsidP="004B11B7">
            <w:pPr>
              <w:jc w:val="right"/>
              <w:rPr>
                <w:color w:val="000000"/>
                <w:sz w:val="22"/>
                <w:szCs w:val="22"/>
              </w:rPr>
            </w:pPr>
            <w:r w:rsidRPr="00D618B7">
              <w:rPr>
                <w:color w:val="000000"/>
                <w:sz w:val="22"/>
                <w:szCs w:val="22"/>
              </w:rPr>
              <w:t>0.0040</w:t>
            </w:r>
          </w:p>
        </w:tc>
        <w:tc>
          <w:tcPr>
            <w:tcW w:w="912" w:type="pct"/>
            <w:tcBorders>
              <w:top w:val="nil"/>
              <w:left w:val="nil"/>
              <w:bottom w:val="single" w:sz="4" w:space="0" w:color="auto"/>
              <w:right w:val="nil"/>
            </w:tcBorders>
            <w:shd w:val="clear" w:color="000000" w:fill="FFFFFF"/>
            <w:noWrap/>
            <w:vAlign w:val="center"/>
            <w:hideMark/>
          </w:tcPr>
          <w:p w14:paraId="7F058304" w14:textId="77777777" w:rsidR="009372DA" w:rsidRPr="00D618B7" w:rsidRDefault="009372DA" w:rsidP="004B11B7">
            <w:pPr>
              <w:jc w:val="right"/>
              <w:rPr>
                <w:color w:val="000000"/>
                <w:sz w:val="22"/>
                <w:szCs w:val="22"/>
              </w:rPr>
            </w:pPr>
            <w:r w:rsidRPr="00D618B7">
              <w:rPr>
                <w:color w:val="000000"/>
                <w:sz w:val="22"/>
                <w:szCs w:val="22"/>
              </w:rPr>
              <w:t>0.0118</w:t>
            </w:r>
          </w:p>
        </w:tc>
        <w:tc>
          <w:tcPr>
            <w:tcW w:w="635" w:type="pct"/>
            <w:tcBorders>
              <w:top w:val="nil"/>
              <w:left w:val="nil"/>
              <w:bottom w:val="single" w:sz="4" w:space="0" w:color="auto"/>
              <w:right w:val="nil"/>
            </w:tcBorders>
            <w:shd w:val="clear" w:color="000000" w:fill="FFFFFF"/>
            <w:noWrap/>
            <w:vAlign w:val="center"/>
            <w:hideMark/>
          </w:tcPr>
          <w:p w14:paraId="11803AD9" w14:textId="77777777" w:rsidR="009372DA" w:rsidRPr="00D618B7" w:rsidRDefault="009372DA" w:rsidP="004B11B7">
            <w:pPr>
              <w:jc w:val="right"/>
              <w:rPr>
                <w:color w:val="000000"/>
                <w:sz w:val="22"/>
                <w:szCs w:val="22"/>
              </w:rPr>
            </w:pPr>
            <w:r w:rsidRPr="00D618B7">
              <w:rPr>
                <w:color w:val="000000"/>
                <w:sz w:val="22"/>
                <w:szCs w:val="22"/>
              </w:rPr>
              <w:t>0.0042</w:t>
            </w:r>
          </w:p>
        </w:tc>
      </w:tr>
      <w:tr w:rsidR="009372DA" w:rsidRPr="00D618B7" w14:paraId="2F5419FC" w14:textId="77777777" w:rsidTr="008839D5">
        <w:trPr>
          <w:trHeight w:val="266"/>
        </w:trPr>
        <w:tc>
          <w:tcPr>
            <w:tcW w:w="756" w:type="pct"/>
            <w:tcBorders>
              <w:top w:val="single" w:sz="4" w:space="0" w:color="auto"/>
              <w:left w:val="nil"/>
              <w:bottom w:val="nil"/>
              <w:right w:val="nil"/>
            </w:tcBorders>
            <w:shd w:val="clear" w:color="000000" w:fill="FFFFFF"/>
            <w:noWrap/>
            <w:vAlign w:val="bottom"/>
            <w:hideMark/>
          </w:tcPr>
          <w:p w14:paraId="6229E9C7" w14:textId="77777777" w:rsidR="009372DA" w:rsidRPr="00D618B7" w:rsidRDefault="009372DA" w:rsidP="004B11B7">
            <w:pPr>
              <w:rPr>
                <w:color w:val="000000"/>
                <w:sz w:val="22"/>
                <w:szCs w:val="22"/>
              </w:rPr>
            </w:pPr>
            <w:r w:rsidRPr="00D618B7">
              <w:rPr>
                <w:color w:val="000000"/>
                <w:sz w:val="22"/>
                <w:szCs w:val="22"/>
              </w:rPr>
              <w:t> </w:t>
            </w:r>
          </w:p>
        </w:tc>
        <w:tc>
          <w:tcPr>
            <w:tcW w:w="4244" w:type="pct"/>
            <w:gridSpan w:val="6"/>
            <w:tcBorders>
              <w:top w:val="single" w:sz="4" w:space="0" w:color="auto"/>
              <w:left w:val="nil"/>
              <w:bottom w:val="nil"/>
              <w:right w:val="nil"/>
            </w:tcBorders>
            <w:shd w:val="clear" w:color="000000" w:fill="FFFFFF"/>
            <w:noWrap/>
            <w:vAlign w:val="center"/>
            <w:hideMark/>
          </w:tcPr>
          <w:p w14:paraId="7CFA747F" w14:textId="77777777" w:rsidR="009372DA" w:rsidRPr="00D618B7" w:rsidRDefault="009372DA" w:rsidP="004B11B7">
            <w:pPr>
              <w:jc w:val="center"/>
              <w:rPr>
                <w:color w:val="000000"/>
                <w:sz w:val="22"/>
                <w:szCs w:val="22"/>
              </w:rPr>
            </w:pPr>
            <w:r w:rsidRPr="00D618B7">
              <w:rPr>
                <w:color w:val="000000"/>
                <w:sz w:val="22"/>
                <w:szCs w:val="22"/>
              </w:rPr>
              <w:t>Toy-Moving-into-Reach</w:t>
            </w:r>
          </w:p>
        </w:tc>
      </w:tr>
      <w:tr w:rsidR="008839D5" w:rsidRPr="00D618B7" w14:paraId="6FE03C42" w14:textId="77777777" w:rsidTr="008839D5">
        <w:trPr>
          <w:trHeight w:val="266"/>
        </w:trPr>
        <w:tc>
          <w:tcPr>
            <w:tcW w:w="756" w:type="pct"/>
            <w:tcBorders>
              <w:top w:val="nil"/>
              <w:left w:val="nil"/>
              <w:bottom w:val="nil"/>
              <w:right w:val="nil"/>
            </w:tcBorders>
            <w:shd w:val="clear" w:color="000000" w:fill="FFFFFF"/>
            <w:vAlign w:val="center"/>
            <w:hideMark/>
          </w:tcPr>
          <w:p w14:paraId="4875971D" w14:textId="77777777" w:rsidR="009372DA" w:rsidRPr="00D618B7" w:rsidRDefault="009372DA" w:rsidP="004B11B7">
            <w:pPr>
              <w:jc w:val="right"/>
              <w:rPr>
                <w:color w:val="000000"/>
                <w:sz w:val="22"/>
                <w:szCs w:val="22"/>
              </w:rPr>
            </w:pPr>
            <w:r w:rsidRPr="00D618B7">
              <w:rPr>
                <w:color w:val="000000"/>
                <w:sz w:val="22"/>
                <w:szCs w:val="22"/>
              </w:rPr>
              <w:t>-5</w:t>
            </w:r>
          </w:p>
        </w:tc>
        <w:tc>
          <w:tcPr>
            <w:tcW w:w="583" w:type="pct"/>
            <w:tcBorders>
              <w:top w:val="nil"/>
              <w:left w:val="nil"/>
              <w:bottom w:val="nil"/>
              <w:right w:val="nil"/>
            </w:tcBorders>
            <w:shd w:val="clear" w:color="000000" w:fill="FFFFFF"/>
            <w:noWrap/>
            <w:vAlign w:val="center"/>
            <w:hideMark/>
          </w:tcPr>
          <w:p w14:paraId="623300B6" w14:textId="77777777" w:rsidR="009372DA" w:rsidRPr="00D618B7" w:rsidRDefault="009372DA" w:rsidP="004B11B7">
            <w:pPr>
              <w:jc w:val="right"/>
              <w:rPr>
                <w:color w:val="000000"/>
                <w:sz w:val="22"/>
                <w:szCs w:val="22"/>
              </w:rPr>
            </w:pPr>
            <w:r w:rsidRPr="00D618B7">
              <w:rPr>
                <w:color w:val="000000"/>
                <w:sz w:val="22"/>
                <w:szCs w:val="22"/>
              </w:rPr>
              <w:t>0.0003</w:t>
            </w:r>
          </w:p>
        </w:tc>
        <w:tc>
          <w:tcPr>
            <w:tcW w:w="620" w:type="pct"/>
            <w:tcBorders>
              <w:top w:val="nil"/>
              <w:left w:val="nil"/>
              <w:bottom w:val="nil"/>
              <w:right w:val="nil"/>
            </w:tcBorders>
            <w:shd w:val="clear" w:color="000000" w:fill="FFFFFF"/>
            <w:noWrap/>
            <w:vAlign w:val="center"/>
            <w:hideMark/>
          </w:tcPr>
          <w:p w14:paraId="59AF2367" w14:textId="77777777" w:rsidR="009372DA" w:rsidRPr="00D618B7" w:rsidRDefault="009372DA" w:rsidP="004B11B7">
            <w:pPr>
              <w:jc w:val="right"/>
              <w:rPr>
                <w:color w:val="000000"/>
                <w:sz w:val="22"/>
                <w:szCs w:val="22"/>
              </w:rPr>
            </w:pPr>
            <w:r w:rsidRPr="00D618B7">
              <w:rPr>
                <w:color w:val="000000"/>
                <w:sz w:val="22"/>
                <w:szCs w:val="22"/>
              </w:rPr>
              <w:t>0.0047</w:t>
            </w:r>
          </w:p>
        </w:tc>
        <w:tc>
          <w:tcPr>
            <w:tcW w:w="881" w:type="pct"/>
            <w:tcBorders>
              <w:top w:val="nil"/>
              <w:left w:val="nil"/>
              <w:bottom w:val="nil"/>
              <w:right w:val="nil"/>
            </w:tcBorders>
            <w:shd w:val="clear" w:color="000000" w:fill="FFFFFF"/>
            <w:noWrap/>
            <w:vAlign w:val="center"/>
            <w:hideMark/>
          </w:tcPr>
          <w:p w14:paraId="2EEE05BA" w14:textId="77777777" w:rsidR="009372DA" w:rsidRPr="00D618B7" w:rsidRDefault="009372DA" w:rsidP="004B11B7">
            <w:pPr>
              <w:jc w:val="right"/>
              <w:rPr>
                <w:color w:val="000000"/>
                <w:sz w:val="22"/>
                <w:szCs w:val="22"/>
              </w:rPr>
            </w:pPr>
            <w:r w:rsidRPr="00D618B7">
              <w:rPr>
                <w:color w:val="000000"/>
                <w:sz w:val="22"/>
                <w:szCs w:val="22"/>
              </w:rPr>
              <w:t>0.0000</w:t>
            </w:r>
          </w:p>
        </w:tc>
        <w:tc>
          <w:tcPr>
            <w:tcW w:w="613" w:type="pct"/>
            <w:tcBorders>
              <w:top w:val="nil"/>
              <w:left w:val="nil"/>
              <w:bottom w:val="nil"/>
              <w:right w:val="nil"/>
            </w:tcBorders>
            <w:shd w:val="clear" w:color="000000" w:fill="FFFFFF"/>
            <w:noWrap/>
            <w:vAlign w:val="center"/>
            <w:hideMark/>
          </w:tcPr>
          <w:p w14:paraId="7C5E8C34" w14:textId="77777777" w:rsidR="009372DA" w:rsidRPr="00D618B7" w:rsidRDefault="009372DA" w:rsidP="004B11B7">
            <w:pPr>
              <w:jc w:val="right"/>
              <w:rPr>
                <w:color w:val="000000"/>
                <w:sz w:val="22"/>
                <w:szCs w:val="22"/>
              </w:rPr>
            </w:pPr>
            <w:r w:rsidRPr="00D618B7">
              <w:rPr>
                <w:color w:val="000000"/>
                <w:sz w:val="22"/>
                <w:szCs w:val="22"/>
              </w:rPr>
              <w:t>0.0046</w:t>
            </w:r>
          </w:p>
        </w:tc>
        <w:tc>
          <w:tcPr>
            <w:tcW w:w="912" w:type="pct"/>
            <w:tcBorders>
              <w:top w:val="nil"/>
              <w:left w:val="nil"/>
              <w:bottom w:val="nil"/>
              <w:right w:val="nil"/>
            </w:tcBorders>
            <w:shd w:val="clear" w:color="000000" w:fill="FFFFFF"/>
            <w:noWrap/>
            <w:vAlign w:val="center"/>
            <w:hideMark/>
          </w:tcPr>
          <w:p w14:paraId="5235ACB6" w14:textId="77777777" w:rsidR="009372DA" w:rsidRPr="00D618B7" w:rsidRDefault="009372DA" w:rsidP="004B11B7">
            <w:pPr>
              <w:jc w:val="right"/>
              <w:rPr>
                <w:color w:val="000000"/>
                <w:sz w:val="22"/>
                <w:szCs w:val="22"/>
              </w:rPr>
            </w:pPr>
            <w:r w:rsidRPr="00D618B7">
              <w:rPr>
                <w:color w:val="000000"/>
                <w:sz w:val="22"/>
                <w:szCs w:val="22"/>
              </w:rPr>
              <w:t>0.0003</w:t>
            </w:r>
          </w:p>
        </w:tc>
        <w:tc>
          <w:tcPr>
            <w:tcW w:w="635" w:type="pct"/>
            <w:tcBorders>
              <w:top w:val="nil"/>
              <w:left w:val="nil"/>
              <w:bottom w:val="nil"/>
              <w:right w:val="nil"/>
            </w:tcBorders>
            <w:shd w:val="clear" w:color="000000" w:fill="FFFFFF"/>
            <w:noWrap/>
            <w:vAlign w:val="center"/>
            <w:hideMark/>
          </w:tcPr>
          <w:p w14:paraId="702FABD7" w14:textId="77777777" w:rsidR="009372DA" w:rsidRPr="00D618B7" w:rsidRDefault="009372DA" w:rsidP="004B11B7">
            <w:pPr>
              <w:jc w:val="right"/>
              <w:rPr>
                <w:color w:val="000000"/>
                <w:sz w:val="22"/>
                <w:szCs w:val="22"/>
              </w:rPr>
            </w:pPr>
            <w:r w:rsidRPr="00D618B7">
              <w:rPr>
                <w:color w:val="000000"/>
                <w:sz w:val="22"/>
                <w:szCs w:val="22"/>
              </w:rPr>
              <w:t>0.0046</w:t>
            </w:r>
          </w:p>
        </w:tc>
      </w:tr>
      <w:tr w:rsidR="008839D5" w:rsidRPr="00D618B7" w14:paraId="42B910D5" w14:textId="77777777" w:rsidTr="008839D5">
        <w:trPr>
          <w:trHeight w:val="266"/>
        </w:trPr>
        <w:tc>
          <w:tcPr>
            <w:tcW w:w="756" w:type="pct"/>
            <w:tcBorders>
              <w:top w:val="nil"/>
              <w:left w:val="nil"/>
              <w:bottom w:val="nil"/>
              <w:right w:val="nil"/>
            </w:tcBorders>
            <w:shd w:val="clear" w:color="000000" w:fill="FFFFFF"/>
            <w:vAlign w:val="center"/>
            <w:hideMark/>
          </w:tcPr>
          <w:p w14:paraId="08749236" w14:textId="77777777" w:rsidR="009372DA" w:rsidRPr="00D618B7" w:rsidRDefault="009372DA" w:rsidP="004B11B7">
            <w:pPr>
              <w:jc w:val="right"/>
              <w:rPr>
                <w:color w:val="000000"/>
                <w:sz w:val="22"/>
                <w:szCs w:val="22"/>
              </w:rPr>
            </w:pPr>
            <w:r w:rsidRPr="00D618B7">
              <w:rPr>
                <w:color w:val="000000"/>
                <w:sz w:val="22"/>
                <w:szCs w:val="22"/>
              </w:rPr>
              <w:t>-4</w:t>
            </w:r>
          </w:p>
        </w:tc>
        <w:tc>
          <w:tcPr>
            <w:tcW w:w="583" w:type="pct"/>
            <w:tcBorders>
              <w:top w:val="nil"/>
              <w:left w:val="nil"/>
              <w:bottom w:val="nil"/>
              <w:right w:val="nil"/>
            </w:tcBorders>
            <w:shd w:val="clear" w:color="000000" w:fill="FFFFFF"/>
            <w:noWrap/>
            <w:vAlign w:val="center"/>
            <w:hideMark/>
          </w:tcPr>
          <w:p w14:paraId="7B19DA2F" w14:textId="77777777" w:rsidR="009372DA" w:rsidRPr="00D618B7" w:rsidRDefault="009372DA" w:rsidP="004B11B7">
            <w:pPr>
              <w:jc w:val="right"/>
              <w:rPr>
                <w:color w:val="000000"/>
                <w:sz w:val="22"/>
                <w:szCs w:val="22"/>
              </w:rPr>
            </w:pPr>
            <w:r w:rsidRPr="00D618B7">
              <w:rPr>
                <w:color w:val="000000"/>
                <w:sz w:val="22"/>
                <w:szCs w:val="22"/>
              </w:rPr>
              <w:t>-0.0020</w:t>
            </w:r>
          </w:p>
        </w:tc>
        <w:tc>
          <w:tcPr>
            <w:tcW w:w="620" w:type="pct"/>
            <w:tcBorders>
              <w:top w:val="nil"/>
              <w:left w:val="nil"/>
              <w:bottom w:val="nil"/>
              <w:right w:val="nil"/>
            </w:tcBorders>
            <w:shd w:val="clear" w:color="000000" w:fill="FFFFFF"/>
            <w:noWrap/>
            <w:vAlign w:val="center"/>
            <w:hideMark/>
          </w:tcPr>
          <w:p w14:paraId="29D44299" w14:textId="77777777" w:rsidR="009372DA" w:rsidRPr="00D618B7" w:rsidRDefault="009372DA" w:rsidP="004B11B7">
            <w:pPr>
              <w:jc w:val="right"/>
              <w:rPr>
                <w:color w:val="000000"/>
                <w:sz w:val="22"/>
                <w:szCs w:val="22"/>
              </w:rPr>
            </w:pPr>
            <w:r w:rsidRPr="00D618B7">
              <w:rPr>
                <w:color w:val="000000"/>
                <w:sz w:val="22"/>
                <w:szCs w:val="22"/>
              </w:rPr>
              <w:t>0.0041</w:t>
            </w:r>
          </w:p>
        </w:tc>
        <w:tc>
          <w:tcPr>
            <w:tcW w:w="881" w:type="pct"/>
            <w:tcBorders>
              <w:top w:val="nil"/>
              <w:left w:val="nil"/>
              <w:bottom w:val="nil"/>
              <w:right w:val="nil"/>
            </w:tcBorders>
            <w:shd w:val="clear" w:color="000000" w:fill="FFFFFF"/>
            <w:noWrap/>
            <w:vAlign w:val="center"/>
            <w:hideMark/>
          </w:tcPr>
          <w:p w14:paraId="4F0BB56F" w14:textId="77777777" w:rsidR="009372DA" w:rsidRPr="00D618B7" w:rsidRDefault="009372DA" w:rsidP="004B11B7">
            <w:pPr>
              <w:jc w:val="right"/>
              <w:rPr>
                <w:color w:val="000000"/>
                <w:sz w:val="22"/>
                <w:szCs w:val="22"/>
              </w:rPr>
            </w:pPr>
            <w:r w:rsidRPr="00D618B7">
              <w:rPr>
                <w:color w:val="000000"/>
                <w:sz w:val="22"/>
                <w:szCs w:val="22"/>
              </w:rPr>
              <w:t>0.0002</w:t>
            </w:r>
          </w:p>
        </w:tc>
        <w:tc>
          <w:tcPr>
            <w:tcW w:w="613" w:type="pct"/>
            <w:tcBorders>
              <w:top w:val="nil"/>
              <w:left w:val="nil"/>
              <w:bottom w:val="nil"/>
              <w:right w:val="nil"/>
            </w:tcBorders>
            <w:shd w:val="clear" w:color="000000" w:fill="FFFFFF"/>
            <w:noWrap/>
            <w:vAlign w:val="center"/>
            <w:hideMark/>
          </w:tcPr>
          <w:p w14:paraId="0F3C329A" w14:textId="77777777" w:rsidR="009372DA" w:rsidRPr="00D618B7" w:rsidRDefault="009372DA" w:rsidP="004B11B7">
            <w:pPr>
              <w:jc w:val="right"/>
              <w:rPr>
                <w:color w:val="000000"/>
                <w:sz w:val="22"/>
                <w:szCs w:val="22"/>
              </w:rPr>
            </w:pPr>
            <w:r w:rsidRPr="00D618B7">
              <w:rPr>
                <w:color w:val="000000"/>
                <w:sz w:val="22"/>
                <w:szCs w:val="22"/>
              </w:rPr>
              <w:t>0.0041</w:t>
            </w:r>
          </w:p>
        </w:tc>
        <w:tc>
          <w:tcPr>
            <w:tcW w:w="912" w:type="pct"/>
            <w:tcBorders>
              <w:top w:val="nil"/>
              <w:left w:val="nil"/>
              <w:bottom w:val="nil"/>
              <w:right w:val="nil"/>
            </w:tcBorders>
            <w:shd w:val="clear" w:color="000000" w:fill="FFFFFF"/>
            <w:noWrap/>
            <w:vAlign w:val="center"/>
            <w:hideMark/>
          </w:tcPr>
          <w:p w14:paraId="136DF82B" w14:textId="77777777" w:rsidR="009372DA" w:rsidRPr="00D618B7" w:rsidRDefault="009372DA" w:rsidP="004B11B7">
            <w:pPr>
              <w:jc w:val="right"/>
              <w:rPr>
                <w:color w:val="000000"/>
                <w:sz w:val="22"/>
                <w:szCs w:val="22"/>
              </w:rPr>
            </w:pPr>
            <w:r w:rsidRPr="00D618B7">
              <w:rPr>
                <w:color w:val="000000"/>
                <w:sz w:val="22"/>
                <w:szCs w:val="22"/>
              </w:rPr>
              <w:t>0.0003</w:t>
            </w:r>
          </w:p>
        </w:tc>
        <w:tc>
          <w:tcPr>
            <w:tcW w:w="635" w:type="pct"/>
            <w:tcBorders>
              <w:top w:val="nil"/>
              <w:left w:val="nil"/>
              <w:bottom w:val="nil"/>
              <w:right w:val="nil"/>
            </w:tcBorders>
            <w:shd w:val="clear" w:color="000000" w:fill="FFFFFF"/>
            <w:noWrap/>
            <w:vAlign w:val="center"/>
            <w:hideMark/>
          </w:tcPr>
          <w:p w14:paraId="7CD64243" w14:textId="77777777" w:rsidR="009372DA" w:rsidRPr="00D618B7" w:rsidRDefault="009372DA" w:rsidP="004B11B7">
            <w:pPr>
              <w:jc w:val="right"/>
              <w:rPr>
                <w:color w:val="000000"/>
                <w:sz w:val="22"/>
                <w:szCs w:val="22"/>
              </w:rPr>
            </w:pPr>
            <w:r w:rsidRPr="00D618B7">
              <w:rPr>
                <w:color w:val="000000"/>
                <w:sz w:val="22"/>
                <w:szCs w:val="22"/>
              </w:rPr>
              <w:t>0.0041</w:t>
            </w:r>
          </w:p>
        </w:tc>
      </w:tr>
      <w:tr w:rsidR="008839D5" w:rsidRPr="00D618B7" w14:paraId="5021CB9C" w14:textId="77777777" w:rsidTr="008839D5">
        <w:trPr>
          <w:trHeight w:val="266"/>
        </w:trPr>
        <w:tc>
          <w:tcPr>
            <w:tcW w:w="756" w:type="pct"/>
            <w:tcBorders>
              <w:top w:val="nil"/>
              <w:left w:val="nil"/>
              <w:bottom w:val="nil"/>
              <w:right w:val="nil"/>
            </w:tcBorders>
            <w:shd w:val="clear" w:color="000000" w:fill="FFFFFF"/>
            <w:vAlign w:val="center"/>
            <w:hideMark/>
          </w:tcPr>
          <w:p w14:paraId="50C78508" w14:textId="77777777" w:rsidR="009372DA" w:rsidRPr="00D618B7" w:rsidRDefault="009372DA"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114772F4" w14:textId="77777777" w:rsidR="009372DA" w:rsidRPr="00D618B7" w:rsidRDefault="009372DA" w:rsidP="004B11B7">
            <w:pPr>
              <w:jc w:val="right"/>
              <w:rPr>
                <w:color w:val="000000"/>
                <w:sz w:val="22"/>
                <w:szCs w:val="22"/>
              </w:rPr>
            </w:pPr>
            <w:r w:rsidRPr="00D618B7">
              <w:rPr>
                <w:color w:val="000000"/>
                <w:sz w:val="22"/>
                <w:szCs w:val="22"/>
              </w:rPr>
              <w:t>0.0017</w:t>
            </w:r>
          </w:p>
        </w:tc>
        <w:tc>
          <w:tcPr>
            <w:tcW w:w="620" w:type="pct"/>
            <w:tcBorders>
              <w:top w:val="nil"/>
              <w:left w:val="nil"/>
              <w:bottom w:val="nil"/>
              <w:right w:val="nil"/>
            </w:tcBorders>
            <w:shd w:val="clear" w:color="000000" w:fill="FFFFFF"/>
            <w:noWrap/>
            <w:vAlign w:val="center"/>
            <w:hideMark/>
          </w:tcPr>
          <w:p w14:paraId="7D11B575" w14:textId="77777777" w:rsidR="009372DA" w:rsidRPr="00D618B7" w:rsidRDefault="009372DA" w:rsidP="004B11B7">
            <w:pPr>
              <w:jc w:val="right"/>
              <w:rPr>
                <w:color w:val="000000"/>
                <w:sz w:val="22"/>
                <w:szCs w:val="22"/>
              </w:rPr>
            </w:pPr>
            <w:r w:rsidRPr="00D618B7">
              <w:rPr>
                <w:color w:val="000000"/>
                <w:sz w:val="22"/>
                <w:szCs w:val="22"/>
              </w:rPr>
              <w:t>0.0042</w:t>
            </w:r>
          </w:p>
        </w:tc>
        <w:tc>
          <w:tcPr>
            <w:tcW w:w="881" w:type="pct"/>
            <w:tcBorders>
              <w:top w:val="nil"/>
              <w:left w:val="nil"/>
              <w:bottom w:val="nil"/>
              <w:right w:val="nil"/>
            </w:tcBorders>
            <w:shd w:val="clear" w:color="000000" w:fill="FFFFFF"/>
            <w:noWrap/>
            <w:vAlign w:val="center"/>
            <w:hideMark/>
          </w:tcPr>
          <w:p w14:paraId="2B6B39E6" w14:textId="77777777" w:rsidR="009372DA" w:rsidRPr="00D618B7" w:rsidRDefault="009372DA" w:rsidP="004B11B7">
            <w:pPr>
              <w:jc w:val="right"/>
              <w:rPr>
                <w:color w:val="000000"/>
                <w:sz w:val="22"/>
                <w:szCs w:val="22"/>
              </w:rPr>
            </w:pPr>
            <w:r w:rsidRPr="00D618B7">
              <w:rPr>
                <w:color w:val="000000"/>
                <w:sz w:val="22"/>
                <w:szCs w:val="22"/>
              </w:rPr>
              <w:t>-0.0002</w:t>
            </w:r>
          </w:p>
        </w:tc>
        <w:tc>
          <w:tcPr>
            <w:tcW w:w="613" w:type="pct"/>
            <w:tcBorders>
              <w:top w:val="nil"/>
              <w:left w:val="nil"/>
              <w:bottom w:val="nil"/>
              <w:right w:val="nil"/>
            </w:tcBorders>
            <w:shd w:val="clear" w:color="000000" w:fill="FFFFFF"/>
            <w:noWrap/>
            <w:vAlign w:val="center"/>
            <w:hideMark/>
          </w:tcPr>
          <w:p w14:paraId="4B98F1B7" w14:textId="77777777" w:rsidR="009372DA" w:rsidRPr="00D618B7" w:rsidRDefault="009372DA" w:rsidP="004B11B7">
            <w:pPr>
              <w:jc w:val="right"/>
              <w:rPr>
                <w:color w:val="000000"/>
                <w:sz w:val="22"/>
                <w:szCs w:val="22"/>
              </w:rPr>
            </w:pPr>
            <w:r w:rsidRPr="00D618B7">
              <w:rPr>
                <w:color w:val="000000"/>
                <w:sz w:val="22"/>
                <w:szCs w:val="22"/>
              </w:rPr>
              <w:t>0.0041</w:t>
            </w:r>
          </w:p>
        </w:tc>
        <w:tc>
          <w:tcPr>
            <w:tcW w:w="912" w:type="pct"/>
            <w:tcBorders>
              <w:top w:val="nil"/>
              <w:left w:val="nil"/>
              <w:bottom w:val="nil"/>
              <w:right w:val="nil"/>
            </w:tcBorders>
            <w:shd w:val="clear" w:color="000000" w:fill="FFFFFF"/>
            <w:noWrap/>
            <w:vAlign w:val="center"/>
            <w:hideMark/>
          </w:tcPr>
          <w:p w14:paraId="457DC60F" w14:textId="77777777" w:rsidR="009372DA" w:rsidRPr="00D618B7" w:rsidRDefault="009372DA" w:rsidP="004B11B7">
            <w:pPr>
              <w:jc w:val="right"/>
              <w:rPr>
                <w:color w:val="000000"/>
                <w:sz w:val="22"/>
                <w:szCs w:val="22"/>
              </w:rPr>
            </w:pPr>
            <w:r w:rsidRPr="00D618B7">
              <w:rPr>
                <w:color w:val="000000"/>
                <w:sz w:val="22"/>
                <w:szCs w:val="22"/>
              </w:rPr>
              <w:t>-0.0002</w:t>
            </w:r>
          </w:p>
        </w:tc>
        <w:tc>
          <w:tcPr>
            <w:tcW w:w="635" w:type="pct"/>
            <w:tcBorders>
              <w:top w:val="nil"/>
              <w:left w:val="nil"/>
              <w:bottom w:val="nil"/>
              <w:right w:val="nil"/>
            </w:tcBorders>
            <w:shd w:val="clear" w:color="000000" w:fill="FFFFFF"/>
            <w:noWrap/>
            <w:vAlign w:val="center"/>
            <w:hideMark/>
          </w:tcPr>
          <w:p w14:paraId="0523F95B" w14:textId="77777777" w:rsidR="009372DA" w:rsidRPr="00D618B7" w:rsidRDefault="009372DA" w:rsidP="004B11B7">
            <w:pPr>
              <w:jc w:val="right"/>
              <w:rPr>
                <w:color w:val="000000"/>
                <w:sz w:val="22"/>
                <w:szCs w:val="22"/>
              </w:rPr>
            </w:pPr>
            <w:r w:rsidRPr="00D618B7">
              <w:rPr>
                <w:color w:val="000000"/>
                <w:sz w:val="22"/>
                <w:szCs w:val="22"/>
              </w:rPr>
              <w:t>0.0041</w:t>
            </w:r>
          </w:p>
        </w:tc>
      </w:tr>
      <w:tr w:rsidR="008839D5" w:rsidRPr="00D618B7" w14:paraId="49054362" w14:textId="77777777" w:rsidTr="008839D5">
        <w:trPr>
          <w:trHeight w:val="266"/>
        </w:trPr>
        <w:tc>
          <w:tcPr>
            <w:tcW w:w="756" w:type="pct"/>
            <w:tcBorders>
              <w:top w:val="nil"/>
              <w:left w:val="nil"/>
              <w:bottom w:val="nil"/>
              <w:right w:val="nil"/>
            </w:tcBorders>
            <w:shd w:val="clear" w:color="000000" w:fill="FFFFFF"/>
            <w:vAlign w:val="center"/>
            <w:hideMark/>
          </w:tcPr>
          <w:p w14:paraId="3B8CF850" w14:textId="77777777" w:rsidR="009372DA" w:rsidRPr="00D618B7" w:rsidRDefault="009372DA"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2A1EEA55" w14:textId="77777777" w:rsidR="009372DA" w:rsidRPr="00D618B7" w:rsidRDefault="009372DA" w:rsidP="004B11B7">
            <w:pPr>
              <w:jc w:val="right"/>
              <w:rPr>
                <w:color w:val="000000"/>
                <w:sz w:val="22"/>
                <w:szCs w:val="22"/>
              </w:rPr>
            </w:pPr>
            <w:r w:rsidRPr="00D618B7">
              <w:rPr>
                <w:color w:val="000000"/>
                <w:sz w:val="22"/>
                <w:szCs w:val="22"/>
              </w:rPr>
              <w:t>-0.0015</w:t>
            </w:r>
          </w:p>
        </w:tc>
        <w:tc>
          <w:tcPr>
            <w:tcW w:w="620" w:type="pct"/>
            <w:tcBorders>
              <w:top w:val="nil"/>
              <w:left w:val="nil"/>
              <w:bottom w:val="nil"/>
              <w:right w:val="nil"/>
            </w:tcBorders>
            <w:shd w:val="clear" w:color="000000" w:fill="FFFFFF"/>
            <w:noWrap/>
            <w:vAlign w:val="center"/>
            <w:hideMark/>
          </w:tcPr>
          <w:p w14:paraId="7F108D7A" w14:textId="77777777" w:rsidR="009372DA" w:rsidRPr="00D618B7" w:rsidRDefault="009372DA" w:rsidP="004B11B7">
            <w:pPr>
              <w:jc w:val="right"/>
              <w:rPr>
                <w:color w:val="000000"/>
                <w:sz w:val="22"/>
                <w:szCs w:val="22"/>
              </w:rPr>
            </w:pPr>
            <w:r w:rsidRPr="00D618B7">
              <w:rPr>
                <w:color w:val="000000"/>
                <w:sz w:val="22"/>
                <w:szCs w:val="22"/>
              </w:rPr>
              <w:t>0.0037</w:t>
            </w:r>
          </w:p>
        </w:tc>
        <w:tc>
          <w:tcPr>
            <w:tcW w:w="881" w:type="pct"/>
            <w:tcBorders>
              <w:top w:val="nil"/>
              <w:left w:val="nil"/>
              <w:bottom w:val="nil"/>
              <w:right w:val="nil"/>
            </w:tcBorders>
            <w:shd w:val="clear" w:color="000000" w:fill="FFFFFF"/>
            <w:noWrap/>
            <w:vAlign w:val="center"/>
            <w:hideMark/>
          </w:tcPr>
          <w:p w14:paraId="39106FEA" w14:textId="77777777" w:rsidR="009372DA" w:rsidRPr="00D618B7" w:rsidRDefault="009372DA" w:rsidP="004B11B7">
            <w:pPr>
              <w:jc w:val="right"/>
              <w:rPr>
                <w:color w:val="000000"/>
                <w:sz w:val="22"/>
                <w:szCs w:val="22"/>
              </w:rPr>
            </w:pPr>
            <w:r w:rsidRPr="00D618B7">
              <w:rPr>
                <w:color w:val="000000"/>
                <w:sz w:val="22"/>
                <w:szCs w:val="22"/>
              </w:rPr>
              <w:t>-0.0001</w:t>
            </w:r>
          </w:p>
        </w:tc>
        <w:tc>
          <w:tcPr>
            <w:tcW w:w="613" w:type="pct"/>
            <w:tcBorders>
              <w:top w:val="nil"/>
              <w:left w:val="nil"/>
              <w:bottom w:val="nil"/>
              <w:right w:val="nil"/>
            </w:tcBorders>
            <w:shd w:val="clear" w:color="000000" w:fill="FFFFFF"/>
            <w:noWrap/>
            <w:vAlign w:val="center"/>
            <w:hideMark/>
          </w:tcPr>
          <w:p w14:paraId="46A241BE" w14:textId="77777777" w:rsidR="009372DA" w:rsidRPr="00D618B7" w:rsidRDefault="009372DA" w:rsidP="004B11B7">
            <w:pPr>
              <w:jc w:val="right"/>
              <w:rPr>
                <w:color w:val="000000"/>
                <w:sz w:val="22"/>
                <w:szCs w:val="22"/>
              </w:rPr>
            </w:pPr>
            <w:r w:rsidRPr="00D618B7">
              <w:rPr>
                <w:color w:val="000000"/>
                <w:sz w:val="22"/>
                <w:szCs w:val="22"/>
              </w:rPr>
              <w:t>0.0037</w:t>
            </w:r>
          </w:p>
        </w:tc>
        <w:tc>
          <w:tcPr>
            <w:tcW w:w="912" w:type="pct"/>
            <w:tcBorders>
              <w:top w:val="nil"/>
              <w:left w:val="nil"/>
              <w:bottom w:val="nil"/>
              <w:right w:val="nil"/>
            </w:tcBorders>
            <w:shd w:val="clear" w:color="000000" w:fill="FFFFFF"/>
            <w:noWrap/>
            <w:vAlign w:val="center"/>
            <w:hideMark/>
          </w:tcPr>
          <w:p w14:paraId="59C0F8C7" w14:textId="77777777" w:rsidR="009372DA" w:rsidRPr="00D618B7" w:rsidRDefault="009372DA" w:rsidP="004B11B7">
            <w:pPr>
              <w:jc w:val="right"/>
              <w:rPr>
                <w:color w:val="000000"/>
                <w:sz w:val="22"/>
                <w:szCs w:val="22"/>
              </w:rPr>
            </w:pPr>
            <w:r w:rsidRPr="00D618B7">
              <w:rPr>
                <w:color w:val="000000"/>
                <w:sz w:val="22"/>
                <w:szCs w:val="22"/>
              </w:rPr>
              <w:t>0.0006</w:t>
            </w:r>
          </w:p>
        </w:tc>
        <w:tc>
          <w:tcPr>
            <w:tcW w:w="635" w:type="pct"/>
            <w:tcBorders>
              <w:top w:val="nil"/>
              <w:left w:val="nil"/>
              <w:bottom w:val="nil"/>
              <w:right w:val="nil"/>
            </w:tcBorders>
            <w:shd w:val="clear" w:color="000000" w:fill="FFFFFF"/>
            <w:noWrap/>
            <w:vAlign w:val="center"/>
            <w:hideMark/>
          </w:tcPr>
          <w:p w14:paraId="5B14D391" w14:textId="77777777" w:rsidR="009372DA" w:rsidRPr="00D618B7" w:rsidRDefault="009372DA" w:rsidP="004B11B7">
            <w:pPr>
              <w:jc w:val="right"/>
              <w:rPr>
                <w:color w:val="000000"/>
                <w:sz w:val="22"/>
                <w:szCs w:val="22"/>
              </w:rPr>
            </w:pPr>
            <w:r w:rsidRPr="00D618B7">
              <w:rPr>
                <w:color w:val="000000"/>
                <w:sz w:val="22"/>
                <w:szCs w:val="22"/>
              </w:rPr>
              <w:t>0.0037</w:t>
            </w:r>
          </w:p>
        </w:tc>
      </w:tr>
      <w:tr w:rsidR="008839D5" w:rsidRPr="00D618B7" w14:paraId="6F9092F3" w14:textId="77777777" w:rsidTr="008839D5">
        <w:trPr>
          <w:trHeight w:val="266"/>
        </w:trPr>
        <w:tc>
          <w:tcPr>
            <w:tcW w:w="756" w:type="pct"/>
            <w:tcBorders>
              <w:top w:val="nil"/>
              <w:left w:val="nil"/>
              <w:bottom w:val="nil"/>
              <w:right w:val="nil"/>
            </w:tcBorders>
            <w:shd w:val="clear" w:color="000000" w:fill="FFFFFF"/>
            <w:vAlign w:val="center"/>
            <w:hideMark/>
          </w:tcPr>
          <w:p w14:paraId="69F6DB0B" w14:textId="77777777" w:rsidR="009372DA" w:rsidRPr="00D618B7" w:rsidRDefault="009372DA"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3E3E2A09" w14:textId="77777777" w:rsidR="009372DA" w:rsidRPr="00D618B7" w:rsidRDefault="009372DA" w:rsidP="004B11B7">
            <w:pPr>
              <w:jc w:val="right"/>
              <w:rPr>
                <w:color w:val="000000"/>
                <w:sz w:val="22"/>
                <w:szCs w:val="22"/>
              </w:rPr>
            </w:pPr>
            <w:r w:rsidRPr="00D618B7">
              <w:rPr>
                <w:color w:val="000000"/>
                <w:sz w:val="22"/>
                <w:szCs w:val="22"/>
              </w:rPr>
              <w:t>0.0003</w:t>
            </w:r>
          </w:p>
        </w:tc>
        <w:tc>
          <w:tcPr>
            <w:tcW w:w="620" w:type="pct"/>
            <w:tcBorders>
              <w:top w:val="nil"/>
              <w:left w:val="nil"/>
              <w:bottom w:val="nil"/>
              <w:right w:val="nil"/>
            </w:tcBorders>
            <w:shd w:val="clear" w:color="000000" w:fill="FFFFFF"/>
            <w:noWrap/>
            <w:vAlign w:val="center"/>
            <w:hideMark/>
          </w:tcPr>
          <w:p w14:paraId="71DF6A77" w14:textId="77777777" w:rsidR="009372DA" w:rsidRPr="00D618B7" w:rsidRDefault="009372DA" w:rsidP="004B11B7">
            <w:pPr>
              <w:jc w:val="right"/>
              <w:rPr>
                <w:color w:val="000000"/>
                <w:sz w:val="22"/>
                <w:szCs w:val="22"/>
              </w:rPr>
            </w:pPr>
            <w:r w:rsidRPr="00D618B7">
              <w:rPr>
                <w:color w:val="000000"/>
                <w:sz w:val="22"/>
                <w:szCs w:val="22"/>
              </w:rPr>
              <w:t>0.0037</w:t>
            </w:r>
          </w:p>
        </w:tc>
        <w:tc>
          <w:tcPr>
            <w:tcW w:w="881" w:type="pct"/>
            <w:tcBorders>
              <w:top w:val="nil"/>
              <w:left w:val="nil"/>
              <w:bottom w:val="nil"/>
              <w:right w:val="nil"/>
            </w:tcBorders>
            <w:shd w:val="clear" w:color="000000" w:fill="FFFFFF"/>
            <w:noWrap/>
            <w:vAlign w:val="center"/>
            <w:hideMark/>
          </w:tcPr>
          <w:p w14:paraId="23045736" w14:textId="77777777" w:rsidR="009372DA" w:rsidRPr="00D618B7" w:rsidRDefault="009372DA" w:rsidP="004B11B7">
            <w:pPr>
              <w:jc w:val="right"/>
              <w:rPr>
                <w:color w:val="000000"/>
                <w:sz w:val="22"/>
                <w:szCs w:val="22"/>
              </w:rPr>
            </w:pPr>
            <w:r w:rsidRPr="00D618B7">
              <w:rPr>
                <w:color w:val="000000"/>
                <w:sz w:val="22"/>
                <w:szCs w:val="22"/>
              </w:rPr>
              <w:t>0.0006</w:t>
            </w:r>
          </w:p>
        </w:tc>
        <w:tc>
          <w:tcPr>
            <w:tcW w:w="613" w:type="pct"/>
            <w:tcBorders>
              <w:top w:val="nil"/>
              <w:left w:val="nil"/>
              <w:bottom w:val="nil"/>
              <w:right w:val="nil"/>
            </w:tcBorders>
            <w:shd w:val="clear" w:color="000000" w:fill="FFFFFF"/>
            <w:noWrap/>
            <w:vAlign w:val="center"/>
            <w:hideMark/>
          </w:tcPr>
          <w:p w14:paraId="78926F62" w14:textId="77777777" w:rsidR="009372DA" w:rsidRPr="00D618B7" w:rsidRDefault="009372DA" w:rsidP="004B11B7">
            <w:pPr>
              <w:jc w:val="right"/>
              <w:rPr>
                <w:color w:val="000000"/>
                <w:sz w:val="22"/>
                <w:szCs w:val="22"/>
              </w:rPr>
            </w:pPr>
            <w:r w:rsidRPr="00D618B7">
              <w:rPr>
                <w:color w:val="000000"/>
                <w:sz w:val="22"/>
                <w:szCs w:val="22"/>
              </w:rPr>
              <w:t>0.0037</w:t>
            </w:r>
          </w:p>
        </w:tc>
        <w:tc>
          <w:tcPr>
            <w:tcW w:w="912" w:type="pct"/>
            <w:tcBorders>
              <w:top w:val="nil"/>
              <w:left w:val="nil"/>
              <w:bottom w:val="nil"/>
              <w:right w:val="nil"/>
            </w:tcBorders>
            <w:shd w:val="clear" w:color="000000" w:fill="FFFFFF"/>
            <w:noWrap/>
            <w:vAlign w:val="center"/>
            <w:hideMark/>
          </w:tcPr>
          <w:p w14:paraId="24C7E85B" w14:textId="77777777" w:rsidR="009372DA" w:rsidRPr="00D618B7" w:rsidRDefault="009372DA" w:rsidP="004B11B7">
            <w:pPr>
              <w:jc w:val="right"/>
              <w:rPr>
                <w:color w:val="000000"/>
                <w:sz w:val="22"/>
                <w:szCs w:val="22"/>
              </w:rPr>
            </w:pPr>
            <w:r w:rsidRPr="00D618B7">
              <w:rPr>
                <w:color w:val="000000"/>
                <w:sz w:val="22"/>
                <w:szCs w:val="22"/>
              </w:rPr>
              <w:t>-0.0005</w:t>
            </w:r>
          </w:p>
        </w:tc>
        <w:tc>
          <w:tcPr>
            <w:tcW w:w="635" w:type="pct"/>
            <w:tcBorders>
              <w:top w:val="nil"/>
              <w:left w:val="nil"/>
              <w:bottom w:val="nil"/>
              <w:right w:val="nil"/>
            </w:tcBorders>
            <w:shd w:val="clear" w:color="000000" w:fill="FFFFFF"/>
            <w:noWrap/>
            <w:vAlign w:val="center"/>
            <w:hideMark/>
          </w:tcPr>
          <w:p w14:paraId="2429B850" w14:textId="77777777" w:rsidR="009372DA" w:rsidRPr="00D618B7" w:rsidRDefault="009372DA" w:rsidP="004B11B7">
            <w:pPr>
              <w:jc w:val="right"/>
              <w:rPr>
                <w:color w:val="000000"/>
                <w:sz w:val="22"/>
                <w:szCs w:val="22"/>
              </w:rPr>
            </w:pPr>
            <w:r w:rsidRPr="00D618B7">
              <w:rPr>
                <w:color w:val="000000"/>
                <w:sz w:val="22"/>
                <w:szCs w:val="22"/>
              </w:rPr>
              <w:t>0.0037</w:t>
            </w:r>
          </w:p>
        </w:tc>
      </w:tr>
      <w:tr w:rsidR="008839D5" w:rsidRPr="00D618B7" w14:paraId="6EA77922" w14:textId="77777777" w:rsidTr="008839D5">
        <w:trPr>
          <w:trHeight w:val="266"/>
        </w:trPr>
        <w:tc>
          <w:tcPr>
            <w:tcW w:w="756" w:type="pct"/>
            <w:tcBorders>
              <w:top w:val="nil"/>
              <w:left w:val="nil"/>
              <w:bottom w:val="nil"/>
              <w:right w:val="nil"/>
            </w:tcBorders>
            <w:shd w:val="clear" w:color="000000" w:fill="FFFFFF"/>
            <w:vAlign w:val="center"/>
            <w:hideMark/>
          </w:tcPr>
          <w:p w14:paraId="186275D5" w14:textId="77777777" w:rsidR="009372DA" w:rsidRPr="00D618B7" w:rsidRDefault="009372DA" w:rsidP="004B11B7">
            <w:pPr>
              <w:jc w:val="right"/>
              <w:rPr>
                <w:color w:val="000000"/>
                <w:sz w:val="22"/>
                <w:szCs w:val="22"/>
              </w:rPr>
            </w:pPr>
            <w:r w:rsidRPr="00D618B7">
              <w:rPr>
                <w:color w:val="000000"/>
                <w:sz w:val="22"/>
                <w:szCs w:val="22"/>
              </w:rPr>
              <w:t>0</w:t>
            </w:r>
          </w:p>
        </w:tc>
        <w:tc>
          <w:tcPr>
            <w:tcW w:w="583" w:type="pct"/>
            <w:tcBorders>
              <w:top w:val="nil"/>
              <w:left w:val="nil"/>
              <w:bottom w:val="nil"/>
              <w:right w:val="nil"/>
            </w:tcBorders>
            <w:shd w:val="clear" w:color="000000" w:fill="FFFFFF"/>
            <w:noWrap/>
            <w:vAlign w:val="center"/>
            <w:hideMark/>
          </w:tcPr>
          <w:p w14:paraId="144F221B" w14:textId="77777777" w:rsidR="009372DA" w:rsidRPr="00D618B7" w:rsidRDefault="009372DA" w:rsidP="004B11B7">
            <w:pPr>
              <w:jc w:val="right"/>
              <w:rPr>
                <w:color w:val="000000"/>
                <w:sz w:val="22"/>
                <w:szCs w:val="22"/>
              </w:rPr>
            </w:pPr>
            <w:r w:rsidRPr="00D618B7">
              <w:rPr>
                <w:color w:val="000000"/>
                <w:sz w:val="22"/>
                <w:szCs w:val="22"/>
              </w:rPr>
              <w:t>0.0001</w:t>
            </w:r>
          </w:p>
        </w:tc>
        <w:tc>
          <w:tcPr>
            <w:tcW w:w="620" w:type="pct"/>
            <w:tcBorders>
              <w:top w:val="nil"/>
              <w:left w:val="nil"/>
              <w:bottom w:val="nil"/>
              <w:right w:val="nil"/>
            </w:tcBorders>
            <w:shd w:val="clear" w:color="000000" w:fill="FFFFFF"/>
            <w:noWrap/>
            <w:vAlign w:val="center"/>
            <w:hideMark/>
          </w:tcPr>
          <w:p w14:paraId="3ADC225A" w14:textId="77777777" w:rsidR="009372DA" w:rsidRPr="00D618B7" w:rsidRDefault="009372DA" w:rsidP="004B11B7">
            <w:pPr>
              <w:jc w:val="right"/>
              <w:rPr>
                <w:color w:val="000000"/>
                <w:sz w:val="22"/>
                <w:szCs w:val="22"/>
              </w:rPr>
            </w:pPr>
            <w:r w:rsidRPr="00D618B7">
              <w:rPr>
                <w:color w:val="000000"/>
                <w:sz w:val="22"/>
                <w:szCs w:val="22"/>
              </w:rPr>
              <w:t>0.0034</w:t>
            </w:r>
          </w:p>
        </w:tc>
        <w:tc>
          <w:tcPr>
            <w:tcW w:w="881" w:type="pct"/>
            <w:tcBorders>
              <w:top w:val="nil"/>
              <w:left w:val="nil"/>
              <w:bottom w:val="nil"/>
              <w:right w:val="nil"/>
            </w:tcBorders>
            <w:shd w:val="clear" w:color="000000" w:fill="FFFFFF"/>
            <w:noWrap/>
            <w:vAlign w:val="center"/>
            <w:hideMark/>
          </w:tcPr>
          <w:p w14:paraId="2A1EA78B" w14:textId="77777777" w:rsidR="009372DA" w:rsidRPr="00D618B7" w:rsidRDefault="009372DA" w:rsidP="004B11B7">
            <w:pPr>
              <w:jc w:val="right"/>
              <w:rPr>
                <w:color w:val="000000"/>
                <w:sz w:val="22"/>
                <w:szCs w:val="22"/>
              </w:rPr>
            </w:pPr>
            <w:r w:rsidRPr="00D618B7">
              <w:rPr>
                <w:color w:val="000000"/>
                <w:sz w:val="22"/>
                <w:szCs w:val="22"/>
              </w:rPr>
              <w:t>0.0033</w:t>
            </w:r>
          </w:p>
        </w:tc>
        <w:tc>
          <w:tcPr>
            <w:tcW w:w="613" w:type="pct"/>
            <w:tcBorders>
              <w:top w:val="nil"/>
              <w:left w:val="nil"/>
              <w:bottom w:val="nil"/>
              <w:right w:val="nil"/>
            </w:tcBorders>
            <w:shd w:val="clear" w:color="000000" w:fill="FFFFFF"/>
            <w:noWrap/>
            <w:vAlign w:val="center"/>
            <w:hideMark/>
          </w:tcPr>
          <w:p w14:paraId="750E58F5" w14:textId="77777777" w:rsidR="009372DA" w:rsidRPr="00D618B7" w:rsidRDefault="009372DA" w:rsidP="004B11B7">
            <w:pPr>
              <w:jc w:val="right"/>
              <w:rPr>
                <w:color w:val="000000"/>
                <w:sz w:val="22"/>
                <w:szCs w:val="22"/>
              </w:rPr>
            </w:pPr>
            <w:r w:rsidRPr="00D618B7">
              <w:rPr>
                <w:color w:val="000000"/>
                <w:sz w:val="22"/>
                <w:szCs w:val="22"/>
              </w:rPr>
              <w:t>0.0034</w:t>
            </w:r>
          </w:p>
        </w:tc>
        <w:tc>
          <w:tcPr>
            <w:tcW w:w="912" w:type="pct"/>
            <w:tcBorders>
              <w:top w:val="nil"/>
              <w:left w:val="nil"/>
              <w:bottom w:val="nil"/>
              <w:right w:val="nil"/>
            </w:tcBorders>
            <w:shd w:val="clear" w:color="000000" w:fill="FFFFFF"/>
            <w:noWrap/>
            <w:vAlign w:val="center"/>
            <w:hideMark/>
          </w:tcPr>
          <w:p w14:paraId="4277AA90" w14:textId="77777777" w:rsidR="009372DA" w:rsidRPr="00D618B7" w:rsidRDefault="009372DA" w:rsidP="004B11B7">
            <w:pPr>
              <w:jc w:val="right"/>
              <w:rPr>
                <w:color w:val="000000"/>
                <w:sz w:val="22"/>
                <w:szCs w:val="22"/>
              </w:rPr>
            </w:pPr>
            <w:r w:rsidRPr="00D618B7">
              <w:rPr>
                <w:color w:val="000000"/>
                <w:sz w:val="22"/>
                <w:szCs w:val="22"/>
              </w:rPr>
              <w:t>0.0023</w:t>
            </w:r>
          </w:p>
        </w:tc>
        <w:tc>
          <w:tcPr>
            <w:tcW w:w="635" w:type="pct"/>
            <w:tcBorders>
              <w:top w:val="nil"/>
              <w:left w:val="nil"/>
              <w:bottom w:val="nil"/>
              <w:right w:val="nil"/>
            </w:tcBorders>
            <w:shd w:val="clear" w:color="000000" w:fill="FFFFFF"/>
            <w:noWrap/>
            <w:vAlign w:val="center"/>
            <w:hideMark/>
          </w:tcPr>
          <w:p w14:paraId="03D71E06" w14:textId="77777777" w:rsidR="009372DA" w:rsidRPr="00D618B7" w:rsidRDefault="009372DA" w:rsidP="004B11B7">
            <w:pPr>
              <w:jc w:val="right"/>
              <w:rPr>
                <w:color w:val="000000"/>
                <w:sz w:val="22"/>
                <w:szCs w:val="22"/>
              </w:rPr>
            </w:pPr>
            <w:r w:rsidRPr="00D618B7">
              <w:rPr>
                <w:color w:val="000000"/>
                <w:sz w:val="22"/>
                <w:szCs w:val="22"/>
              </w:rPr>
              <w:t>0.0034</w:t>
            </w:r>
          </w:p>
        </w:tc>
      </w:tr>
      <w:tr w:rsidR="008839D5" w:rsidRPr="00D618B7" w14:paraId="53442390" w14:textId="77777777" w:rsidTr="008839D5">
        <w:trPr>
          <w:trHeight w:val="266"/>
        </w:trPr>
        <w:tc>
          <w:tcPr>
            <w:tcW w:w="756" w:type="pct"/>
            <w:tcBorders>
              <w:top w:val="nil"/>
              <w:left w:val="nil"/>
              <w:bottom w:val="nil"/>
              <w:right w:val="nil"/>
            </w:tcBorders>
            <w:shd w:val="clear" w:color="000000" w:fill="FFFFFF"/>
            <w:vAlign w:val="center"/>
            <w:hideMark/>
          </w:tcPr>
          <w:p w14:paraId="29DF0CF5" w14:textId="77777777" w:rsidR="009372DA" w:rsidRPr="00D618B7" w:rsidRDefault="009372DA"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6D00D35D" w14:textId="77777777" w:rsidR="009372DA" w:rsidRPr="00D618B7" w:rsidRDefault="009372DA" w:rsidP="004B11B7">
            <w:pPr>
              <w:jc w:val="right"/>
              <w:rPr>
                <w:color w:val="000000"/>
                <w:sz w:val="22"/>
                <w:szCs w:val="22"/>
              </w:rPr>
            </w:pPr>
            <w:r w:rsidRPr="00D618B7">
              <w:rPr>
                <w:color w:val="000000"/>
                <w:sz w:val="22"/>
                <w:szCs w:val="22"/>
              </w:rPr>
              <w:t>0.0005</w:t>
            </w:r>
          </w:p>
        </w:tc>
        <w:tc>
          <w:tcPr>
            <w:tcW w:w="620" w:type="pct"/>
            <w:tcBorders>
              <w:top w:val="nil"/>
              <w:left w:val="nil"/>
              <w:bottom w:val="nil"/>
              <w:right w:val="nil"/>
            </w:tcBorders>
            <w:shd w:val="clear" w:color="000000" w:fill="FFFFFF"/>
            <w:noWrap/>
            <w:vAlign w:val="center"/>
            <w:hideMark/>
          </w:tcPr>
          <w:p w14:paraId="53B9981C" w14:textId="77777777" w:rsidR="009372DA" w:rsidRPr="00D618B7" w:rsidRDefault="009372DA" w:rsidP="004B11B7">
            <w:pPr>
              <w:jc w:val="right"/>
              <w:rPr>
                <w:color w:val="000000"/>
                <w:sz w:val="22"/>
                <w:szCs w:val="22"/>
              </w:rPr>
            </w:pPr>
            <w:r w:rsidRPr="00D618B7">
              <w:rPr>
                <w:color w:val="000000"/>
                <w:sz w:val="22"/>
                <w:szCs w:val="22"/>
              </w:rPr>
              <w:t>0.0034</w:t>
            </w:r>
          </w:p>
        </w:tc>
        <w:tc>
          <w:tcPr>
            <w:tcW w:w="881" w:type="pct"/>
            <w:tcBorders>
              <w:top w:val="nil"/>
              <w:left w:val="nil"/>
              <w:bottom w:val="nil"/>
              <w:right w:val="nil"/>
            </w:tcBorders>
            <w:shd w:val="clear" w:color="000000" w:fill="FFFFFF"/>
            <w:noWrap/>
            <w:vAlign w:val="center"/>
            <w:hideMark/>
          </w:tcPr>
          <w:p w14:paraId="120D57CC" w14:textId="77777777" w:rsidR="009372DA" w:rsidRPr="00D618B7" w:rsidRDefault="009372DA" w:rsidP="004B11B7">
            <w:pPr>
              <w:jc w:val="right"/>
              <w:rPr>
                <w:color w:val="000000"/>
                <w:sz w:val="22"/>
                <w:szCs w:val="22"/>
              </w:rPr>
            </w:pPr>
            <w:r w:rsidRPr="00D618B7">
              <w:rPr>
                <w:color w:val="000000"/>
                <w:sz w:val="22"/>
                <w:szCs w:val="22"/>
              </w:rPr>
              <w:t>0.0006</w:t>
            </w:r>
          </w:p>
        </w:tc>
        <w:tc>
          <w:tcPr>
            <w:tcW w:w="613" w:type="pct"/>
            <w:tcBorders>
              <w:top w:val="nil"/>
              <w:left w:val="nil"/>
              <w:bottom w:val="nil"/>
              <w:right w:val="nil"/>
            </w:tcBorders>
            <w:shd w:val="clear" w:color="000000" w:fill="FFFFFF"/>
            <w:noWrap/>
            <w:vAlign w:val="center"/>
            <w:hideMark/>
          </w:tcPr>
          <w:p w14:paraId="24EDD69F" w14:textId="77777777" w:rsidR="009372DA" w:rsidRPr="00D618B7" w:rsidRDefault="009372DA" w:rsidP="004B11B7">
            <w:pPr>
              <w:jc w:val="right"/>
              <w:rPr>
                <w:color w:val="000000"/>
                <w:sz w:val="22"/>
                <w:szCs w:val="22"/>
              </w:rPr>
            </w:pPr>
            <w:r w:rsidRPr="00D618B7">
              <w:rPr>
                <w:color w:val="000000"/>
                <w:sz w:val="22"/>
                <w:szCs w:val="22"/>
              </w:rPr>
              <w:t>0.0034</w:t>
            </w:r>
          </w:p>
        </w:tc>
        <w:tc>
          <w:tcPr>
            <w:tcW w:w="912" w:type="pct"/>
            <w:tcBorders>
              <w:top w:val="nil"/>
              <w:left w:val="nil"/>
              <w:bottom w:val="nil"/>
              <w:right w:val="nil"/>
            </w:tcBorders>
            <w:shd w:val="clear" w:color="000000" w:fill="FFFFFF"/>
            <w:noWrap/>
            <w:vAlign w:val="center"/>
            <w:hideMark/>
          </w:tcPr>
          <w:p w14:paraId="534F5D5D" w14:textId="77777777" w:rsidR="009372DA" w:rsidRPr="00D618B7" w:rsidRDefault="009372DA" w:rsidP="004B11B7">
            <w:pPr>
              <w:jc w:val="right"/>
              <w:rPr>
                <w:color w:val="000000"/>
                <w:sz w:val="22"/>
                <w:szCs w:val="22"/>
              </w:rPr>
            </w:pPr>
            <w:r w:rsidRPr="00D618B7">
              <w:rPr>
                <w:color w:val="000000"/>
                <w:sz w:val="22"/>
                <w:szCs w:val="22"/>
              </w:rPr>
              <w:t>0.0011</w:t>
            </w:r>
          </w:p>
        </w:tc>
        <w:tc>
          <w:tcPr>
            <w:tcW w:w="635" w:type="pct"/>
            <w:tcBorders>
              <w:top w:val="nil"/>
              <w:left w:val="nil"/>
              <w:bottom w:val="nil"/>
              <w:right w:val="nil"/>
            </w:tcBorders>
            <w:shd w:val="clear" w:color="000000" w:fill="FFFFFF"/>
            <w:noWrap/>
            <w:vAlign w:val="center"/>
            <w:hideMark/>
          </w:tcPr>
          <w:p w14:paraId="26BD9D31" w14:textId="77777777" w:rsidR="009372DA" w:rsidRPr="00D618B7" w:rsidRDefault="009372DA" w:rsidP="004B11B7">
            <w:pPr>
              <w:jc w:val="right"/>
              <w:rPr>
                <w:color w:val="000000"/>
                <w:sz w:val="22"/>
                <w:szCs w:val="22"/>
              </w:rPr>
            </w:pPr>
            <w:r w:rsidRPr="00D618B7">
              <w:rPr>
                <w:color w:val="000000"/>
                <w:sz w:val="22"/>
                <w:szCs w:val="22"/>
              </w:rPr>
              <w:t>0.0034</w:t>
            </w:r>
          </w:p>
        </w:tc>
      </w:tr>
      <w:tr w:rsidR="008839D5" w:rsidRPr="00D618B7" w14:paraId="1513CEBE" w14:textId="77777777" w:rsidTr="008839D5">
        <w:trPr>
          <w:trHeight w:val="266"/>
        </w:trPr>
        <w:tc>
          <w:tcPr>
            <w:tcW w:w="756" w:type="pct"/>
            <w:tcBorders>
              <w:top w:val="nil"/>
              <w:left w:val="nil"/>
              <w:bottom w:val="nil"/>
              <w:right w:val="nil"/>
            </w:tcBorders>
            <w:shd w:val="clear" w:color="000000" w:fill="FFFFFF"/>
            <w:vAlign w:val="center"/>
            <w:hideMark/>
          </w:tcPr>
          <w:p w14:paraId="78151F14" w14:textId="77777777" w:rsidR="009372DA" w:rsidRPr="00D618B7" w:rsidRDefault="009372DA"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5D564550" w14:textId="77777777" w:rsidR="009372DA" w:rsidRPr="00D618B7" w:rsidRDefault="009372DA" w:rsidP="004B11B7">
            <w:pPr>
              <w:jc w:val="right"/>
              <w:rPr>
                <w:color w:val="000000"/>
                <w:sz w:val="22"/>
                <w:szCs w:val="22"/>
              </w:rPr>
            </w:pPr>
            <w:r w:rsidRPr="00D618B7">
              <w:rPr>
                <w:color w:val="000000"/>
                <w:sz w:val="22"/>
                <w:szCs w:val="22"/>
              </w:rPr>
              <w:t>-0.0004</w:t>
            </w:r>
          </w:p>
        </w:tc>
        <w:tc>
          <w:tcPr>
            <w:tcW w:w="620" w:type="pct"/>
            <w:tcBorders>
              <w:top w:val="nil"/>
              <w:left w:val="nil"/>
              <w:bottom w:val="nil"/>
              <w:right w:val="nil"/>
            </w:tcBorders>
            <w:shd w:val="clear" w:color="000000" w:fill="FFFFFF"/>
            <w:noWrap/>
            <w:vAlign w:val="center"/>
            <w:hideMark/>
          </w:tcPr>
          <w:p w14:paraId="51AE026D" w14:textId="77777777" w:rsidR="009372DA" w:rsidRPr="00D618B7" w:rsidRDefault="009372DA" w:rsidP="004B11B7">
            <w:pPr>
              <w:jc w:val="right"/>
              <w:rPr>
                <w:color w:val="000000"/>
                <w:sz w:val="22"/>
                <w:szCs w:val="22"/>
              </w:rPr>
            </w:pPr>
            <w:r w:rsidRPr="00D618B7">
              <w:rPr>
                <w:color w:val="000000"/>
                <w:sz w:val="22"/>
                <w:szCs w:val="22"/>
              </w:rPr>
              <w:t>0.0042</w:t>
            </w:r>
          </w:p>
        </w:tc>
        <w:tc>
          <w:tcPr>
            <w:tcW w:w="881" w:type="pct"/>
            <w:tcBorders>
              <w:top w:val="nil"/>
              <w:left w:val="nil"/>
              <w:bottom w:val="nil"/>
              <w:right w:val="nil"/>
            </w:tcBorders>
            <w:shd w:val="clear" w:color="000000" w:fill="FFFFFF"/>
            <w:noWrap/>
            <w:vAlign w:val="center"/>
            <w:hideMark/>
          </w:tcPr>
          <w:p w14:paraId="1B9FECD0" w14:textId="77777777" w:rsidR="009372DA" w:rsidRPr="00D618B7" w:rsidRDefault="009372DA" w:rsidP="004B11B7">
            <w:pPr>
              <w:jc w:val="right"/>
              <w:rPr>
                <w:color w:val="000000"/>
                <w:sz w:val="22"/>
                <w:szCs w:val="22"/>
              </w:rPr>
            </w:pPr>
            <w:r w:rsidRPr="00D618B7">
              <w:rPr>
                <w:color w:val="000000"/>
                <w:sz w:val="22"/>
                <w:szCs w:val="22"/>
              </w:rPr>
              <w:t>-0.0004</w:t>
            </w:r>
          </w:p>
        </w:tc>
        <w:tc>
          <w:tcPr>
            <w:tcW w:w="613" w:type="pct"/>
            <w:tcBorders>
              <w:top w:val="nil"/>
              <w:left w:val="nil"/>
              <w:bottom w:val="nil"/>
              <w:right w:val="nil"/>
            </w:tcBorders>
            <w:shd w:val="clear" w:color="000000" w:fill="FFFFFF"/>
            <w:noWrap/>
            <w:vAlign w:val="center"/>
            <w:hideMark/>
          </w:tcPr>
          <w:p w14:paraId="614C998A" w14:textId="77777777" w:rsidR="009372DA" w:rsidRPr="00D618B7" w:rsidRDefault="009372DA" w:rsidP="004B11B7">
            <w:pPr>
              <w:jc w:val="right"/>
              <w:rPr>
                <w:color w:val="000000"/>
                <w:sz w:val="22"/>
                <w:szCs w:val="22"/>
              </w:rPr>
            </w:pPr>
            <w:r w:rsidRPr="00D618B7">
              <w:rPr>
                <w:color w:val="000000"/>
                <w:sz w:val="22"/>
                <w:szCs w:val="22"/>
              </w:rPr>
              <w:t>0.0042</w:t>
            </w:r>
          </w:p>
        </w:tc>
        <w:tc>
          <w:tcPr>
            <w:tcW w:w="912" w:type="pct"/>
            <w:tcBorders>
              <w:top w:val="nil"/>
              <w:left w:val="nil"/>
              <w:bottom w:val="nil"/>
              <w:right w:val="nil"/>
            </w:tcBorders>
            <w:shd w:val="clear" w:color="000000" w:fill="FFFFFF"/>
            <w:noWrap/>
            <w:vAlign w:val="center"/>
            <w:hideMark/>
          </w:tcPr>
          <w:p w14:paraId="52AB22E4" w14:textId="77777777" w:rsidR="009372DA" w:rsidRPr="00D618B7" w:rsidRDefault="009372DA" w:rsidP="004B11B7">
            <w:pPr>
              <w:jc w:val="right"/>
              <w:rPr>
                <w:color w:val="000000"/>
                <w:sz w:val="22"/>
                <w:szCs w:val="22"/>
              </w:rPr>
            </w:pPr>
            <w:r w:rsidRPr="00D618B7">
              <w:rPr>
                <w:color w:val="000000"/>
                <w:sz w:val="22"/>
                <w:szCs w:val="22"/>
              </w:rPr>
              <w:t>-0.0011</w:t>
            </w:r>
          </w:p>
        </w:tc>
        <w:tc>
          <w:tcPr>
            <w:tcW w:w="635" w:type="pct"/>
            <w:tcBorders>
              <w:top w:val="nil"/>
              <w:left w:val="nil"/>
              <w:bottom w:val="nil"/>
              <w:right w:val="nil"/>
            </w:tcBorders>
            <w:shd w:val="clear" w:color="000000" w:fill="FFFFFF"/>
            <w:noWrap/>
            <w:vAlign w:val="center"/>
            <w:hideMark/>
          </w:tcPr>
          <w:p w14:paraId="0A6663EA" w14:textId="77777777" w:rsidR="009372DA" w:rsidRPr="00D618B7" w:rsidRDefault="009372DA" w:rsidP="004B11B7">
            <w:pPr>
              <w:jc w:val="right"/>
              <w:rPr>
                <w:color w:val="000000"/>
                <w:sz w:val="22"/>
                <w:szCs w:val="22"/>
              </w:rPr>
            </w:pPr>
            <w:r w:rsidRPr="00D618B7">
              <w:rPr>
                <w:color w:val="000000"/>
                <w:sz w:val="22"/>
                <w:szCs w:val="22"/>
              </w:rPr>
              <w:t>0.0042</w:t>
            </w:r>
          </w:p>
        </w:tc>
      </w:tr>
      <w:tr w:rsidR="008839D5" w:rsidRPr="00D618B7" w14:paraId="03A6B6C5" w14:textId="77777777" w:rsidTr="008839D5">
        <w:trPr>
          <w:trHeight w:val="266"/>
        </w:trPr>
        <w:tc>
          <w:tcPr>
            <w:tcW w:w="756" w:type="pct"/>
            <w:tcBorders>
              <w:top w:val="nil"/>
              <w:left w:val="nil"/>
              <w:bottom w:val="nil"/>
              <w:right w:val="nil"/>
            </w:tcBorders>
            <w:shd w:val="clear" w:color="000000" w:fill="FFFFFF"/>
            <w:vAlign w:val="center"/>
            <w:hideMark/>
          </w:tcPr>
          <w:p w14:paraId="33EF147C" w14:textId="77777777" w:rsidR="009372DA" w:rsidRPr="00D618B7" w:rsidRDefault="009372DA"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75F19B21" w14:textId="77777777" w:rsidR="009372DA" w:rsidRPr="00D618B7" w:rsidRDefault="009372DA" w:rsidP="004B11B7">
            <w:pPr>
              <w:jc w:val="right"/>
              <w:rPr>
                <w:color w:val="000000"/>
                <w:sz w:val="22"/>
                <w:szCs w:val="22"/>
              </w:rPr>
            </w:pPr>
            <w:r w:rsidRPr="00D618B7">
              <w:rPr>
                <w:color w:val="000000"/>
                <w:sz w:val="22"/>
                <w:szCs w:val="22"/>
              </w:rPr>
              <w:t>-0.0014</w:t>
            </w:r>
          </w:p>
        </w:tc>
        <w:tc>
          <w:tcPr>
            <w:tcW w:w="620" w:type="pct"/>
            <w:tcBorders>
              <w:top w:val="nil"/>
              <w:left w:val="nil"/>
              <w:bottom w:val="nil"/>
              <w:right w:val="nil"/>
            </w:tcBorders>
            <w:shd w:val="clear" w:color="000000" w:fill="FFFFFF"/>
            <w:noWrap/>
            <w:vAlign w:val="center"/>
            <w:hideMark/>
          </w:tcPr>
          <w:p w14:paraId="50D94922" w14:textId="77777777" w:rsidR="009372DA" w:rsidRPr="00D618B7" w:rsidRDefault="009372DA" w:rsidP="004B11B7">
            <w:pPr>
              <w:jc w:val="right"/>
              <w:rPr>
                <w:color w:val="000000"/>
                <w:sz w:val="22"/>
                <w:szCs w:val="22"/>
              </w:rPr>
            </w:pPr>
            <w:r w:rsidRPr="00D618B7">
              <w:rPr>
                <w:color w:val="000000"/>
                <w:sz w:val="22"/>
                <w:szCs w:val="22"/>
              </w:rPr>
              <w:t>0.0034</w:t>
            </w:r>
          </w:p>
        </w:tc>
        <w:tc>
          <w:tcPr>
            <w:tcW w:w="881" w:type="pct"/>
            <w:tcBorders>
              <w:top w:val="nil"/>
              <w:left w:val="nil"/>
              <w:bottom w:val="nil"/>
              <w:right w:val="nil"/>
            </w:tcBorders>
            <w:shd w:val="clear" w:color="000000" w:fill="FFFFFF"/>
            <w:noWrap/>
            <w:vAlign w:val="center"/>
            <w:hideMark/>
          </w:tcPr>
          <w:p w14:paraId="3AD778D7" w14:textId="77777777" w:rsidR="009372DA" w:rsidRPr="00D618B7" w:rsidRDefault="009372DA" w:rsidP="004B11B7">
            <w:pPr>
              <w:jc w:val="right"/>
              <w:rPr>
                <w:color w:val="000000"/>
                <w:sz w:val="22"/>
                <w:szCs w:val="22"/>
              </w:rPr>
            </w:pPr>
            <w:r w:rsidRPr="00D618B7">
              <w:rPr>
                <w:color w:val="000000"/>
                <w:sz w:val="22"/>
                <w:szCs w:val="22"/>
              </w:rPr>
              <w:t>-0.0005</w:t>
            </w:r>
          </w:p>
        </w:tc>
        <w:tc>
          <w:tcPr>
            <w:tcW w:w="613" w:type="pct"/>
            <w:tcBorders>
              <w:top w:val="nil"/>
              <w:left w:val="nil"/>
              <w:bottom w:val="nil"/>
              <w:right w:val="nil"/>
            </w:tcBorders>
            <w:shd w:val="clear" w:color="000000" w:fill="FFFFFF"/>
            <w:noWrap/>
            <w:vAlign w:val="center"/>
            <w:hideMark/>
          </w:tcPr>
          <w:p w14:paraId="7743A1A0" w14:textId="77777777" w:rsidR="009372DA" w:rsidRPr="00D618B7" w:rsidRDefault="009372DA" w:rsidP="004B11B7">
            <w:pPr>
              <w:jc w:val="right"/>
              <w:rPr>
                <w:color w:val="000000"/>
                <w:sz w:val="22"/>
                <w:szCs w:val="22"/>
              </w:rPr>
            </w:pPr>
            <w:r w:rsidRPr="00D618B7">
              <w:rPr>
                <w:color w:val="000000"/>
                <w:sz w:val="22"/>
                <w:szCs w:val="22"/>
              </w:rPr>
              <w:t>0.0034</w:t>
            </w:r>
          </w:p>
        </w:tc>
        <w:tc>
          <w:tcPr>
            <w:tcW w:w="912" w:type="pct"/>
            <w:tcBorders>
              <w:top w:val="nil"/>
              <w:left w:val="nil"/>
              <w:bottom w:val="nil"/>
              <w:right w:val="nil"/>
            </w:tcBorders>
            <w:shd w:val="clear" w:color="000000" w:fill="FFFFFF"/>
            <w:noWrap/>
            <w:vAlign w:val="center"/>
            <w:hideMark/>
          </w:tcPr>
          <w:p w14:paraId="789C68F0" w14:textId="77777777" w:rsidR="009372DA" w:rsidRPr="00D618B7" w:rsidRDefault="009372DA" w:rsidP="004B11B7">
            <w:pPr>
              <w:jc w:val="right"/>
              <w:rPr>
                <w:color w:val="000000"/>
                <w:sz w:val="22"/>
                <w:szCs w:val="22"/>
              </w:rPr>
            </w:pPr>
            <w:r w:rsidRPr="00D618B7">
              <w:rPr>
                <w:color w:val="000000"/>
                <w:sz w:val="22"/>
                <w:szCs w:val="22"/>
              </w:rPr>
              <w:t>0.0012</w:t>
            </w:r>
          </w:p>
        </w:tc>
        <w:tc>
          <w:tcPr>
            <w:tcW w:w="635" w:type="pct"/>
            <w:tcBorders>
              <w:top w:val="nil"/>
              <w:left w:val="nil"/>
              <w:bottom w:val="nil"/>
              <w:right w:val="nil"/>
            </w:tcBorders>
            <w:shd w:val="clear" w:color="000000" w:fill="FFFFFF"/>
            <w:noWrap/>
            <w:vAlign w:val="center"/>
            <w:hideMark/>
          </w:tcPr>
          <w:p w14:paraId="2372BC18" w14:textId="77777777" w:rsidR="009372DA" w:rsidRPr="00D618B7" w:rsidRDefault="009372DA" w:rsidP="004B11B7">
            <w:pPr>
              <w:jc w:val="right"/>
              <w:rPr>
                <w:color w:val="000000"/>
                <w:sz w:val="22"/>
                <w:szCs w:val="22"/>
              </w:rPr>
            </w:pPr>
            <w:r w:rsidRPr="00D618B7">
              <w:rPr>
                <w:color w:val="000000"/>
                <w:sz w:val="22"/>
                <w:szCs w:val="22"/>
              </w:rPr>
              <w:t>0.0034</w:t>
            </w:r>
          </w:p>
        </w:tc>
      </w:tr>
      <w:tr w:rsidR="008839D5" w:rsidRPr="00D618B7" w14:paraId="191D61C2" w14:textId="77777777" w:rsidTr="008839D5">
        <w:trPr>
          <w:trHeight w:val="266"/>
        </w:trPr>
        <w:tc>
          <w:tcPr>
            <w:tcW w:w="756" w:type="pct"/>
            <w:tcBorders>
              <w:top w:val="nil"/>
              <w:left w:val="nil"/>
              <w:right w:val="nil"/>
            </w:tcBorders>
            <w:shd w:val="clear" w:color="000000" w:fill="FFFFFF"/>
            <w:vAlign w:val="center"/>
            <w:hideMark/>
          </w:tcPr>
          <w:p w14:paraId="2DBE5313" w14:textId="77777777" w:rsidR="009372DA" w:rsidRPr="00D618B7" w:rsidRDefault="009372DA" w:rsidP="004B11B7">
            <w:pPr>
              <w:jc w:val="right"/>
              <w:rPr>
                <w:color w:val="000000"/>
                <w:sz w:val="22"/>
                <w:szCs w:val="22"/>
              </w:rPr>
            </w:pPr>
            <w:r w:rsidRPr="00D618B7">
              <w:rPr>
                <w:color w:val="000000"/>
                <w:sz w:val="22"/>
                <w:szCs w:val="22"/>
              </w:rPr>
              <w:t>4</w:t>
            </w:r>
          </w:p>
        </w:tc>
        <w:tc>
          <w:tcPr>
            <w:tcW w:w="583" w:type="pct"/>
            <w:tcBorders>
              <w:top w:val="nil"/>
              <w:left w:val="nil"/>
              <w:right w:val="nil"/>
            </w:tcBorders>
            <w:shd w:val="clear" w:color="000000" w:fill="FFFFFF"/>
            <w:noWrap/>
            <w:vAlign w:val="center"/>
            <w:hideMark/>
          </w:tcPr>
          <w:p w14:paraId="7985B985" w14:textId="77777777" w:rsidR="009372DA" w:rsidRPr="00D618B7" w:rsidRDefault="009372DA" w:rsidP="004B11B7">
            <w:pPr>
              <w:jc w:val="right"/>
              <w:rPr>
                <w:color w:val="000000"/>
                <w:sz w:val="22"/>
                <w:szCs w:val="22"/>
              </w:rPr>
            </w:pPr>
            <w:r w:rsidRPr="00D618B7">
              <w:rPr>
                <w:color w:val="000000"/>
                <w:sz w:val="22"/>
                <w:szCs w:val="22"/>
              </w:rPr>
              <w:t>0.0014</w:t>
            </w:r>
          </w:p>
        </w:tc>
        <w:tc>
          <w:tcPr>
            <w:tcW w:w="620" w:type="pct"/>
            <w:tcBorders>
              <w:top w:val="nil"/>
              <w:left w:val="nil"/>
              <w:right w:val="nil"/>
            </w:tcBorders>
            <w:shd w:val="clear" w:color="000000" w:fill="FFFFFF"/>
            <w:noWrap/>
            <w:vAlign w:val="center"/>
            <w:hideMark/>
          </w:tcPr>
          <w:p w14:paraId="1A2B174F" w14:textId="77777777" w:rsidR="009372DA" w:rsidRPr="00D618B7" w:rsidRDefault="009372DA" w:rsidP="004B11B7">
            <w:pPr>
              <w:jc w:val="right"/>
              <w:rPr>
                <w:color w:val="000000"/>
                <w:sz w:val="22"/>
                <w:szCs w:val="22"/>
              </w:rPr>
            </w:pPr>
            <w:r w:rsidRPr="00D618B7">
              <w:rPr>
                <w:color w:val="000000"/>
                <w:sz w:val="22"/>
                <w:szCs w:val="22"/>
              </w:rPr>
              <w:t>0.0037</w:t>
            </w:r>
          </w:p>
        </w:tc>
        <w:tc>
          <w:tcPr>
            <w:tcW w:w="881" w:type="pct"/>
            <w:tcBorders>
              <w:top w:val="nil"/>
              <w:left w:val="nil"/>
              <w:right w:val="nil"/>
            </w:tcBorders>
            <w:shd w:val="clear" w:color="000000" w:fill="FFFFFF"/>
            <w:noWrap/>
            <w:vAlign w:val="center"/>
            <w:hideMark/>
          </w:tcPr>
          <w:p w14:paraId="0229EC13" w14:textId="77777777" w:rsidR="009372DA" w:rsidRPr="00D618B7" w:rsidRDefault="009372DA" w:rsidP="004B11B7">
            <w:pPr>
              <w:jc w:val="right"/>
              <w:rPr>
                <w:color w:val="000000"/>
                <w:sz w:val="22"/>
                <w:szCs w:val="22"/>
              </w:rPr>
            </w:pPr>
            <w:r w:rsidRPr="00D618B7">
              <w:rPr>
                <w:color w:val="000000"/>
                <w:sz w:val="22"/>
                <w:szCs w:val="22"/>
              </w:rPr>
              <w:t>0.0002</w:t>
            </w:r>
          </w:p>
        </w:tc>
        <w:tc>
          <w:tcPr>
            <w:tcW w:w="613" w:type="pct"/>
            <w:tcBorders>
              <w:top w:val="nil"/>
              <w:left w:val="nil"/>
              <w:right w:val="nil"/>
            </w:tcBorders>
            <w:shd w:val="clear" w:color="000000" w:fill="FFFFFF"/>
            <w:noWrap/>
            <w:vAlign w:val="center"/>
            <w:hideMark/>
          </w:tcPr>
          <w:p w14:paraId="1D523520" w14:textId="77777777" w:rsidR="009372DA" w:rsidRPr="00D618B7" w:rsidRDefault="009372DA" w:rsidP="004B11B7">
            <w:pPr>
              <w:jc w:val="right"/>
              <w:rPr>
                <w:color w:val="000000"/>
                <w:sz w:val="22"/>
                <w:szCs w:val="22"/>
              </w:rPr>
            </w:pPr>
            <w:r w:rsidRPr="00D618B7">
              <w:rPr>
                <w:color w:val="000000"/>
                <w:sz w:val="22"/>
                <w:szCs w:val="22"/>
              </w:rPr>
              <w:t>0.0037</w:t>
            </w:r>
          </w:p>
        </w:tc>
        <w:tc>
          <w:tcPr>
            <w:tcW w:w="912" w:type="pct"/>
            <w:tcBorders>
              <w:top w:val="nil"/>
              <w:left w:val="nil"/>
              <w:right w:val="nil"/>
            </w:tcBorders>
            <w:shd w:val="clear" w:color="000000" w:fill="FFFFFF"/>
            <w:noWrap/>
            <w:vAlign w:val="center"/>
            <w:hideMark/>
          </w:tcPr>
          <w:p w14:paraId="75CCC425" w14:textId="77777777" w:rsidR="009372DA" w:rsidRPr="00D618B7" w:rsidRDefault="009372DA" w:rsidP="004B11B7">
            <w:pPr>
              <w:jc w:val="right"/>
              <w:rPr>
                <w:color w:val="000000"/>
                <w:sz w:val="22"/>
                <w:szCs w:val="22"/>
              </w:rPr>
            </w:pPr>
            <w:r w:rsidRPr="00D618B7">
              <w:rPr>
                <w:color w:val="000000"/>
                <w:sz w:val="22"/>
                <w:szCs w:val="22"/>
              </w:rPr>
              <w:t>0.0016</w:t>
            </w:r>
          </w:p>
        </w:tc>
        <w:tc>
          <w:tcPr>
            <w:tcW w:w="635" w:type="pct"/>
            <w:tcBorders>
              <w:top w:val="nil"/>
              <w:left w:val="nil"/>
              <w:right w:val="nil"/>
            </w:tcBorders>
            <w:shd w:val="clear" w:color="000000" w:fill="FFFFFF"/>
            <w:noWrap/>
            <w:vAlign w:val="center"/>
            <w:hideMark/>
          </w:tcPr>
          <w:p w14:paraId="4B8DC723" w14:textId="77777777" w:rsidR="009372DA" w:rsidRPr="00D618B7" w:rsidRDefault="009372DA" w:rsidP="004B11B7">
            <w:pPr>
              <w:jc w:val="right"/>
              <w:rPr>
                <w:color w:val="000000"/>
                <w:sz w:val="22"/>
                <w:szCs w:val="22"/>
              </w:rPr>
            </w:pPr>
            <w:r w:rsidRPr="00D618B7">
              <w:rPr>
                <w:color w:val="000000"/>
                <w:sz w:val="22"/>
                <w:szCs w:val="22"/>
              </w:rPr>
              <w:t>0.0037</w:t>
            </w:r>
          </w:p>
        </w:tc>
      </w:tr>
      <w:tr w:rsidR="008839D5" w:rsidRPr="00D618B7" w14:paraId="0B2EA596" w14:textId="77777777" w:rsidTr="008839D5">
        <w:trPr>
          <w:trHeight w:val="266"/>
        </w:trPr>
        <w:tc>
          <w:tcPr>
            <w:tcW w:w="756" w:type="pct"/>
            <w:tcBorders>
              <w:top w:val="nil"/>
              <w:left w:val="nil"/>
              <w:bottom w:val="single" w:sz="4" w:space="0" w:color="auto"/>
              <w:right w:val="nil"/>
            </w:tcBorders>
            <w:shd w:val="clear" w:color="000000" w:fill="FFFFFF"/>
            <w:vAlign w:val="center"/>
            <w:hideMark/>
          </w:tcPr>
          <w:p w14:paraId="173C135D" w14:textId="77777777" w:rsidR="009372DA" w:rsidRPr="00D618B7" w:rsidRDefault="009372DA" w:rsidP="004B11B7">
            <w:pPr>
              <w:jc w:val="right"/>
              <w:rPr>
                <w:color w:val="000000"/>
                <w:sz w:val="22"/>
                <w:szCs w:val="22"/>
              </w:rPr>
            </w:pPr>
            <w:r w:rsidRPr="00D618B7">
              <w:rPr>
                <w:color w:val="000000"/>
                <w:sz w:val="22"/>
                <w:szCs w:val="22"/>
              </w:rPr>
              <w:t>5</w:t>
            </w:r>
          </w:p>
        </w:tc>
        <w:tc>
          <w:tcPr>
            <w:tcW w:w="583" w:type="pct"/>
            <w:tcBorders>
              <w:top w:val="nil"/>
              <w:left w:val="nil"/>
              <w:bottom w:val="single" w:sz="4" w:space="0" w:color="auto"/>
              <w:right w:val="nil"/>
            </w:tcBorders>
            <w:shd w:val="clear" w:color="000000" w:fill="FFFFFF"/>
            <w:noWrap/>
            <w:vAlign w:val="center"/>
            <w:hideMark/>
          </w:tcPr>
          <w:p w14:paraId="76BF9FFD" w14:textId="77777777" w:rsidR="009372DA" w:rsidRPr="00D618B7" w:rsidRDefault="009372DA" w:rsidP="004B11B7">
            <w:pPr>
              <w:jc w:val="right"/>
              <w:rPr>
                <w:color w:val="000000"/>
                <w:sz w:val="22"/>
                <w:szCs w:val="22"/>
              </w:rPr>
            </w:pPr>
            <w:r w:rsidRPr="00D618B7">
              <w:rPr>
                <w:color w:val="000000"/>
                <w:sz w:val="22"/>
                <w:szCs w:val="22"/>
              </w:rPr>
              <w:t>-0.0004</w:t>
            </w:r>
          </w:p>
        </w:tc>
        <w:tc>
          <w:tcPr>
            <w:tcW w:w="620" w:type="pct"/>
            <w:tcBorders>
              <w:top w:val="nil"/>
              <w:left w:val="nil"/>
              <w:bottom w:val="single" w:sz="4" w:space="0" w:color="auto"/>
              <w:right w:val="nil"/>
            </w:tcBorders>
            <w:shd w:val="clear" w:color="000000" w:fill="FFFFFF"/>
            <w:noWrap/>
            <w:vAlign w:val="center"/>
            <w:hideMark/>
          </w:tcPr>
          <w:p w14:paraId="30699882" w14:textId="77777777" w:rsidR="009372DA" w:rsidRPr="00D618B7" w:rsidRDefault="009372DA" w:rsidP="004B11B7">
            <w:pPr>
              <w:jc w:val="right"/>
              <w:rPr>
                <w:color w:val="000000"/>
                <w:sz w:val="22"/>
                <w:szCs w:val="22"/>
              </w:rPr>
            </w:pPr>
            <w:r w:rsidRPr="00D618B7">
              <w:rPr>
                <w:color w:val="000000"/>
                <w:sz w:val="22"/>
                <w:szCs w:val="22"/>
              </w:rPr>
              <w:t>0.0040</w:t>
            </w:r>
          </w:p>
        </w:tc>
        <w:tc>
          <w:tcPr>
            <w:tcW w:w="881" w:type="pct"/>
            <w:tcBorders>
              <w:top w:val="nil"/>
              <w:left w:val="nil"/>
              <w:bottom w:val="single" w:sz="4" w:space="0" w:color="auto"/>
              <w:right w:val="nil"/>
            </w:tcBorders>
            <w:shd w:val="clear" w:color="000000" w:fill="FFFFFF"/>
            <w:noWrap/>
            <w:vAlign w:val="center"/>
            <w:hideMark/>
          </w:tcPr>
          <w:p w14:paraId="5E0C86C5" w14:textId="77777777" w:rsidR="009372DA" w:rsidRPr="00D618B7" w:rsidRDefault="009372DA" w:rsidP="004B11B7">
            <w:pPr>
              <w:jc w:val="right"/>
              <w:rPr>
                <w:color w:val="000000"/>
                <w:sz w:val="22"/>
                <w:szCs w:val="22"/>
              </w:rPr>
            </w:pPr>
            <w:r w:rsidRPr="00D618B7">
              <w:rPr>
                <w:color w:val="000000"/>
                <w:sz w:val="22"/>
                <w:szCs w:val="22"/>
              </w:rPr>
              <w:t>0.0007</w:t>
            </w:r>
          </w:p>
        </w:tc>
        <w:tc>
          <w:tcPr>
            <w:tcW w:w="613" w:type="pct"/>
            <w:tcBorders>
              <w:top w:val="nil"/>
              <w:left w:val="nil"/>
              <w:bottom w:val="single" w:sz="4" w:space="0" w:color="auto"/>
              <w:right w:val="nil"/>
            </w:tcBorders>
            <w:shd w:val="clear" w:color="000000" w:fill="FFFFFF"/>
            <w:noWrap/>
            <w:vAlign w:val="center"/>
            <w:hideMark/>
          </w:tcPr>
          <w:p w14:paraId="219B21B7" w14:textId="77777777" w:rsidR="009372DA" w:rsidRPr="00D618B7" w:rsidRDefault="009372DA" w:rsidP="004B11B7">
            <w:pPr>
              <w:jc w:val="right"/>
              <w:rPr>
                <w:color w:val="000000"/>
                <w:sz w:val="22"/>
                <w:szCs w:val="22"/>
              </w:rPr>
            </w:pPr>
            <w:r w:rsidRPr="00D618B7">
              <w:rPr>
                <w:color w:val="000000"/>
                <w:sz w:val="22"/>
                <w:szCs w:val="22"/>
              </w:rPr>
              <w:t>0.0040</w:t>
            </w:r>
          </w:p>
        </w:tc>
        <w:tc>
          <w:tcPr>
            <w:tcW w:w="912" w:type="pct"/>
            <w:tcBorders>
              <w:top w:val="nil"/>
              <w:left w:val="nil"/>
              <w:bottom w:val="single" w:sz="4" w:space="0" w:color="auto"/>
              <w:right w:val="nil"/>
            </w:tcBorders>
            <w:shd w:val="clear" w:color="000000" w:fill="FFFFFF"/>
            <w:noWrap/>
            <w:vAlign w:val="center"/>
            <w:hideMark/>
          </w:tcPr>
          <w:p w14:paraId="57691D68" w14:textId="77777777" w:rsidR="009372DA" w:rsidRPr="00D618B7" w:rsidRDefault="009372DA" w:rsidP="004B11B7">
            <w:pPr>
              <w:jc w:val="right"/>
              <w:rPr>
                <w:color w:val="000000"/>
                <w:sz w:val="22"/>
                <w:szCs w:val="22"/>
              </w:rPr>
            </w:pPr>
            <w:r w:rsidRPr="00D618B7">
              <w:rPr>
                <w:color w:val="000000"/>
                <w:sz w:val="22"/>
                <w:szCs w:val="22"/>
              </w:rPr>
              <w:t>0.0016</w:t>
            </w:r>
          </w:p>
        </w:tc>
        <w:tc>
          <w:tcPr>
            <w:tcW w:w="635" w:type="pct"/>
            <w:tcBorders>
              <w:top w:val="nil"/>
              <w:left w:val="nil"/>
              <w:bottom w:val="single" w:sz="4" w:space="0" w:color="auto"/>
              <w:right w:val="nil"/>
            </w:tcBorders>
            <w:shd w:val="clear" w:color="000000" w:fill="FFFFFF"/>
            <w:noWrap/>
            <w:vAlign w:val="center"/>
            <w:hideMark/>
          </w:tcPr>
          <w:p w14:paraId="7699F3E6" w14:textId="77777777" w:rsidR="009372DA" w:rsidRPr="00D618B7" w:rsidRDefault="009372DA" w:rsidP="004B11B7">
            <w:pPr>
              <w:jc w:val="right"/>
              <w:rPr>
                <w:color w:val="000000"/>
                <w:sz w:val="22"/>
                <w:szCs w:val="22"/>
              </w:rPr>
            </w:pPr>
            <w:r w:rsidRPr="00D618B7">
              <w:rPr>
                <w:color w:val="000000"/>
                <w:sz w:val="22"/>
                <w:szCs w:val="22"/>
              </w:rPr>
              <w:t>0.0041</w:t>
            </w:r>
          </w:p>
        </w:tc>
      </w:tr>
      <w:tr w:rsidR="009372DA" w:rsidRPr="00D618B7" w14:paraId="7F21AB26" w14:textId="77777777" w:rsidTr="008839D5">
        <w:trPr>
          <w:trHeight w:val="266"/>
        </w:trPr>
        <w:tc>
          <w:tcPr>
            <w:tcW w:w="756" w:type="pct"/>
            <w:tcBorders>
              <w:top w:val="single" w:sz="4" w:space="0" w:color="auto"/>
              <w:left w:val="nil"/>
              <w:bottom w:val="nil"/>
              <w:right w:val="nil"/>
            </w:tcBorders>
            <w:shd w:val="clear" w:color="000000" w:fill="FFFFFF"/>
            <w:noWrap/>
            <w:vAlign w:val="bottom"/>
            <w:hideMark/>
          </w:tcPr>
          <w:p w14:paraId="179315AE" w14:textId="77777777" w:rsidR="009372DA" w:rsidRPr="00D618B7" w:rsidRDefault="009372DA" w:rsidP="004B11B7">
            <w:pPr>
              <w:rPr>
                <w:color w:val="000000"/>
                <w:sz w:val="22"/>
                <w:szCs w:val="22"/>
              </w:rPr>
            </w:pPr>
            <w:r w:rsidRPr="00D618B7">
              <w:rPr>
                <w:color w:val="000000"/>
                <w:sz w:val="22"/>
                <w:szCs w:val="22"/>
              </w:rPr>
              <w:t> </w:t>
            </w:r>
          </w:p>
        </w:tc>
        <w:tc>
          <w:tcPr>
            <w:tcW w:w="4244" w:type="pct"/>
            <w:gridSpan w:val="6"/>
            <w:tcBorders>
              <w:top w:val="single" w:sz="4" w:space="0" w:color="auto"/>
              <w:left w:val="nil"/>
              <w:bottom w:val="nil"/>
              <w:right w:val="nil"/>
            </w:tcBorders>
            <w:shd w:val="clear" w:color="000000" w:fill="FFFFFF"/>
            <w:noWrap/>
            <w:vAlign w:val="center"/>
            <w:hideMark/>
          </w:tcPr>
          <w:p w14:paraId="00B371CE" w14:textId="77777777" w:rsidR="009372DA" w:rsidRPr="00D618B7" w:rsidRDefault="009372DA" w:rsidP="004B11B7">
            <w:pPr>
              <w:jc w:val="center"/>
              <w:rPr>
                <w:color w:val="000000"/>
                <w:sz w:val="22"/>
                <w:szCs w:val="22"/>
              </w:rPr>
            </w:pPr>
            <w:r w:rsidRPr="00D618B7">
              <w:rPr>
                <w:color w:val="000000"/>
                <w:sz w:val="22"/>
                <w:szCs w:val="22"/>
              </w:rPr>
              <w:t>Toy-in-Reach</w:t>
            </w:r>
          </w:p>
        </w:tc>
      </w:tr>
      <w:tr w:rsidR="008839D5" w:rsidRPr="00D618B7" w14:paraId="43C9B55D" w14:textId="77777777" w:rsidTr="008839D5">
        <w:trPr>
          <w:trHeight w:val="266"/>
        </w:trPr>
        <w:tc>
          <w:tcPr>
            <w:tcW w:w="756" w:type="pct"/>
            <w:tcBorders>
              <w:top w:val="nil"/>
              <w:left w:val="nil"/>
              <w:bottom w:val="nil"/>
              <w:right w:val="nil"/>
            </w:tcBorders>
            <w:shd w:val="clear" w:color="000000" w:fill="FFFFFF"/>
            <w:vAlign w:val="center"/>
            <w:hideMark/>
          </w:tcPr>
          <w:p w14:paraId="49AFBD4D" w14:textId="77777777" w:rsidR="009372DA" w:rsidRPr="00D618B7" w:rsidRDefault="009372DA" w:rsidP="004B11B7">
            <w:pPr>
              <w:jc w:val="right"/>
              <w:rPr>
                <w:color w:val="000000"/>
                <w:sz w:val="22"/>
                <w:szCs w:val="22"/>
              </w:rPr>
            </w:pPr>
            <w:r w:rsidRPr="00D618B7">
              <w:rPr>
                <w:color w:val="000000"/>
                <w:sz w:val="22"/>
                <w:szCs w:val="22"/>
              </w:rPr>
              <w:t>-5</w:t>
            </w:r>
          </w:p>
        </w:tc>
        <w:tc>
          <w:tcPr>
            <w:tcW w:w="583" w:type="pct"/>
            <w:tcBorders>
              <w:top w:val="nil"/>
              <w:left w:val="nil"/>
              <w:bottom w:val="nil"/>
              <w:right w:val="nil"/>
            </w:tcBorders>
            <w:shd w:val="clear" w:color="000000" w:fill="FFFFFF"/>
            <w:noWrap/>
            <w:vAlign w:val="center"/>
            <w:hideMark/>
          </w:tcPr>
          <w:p w14:paraId="75FE18F2" w14:textId="77777777" w:rsidR="009372DA" w:rsidRPr="00D618B7" w:rsidRDefault="009372DA" w:rsidP="004B11B7">
            <w:pPr>
              <w:jc w:val="right"/>
              <w:rPr>
                <w:color w:val="000000"/>
                <w:sz w:val="22"/>
                <w:szCs w:val="22"/>
              </w:rPr>
            </w:pPr>
            <w:r w:rsidRPr="00D618B7">
              <w:rPr>
                <w:color w:val="000000"/>
                <w:sz w:val="22"/>
                <w:szCs w:val="22"/>
              </w:rPr>
              <w:t>0.0104</w:t>
            </w:r>
          </w:p>
        </w:tc>
        <w:tc>
          <w:tcPr>
            <w:tcW w:w="620" w:type="pct"/>
            <w:tcBorders>
              <w:top w:val="nil"/>
              <w:left w:val="nil"/>
              <w:bottom w:val="nil"/>
              <w:right w:val="nil"/>
            </w:tcBorders>
            <w:shd w:val="clear" w:color="000000" w:fill="FFFFFF"/>
            <w:noWrap/>
            <w:vAlign w:val="center"/>
            <w:hideMark/>
          </w:tcPr>
          <w:p w14:paraId="30100449" w14:textId="77777777" w:rsidR="009372DA" w:rsidRPr="00D618B7" w:rsidRDefault="009372DA" w:rsidP="004B11B7">
            <w:pPr>
              <w:jc w:val="right"/>
              <w:rPr>
                <w:color w:val="000000"/>
                <w:sz w:val="22"/>
                <w:szCs w:val="22"/>
              </w:rPr>
            </w:pPr>
            <w:r w:rsidRPr="00D618B7">
              <w:rPr>
                <w:color w:val="000000"/>
                <w:sz w:val="22"/>
                <w:szCs w:val="22"/>
              </w:rPr>
              <w:t>0.0049</w:t>
            </w:r>
          </w:p>
        </w:tc>
        <w:tc>
          <w:tcPr>
            <w:tcW w:w="881" w:type="pct"/>
            <w:tcBorders>
              <w:top w:val="nil"/>
              <w:left w:val="nil"/>
              <w:bottom w:val="nil"/>
              <w:right w:val="nil"/>
            </w:tcBorders>
            <w:shd w:val="clear" w:color="000000" w:fill="FFFFFF"/>
            <w:noWrap/>
            <w:vAlign w:val="center"/>
            <w:hideMark/>
          </w:tcPr>
          <w:p w14:paraId="71812E79" w14:textId="77777777" w:rsidR="009372DA" w:rsidRPr="00D618B7" w:rsidRDefault="009372DA" w:rsidP="004B11B7">
            <w:pPr>
              <w:jc w:val="right"/>
              <w:rPr>
                <w:color w:val="000000"/>
                <w:sz w:val="22"/>
                <w:szCs w:val="22"/>
              </w:rPr>
            </w:pPr>
            <w:r w:rsidRPr="00D618B7">
              <w:rPr>
                <w:color w:val="000000"/>
                <w:sz w:val="22"/>
                <w:szCs w:val="22"/>
              </w:rPr>
              <w:t>0.0013</w:t>
            </w:r>
          </w:p>
        </w:tc>
        <w:tc>
          <w:tcPr>
            <w:tcW w:w="613" w:type="pct"/>
            <w:tcBorders>
              <w:top w:val="nil"/>
              <w:left w:val="nil"/>
              <w:bottom w:val="nil"/>
              <w:right w:val="nil"/>
            </w:tcBorders>
            <w:shd w:val="clear" w:color="000000" w:fill="FFFFFF"/>
            <w:noWrap/>
            <w:vAlign w:val="center"/>
            <w:hideMark/>
          </w:tcPr>
          <w:p w14:paraId="03E0BC84" w14:textId="77777777" w:rsidR="009372DA" w:rsidRPr="00D618B7" w:rsidRDefault="009372DA" w:rsidP="004B11B7">
            <w:pPr>
              <w:jc w:val="right"/>
              <w:rPr>
                <w:color w:val="000000"/>
                <w:sz w:val="22"/>
                <w:szCs w:val="22"/>
              </w:rPr>
            </w:pPr>
            <w:r w:rsidRPr="00D618B7">
              <w:rPr>
                <w:color w:val="000000"/>
                <w:sz w:val="22"/>
                <w:szCs w:val="22"/>
              </w:rPr>
              <w:t>0.0046</w:t>
            </w:r>
          </w:p>
        </w:tc>
        <w:tc>
          <w:tcPr>
            <w:tcW w:w="912" w:type="pct"/>
            <w:tcBorders>
              <w:top w:val="nil"/>
              <w:left w:val="nil"/>
              <w:bottom w:val="nil"/>
              <w:right w:val="nil"/>
            </w:tcBorders>
            <w:shd w:val="clear" w:color="000000" w:fill="FFFFFF"/>
            <w:noWrap/>
            <w:vAlign w:val="center"/>
            <w:hideMark/>
          </w:tcPr>
          <w:p w14:paraId="5FACBE70" w14:textId="77777777" w:rsidR="009372DA" w:rsidRPr="00D618B7" w:rsidRDefault="009372DA" w:rsidP="004B11B7">
            <w:pPr>
              <w:jc w:val="right"/>
              <w:rPr>
                <w:color w:val="000000"/>
                <w:sz w:val="22"/>
                <w:szCs w:val="22"/>
              </w:rPr>
            </w:pPr>
            <w:r w:rsidRPr="00D618B7">
              <w:rPr>
                <w:color w:val="000000"/>
                <w:sz w:val="22"/>
                <w:szCs w:val="22"/>
              </w:rPr>
              <w:t>0.0012</w:t>
            </w:r>
          </w:p>
        </w:tc>
        <w:tc>
          <w:tcPr>
            <w:tcW w:w="635" w:type="pct"/>
            <w:tcBorders>
              <w:top w:val="nil"/>
              <w:left w:val="nil"/>
              <w:bottom w:val="nil"/>
              <w:right w:val="nil"/>
            </w:tcBorders>
            <w:shd w:val="clear" w:color="000000" w:fill="FFFFFF"/>
            <w:noWrap/>
            <w:vAlign w:val="center"/>
            <w:hideMark/>
          </w:tcPr>
          <w:p w14:paraId="0112A828" w14:textId="77777777" w:rsidR="009372DA" w:rsidRPr="00D618B7" w:rsidRDefault="009372DA" w:rsidP="004B11B7">
            <w:pPr>
              <w:jc w:val="right"/>
              <w:rPr>
                <w:color w:val="000000"/>
                <w:sz w:val="22"/>
                <w:szCs w:val="22"/>
              </w:rPr>
            </w:pPr>
            <w:r w:rsidRPr="00D618B7">
              <w:rPr>
                <w:color w:val="000000"/>
                <w:sz w:val="22"/>
                <w:szCs w:val="22"/>
              </w:rPr>
              <w:t>0.0046</w:t>
            </w:r>
          </w:p>
        </w:tc>
      </w:tr>
      <w:tr w:rsidR="008839D5" w:rsidRPr="00D618B7" w14:paraId="56739FD9" w14:textId="77777777" w:rsidTr="008839D5">
        <w:trPr>
          <w:trHeight w:val="266"/>
        </w:trPr>
        <w:tc>
          <w:tcPr>
            <w:tcW w:w="756" w:type="pct"/>
            <w:tcBorders>
              <w:top w:val="nil"/>
              <w:left w:val="nil"/>
              <w:bottom w:val="nil"/>
              <w:right w:val="nil"/>
            </w:tcBorders>
            <w:shd w:val="clear" w:color="000000" w:fill="FFFFFF"/>
            <w:vAlign w:val="center"/>
            <w:hideMark/>
          </w:tcPr>
          <w:p w14:paraId="2C3F786B" w14:textId="77777777" w:rsidR="009372DA" w:rsidRPr="00D618B7" w:rsidRDefault="009372DA" w:rsidP="004B11B7">
            <w:pPr>
              <w:jc w:val="right"/>
              <w:rPr>
                <w:color w:val="000000"/>
                <w:sz w:val="22"/>
                <w:szCs w:val="22"/>
              </w:rPr>
            </w:pPr>
            <w:r w:rsidRPr="00D618B7">
              <w:rPr>
                <w:color w:val="000000"/>
                <w:sz w:val="22"/>
                <w:szCs w:val="22"/>
              </w:rPr>
              <w:t>-4</w:t>
            </w:r>
          </w:p>
        </w:tc>
        <w:tc>
          <w:tcPr>
            <w:tcW w:w="583" w:type="pct"/>
            <w:tcBorders>
              <w:top w:val="nil"/>
              <w:left w:val="nil"/>
              <w:bottom w:val="nil"/>
              <w:right w:val="nil"/>
            </w:tcBorders>
            <w:shd w:val="clear" w:color="000000" w:fill="FFFFFF"/>
            <w:noWrap/>
            <w:vAlign w:val="center"/>
            <w:hideMark/>
          </w:tcPr>
          <w:p w14:paraId="19FB78B1" w14:textId="77777777" w:rsidR="009372DA" w:rsidRPr="00D618B7" w:rsidRDefault="009372DA" w:rsidP="004B11B7">
            <w:pPr>
              <w:jc w:val="right"/>
              <w:rPr>
                <w:color w:val="000000"/>
                <w:sz w:val="22"/>
                <w:szCs w:val="22"/>
              </w:rPr>
            </w:pPr>
            <w:r w:rsidRPr="00D618B7">
              <w:rPr>
                <w:color w:val="000000"/>
                <w:sz w:val="22"/>
                <w:szCs w:val="22"/>
              </w:rPr>
              <w:t>-0.0010</w:t>
            </w:r>
          </w:p>
        </w:tc>
        <w:tc>
          <w:tcPr>
            <w:tcW w:w="620" w:type="pct"/>
            <w:tcBorders>
              <w:top w:val="nil"/>
              <w:left w:val="nil"/>
              <w:bottom w:val="nil"/>
              <w:right w:val="nil"/>
            </w:tcBorders>
            <w:shd w:val="clear" w:color="000000" w:fill="FFFFFF"/>
            <w:noWrap/>
            <w:vAlign w:val="center"/>
            <w:hideMark/>
          </w:tcPr>
          <w:p w14:paraId="5F51CD47" w14:textId="77777777" w:rsidR="009372DA" w:rsidRPr="00D618B7" w:rsidRDefault="009372DA" w:rsidP="004B11B7">
            <w:pPr>
              <w:jc w:val="right"/>
              <w:rPr>
                <w:color w:val="000000"/>
                <w:sz w:val="22"/>
                <w:szCs w:val="22"/>
              </w:rPr>
            </w:pPr>
            <w:r w:rsidRPr="00D618B7">
              <w:rPr>
                <w:color w:val="000000"/>
                <w:sz w:val="22"/>
                <w:szCs w:val="22"/>
              </w:rPr>
              <w:t>0.0042</w:t>
            </w:r>
          </w:p>
        </w:tc>
        <w:tc>
          <w:tcPr>
            <w:tcW w:w="881" w:type="pct"/>
            <w:tcBorders>
              <w:top w:val="nil"/>
              <w:left w:val="nil"/>
              <w:bottom w:val="nil"/>
              <w:right w:val="nil"/>
            </w:tcBorders>
            <w:shd w:val="clear" w:color="000000" w:fill="FFFFFF"/>
            <w:noWrap/>
            <w:vAlign w:val="center"/>
            <w:hideMark/>
          </w:tcPr>
          <w:p w14:paraId="603D18B9" w14:textId="77777777" w:rsidR="009372DA" w:rsidRPr="00D618B7" w:rsidRDefault="009372DA" w:rsidP="004B11B7">
            <w:pPr>
              <w:jc w:val="right"/>
              <w:rPr>
                <w:color w:val="000000"/>
                <w:sz w:val="22"/>
                <w:szCs w:val="22"/>
              </w:rPr>
            </w:pPr>
            <w:r w:rsidRPr="00D618B7">
              <w:rPr>
                <w:color w:val="000000"/>
                <w:sz w:val="22"/>
                <w:szCs w:val="22"/>
              </w:rPr>
              <w:t>-0.0001</w:t>
            </w:r>
          </w:p>
        </w:tc>
        <w:tc>
          <w:tcPr>
            <w:tcW w:w="613" w:type="pct"/>
            <w:tcBorders>
              <w:top w:val="nil"/>
              <w:left w:val="nil"/>
              <w:bottom w:val="nil"/>
              <w:right w:val="nil"/>
            </w:tcBorders>
            <w:shd w:val="clear" w:color="000000" w:fill="FFFFFF"/>
            <w:noWrap/>
            <w:vAlign w:val="center"/>
            <w:hideMark/>
          </w:tcPr>
          <w:p w14:paraId="22EA5BAF" w14:textId="77777777" w:rsidR="009372DA" w:rsidRPr="00D618B7" w:rsidRDefault="009372DA" w:rsidP="004B11B7">
            <w:pPr>
              <w:jc w:val="right"/>
              <w:rPr>
                <w:color w:val="000000"/>
                <w:sz w:val="22"/>
                <w:szCs w:val="22"/>
              </w:rPr>
            </w:pPr>
            <w:r w:rsidRPr="00D618B7">
              <w:rPr>
                <w:color w:val="000000"/>
                <w:sz w:val="22"/>
                <w:szCs w:val="22"/>
              </w:rPr>
              <w:t>0.0041</w:t>
            </w:r>
          </w:p>
        </w:tc>
        <w:tc>
          <w:tcPr>
            <w:tcW w:w="912" w:type="pct"/>
            <w:tcBorders>
              <w:top w:val="nil"/>
              <w:left w:val="nil"/>
              <w:bottom w:val="nil"/>
              <w:right w:val="nil"/>
            </w:tcBorders>
            <w:shd w:val="clear" w:color="000000" w:fill="FFFFFF"/>
            <w:noWrap/>
            <w:vAlign w:val="center"/>
            <w:hideMark/>
          </w:tcPr>
          <w:p w14:paraId="13CC0053" w14:textId="77777777" w:rsidR="009372DA" w:rsidRPr="00D618B7" w:rsidRDefault="009372DA" w:rsidP="004B11B7">
            <w:pPr>
              <w:jc w:val="right"/>
              <w:rPr>
                <w:color w:val="000000"/>
                <w:sz w:val="22"/>
                <w:szCs w:val="22"/>
              </w:rPr>
            </w:pPr>
            <w:r w:rsidRPr="00D618B7">
              <w:rPr>
                <w:color w:val="000000"/>
                <w:sz w:val="22"/>
                <w:szCs w:val="22"/>
              </w:rPr>
              <w:t>-0.0004</w:t>
            </w:r>
          </w:p>
        </w:tc>
        <w:tc>
          <w:tcPr>
            <w:tcW w:w="635" w:type="pct"/>
            <w:tcBorders>
              <w:top w:val="nil"/>
              <w:left w:val="nil"/>
              <w:bottom w:val="nil"/>
              <w:right w:val="nil"/>
            </w:tcBorders>
            <w:shd w:val="clear" w:color="000000" w:fill="FFFFFF"/>
            <w:noWrap/>
            <w:vAlign w:val="center"/>
            <w:hideMark/>
          </w:tcPr>
          <w:p w14:paraId="14352907" w14:textId="77777777" w:rsidR="009372DA" w:rsidRPr="00D618B7" w:rsidRDefault="009372DA" w:rsidP="004B11B7">
            <w:pPr>
              <w:jc w:val="right"/>
              <w:rPr>
                <w:color w:val="000000"/>
                <w:sz w:val="22"/>
                <w:szCs w:val="22"/>
              </w:rPr>
            </w:pPr>
            <w:r w:rsidRPr="00D618B7">
              <w:rPr>
                <w:color w:val="000000"/>
                <w:sz w:val="22"/>
                <w:szCs w:val="22"/>
              </w:rPr>
              <w:t>0.0041</w:t>
            </w:r>
          </w:p>
        </w:tc>
      </w:tr>
      <w:tr w:rsidR="008839D5" w:rsidRPr="00D618B7" w14:paraId="48B4D485" w14:textId="77777777" w:rsidTr="008839D5">
        <w:trPr>
          <w:trHeight w:val="266"/>
        </w:trPr>
        <w:tc>
          <w:tcPr>
            <w:tcW w:w="756" w:type="pct"/>
            <w:tcBorders>
              <w:top w:val="nil"/>
              <w:left w:val="nil"/>
              <w:bottom w:val="nil"/>
              <w:right w:val="nil"/>
            </w:tcBorders>
            <w:shd w:val="clear" w:color="000000" w:fill="FFFFFF"/>
            <w:vAlign w:val="center"/>
            <w:hideMark/>
          </w:tcPr>
          <w:p w14:paraId="2CC82B6A" w14:textId="77777777" w:rsidR="009372DA" w:rsidRPr="00D618B7" w:rsidRDefault="009372DA"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16364459" w14:textId="77777777" w:rsidR="009372DA" w:rsidRPr="00D618B7" w:rsidRDefault="009372DA" w:rsidP="004B11B7">
            <w:pPr>
              <w:jc w:val="right"/>
              <w:rPr>
                <w:color w:val="000000"/>
                <w:sz w:val="22"/>
                <w:szCs w:val="22"/>
              </w:rPr>
            </w:pPr>
            <w:r w:rsidRPr="00D618B7">
              <w:rPr>
                <w:color w:val="000000"/>
                <w:sz w:val="22"/>
                <w:szCs w:val="22"/>
              </w:rPr>
              <w:t>0.0028</w:t>
            </w:r>
          </w:p>
        </w:tc>
        <w:tc>
          <w:tcPr>
            <w:tcW w:w="620" w:type="pct"/>
            <w:tcBorders>
              <w:top w:val="nil"/>
              <w:left w:val="nil"/>
              <w:bottom w:val="nil"/>
              <w:right w:val="nil"/>
            </w:tcBorders>
            <w:shd w:val="clear" w:color="000000" w:fill="FFFFFF"/>
            <w:noWrap/>
            <w:vAlign w:val="center"/>
            <w:hideMark/>
          </w:tcPr>
          <w:p w14:paraId="3AE8BEB5" w14:textId="77777777" w:rsidR="009372DA" w:rsidRPr="00D618B7" w:rsidRDefault="009372DA" w:rsidP="004B11B7">
            <w:pPr>
              <w:jc w:val="right"/>
              <w:rPr>
                <w:color w:val="000000"/>
                <w:sz w:val="22"/>
                <w:szCs w:val="22"/>
              </w:rPr>
            </w:pPr>
            <w:r w:rsidRPr="00D618B7">
              <w:rPr>
                <w:color w:val="000000"/>
                <w:sz w:val="22"/>
                <w:szCs w:val="22"/>
              </w:rPr>
              <w:t>0.0043</w:t>
            </w:r>
          </w:p>
        </w:tc>
        <w:tc>
          <w:tcPr>
            <w:tcW w:w="881" w:type="pct"/>
            <w:tcBorders>
              <w:top w:val="nil"/>
              <w:left w:val="nil"/>
              <w:bottom w:val="nil"/>
              <w:right w:val="nil"/>
            </w:tcBorders>
            <w:shd w:val="clear" w:color="000000" w:fill="FFFFFF"/>
            <w:noWrap/>
            <w:vAlign w:val="center"/>
            <w:hideMark/>
          </w:tcPr>
          <w:p w14:paraId="0DE8FE53" w14:textId="77777777" w:rsidR="009372DA" w:rsidRPr="00D618B7" w:rsidRDefault="009372DA" w:rsidP="004B11B7">
            <w:pPr>
              <w:jc w:val="right"/>
              <w:rPr>
                <w:color w:val="000000"/>
                <w:sz w:val="22"/>
                <w:szCs w:val="22"/>
              </w:rPr>
            </w:pPr>
            <w:r w:rsidRPr="00D618B7">
              <w:rPr>
                <w:color w:val="000000"/>
                <w:sz w:val="22"/>
                <w:szCs w:val="22"/>
              </w:rPr>
              <w:t>0.0022</w:t>
            </w:r>
          </w:p>
        </w:tc>
        <w:tc>
          <w:tcPr>
            <w:tcW w:w="613" w:type="pct"/>
            <w:tcBorders>
              <w:top w:val="nil"/>
              <w:left w:val="nil"/>
              <w:bottom w:val="nil"/>
              <w:right w:val="nil"/>
            </w:tcBorders>
            <w:shd w:val="clear" w:color="000000" w:fill="FFFFFF"/>
            <w:noWrap/>
            <w:vAlign w:val="center"/>
            <w:hideMark/>
          </w:tcPr>
          <w:p w14:paraId="3E715E17" w14:textId="77777777" w:rsidR="009372DA" w:rsidRPr="00D618B7" w:rsidRDefault="009372DA" w:rsidP="004B11B7">
            <w:pPr>
              <w:jc w:val="right"/>
              <w:rPr>
                <w:color w:val="000000"/>
                <w:sz w:val="22"/>
                <w:szCs w:val="22"/>
              </w:rPr>
            </w:pPr>
            <w:r w:rsidRPr="00D618B7">
              <w:rPr>
                <w:color w:val="000000"/>
                <w:sz w:val="22"/>
                <w:szCs w:val="22"/>
              </w:rPr>
              <w:t>0.0041</w:t>
            </w:r>
          </w:p>
        </w:tc>
        <w:tc>
          <w:tcPr>
            <w:tcW w:w="912" w:type="pct"/>
            <w:tcBorders>
              <w:top w:val="nil"/>
              <w:left w:val="nil"/>
              <w:bottom w:val="nil"/>
              <w:right w:val="nil"/>
            </w:tcBorders>
            <w:shd w:val="clear" w:color="000000" w:fill="FFFFFF"/>
            <w:noWrap/>
            <w:vAlign w:val="center"/>
            <w:hideMark/>
          </w:tcPr>
          <w:p w14:paraId="1E336B14" w14:textId="77777777" w:rsidR="009372DA" w:rsidRPr="00D618B7" w:rsidRDefault="009372DA" w:rsidP="004B11B7">
            <w:pPr>
              <w:jc w:val="right"/>
              <w:rPr>
                <w:color w:val="000000"/>
                <w:sz w:val="22"/>
                <w:szCs w:val="22"/>
              </w:rPr>
            </w:pPr>
            <w:r w:rsidRPr="00D618B7">
              <w:rPr>
                <w:color w:val="000000"/>
                <w:sz w:val="22"/>
                <w:szCs w:val="22"/>
              </w:rPr>
              <w:t>0.0020</w:t>
            </w:r>
          </w:p>
        </w:tc>
        <w:tc>
          <w:tcPr>
            <w:tcW w:w="635" w:type="pct"/>
            <w:tcBorders>
              <w:top w:val="nil"/>
              <w:left w:val="nil"/>
              <w:bottom w:val="nil"/>
              <w:right w:val="nil"/>
            </w:tcBorders>
            <w:shd w:val="clear" w:color="000000" w:fill="FFFFFF"/>
            <w:noWrap/>
            <w:vAlign w:val="center"/>
            <w:hideMark/>
          </w:tcPr>
          <w:p w14:paraId="359FA61F" w14:textId="77777777" w:rsidR="009372DA" w:rsidRPr="00D618B7" w:rsidRDefault="009372DA" w:rsidP="004B11B7">
            <w:pPr>
              <w:jc w:val="right"/>
              <w:rPr>
                <w:color w:val="000000"/>
                <w:sz w:val="22"/>
                <w:szCs w:val="22"/>
              </w:rPr>
            </w:pPr>
            <w:r w:rsidRPr="00D618B7">
              <w:rPr>
                <w:color w:val="000000"/>
                <w:sz w:val="22"/>
                <w:szCs w:val="22"/>
              </w:rPr>
              <w:t>0.0041</w:t>
            </w:r>
          </w:p>
        </w:tc>
      </w:tr>
      <w:tr w:rsidR="008839D5" w:rsidRPr="00D618B7" w14:paraId="030DD987" w14:textId="77777777" w:rsidTr="008839D5">
        <w:trPr>
          <w:trHeight w:val="266"/>
        </w:trPr>
        <w:tc>
          <w:tcPr>
            <w:tcW w:w="756" w:type="pct"/>
            <w:tcBorders>
              <w:top w:val="nil"/>
              <w:left w:val="nil"/>
              <w:bottom w:val="nil"/>
              <w:right w:val="nil"/>
            </w:tcBorders>
            <w:shd w:val="clear" w:color="000000" w:fill="FFFFFF"/>
            <w:vAlign w:val="center"/>
            <w:hideMark/>
          </w:tcPr>
          <w:p w14:paraId="5C49C350" w14:textId="77777777" w:rsidR="009372DA" w:rsidRPr="00D618B7" w:rsidRDefault="009372DA"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14D6BB77" w14:textId="77777777" w:rsidR="009372DA" w:rsidRPr="00D618B7" w:rsidRDefault="009372DA" w:rsidP="004B11B7">
            <w:pPr>
              <w:jc w:val="right"/>
              <w:rPr>
                <w:color w:val="000000"/>
                <w:sz w:val="22"/>
                <w:szCs w:val="22"/>
              </w:rPr>
            </w:pPr>
            <w:r w:rsidRPr="00D618B7">
              <w:rPr>
                <w:color w:val="000000"/>
                <w:sz w:val="22"/>
                <w:szCs w:val="22"/>
              </w:rPr>
              <w:t>0.0102</w:t>
            </w:r>
          </w:p>
        </w:tc>
        <w:tc>
          <w:tcPr>
            <w:tcW w:w="620" w:type="pct"/>
            <w:tcBorders>
              <w:top w:val="nil"/>
              <w:left w:val="nil"/>
              <w:bottom w:val="nil"/>
              <w:right w:val="nil"/>
            </w:tcBorders>
            <w:shd w:val="clear" w:color="000000" w:fill="FFFFFF"/>
            <w:noWrap/>
            <w:vAlign w:val="center"/>
            <w:hideMark/>
          </w:tcPr>
          <w:p w14:paraId="0CE2912F" w14:textId="77777777" w:rsidR="009372DA" w:rsidRPr="00D618B7" w:rsidRDefault="009372DA" w:rsidP="004B11B7">
            <w:pPr>
              <w:jc w:val="right"/>
              <w:rPr>
                <w:color w:val="000000"/>
                <w:sz w:val="22"/>
                <w:szCs w:val="22"/>
              </w:rPr>
            </w:pPr>
            <w:r w:rsidRPr="00D618B7">
              <w:rPr>
                <w:color w:val="000000"/>
                <w:sz w:val="22"/>
                <w:szCs w:val="22"/>
              </w:rPr>
              <w:t>0.0038</w:t>
            </w:r>
          </w:p>
        </w:tc>
        <w:tc>
          <w:tcPr>
            <w:tcW w:w="881" w:type="pct"/>
            <w:tcBorders>
              <w:top w:val="nil"/>
              <w:left w:val="nil"/>
              <w:bottom w:val="nil"/>
              <w:right w:val="nil"/>
            </w:tcBorders>
            <w:shd w:val="clear" w:color="000000" w:fill="FFFFFF"/>
            <w:noWrap/>
            <w:vAlign w:val="center"/>
            <w:hideMark/>
          </w:tcPr>
          <w:p w14:paraId="6AE88074" w14:textId="77777777" w:rsidR="009372DA" w:rsidRPr="00D618B7" w:rsidRDefault="009372DA" w:rsidP="004B11B7">
            <w:pPr>
              <w:jc w:val="right"/>
              <w:rPr>
                <w:color w:val="000000"/>
                <w:sz w:val="22"/>
                <w:szCs w:val="22"/>
              </w:rPr>
            </w:pPr>
            <w:r w:rsidRPr="00D618B7">
              <w:rPr>
                <w:color w:val="000000"/>
                <w:sz w:val="22"/>
                <w:szCs w:val="22"/>
              </w:rPr>
              <w:t>-0.0006</w:t>
            </w:r>
          </w:p>
        </w:tc>
        <w:tc>
          <w:tcPr>
            <w:tcW w:w="613" w:type="pct"/>
            <w:tcBorders>
              <w:top w:val="nil"/>
              <w:left w:val="nil"/>
              <w:bottom w:val="nil"/>
              <w:right w:val="nil"/>
            </w:tcBorders>
            <w:shd w:val="clear" w:color="000000" w:fill="FFFFFF"/>
            <w:noWrap/>
            <w:vAlign w:val="center"/>
            <w:hideMark/>
          </w:tcPr>
          <w:p w14:paraId="7494CDCF" w14:textId="77777777" w:rsidR="009372DA" w:rsidRPr="00D618B7" w:rsidRDefault="009372DA" w:rsidP="004B11B7">
            <w:pPr>
              <w:jc w:val="right"/>
              <w:rPr>
                <w:color w:val="000000"/>
                <w:sz w:val="22"/>
                <w:szCs w:val="22"/>
              </w:rPr>
            </w:pPr>
            <w:r w:rsidRPr="00D618B7">
              <w:rPr>
                <w:color w:val="000000"/>
                <w:sz w:val="22"/>
                <w:szCs w:val="22"/>
              </w:rPr>
              <w:t>0.0037</w:t>
            </w:r>
          </w:p>
        </w:tc>
        <w:tc>
          <w:tcPr>
            <w:tcW w:w="912" w:type="pct"/>
            <w:tcBorders>
              <w:top w:val="nil"/>
              <w:left w:val="nil"/>
              <w:bottom w:val="nil"/>
              <w:right w:val="nil"/>
            </w:tcBorders>
            <w:shd w:val="clear" w:color="000000" w:fill="FFFFFF"/>
            <w:noWrap/>
            <w:vAlign w:val="center"/>
            <w:hideMark/>
          </w:tcPr>
          <w:p w14:paraId="0BA87F28" w14:textId="77777777" w:rsidR="009372DA" w:rsidRPr="00D618B7" w:rsidRDefault="009372DA" w:rsidP="004B11B7">
            <w:pPr>
              <w:jc w:val="right"/>
              <w:rPr>
                <w:color w:val="000000"/>
                <w:sz w:val="22"/>
                <w:szCs w:val="22"/>
              </w:rPr>
            </w:pPr>
            <w:r w:rsidRPr="00D618B7">
              <w:rPr>
                <w:color w:val="000000"/>
                <w:sz w:val="22"/>
                <w:szCs w:val="22"/>
              </w:rPr>
              <w:t>-0.0004</w:t>
            </w:r>
          </w:p>
        </w:tc>
        <w:tc>
          <w:tcPr>
            <w:tcW w:w="635" w:type="pct"/>
            <w:tcBorders>
              <w:top w:val="nil"/>
              <w:left w:val="nil"/>
              <w:bottom w:val="nil"/>
              <w:right w:val="nil"/>
            </w:tcBorders>
            <w:shd w:val="clear" w:color="000000" w:fill="FFFFFF"/>
            <w:noWrap/>
            <w:vAlign w:val="center"/>
            <w:hideMark/>
          </w:tcPr>
          <w:p w14:paraId="5A22C5DF" w14:textId="77777777" w:rsidR="009372DA" w:rsidRPr="00D618B7" w:rsidRDefault="009372DA" w:rsidP="004B11B7">
            <w:pPr>
              <w:jc w:val="right"/>
              <w:rPr>
                <w:color w:val="000000"/>
                <w:sz w:val="22"/>
                <w:szCs w:val="22"/>
              </w:rPr>
            </w:pPr>
            <w:r w:rsidRPr="00D618B7">
              <w:rPr>
                <w:color w:val="000000"/>
                <w:sz w:val="22"/>
                <w:szCs w:val="22"/>
              </w:rPr>
              <w:t>0.0037</w:t>
            </w:r>
          </w:p>
        </w:tc>
      </w:tr>
      <w:tr w:rsidR="008839D5" w:rsidRPr="00D618B7" w14:paraId="41626AE6" w14:textId="77777777" w:rsidTr="008839D5">
        <w:trPr>
          <w:trHeight w:val="266"/>
        </w:trPr>
        <w:tc>
          <w:tcPr>
            <w:tcW w:w="756" w:type="pct"/>
            <w:tcBorders>
              <w:top w:val="nil"/>
              <w:left w:val="nil"/>
              <w:bottom w:val="nil"/>
              <w:right w:val="nil"/>
            </w:tcBorders>
            <w:shd w:val="clear" w:color="000000" w:fill="FFFFFF"/>
            <w:vAlign w:val="center"/>
            <w:hideMark/>
          </w:tcPr>
          <w:p w14:paraId="455EB788" w14:textId="77777777" w:rsidR="009372DA" w:rsidRPr="00D618B7" w:rsidRDefault="009372DA"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5DB3ABAE" w14:textId="77777777" w:rsidR="009372DA" w:rsidRPr="00D618B7" w:rsidRDefault="009372DA" w:rsidP="004B11B7">
            <w:pPr>
              <w:jc w:val="right"/>
              <w:rPr>
                <w:color w:val="000000"/>
                <w:sz w:val="22"/>
                <w:szCs w:val="22"/>
              </w:rPr>
            </w:pPr>
            <w:r w:rsidRPr="00D618B7">
              <w:rPr>
                <w:color w:val="000000"/>
                <w:sz w:val="22"/>
                <w:szCs w:val="22"/>
              </w:rPr>
              <w:t>0.0001</w:t>
            </w:r>
          </w:p>
        </w:tc>
        <w:tc>
          <w:tcPr>
            <w:tcW w:w="620" w:type="pct"/>
            <w:tcBorders>
              <w:top w:val="nil"/>
              <w:left w:val="nil"/>
              <w:bottom w:val="nil"/>
              <w:right w:val="nil"/>
            </w:tcBorders>
            <w:shd w:val="clear" w:color="000000" w:fill="FFFFFF"/>
            <w:noWrap/>
            <w:vAlign w:val="center"/>
            <w:hideMark/>
          </w:tcPr>
          <w:p w14:paraId="50CE29CC" w14:textId="77777777" w:rsidR="009372DA" w:rsidRPr="00D618B7" w:rsidRDefault="009372DA" w:rsidP="004B11B7">
            <w:pPr>
              <w:jc w:val="right"/>
              <w:rPr>
                <w:color w:val="000000"/>
                <w:sz w:val="22"/>
                <w:szCs w:val="22"/>
              </w:rPr>
            </w:pPr>
            <w:r w:rsidRPr="00D618B7">
              <w:rPr>
                <w:color w:val="000000"/>
                <w:sz w:val="22"/>
                <w:szCs w:val="22"/>
              </w:rPr>
              <w:t>0.0038</w:t>
            </w:r>
          </w:p>
        </w:tc>
        <w:tc>
          <w:tcPr>
            <w:tcW w:w="881" w:type="pct"/>
            <w:tcBorders>
              <w:top w:val="nil"/>
              <w:left w:val="nil"/>
              <w:bottom w:val="nil"/>
              <w:right w:val="nil"/>
            </w:tcBorders>
            <w:shd w:val="clear" w:color="000000" w:fill="FFFFFF"/>
            <w:noWrap/>
            <w:vAlign w:val="center"/>
            <w:hideMark/>
          </w:tcPr>
          <w:p w14:paraId="10264D0E" w14:textId="77777777" w:rsidR="009372DA" w:rsidRPr="00D618B7" w:rsidRDefault="009372DA" w:rsidP="004B11B7">
            <w:pPr>
              <w:jc w:val="right"/>
              <w:rPr>
                <w:color w:val="000000"/>
                <w:sz w:val="22"/>
                <w:szCs w:val="22"/>
              </w:rPr>
            </w:pPr>
            <w:r w:rsidRPr="00D618B7">
              <w:rPr>
                <w:color w:val="000000"/>
                <w:sz w:val="22"/>
                <w:szCs w:val="22"/>
              </w:rPr>
              <w:t>0.0008</w:t>
            </w:r>
          </w:p>
        </w:tc>
        <w:tc>
          <w:tcPr>
            <w:tcW w:w="613" w:type="pct"/>
            <w:tcBorders>
              <w:top w:val="nil"/>
              <w:left w:val="nil"/>
              <w:bottom w:val="nil"/>
              <w:right w:val="nil"/>
            </w:tcBorders>
            <w:shd w:val="clear" w:color="000000" w:fill="FFFFFF"/>
            <w:noWrap/>
            <w:vAlign w:val="center"/>
            <w:hideMark/>
          </w:tcPr>
          <w:p w14:paraId="2866D2AD" w14:textId="77777777" w:rsidR="009372DA" w:rsidRPr="00D618B7" w:rsidRDefault="009372DA" w:rsidP="004B11B7">
            <w:pPr>
              <w:jc w:val="right"/>
              <w:rPr>
                <w:color w:val="000000"/>
                <w:sz w:val="22"/>
                <w:szCs w:val="22"/>
              </w:rPr>
            </w:pPr>
            <w:r w:rsidRPr="00D618B7">
              <w:rPr>
                <w:color w:val="000000"/>
                <w:sz w:val="22"/>
                <w:szCs w:val="22"/>
              </w:rPr>
              <w:t>0.0037</w:t>
            </w:r>
          </w:p>
        </w:tc>
        <w:tc>
          <w:tcPr>
            <w:tcW w:w="912" w:type="pct"/>
            <w:tcBorders>
              <w:top w:val="nil"/>
              <w:left w:val="nil"/>
              <w:bottom w:val="nil"/>
              <w:right w:val="nil"/>
            </w:tcBorders>
            <w:shd w:val="clear" w:color="000000" w:fill="FFFFFF"/>
            <w:noWrap/>
            <w:vAlign w:val="center"/>
            <w:hideMark/>
          </w:tcPr>
          <w:p w14:paraId="0BAD005B" w14:textId="77777777" w:rsidR="009372DA" w:rsidRPr="00D618B7" w:rsidRDefault="009372DA" w:rsidP="004B11B7">
            <w:pPr>
              <w:jc w:val="right"/>
              <w:rPr>
                <w:color w:val="000000"/>
                <w:sz w:val="22"/>
                <w:szCs w:val="22"/>
              </w:rPr>
            </w:pPr>
            <w:r w:rsidRPr="00D618B7">
              <w:rPr>
                <w:color w:val="000000"/>
                <w:sz w:val="22"/>
                <w:szCs w:val="22"/>
              </w:rPr>
              <w:t>0.0015</w:t>
            </w:r>
          </w:p>
        </w:tc>
        <w:tc>
          <w:tcPr>
            <w:tcW w:w="635" w:type="pct"/>
            <w:tcBorders>
              <w:top w:val="nil"/>
              <w:left w:val="nil"/>
              <w:bottom w:val="nil"/>
              <w:right w:val="nil"/>
            </w:tcBorders>
            <w:shd w:val="clear" w:color="000000" w:fill="FFFFFF"/>
            <w:noWrap/>
            <w:vAlign w:val="center"/>
            <w:hideMark/>
          </w:tcPr>
          <w:p w14:paraId="06F35DCE" w14:textId="77777777" w:rsidR="009372DA" w:rsidRPr="00D618B7" w:rsidRDefault="009372DA" w:rsidP="004B11B7">
            <w:pPr>
              <w:jc w:val="right"/>
              <w:rPr>
                <w:color w:val="000000"/>
                <w:sz w:val="22"/>
                <w:szCs w:val="22"/>
              </w:rPr>
            </w:pPr>
            <w:r w:rsidRPr="00D618B7">
              <w:rPr>
                <w:color w:val="000000"/>
                <w:sz w:val="22"/>
                <w:szCs w:val="22"/>
              </w:rPr>
              <w:t>0.0037</w:t>
            </w:r>
          </w:p>
        </w:tc>
      </w:tr>
      <w:tr w:rsidR="008839D5" w:rsidRPr="00D618B7" w14:paraId="0CA2AA98" w14:textId="77777777" w:rsidTr="008839D5">
        <w:trPr>
          <w:trHeight w:val="266"/>
        </w:trPr>
        <w:tc>
          <w:tcPr>
            <w:tcW w:w="756" w:type="pct"/>
            <w:tcBorders>
              <w:top w:val="nil"/>
              <w:left w:val="nil"/>
              <w:bottom w:val="nil"/>
              <w:right w:val="nil"/>
            </w:tcBorders>
            <w:shd w:val="clear" w:color="000000" w:fill="FFFFFF"/>
            <w:vAlign w:val="center"/>
            <w:hideMark/>
          </w:tcPr>
          <w:p w14:paraId="77ABC2D5" w14:textId="77777777" w:rsidR="009372DA" w:rsidRPr="00D618B7" w:rsidRDefault="009372DA" w:rsidP="004B11B7">
            <w:pPr>
              <w:jc w:val="right"/>
              <w:rPr>
                <w:color w:val="000000"/>
                <w:sz w:val="22"/>
                <w:szCs w:val="22"/>
              </w:rPr>
            </w:pPr>
            <w:r w:rsidRPr="00D618B7">
              <w:rPr>
                <w:color w:val="000000"/>
                <w:sz w:val="22"/>
                <w:szCs w:val="22"/>
              </w:rPr>
              <w:t>0</w:t>
            </w:r>
          </w:p>
        </w:tc>
        <w:tc>
          <w:tcPr>
            <w:tcW w:w="583" w:type="pct"/>
            <w:tcBorders>
              <w:top w:val="nil"/>
              <w:left w:val="nil"/>
              <w:bottom w:val="nil"/>
              <w:right w:val="nil"/>
            </w:tcBorders>
            <w:shd w:val="clear" w:color="000000" w:fill="FFFFFF"/>
            <w:noWrap/>
            <w:vAlign w:val="center"/>
            <w:hideMark/>
          </w:tcPr>
          <w:p w14:paraId="135E57F3" w14:textId="77777777" w:rsidR="009372DA" w:rsidRPr="00D618B7" w:rsidRDefault="009372DA" w:rsidP="004B11B7">
            <w:pPr>
              <w:jc w:val="right"/>
              <w:rPr>
                <w:color w:val="000000"/>
                <w:sz w:val="22"/>
                <w:szCs w:val="22"/>
              </w:rPr>
            </w:pPr>
            <w:r w:rsidRPr="00D618B7">
              <w:rPr>
                <w:color w:val="000000"/>
                <w:sz w:val="22"/>
                <w:szCs w:val="22"/>
              </w:rPr>
              <w:t>0.0075</w:t>
            </w:r>
          </w:p>
        </w:tc>
        <w:tc>
          <w:tcPr>
            <w:tcW w:w="620" w:type="pct"/>
            <w:tcBorders>
              <w:top w:val="nil"/>
              <w:left w:val="nil"/>
              <w:bottom w:val="nil"/>
              <w:right w:val="nil"/>
            </w:tcBorders>
            <w:shd w:val="clear" w:color="000000" w:fill="FFFFFF"/>
            <w:noWrap/>
            <w:vAlign w:val="center"/>
            <w:hideMark/>
          </w:tcPr>
          <w:p w14:paraId="2560AE6A" w14:textId="77777777" w:rsidR="009372DA" w:rsidRPr="00D618B7" w:rsidRDefault="009372DA" w:rsidP="004B11B7">
            <w:pPr>
              <w:jc w:val="right"/>
              <w:rPr>
                <w:color w:val="000000"/>
                <w:sz w:val="22"/>
                <w:szCs w:val="22"/>
              </w:rPr>
            </w:pPr>
            <w:r w:rsidRPr="00D618B7">
              <w:rPr>
                <w:color w:val="000000"/>
                <w:sz w:val="22"/>
                <w:szCs w:val="22"/>
              </w:rPr>
              <w:t>0.0035</w:t>
            </w:r>
          </w:p>
        </w:tc>
        <w:tc>
          <w:tcPr>
            <w:tcW w:w="881" w:type="pct"/>
            <w:tcBorders>
              <w:top w:val="nil"/>
              <w:left w:val="nil"/>
              <w:bottom w:val="nil"/>
              <w:right w:val="nil"/>
            </w:tcBorders>
            <w:shd w:val="clear" w:color="000000" w:fill="FFFFFF"/>
            <w:noWrap/>
            <w:vAlign w:val="center"/>
            <w:hideMark/>
          </w:tcPr>
          <w:p w14:paraId="090FE7A3" w14:textId="77777777" w:rsidR="009372DA" w:rsidRPr="00D618B7" w:rsidRDefault="009372DA" w:rsidP="004B11B7">
            <w:pPr>
              <w:jc w:val="right"/>
              <w:rPr>
                <w:color w:val="000000"/>
                <w:sz w:val="22"/>
                <w:szCs w:val="22"/>
              </w:rPr>
            </w:pPr>
            <w:r w:rsidRPr="00D618B7">
              <w:rPr>
                <w:color w:val="000000"/>
                <w:sz w:val="22"/>
                <w:szCs w:val="22"/>
              </w:rPr>
              <w:t>-0.0005</w:t>
            </w:r>
          </w:p>
        </w:tc>
        <w:tc>
          <w:tcPr>
            <w:tcW w:w="613" w:type="pct"/>
            <w:tcBorders>
              <w:top w:val="nil"/>
              <w:left w:val="nil"/>
              <w:bottom w:val="nil"/>
              <w:right w:val="nil"/>
            </w:tcBorders>
            <w:shd w:val="clear" w:color="000000" w:fill="FFFFFF"/>
            <w:noWrap/>
            <w:vAlign w:val="center"/>
            <w:hideMark/>
          </w:tcPr>
          <w:p w14:paraId="4236047F" w14:textId="77777777" w:rsidR="009372DA" w:rsidRPr="00D618B7" w:rsidRDefault="009372DA" w:rsidP="004B11B7">
            <w:pPr>
              <w:jc w:val="right"/>
              <w:rPr>
                <w:color w:val="000000"/>
                <w:sz w:val="22"/>
                <w:szCs w:val="22"/>
              </w:rPr>
            </w:pPr>
            <w:r w:rsidRPr="00D618B7">
              <w:rPr>
                <w:color w:val="000000"/>
                <w:sz w:val="22"/>
                <w:szCs w:val="22"/>
              </w:rPr>
              <w:t>0.0034</w:t>
            </w:r>
          </w:p>
        </w:tc>
        <w:tc>
          <w:tcPr>
            <w:tcW w:w="912" w:type="pct"/>
            <w:tcBorders>
              <w:top w:val="nil"/>
              <w:left w:val="nil"/>
              <w:bottom w:val="nil"/>
              <w:right w:val="nil"/>
            </w:tcBorders>
            <w:shd w:val="clear" w:color="000000" w:fill="FFFFFF"/>
            <w:noWrap/>
            <w:vAlign w:val="center"/>
            <w:hideMark/>
          </w:tcPr>
          <w:p w14:paraId="2D576364" w14:textId="77777777" w:rsidR="009372DA" w:rsidRPr="00D618B7" w:rsidRDefault="009372DA" w:rsidP="004B11B7">
            <w:pPr>
              <w:jc w:val="right"/>
              <w:rPr>
                <w:color w:val="000000"/>
                <w:sz w:val="22"/>
                <w:szCs w:val="22"/>
              </w:rPr>
            </w:pPr>
            <w:r w:rsidRPr="00D618B7">
              <w:rPr>
                <w:color w:val="000000"/>
                <w:sz w:val="22"/>
                <w:szCs w:val="22"/>
              </w:rPr>
              <w:t>-0.0006</w:t>
            </w:r>
          </w:p>
        </w:tc>
        <w:tc>
          <w:tcPr>
            <w:tcW w:w="635" w:type="pct"/>
            <w:tcBorders>
              <w:top w:val="nil"/>
              <w:left w:val="nil"/>
              <w:bottom w:val="nil"/>
              <w:right w:val="nil"/>
            </w:tcBorders>
            <w:shd w:val="clear" w:color="000000" w:fill="FFFFFF"/>
            <w:noWrap/>
            <w:vAlign w:val="center"/>
            <w:hideMark/>
          </w:tcPr>
          <w:p w14:paraId="0C8CB259" w14:textId="77777777" w:rsidR="009372DA" w:rsidRPr="00D618B7" w:rsidRDefault="009372DA" w:rsidP="004B11B7">
            <w:pPr>
              <w:jc w:val="right"/>
              <w:rPr>
                <w:color w:val="000000"/>
                <w:sz w:val="22"/>
                <w:szCs w:val="22"/>
              </w:rPr>
            </w:pPr>
            <w:r w:rsidRPr="00D618B7">
              <w:rPr>
                <w:color w:val="000000"/>
                <w:sz w:val="22"/>
                <w:szCs w:val="22"/>
              </w:rPr>
              <w:t>0.0034</w:t>
            </w:r>
          </w:p>
        </w:tc>
      </w:tr>
      <w:tr w:rsidR="008839D5" w:rsidRPr="00D618B7" w14:paraId="092254AA" w14:textId="77777777" w:rsidTr="008839D5">
        <w:trPr>
          <w:trHeight w:val="266"/>
        </w:trPr>
        <w:tc>
          <w:tcPr>
            <w:tcW w:w="756" w:type="pct"/>
            <w:tcBorders>
              <w:top w:val="nil"/>
              <w:left w:val="nil"/>
              <w:bottom w:val="nil"/>
              <w:right w:val="nil"/>
            </w:tcBorders>
            <w:shd w:val="clear" w:color="000000" w:fill="FFFFFF"/>
            <w:vAlign w:val="center"/>
            <w:hideMark/>
          </w:tcPr>
          <w:p w14:paraId="57774DC7" w14:textId="77777777" w:rsidR="009372DA" w:rsidRPr="00D618B7" w:rsidRDefault="009372DA"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16EFACDA" w14:textId="77777777" w:rsidR="009372DA" w:rsidRPr="00D618B7" w:rsidRDefault="009372DA" w:rsidP="004B11B7">
            <w:pPr>
              <w:jc w:val="right"/>
              <w:rPr>
                <w:color w:val="000000"/>
                <w:sz w:val="22"/>
                <w:szCs w:val="22"/>
              </w:rPr>
            </w:pPr>
            <w:r w:rsidRPr="00D618B7">
              <w:rPr>
                <w:color w:val="000000"/>
                <w:sz w:val="22"/>
                <w:szCs w:val="22"/>
              </w:rPr>
              <w:t>-0.0002</w:t>
            </w:r>
          </w:p>
        </w:tc>
        <w:tc>
          <w:tcPr>
            <w:tcW w:w="620" w:type="pct"/>
            <w:tcBorders>
              <w:top w:val="nil"/>
              <w:left w:val="nil"/>
              <w:bottom w:val="nil"/>
              <w:right w:val="nil"/>
            </w:tcBorders>
            <w:shd w:val="clear" w:color="000000" w:fill="FFFFFF"/>
            <w:noWrap/>
            <w:vAlign w:val="center"/>
            <w:hideMark/>
          </w:tcPr>
          <w:p w14:paraId="03C6EDB5" w14:textId="77777777" w:rsidR="009372DA" w:rsidRPr="00D618B7" w:rsidRDefault="009372DA" w:rsidP="004B11B7">
            <w:pPr>
              <w:jc w:val="right"/>
              <w:rPr>
                <w:color w:val="000000"/>
                <w:sz w:val="22"/>
                <w:szCs w:val="22"/>
              </w:rPr>
            </w:pPr>
            <w:r w:rsidRPr="00D618B7">
              <w:rPr>
                <w:color w:val="000000"/>
                <w:sz w:val="22"/>
                <w:szCs w:val="22"/>
              </w:rPr>
              <w:t>0.0035</w:t>
            </w:r>
          </w:p>
        </w:tc>
        <w:tc>
          <w:tcPr>
            <w:tcW w:w="881" w:type="pct"/>
            <w:tcBorders>
              <w:top w:val="nil"/>
              <w:left w:val="nil"/>
              <w:bottom w:val="nil"/>
              <w:right w:val="nil"/>
            </w:tcBorders>
            <w:shd w:val="clear" w:color="000000" w:fill="FFFFFF"/>
            <w:noWrap/>
            <w:vAlign w:val="center"/>
            <w:hideMark/>
          </w:tcPr>
          <w:p w14:paraId="0199E950" w14:textId="77777777" w:rsidR="009372DA" w:rsidRPr="00D618B7" w:rsidRDefault="009372DA" w:rsidP="004B11B7">
            <w:pPr>
              <w:jc w:val="right"/>
              <w:rPr>
                <w:color w:val="000000"/>
                <w:sz w:val="22"/>
                <w:szCs w:val="22"/>
              </w:rPr>
            </w:pPr>
            <w:r w:rsidRPr="00D618B7">
              <w:rPr>
                <w:color w:val="000000"/>
                <w:sz w:val="22"/>
                <w:szCs w:val="22"/>
              </w:rPr>
              <w:t>0.0052</w:t>
            </w:r>
          </w:p>
        </w:tc>
        <w:tc>
          <w:tcPr>
            <w:tcW w:w="613" w:type="pct"/>
            <w:tcBorders>
              <w:top w:val="nil"/>
              <w:left w:val="nil"/>
              <w:bottom w:val="nil"/>
              <w:right w:val="nil"/>
            </w:tcBorders>
            <w:shd w:val="clear" w:color="000000" w:fill="FFFFFF"/>
            <w:noWrap/>
            <w:vAlign w:val="center"/>
            <w:hideMark/>
          </w:tcPr>
          <w:p w14:paraId="08984A27" w14:textId="77777777" w:rsidR="009372DA" w:rsidRPr="00D618B7" w:rsidRDefault="009372DA" w:rsidP="004B11B7">
            <w:pPr>
              <w:jc w:val="right"/>
              <w:rPr>
                <w:color w:val="000000"/>
                <w:sz w:val="22"/>
                <w:szCs w:val="22"/>
              </w:rPr>
            </w:pPr>
            <w:r w:rsidRPr="00D618B7">
              <w:rPr>
                <w:color w:val="000000"/>
                <w:sz w:val="22"/>
                <w:szCs w:val="22"/>
              </w:rPr>
              <w:t>0.0034</w:t>
            </w:r>
          </w:p>
        </w:tc>
        <w:tc>
          <w:tcPr>
            <w:tcW w:w="912" w:type="pct"/>
            <w:tcBorders>
              <w:top w:val="nil"/>
              <w:left w:val="nil"/>
              <w:bottom w:val="nil"/>
              <w:right w:val="nil"/>
            </w:tcBorders>
            <w:shd w:val="clear" w:color="000000" w:fill="FFFFFF"/>
            <w:noWrap/>
            <w:vAlign w:val="center"/>
            <w:hideMark/>
          </w:tcPr>
          <w:p w14:paraId="55617476" w14:textId="77777777" w:rsidR="009372DA" w:rsidRPr="00D618B7" w:rsidRDefault="009372DA" w:rsidP="004B11B7">
            <w:pPr>
              <w:jc w:val="right"/>
              <w:rPr>
                <w:color w:val="000000"/>
                <w:sz w:val="22"/>
                <w:szCs w:val="22"/>
              </w:rPr>
            </w:pPr>
            <w:r w:rsidRPr="00D618B7">
              <w:rPr>
                <w:color w:val="000000"/>
                <w:sz w:val="22"/>
                <w:szCs w:val="22"/>
              </w:rPr>
              <w:t>0.0054</w:t>
            </w:r>
          </w:p>
        </w:tc>
        <w:tc>
          <w:tcPr>
            <w:tcW w:w="635" w:type="pct"/>
            <w:tcBorders>
              <w:top w:val="nil"/>
              <w:left w:val="nil"/>
              <w:bottom w:val="nil"/>
              <w:right w:val="nil"/>
            </w:tcBorders>
            <w:shd w:val="clear" w:color="000000" w:fill="FFFFFF"/>
            <w:noWrap/>
            <w:vAlign w:val="center"/>
            <w:hideMark/>
          </w:tcPr>
          <w:p w14:paraId="16BDC459" w14:textId="77777777" w:rsidR="009372DA" w:rsidRPr="00D618B7" w:rsidRDefault="009372DA" w:rsidP="004B11B7">
            <w:pPr>
              <w:jc w:val="right"/>
              <w:rPr>
                <w:color w:val="000000"/>
                <w:sz w:val="22"/>
                <w:szCs w:val="22"/>
              </w:rPr>
            </w:pPr>
            <w:r w:rsidRPr="00D618B7">
              <w:rPr>
                <w:color w:val="000000"/>
                <w:sz w:val="22"/>
                <w:szCs w:val="22"/>
              </w:rPr>
              <w:t>0.0034</w:t>
            </w:r>
          </w:p>
        </w:tc>
      </w:tr>
      <w:tr w:rsidR="008839D5" w:rsidRPr="00D618B7" w14:paraId="255F13F3" w14:textId="77777777" w:rsidTr="008839D5">
        <w:trPr>
          <w:trHeight w:val="266"/>
        </w:trPr>
        <w:tc>
          <w:tcPr>
            <w:tcW w:w="756" w:type="pct"/>
            <w:tcBorders>
              <w:top w:val="nil"/>
              <w:left w:val="nil"/>
              <w:bottom w:val="nil"/>
              <w:right w:val="nil"/>
            </w:tcBorders>
            <w:shd w:val="clear" w:color="000000" w:fill="FFFFFF"/>
            <w:vAlign w:val="center"/>
            <w:hideMark/>
          </w:tcPr>
          <w:p w14:paraId="0516B86E" w14:textId="77777777" w:rsidR="009372DA" w:rsidRPr="00D618B7" w:rsidRDefault="009372DA"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53AE100D" w14:textId="77777777" w:rsidR="009372DA" w:rsidRPr="00D618B7" w:rsidRDefault="009372DA" w:rsidP="004B11B7">
            <w:pPr>
              <w:jc w:val="right"/>
              <w:rPr>
                <w:color w:val="000000"/>
                <w:sz w:val="22"/>
                <w:szCs w:val="22"/>
              </w:rPr>
            </w:pPr>
            <w:r w:rsidRPr="00D618B7">
              <w:rPr>
                <w:color w:val="000000"/>
                <w:sz w:val="22"/>
                <w:szCs w:val="22"/>
              </w:rPr>
              <w:t>0.0008</w:t>
            </w:r>
          </w:p>
        </w:tc>
        <w:tc>
          <w:tcPr>
            <w:tcW w:w="620" w:type="pct"/>
            <w:tcBorders>
              <w:top w:val="nil"/>
              <w:left w:val="nil"/>
              <w:bottom w:val="nil"/>
              <w:right w:val="nil"/>
            </w:tcBorders>
            <w:shd w:val="clear" w:color="000000" w:fill="FFFFFF"/>
            <w:noWrap/>
            <w:vAlign w:val="center"/>
            <w:hideMark/>
          </w:tcPr>
          <w:p w14:paraId="57AAB67C" w14:textId="77777777" w:rsidR="009372DA" w:rsidRPr="00D618B7" w:rsidRDefault="009372DA" w:rsidP="004B11B7">
            <w:pPr>
              <w:jc w:val="right"/>
              <w:rPr>
                <w:color w:val="000000"/>
                <w:sz w:val="22"/>
                <w:szCs w:val="22"/>
              </w:rPr>
            </w:pPr>
            <w:r w:rsidRPr="00D618B7">
              <w:rPr>
                <w:color w:val="000000"/>
                <w:sz w:val="22"/>
                <w:szCs w:val="22"/>
              </w:rPr>
              <w:t>0.0042</w:t>
            </w:r>
          </w:p>
        </w:tc>
        <w:tc>
          <w:tcPr>
            <w:tcW w:w="881" w:type="pct"/>
            <w:tcBorders>
              <w:top w:val="nil"/>
              <w:left w:val="nil"/>
              <w:bottom w:val="nil"/>
              <w:right w:val="nil"/>
            </w:tcBorders>
            <w:shd w:val="clear" w:color="000000" w:fill="FFFFFF"/>
            <w:noWrap/>
            <w:vAlign w:val="center"/>
            <w:hideMark/>
          </w:tcPr>
          <w:p w14:paraId="4B27A53D" w14:textId="77777777" w:rsidR="009372DA" w:rsidRPr="00D618B7" w:rsidRDefault="009372DA" w:rsidP="004B11B7">
            <w:pPr>
              <w:jc w:val="right"/>
              <w:rPr>
                <w:color w:val="000000"/>
                <w:sz w:val="22"/>
                <w:szCs w:val="22"/>
              </w:rPr>
            </w:pPr>
            <w:r w:rsidRPr="00D618B7">
              <w:rPr>
                <w:color w:val="000000"/>
                <w:sz w:val="22"/>
                <w:szCs w:val="22"/>
              </w:rPr>
              <w:t>0.0001</w:t>
            </w:r>
          </w:p>
        </w:tc>
        <w:tc>
          <w:tcPr>
            <w:tcW w:w="613" w:type="pct"/>
            <w:tcBorders>
              <w:top w:val="nil"/>
              <w:left w:val="nil"/>
              <w:bottom w:val="nil"/>
              <w:right w:val="nil"/>
            </w:tcBorders>
            <w:shd w:val="clear" w:color="000000" w:fill="FFFFFF"/>
            <w:noWrap/>
            <w:vAlign w:val="center"/>
            <w:hideMark/>
          </w:tcPr>
          <w:p w14:paraId="4AFAE81B" w14:textId="77777777" w:rsidR="009372DA" w:rsidRPr="00D618B7" w:rsidRDefault="009372DA" w:rsidP="004B11B7">
            <w:pPr>
              <w:jc w:val="right"/>
              <w:rPr>
                <w:color w:val="000000"/>
                <w:sz w:val="22"/>
                <w:szCs w:val="22"/>
              </w:rPr>
            </w:pPr>
            <w:r w:rsidRPr="00D618B7">
              <w:rPr>
                <w:color w:val="000000"/>
                <w:sz w:val="22"/>
                <w:szCs w:val="22"/>
              </w:rPr>
              <w:t>0.0042</w:t>
            </w:r>
          </w:p>
        </w:tc>
        <w:tc>
          <w:tcPr>
            <w:tcW w:w="912" w:type="pct"/>
            <w:tcBorders>
              <w:top w:val="nil"/>
              <w:left w:val="nil"/>
              <w:bottom w:val="nil"/>
              <w:right w:val="nil"/>
            </w:tcBorders>
            <w:shd w:val="clear" w:color="000000" w:fill="FFFFFF"/>
            <w:noWrap/>
            <w:vAlign w:val="center"/>
            <w:hideMark/>
          </w:tcPr>
          <w:p w14:paraId="16A73093" w14:textId="77777777" w:rsidR="009372DA" w:rsidRPr="00D618B7" w:rsidRDefault="009372DA" w:rsidP="004B11B7">
            <w:pPr>
              <w:jc w:val="right"/>
              <w:rPr>
                <w:color w:val="000000"/>
                <w:sz w:val="22"/>
                <w:szCs w:val="22"/>
              </w:rPr>
            </w:pPr>
            <w:r w:rsidRPr="00D618B7">
              <w:rPr>
                <w:color w:val="000000"/>
                <w:sz w:val="22"/>
                <w:szCs w:val="22"/>
              </w:rPr>
              <w:t>0.0002</w:t>
            </w:r>
          </w:p>
        </w:tc>
        <w:tc>
          <w:tcPr>
            <w:tcW w:w="635" w:type="pct"/>
            <w:tcBorders>
              <w:top w:val="nil"/>
              <w:left w:val="nil"/>
              <w:bottom w:val="nil"/>
              <w:right w:val="nil"/>
            </w:tcBorders>
            <w:shd w:val="clear" w:color="000000" w:fill="FFFFFF"/>
            <w:noWrap/>
            <w:vAlign w:val="center"/>
            <w:hideMark/>
          </w:tcPr>
          <w:p w14:paraId="26FF25EF" w14:textId="77777777" w:rsidR="009372DA" w:rsidRPr="00D618B7" w:rsidRDefault="009372DA" w:rsidP="004B11B7">
            <w:pPr>
              <w:jc w:val="right"/>
              <w:rPr>
                <w:color w:val="000000"/>
                <w:sz w:val="22"/>
                <w:szCs w:val="22"/>
              </w:rPr>
            </w:pPr>
            <w:r w:rsidRPr="00D618B7">
              <w:rPr>
                <w:color w:val="000000"/>
                <w:sz w:val="22"/>
                <w:szCs w:val="22"/>
              </w:rPr>
              <w:t>0.0042</w:t>
            </w:r>
          </w:p>
        </w:tc>
      </w:tr>
      <w:tr w:rsidR="008839D5" w:rsidRPr="00D618B7" w14:paraId="1B8CFC89" w14:textId="77777777" w:rsidTr="008839D5">
        <w:trPr>
          <w:trHeight w:val="266"/>
        </w:trPr>
        <w:tc>
          <w:tcPr>
            <w:tcW w:w="756" w:type="pct"/>
            <w:tcBorders>
              <w:top w:val="nil"/>
              <w:left w:val="nil"/>
              <w:bottom w:val="nil"/>
              <w:right w:val="nil"/>
            </w:tcBorders>
            <w:shd w:val="clear" w:color="000000" w:fill="FFFFFF"/>
            <w:vAlign w:val="center"/>
            <w:hideMark/>
          </w:tcPr>
          <w:p w14:paraId="4B8D07C0" w14:textId="77777777" w:rsidR="009372DA" w:rsidRPr="00D618B7" w:rsidRDefault="009372DA"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7C6F2C9C" w14:textId="77777777" w:rsidR="009372DA" w:rsidRPr="00D618B7" w:rsidRDefault="009372DA" w:rsidP="004B11B7">
            <w:pPr>
              <w:jc w:val="right"/>
              <w:rPr>
                <w:color w:val="000000"/>
                <w:sz w:val="22"/>
                <w:szCs w:val="22"/>
              </w:rPr>
            </w:pPr>
            <w:r w:rsidRPr="00D618B7">
              <w:rPr>
                <w:color w:val="000000"/>
                <w:sz w:val="22"/>
                <w:szCs w:val="22"/>
              </w:rPr>
              <w:t>-0.0004</w:t>
            </w:r>
          </w:p>
        </w:tc>
        <w:tc>
          <w:tcPr>
            <w:tcW w:w="620" w:type="pct"/>
            <w:tcBorders>
              <w:top w:val="nil"/>
              <w:left w:val="nil"/>
              <w:bottom w:val="nil"/>
              <w:right w:val="nil"/>
            </w:tcBorders>
            <w:shd w:val="clear" w:color="000000" w:fill="FFFFFF"/>
            <w:noWrap/>
            <w:vAlign w:val="center"/>
            <w:hideMark/>
          </w:tcPr>
          <w:p w14:paraId="500F5109" w14:textId="77777777" w:rsidR="009372DA" w:rsidRPr="00D618B7" w:rsidRDefault="009372DA" w:rsidP="004B11B7">
            <w:pPr>
              <w:jc w:val="right"/>
              <w:rPr>
                <w:color w:val="000000"/>
                <w:sz w:val="22"/>
                <w:szCs w:val="22"/>
              </w:rPr>
            </w:pPr>
            <w:r w:rsidRPr="00D618B7">
              <w:rPr>
                <w:color w:val="000000"/>
                <w:sz w:val="22"/>
                <w:szCs w:val="22"/>
              </w:rPr>
              <w:t>0.0034</w:t>
            </w:r>
          </w:p>
        </w:tc>
        <w:tc>
          <w:tcPr>
            <w:tcW w:w="881" w:type="pct"/>
            <w:tcBorders>
              <w:top w:val="nil"/>
              <w:left w:val="nil"/>
              <w:bottom w:val="nil"/>
              <w:right w:val="nil"/>
            </w:tcBorders>
            <w:shd w:val="clear" w:color="000000" w:fill="FFFFFF"/>
            <w:noWrap/>
            <w:vAlign w:val="center"/>
            <w:hideMark/>
          </w:tcPr>
          <w:p w14:paraId="76A4A38D" w14:textId="77777777" w:rsidR="009372DA" w:rsidRPr="00D618B7" w:rsidRDefault="009372DA" w:rsidP="004B11B7">
            <w:pPr>
              <w:jc w:val="right"/>
              <w:rPr>
                <w:color w:val="000000"/>
                <w:sz w:val="22"/>
                <w:szCs w:val="22"/>
              </w:rPr>
            </w:pPr>
            <w:r w:rsidRPr="00D618B7">
              <w:rPr>
                <w:color w:val="000000"/>
                <w:sz w:val="22"/>
                <w:szCs w:val="22"/>
              </w:rPr>
              <w:t>-0.0002</w:t>
            </w:r>
          </w:p>
        </w:tc>
        <w:tc>
          <w:tcPr>
            <w:tcW w:w="613" w:type="pct"/>
            <w:tcBorders>
              <w:top w:val="nil"/>
              <w:left w:val="nil"/>
              <w:bottom w:val="nil"/>
              <w:right w:val="nil"/>
            </w:tcBorders>
            <w:shd w:val="clear" w:color="000000" w:fill="FFFFFF"/>
            <w:noWrap/>
            <w:vAlign w:val="center"/>
            <w:hideMark/>
          </w:tcPr>
          <w:p w14:paraId="25235DE6" w14:textId="77777777" w:rsidR="009372DA" w:rsidRPr="00D618B7" w:rsidRDefault="009372DA" w:rsidP="004B11B7">
            <w:pPr>
              <w:jc w:val="right"/>
              <w:rPr>
                <w:color w:val="000000"/>
                <w:sz w:val="22"/>
                <w:szCs w:val="22"/>
              </w:rPr>
            </w:pPr>
            <w:r w:rsidRPr="00D618B7">
              <w:rPr>
                <w:color w:val="000000"/>
                <w:sz w:val="22"/>
                <w:szCs w:val="22"/>
              </w:rPr>
              <w:t>0.0034</w:t>
            </w:r>
          </w:p>
        </w:tc>
        <w:tc>
          <w:tcPr>
            <w:tcW w:w="912" w:type="pct"/>
            <w:tcBorders>
              <w:top w:val="nil"/>
              <w:left w:val="nil"/>
              <w:bottom w:val="nil"/>
              <w:right w:val="nil"/>
            </w:tcBorders>
            <w:shd w:val="clear" w:color="000000" w:fill="FFFFFF"/>
            <w:noWrap/>
            <w:vAlign w:val="center"/>
            <w:hideMark/>
          </w:tcPr>
          <w:p w14:paraId="58D5F5D4" w14:textId="77777777" w:rsidR="009372DA" w:rsidRPr="00D618B7" w:rsidRDefault="009372DA" w:rsidP="004B11B7">
            <w:pPr>
              <w:jc w:val="right"/>
              <w:rPr>
                <w:color w:val="000000"/>
                <w:sz w:val="22"/>
                <w:szCs w:val="22"/>
              </w:rPr>
            </w:pPr>
            <w:r w:rsidRPr="00D618B7">
              <w:rPr>
                <w:color w:val="000000"/>
                <w:sz w:val="22"/>
                <w:szCs w:val="22"/>
              </w:rPr>
              <w:t>-0.0003</w:t>
            </w:r>
          </w:p>
        </w:tc>
        <w:tc>
          <w:tcPr>
            <w:tcW w:w="635" w:type="pct"/>
            <w:tcBorders>
              <w:top w:val="nil"/>
              <w:left w:val="nil"/>
              <w:bottom w:val="nil"/>
              <w:right w:val="nil"/>
            </w:tcBorders>
            <w:shd w:val="clear" w:color="000000" w:fill="FFFFFF"/>
            <w:noWrap/>
            <w:vAlign w:val="center"/>
            <w:hideMark/>
          </w:tcPr>
          <w:p w14:paraId="2344A57A" w14:textId="77777777" w:rsidR="009372DA" w:rsidRPr="00D618B7" w:rsidRDefault="009372DA" w:rsidP="004B11B7">
            <w:pPr>
              <w:jc w:val="right"/>
              <w:rPr>
                <w:color w:val="000000"/>
                <w:sz w:val="22"/>
                <w:szCs w:val="22"/>
              </w:rPr>
            </w:pPr>
            <w:r w:rsidRPr="00D618B7">
              <w:rPr>
                <w:color w:val="000000"/>
                <w:sz w:val="22"/>
                <w:szCs w:val="22"/>
              </w:rPr>
              <w:t>0.0034</w:t>
            </w:r>
          </w:p>
        </w:tc>
      </w:tr>
      <w:tr w:rsidR="008839D5" w:rsidRPr="00D618B7" w14:paraId="2C9B3223" w14:textId="77777777" w:rsidTr="008839D5">
        <w:trPr>
          <w:trHeight w:val="266"/>
        </w:trPr>
        <w:tc>
          <w:tcPr>
            <w:tcW w:w="756" w:type="pct"/>
            <w:tcBorders>
              <w:top w:val="nil"/>
              <w:left w:val="nil"/>
              <w:right w:val="nil"/>
            </w:tcBorders>
            <w:shd w:val="clear" w:color="000000" w:fill="FFFFFF"/>
            <w:vAlign w:val="center"/>
            <w:hideMark/>
          </w:tcPr>
          <w:p w14:paraId="0AC0C4A0" w14:textId="77777777" w:rsidR="009372DA" w:rsidRPr="00D618B7" w:rsidRDefault="009372DA" w:rsidP="004B11B7">
            <w:pPr>
              <w:jc w:val="right"/>
              <w:rPr>
                <w:color w:val="000000"/>
                <w:sz w:val="22"/>
                <w:szCs w:val="22"/>
              </w:rPr>
            </w:pPr>
            <w:r w:rsidRPr="00D618B7">
              <w:rPr>
                <w:color w:val="000000"/>
                <w:sz w:val="22"/>
                <w:szCs w:val="22"/>
              </w:rPr>
              <w:t>4</w:t>
            </w:r>
          </w:p>
        </w:tc>
        <w:tc>
          <w:tcPr>
            <w:tcW w:w="583" w:type="pct"/>
            <w:tcBorders>
              <w:top w:val="nil"/>
              <w:left w:val="nil"/>
              <w:right w:val="nil"/>
            </w:tcBorders>
            <w:shd w:val="clear" w:color="000000" w:fill="FFFFFF"/>
            <w:noWrap/>
            <w:vAlign w:val="center"/>
            <w:hideMark/>
          </w:tcPr>
          <w:p w14:paraId="2043F216" w14:textId="77777777" w:rsidR="009372DA" w:rsidRPr="00D618B7" w:rsidRDefault="009372DA" w:rsidP="004B11B7">
            <w:pPr>
              <w:jc w:val="right"/>
              <w:rPr>
                <w:color w:val="000000"/>
                <w:sz w:val="22"/>
                <w:szCs w:val="22"/>
              </w:rPr>
            </w:pPr>
            <w:r w:rsidRPr="00D618B7">
              <w:rPr>
                <w:color w:val="000000"/>
                <w:sz w:val="22"/>
                <w:szCs w:val="22"/>
              </w:rPr>
              <w:t>0.0010</w:t>
            </w:r>
          </w:p>
        </w:tc>
        <w:tc>
          <w:tcPr>
            <w:tcW w:w="620" w:type="pct"/>
            <w:tcBorders>
              <w:top w:val="nil"/>
              <w:left w:val="nil"/>
              <w:right w:val="nil"/>
            </w:tcBorders>
            <w:shd w:val="clear" w:color="000000" w:fill="FFFFFF"/>
            <w:noWrap/>
            <w:vAlign w:val="center"/>
            <w:hideMark/>
          </w:tcPr>
          <w:p w14:paraId="69AB062A" w14:textId="77777777" w:rsidR="009372DA" w:rsidRPr="00D618B7" w:rsidRDefault="009372DA" w:rsidP="004B11B7">
            <w:pPr>
              <w:jc w:val="right"/>
              <w:rPr>
                <w:color w:val="000000"/>
                <w:sz w:val="22"/>
                <w:szCs w:val="22"/>
              </w:rPr>
            </w:pPr>
            <w:r w:rsidRPr="00D618B7">
              <w:rPr>
                <w:color w:val="000000"/>
                <w:sz w:val="22"/>
                <w:szCs w:val="22"/>
              </w:rPr>
              <w:t>0.0037</w:t>
            </w:r>
          </w:p>
        </w:tc>
        <w:tc>
          <w:tcPr>
            <w:tcW w:w="881" w:type="pct"/>
            <w:tcBorders>
              <w:top w:val="nil"/>
              <w:left w:val="nil"/>
              <w:right w:val="nil"/>
            </w:tcBorders>
            <w:shd w:val="clear" w:color="000000" w:fill="FFFFFF"/>
            <w:noWrap/>
            <w:vAlign w:val="center"/>
            <w:hideMark/>
          </w:tcPr>
          <w:p w14:paraId="611860BB" w14:textId="77777777" w:rsidR="009372DA" w:rsidRPr="00D618B7" w:rsidRDefault="009372DA" w:rsidP="004B11B7">
            <w:pPr>
              <w:jc w:val="right"/>
              <w:rPr>
                <w:color w:val="000000"/>
                <w:sz w:val="22"/>
                <w:szCs w:val="22"/>
              </w:rPr>
            </w:pPr>
            <w:r w:rsidRPr="00D618B7">
              <w:rPr>
                <w:color w:val="000000"/>
                <w:sz w:val="22"/>
                <w:szCs w:val="22"/>
              </w:rPr>
              <w:t>-0.0004</w:t>
            </w:r>
          </w:p>
        </w:tc>
        <w:tc>
          <w:tcPr>
            <w:tcW w:w="613" w:type="pct"/>
            <w:tcBorders>
              <w:top w:val="nil"/>
              <w:left w:val="nil"/>
              <w:right w:val="nil"/>
            </w:tcBorders>
            <w:shd w:val="clear" w:color="000000" w:fill="FFFFFF"/>
            <w:noWrap/>
            <w:vAlign w:val="center"/>
            <w:hideMark/>
          </w:tcPr>
          <w:p w14:paraId="7F43E037" w14:textId="77777777" w:rsidR="009372DA" w:rsidRPr="00D618B7" w:rsidRDefault="009372DA" w:rsidP="004B11B7">
            <w:pPr>
              <w:jc w:val="right"/>
              <w:rPr>
                <w:color w:val="000000"/>
                <w:sz w:val="22"/>
                <w:szCs w:val="22"/>
              </w:rPr>
            </w:pPr>
            <w:r w:rsidRPr="00D618B7">
              <w:rPr>
                <w:color w:val="000000"/>
                <w:sz w:val="22"/>
                <w:szCs w:val="22"/>
              </w:rPr>
              <w:t>0.0037</w:t>
            </w:r>
          </w:p>
        </w:tc>
        <w:tc>
          <w:tcPr>
            <w:tcW w:w="912" w:type="pct"/>
            <w:tcBorders>
              <w:top w:val="nil"/>
              <w:left w:val="nil"/>
              <w:right w:val="nil"/>
            </w:tcBorders>
            <w:shd w:val="clear" w:color="000000" w:fill="FFFFFF"/>
            <w:noWrap/>
            <w:vAlign w:val="center"/>
            <w:hideMark/>
          </w:tcPr>
          <w:p w14:paraId="69FD889A" w14:textId="77777777" w:rsidR="009372DA" w:rsidRPr="00D618B7" w:rsidRDefault="009372DA" w:rsidP="004B11B7">
            <w:pPr>
              <w:jc w:val="right"/>
              <w:rPr>
                <w:color w:val="000000"/>
                <w:sz w:val="22"/>
                <w:szCs w:val="22"/>
              </w:rPr>
            </w:pPr>
            <w:r w:rsidRPr="00D618B7">
              <w:rPr>
                <w:color w:val="000000"/>
                <w:sz w:val="22"/>
                <w:szCs w:val="22"/>
              </w:rPr>
              <w:t>-0.0013</w:t>
            </w:r>
          </w:p>
        </w:tc>
        <w:tc>
          <w:tcPr>
            <w:tcW w:w="635" w:type="pct"/>
            <w:tcBorders>
              <w:top w:val="nil"/>
              <w:left w:val="nil"/>
              <w:right w:val="nil"/>
            </w:tcBorders>
            <w:shd w:val="clear" w:color="000000" w:fill="FFFFFF"/>
            <w:noWrap/>
            <w:vAlign w:val="center"/>
            <w:hideMark/>
          </w:tcPr>
          <w:p w14:paraId="3E6E6811" w14:textId="77777777" w:rsidR="009372DA" w:rsidRPr="00D618B7" w:rsidRDefault="009372DA" w:rsidP="004B11B7">
            <w:pPr>
              <w:jc w:val="right"/>
              <w:rPr>
                <w:color w:val="000000"/>
                <w:sz w:val="22"/>
                <w:szCs w:val="22"/>
              </w:rPr>
            </w:pPr>
            <w:r w:rsidRPr="00D618B7">
              <w:rPr>
                <w:color w:val="000000"/>
                <w:sz w:val="22"/>
                <w:szCs w:val="22"/>
              </w:rPr>
              <w:t>0.0037</w:t>
            </w:r>
          </w:p>
        </w:tc>
      </w:tr>
      <w:tr w:rsidR="008839D5" w:rsidRPr="00D618B7" w14:paraId="21CF73D3" w14:textId="77777777" w:rsidTr="008839D5">
        <w:trPr>
          <w:trHeight w:val="266"/>
        </w:trPr>
        <w:tc>
          <w:tcPr>
            <w:tcW w:w="756" w:type="pct"/>
            <w:tcBorders>
              <w:top w:val="nil"/>
              <w:left w:val="nil"/>
              <w:bottom w:val="single" w:sz="4" w:space="0" w:color="auto"/>
              <w:right w:val="nil"/>
            </w:tcBorders>
            <w:shd w:val="clear" w:color="000000" w:fill="FFFFFF"/>
            <w:vAlign w:val="center"/>
            <w:hideMark/>
          </w:tcPr>
          <w:p w14:paraId="58DF3A03" w14:textId="77777777" w:rsidR="009372DA" w:rsidRPr="00D618B7" w:rsidRDefault="009372DA" w:rsidP="004B11B7">
            <w:pPr>
              <w:jc w:val="right"/>
              <w:rPr>
                <w:color w:val="000000"/>
                <w:sz w:val="22"/>
                <w:szCs w:val="22"/>
              </w:rPr>
            </w:pPr>
            <w:r w:rsidRPr="00D618B7">
              <w:rPr>
                <w:color w:val="000000"/>
                <w:sz w:val="22"/>
                <w:szCs w:val="22"/>
              </w:rPr>
              <w:t>5</w:t>
            </w:r>
          </w:p>
        </w:tc>
        <w:tc>
          <w:tcPr>
            <w:tcW w:w="583" w:type="pct"/>
            <w:tcBorders>
              <w:top w:val="nil"/>
              <w:left w:val="nil"/>
              <w:bottom w:val="single" w:sz="4" w:space="0" w:color="auto"/>
              <w:right w:val="nil"/>
            </w:tcBorders>
            <w:shd w:val="clear" w:color="000000" w:fill="FFFFFF"/>
            <w:noWrap/>
            <w:vAlign w:val="center"/>
            <w:hideMark/>
          </w:tcPr>
          <w:p w14:paraId="06C16201" w14:textId="77777777" w:rsidR="009372DA" w:rsidRPr="00D618B7" w:rsidRDefault="009372DA" w:rsidP="004B11B7">
            <w:pPr>
              <w:jc w:val="right"/>
              <w:rPr>
                <w:color w:val="000000"/>
                <w:sz w:val="22"/>
                <w:szCs w:val="22"/>
              </w:rPr>
            </w:pPr>
            <w:r w:rsidRPr="00D618B7">
              <w:rPr>
                <w:color w:val="000000"/>
                <w:sz w:val="22"/>
                <w:szCs w:val="22"/>
              </w:rPr>
              <w:t>0.0001</w:t>
            </w:r>
          </w:p>
        </w:tc>
        <w:tc>
          <w:tcPr>
            <w:tcW w:w="620" w:type="pct"/>
            <w:tcBorders>
              <w:top w:val="nil"/>
              <w:left w:val="nil"/>
              <w:bottom w:val="single" w:sz="4" w:space="0" w:color="auto"/>
              <w:right w:val="nil"/>
            </w:tcBorders>
            <w:shd w:val="clear" w:color="000000" w:fill="FFFFFF"/>
            <w:noWrap/>
            <w:vAlign w:val="center"/>
            <w:hideMark/>
          </w:tcPr>
          <w:p w14:paraId="43D97CD5" w14:textId="77777777" w:rsidR="009372DA" w:rsidRPr="00D618B7" w:rsidRDefault="009372DA" w:rsidP="004B11B7">
            <w:pPr>
              <w:jc w:val="right"/>
              <w:rPr>
                <w:color w:val="000000"/>
                <w:sz w:val="22"/>
                <w:szCs w:val="22"/>
              </w:rPr>
            </w:pPr>
            <w:r w:rsidRPr="00D618B7">
              <w:rPr>
                <w:color w:val="000000"/>
                <w:sz w:val="22"/>
                <w:szCs w:val="22"/>
              </w:rPr>
              <w:t>0.0041</w:t>
            </w:r>
          </w:p>
        </w:tc>
        <w:tc>
          <w:tcPr>
            <w:tcW w:w="881" w:type="pct"/>
            <w:tcBorders>
              <w:top w:val="nil"/>
              <w:left w:val="nil"/>
              <w:bottom w:val="single" w:sz="4" w:space="0" w:color="auto"/>
              <w:right w:val="nil"/>
            </w:tcBorders>
            <w:shd w:val="clear" w:color="000000" w:fill="FFFFFF"/>
            <w:noWrap/>
            <w:vAlign w:val="center"/>
            <w:hideMark/>
          </w:tcPr>
          <w:p w14:paraId="0996C143" w14:textId="77777777" w:rsidR="009372DA" w:rsidRPr="00D618B7" w:rsidRDefault="009372DA" w:rsidP="004B11B7">
            <w:pPr>
              <w:jc w:val="right"/>
              <w:rPr>
                <w:color w:val="000000"/>
                <w:sz w:val="22"/>
                <w:szCs w:val="22"/>
              </w:rPr>
            </w:pPr>
            <w:r w:rsidRPr="00D618B7">
              <w:rPr>
                <w:color w:val="000000"/>
                <w:sz w:val="22"/>
                <w:szCs w:val="22"/>
              </w:rPr>
              <w:t>0.0013</w:t>
            </w:r>
          </w:p>
        </w:tc>
        <w:tc>
          <w:tcPr>
            <w:tcW w:w="613" w:type="pct"/>
            <w:tcBorders>
              <w:top w:val="nil"/>
              <w:left w:val="nil"/>
              <w:bottom w:val="single" w:sz="4" w:space="0" w:color="auto"/>
              <w:right w:val="nil"/>
            </w:tcBorders>
            <w:shd w:val="clear" w:color="000000" w:fill="FFFFFF"/>
            <w:noWrap/>
            <w:vAlign w:val="center"/>
            <w:hideMark/>
          </w:tcPr>
          <w:p w14:paraId="7780DE8F" w14:textId="77777777" w:rsidR="009372DA" w:rsidRPr="00D618B7" w:rsidRDefault="009372DA" w:rsidP="004B11B7">
            <w:pPr>
              <w:jc w:val="right"/>
              <w:rPr>
                <w:color w:val="000000"/>
                <w:sz w:val="22"/>
                <w:szCs w:val="22"/>
              </w:rPr>
            </w:pPr>
            <w:r w:rsidRPr="00D618B7">
              <w:rPr>
                <w:color w:val="000000"/>
                <w:sz w:val="22"/>
                <w:szCs w:val="22"/>
              </w:rPr>
              <w:t>0.0040</w:t>
            </w:r>
          </w:p>
        </w:tc>
        <w:tc>
          <w:tcPr>
            <w:tcW w:w="912" w:type="pct"/>
            <w:tcBorders>
              <w:top w:val="nil"/>
              <w:left w:val="nil"/>
              <w:bottom w:val="single" w:sz="4" w:space="0" w:color="auto"/>
              <w:right w:val="nil"/>
            </w:tcBorders>
            <w:shd w:val="clear" w:color="000000" w:fill="FFFFFF"/>
            <w:noWrap/>
            <w:vAlign w:val="center"/>
            <w:hideMark/>
          </w:tcPr>
          <w:p w14:paraId="25E70F22" w14:textId="77777777" w:rsidR="009372DA" w:rsidRPr="00D618B7" w:rsidRDefault="009372DA" w:rsidP="004B11B7">
            <w:pPr>
              <w:jc w:val="right"/>
              <w:rPr>
                <w:color w:val="000000"/>
                <w:sz w:val="22"/>
                <w:szCs w:val="22"/>
              </w:rPr>
            </w:pPr>
            <w:r w:rsidRPr="00D618B7">
              <w:rPr>
                <w:color w:val="000000"/>
                <w:sz w:val="22"/>
                <w:szCs w:val="22"/>
              </w:rPr>
              <w:t>0.0003</w:t>
            </w:r>
          </w:p>
        </w:tc>
        <w:tc>
          <w:tcPr>
            <w:tcW w:w="635" w:type="pct"/>
            <w:tcBorders>
              <w:top w:val="nil"/>
              <w:left w:val="nil"/>
              <w:bottom w:val="single" w:sz="4" w:space="0" w:color="auto"/>
              <w:right w:val="nil"/>
            </w:tcBorders>
            <w:shd w:val="clear" w:color="000000" w:fill="FFFFFF"/>
            <w:noWrap/>
            <w:vAlign w:val="center"/>
            <w:hideMark/>
          </w:tcPr>
          <w:p w14:paraId="2C3C5682" w14:textId="77777777" w:rsidR="009372DA" w:rsidRPr="00D618B7" w:rsidRDefault="009372DA" w:rsidP="004B11B7">
            <w:pPr>
              <w:jc w:val="right"/>
              <w:rPr>
                <w:color w:val="000000"/>
                <w:sz w:val="22"/>
                <w:szCs w:val="22"/>
              </w:rPr>
            </w:pPr>
            <w:r w:rsidRPr="00D618B7">
              <w:rPr>
                <w:color w:val="000000"/>
                <w:sz w:val="22"/>
                <w:szCs w:val="22"/>
              </w:rPr>
              <w:t>0.0040</w:t>
            </w:r>
          </w:p>
        </w:tc>
      </w:tr>
    </w:tbl>
    <w:p w14:paraId="2E9B1AC7" w14:textId="77777777" w:rsidR="009372DA" w:rsidRPr="00D618B7" w:rsidRDefault="009372DA" w:rsidP="009372DA">
      <w:pPr>
        <w:rPr>
          <w:i/>
          <w:iCs/>
        </w:rPr>
      </w:pPr>
    </w:p>
    <w:p w14:paraId="0F5F15D1" w14:textId="77777777" w:rsidR="009372DA" w:rsidRPr="00D618B7" w:rsidRDefault="009372DA" w:rsidP="009372DA">
      <w:r w:rsidRPr="00D618B7">
        <w:rPr>
          <w:i/>
          <w:iCs/>
        </w:rPr>
        <w:t>Note</w:t>
      </w:r>
      <w:r w:rsidRPr="00D618B7">
        <w:t>: This table lists the estimated mean Rate and standard errors for face, hand, and mouth events for toy-out-of-reach, toy-moving-into-reach, and toy-in-reach for each week of observation around reach-onset.</w:t>
      </w:r>
    </w:p>
    <w:p w14:paraId="4E25C0BA" w14:textId="39117437" w:rsidR="004B7288" w:rsidRPr="00D618B7" w:rsidRDefault="004B7288" w:rsidP="007C5074">
      <w:pPr>
        <w:pStyle w:val="Caption"/>
      </w:pPr>
      <w:bookmarkStart w:id="149" w:name="_Toc172716848"/>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20</w:t>
      </w:r>
      <w:r w:rsidR="00000000">
        <w:rPr>
          <w:noProof/>
        </w:rPr>
        <w:fldChar w:fldCharType="end"/>
      </w:r>
      <w:r w:rsidR="008839D5" w:rsidRPr="00D618B7">
        <w:t xml:space="preserve">: </w:t>
      </w:r>
      <w:r w:rsidR="008839D5" w:rsidRPr="00D618B7">
        <w:rPr>
          <w:rFonts w:eastAsia="Aptos"/>
          <w:kern w:val="2"/>
          <w:sz w:val="22"/>
          <w:szCs w:val="22"/>
        </w:rPr>
        <w:t>Event summed duration by week</w:t>
      </w:r>
      <w:bookmarkEnd w:id="149"/>
    </w:p>
    <w:p w14:paraId="3BEEFF2D" w14:textId="71E73694" w:rsidR="00B11545" w:rsidRPr="00D618B7" w:rsidRDefault="00B11545" w:rsidP="00B11545">
      <w:r w:rsidRPr="00D618B7">
        <w:t>Estimated Mean Summed Duration of Events by Week</w:t>
      </w:r>
    </w:p>
    <w:tbl>
      <w:tblPr>
        <w:tblW w:w="5000" w:type="pct"/>
        <w:tblLook w:val="04A0" w:firstRow="1" w:lastRow="0" w:firstColumn="1" w:lastColumn="0" w:noHBand="0" w:noVBand="1"/>
      </w:tblPr>
      <w:tblGrid>
        <w:gridCol w:w="3846"/>
        <w:gridCol w:w="2397"/>
        <w:gridCol w:w="2397"/>
      </w:tblGrid>
      <w:tr w:rsidR="00B11545" w:rsidRPr="00D618B7" w14:paraId="1789788E" w14:textId="77777777" w:rsidTr="004B11B7">
        <w:trPr>
          <w:trHeight w:val="307"/>
        </w:trPr>
        <w:tc>
          <w:tcPr>
            <w:tcW w:w="2226" w:type="pct"/>
            <w:tcBorders>
              <w:top w:val="single" w:sz="4" w:space="0" w:color="auto"/>
              <w:left w:val="nil"/>
              <w:bottom w:val="single" w:sz="8" w:space="0" w:color="auto"/>
              <w:right w:val="nil"/>
            </w:tcBorders>
            <w:shd w:val="clear" w:color="000000" w:fill="FFFFFF"/>
            <w:vAlign w:val="center"/>
            <w:hideMark/>
          </w:tcPr>
          <w:p w14:paraId="5AC02B4D" w14:textId="77777777" w:rsidR="00B11545" w:rsidRPr="00D618B7" w:rsidRDefault="00B11545" w:rsidP="004B11B7">
            <w:pPr>
              <w:rPr>
                <w:color w:val="000000"/>
              </w:rPr>
            </w:pPr>
            <w:r w:rsidRPr="00D618B7">
              <w:rPr>
                <w:color w:val="000000"/>
              </w:rPr>
              <w:t>Week</w:t>
            </w:r>
          </w:p>
        </w:tc>
        <w:tc>
          <w:tcPr>
            <w:tcW w:w="1387" w:type="pct"/>
            <w:tcBorders>
              <w:top w:val="single" w:sz="4" w:space="0" w:color="auto"/>
              <w:left w:val="nil"/>
              <w:bottom w:val="single" w:sz="8" w:space="0" w:color="auto"/>
              <w:right w:val="nil"/>
            </w:tcBorders>
            <w:shd w:val="clear" w:color="000000" w:fill="FFFFFF"/>
            <w:noWrap/>
            <w:vAlign w:val="center"/>
            <w:hideMark/>
          </w:tcPr>
          <w:p w14:paraId="194A0D87" w14:textId="77777777" w:rsidR="00B11545" w:rsidRPr="00D618B7" w:rsidRDefault="00B11545" w:rsidP="004B11B7">
            <w:pPr>
              <w:jc w:val="right"/>
              <w:rPr>
                <w:color w:val="000000"/>
              </w:rPr>
            </w:pPr>
            <w:r w:rsidRPr="00D618B7">
              <w:rPr>
                <w:color w:val="000000"/>
              </w:rPr>
              <w:t>Mean</w:t>
            </w:r>
          </w:p>
        </w:tc>
        <w:tc>
          <w:tcPr>
            <w:tcW w:w="1387" w:type="pct"/>
            <w:tcBorders>
              <w:top w:val="single" w:sz="4" w:space="0" w:color="auto"/>
              <w:left w:val="nil"/>
              <w:bottom w:val="single" w:sz="8" w:space="0" w:color="auto"/>
              <w:right w:val="nil"/>
            </w:tcBorders>
            <w:shd w:val="clear" w:color="000000" w:fill="FFFFFF"/>
            <w:noWrap/>
            <w:vAlign w:val="center"/>
            <w:hideMark/>
          </w:tcPr>
          <w:p w14:paraId="48F5C4BE" w14:textId="77777777" w:rsidR="00B11545" w:rsidRPr="00D618B7" w:rsidRDefault="00B11545" w:rsidP="004B11B7">
            <w:pPr>
              <w:jc w:val="right"/>
              <w:rPr>
                <w:color w:val="000000"/>
              </w:rPr>
            </w:pPr>
            <w:r w:rsidRPr="00D618B7">
              <w:rPr>
                <w:color w:val="000000"/>
              </w:rPr>
              <w:t>Std. Error</w:t>
            </w:r>
          </w:p>
        </w:tc>
      </w:tr>
      <w:tr w:rsidR="00B11545" w:rsidRPr="00D618B7" w14:paraId="3CFDA4A6" w14:textId="77777777" w:rsidTr="004B11B7">
        <w:trPr>
          <w:trHeight w:val="307"/>
        </w:trPr>
        <w:tc>
          <w:tcPr>
            <w:tcW w:w="2226" w:type="pct"/>
            <w:tcBorders>
              <w:top w:val="nil"/>
              <w:left w:val="nil"/>
              <w:bottom w:val="nil"/>
              <w:right w:val="nil"/>
            </w:tcBorders>
            <w:shd w:val="clear" w:color="000000" w:fill="FFFFFF"/>
            <w:vAlign w:val="center"/>
            <w:hideMark/>
          </w:tcPr>
          <w:p w14:paraId="0FE296A9" w14:textId="77777777" w:rsidR="00B11545" w:rsidRPr="00D618B7" w:rsidRDefault="00B11545" w:rsidP="004B11B7">
            <w:pPr>
              <w:jc w:val="center"/>
              <w:rPr>
                <w:color w:val="000000"/>
              </w:rPr>
            </w:pPr>
            <w:r w:rsidRPr="00D618B7">
              <w:rPr>
                <w:color w:val="000000"/>
              </w:rPr>
              <w:t>-5</w:t>
            </w:r>
          </w:p>
        </w:tc>
        <w:tc>
          <w:tcPr>
            <w:tcW w:w="1387" w:type="pct"/>
            <w:tcBorders>
              <w:top w:val="nil"/>
              <w:left w:val="nil"/>
              <w:bottom w:val="nil"/>
              <w:right w:val="nil"/>
            </w:tcBorders>
            <w:shd w:val="clear" w:color="000000" w:fill="FFFFFF"/>
            <w:noWrap/>
            <w:hideMark/>
          </w:tcPr>
          <w:p w14:paraId="02BA9848" w14:textId="77777777" w:rsidR="00B11545" w:rsidRPr="00D618B7" w:rsidRDefault="00B11545" w:rsidP="004B11B7">
            <w:pPr>
              <w:jc w:val="right"/>
              <w:rPr>
                <w:color w:val="000000"/>
              </w:rPr>
            </w:pPr>
            <w:r w:rsidRPr="00D618B7">
              <w:t>4261.87</w:t>
            </w:r>
          </w:p>
        </w:tc>
        <w:tc>
          <w:tcPr>
            <w:tcW w:w="1387" w:type="pct"/>
            <w:tcBorders>
              <w:top w:val="nil"/>
              <w:left w:val="nil"/>
              <w:bottom w:val="nil"/>
              <w:right w:val="nil"/>
            </w:tcBorders>
            <w:shd w:val="clear" w:color="000000" w:fill="FFFFFF"/>
            <w:noWrap/>
            <w:hideMark/>
          </w:tcPr>
          <w:p w14:paraId="4B70AF30" w14:textId="77777777" w:rsidR="00B11545" w:rsidRPr="00D618B7" w:rsidRDefault="00B11545" w:rsidP="004B11B7">
            <w:pPr>
              <w:jc w:val="right"/>
              <w:rPr>
                <w:color w:val="000000"/>
              </w:rPr>
            </w:pPr>
            <w:r w:rsidRPr="00D618B7">
              <w:t>2400.67</w:t>
            </w:r>
          </w:p>
        </w:tc>
      </w:tr>
      <w:tr w:rsidR="00B11545" w:rsidRPr="00D618B7" w14:paraId="325CC847" w14:textId="77777777" w:rsidTr="004B11B7">
        <w:trPr>
          <w:trHeight w:val="307"/>
        </w:trPr>
        <w:tc>
          <w:tcPr>
            <w:tcW w:w="2226" w:type="pct"/>
            <w:tcBorders>
              <w:top w:val="nil"/>
              <w:left w:val="nil"/>
              <w:bottom w:val="nil"/>
              <w:right w:val="nil"/>
            </w:tcBorders>
            <w:shd w:val="clear" w:color="000000" w:fill="FFFFFF"/>
            <w:vAlign w:val="center"/>
            <w:hideMark/>
          </w:tcPr>
          <w:p w14:paraId="69A24779" w14:textId="77777777" w:rsidR="00B11545" w:rsidRPr="00D618B7" w:rsidRDefault="00B11545" w:rsidP="004B11B7">
            <w:pPr>
              <w:jc w:val="center"/>
              <w:rPr>
                <w:color w:val="000000"/>
              </w:rPr>
            </w:pPr>
            <w:r w:rsidRPr="00D618B7">
              <w:rPr>
                <w:color w:val="000000"/>
              </w:rPr>
              <w:t>-4</w:t>
            </w:r>
          </w:p>
        </w:tc>
        <w:tc>
          <w:tcPr>
            <w:tcW w:w="1387" w:type="pct"/>
            <w:tcBorders>
              <w:top w:val="nil"/>
              <w:left w:val="nil"/>
              <w:bottom w:val="nil"/>
              <w:right w:val="nil"/>
            </w:tcBorders>
            <w:shd w:val="clear" w:color="000000" w:fill="FFFFFF"/>
            <w:noWrap/>
            <w:hideMark/>
          </w:tcPr>
          <w:p w14:paraId="119CDEA0" w14:textId="77777777" w:rsidR="00B11545" w:rsidRPr="00D618B7" w:rsidRDefault="00B11545" w:rsidP="004B11B7">
            <w:pPr>
              <w:jc w:val="right"/>
              <w:rPr>
                <w:color w:val="000000"/>
              </w:rPr>
            </w:pPr>
            <w:r w:rsidRPr="00D618B7">
              <w:t>-2440.03</w:t>
            </w:r>
          </w:p>
        </w:tc>
        <w:tc>
          <w:tcPr>
            <w:tcW w:w="1387" w:type="pct"/>
            <w:tcBorders>
              <w:top w:val="nil"/>
              <w:left w:val="nil"/>
              <w:bottom w:val="nil"/>
              <w:right w:val="nil"/>
            </w:tcBorders>
            <w:shd w:val="clear" w:color="000000" w:fill="FFFFFF"/>
            <w:noWrap/>
            <w:hideMark/>
          </w:tcPr>
          <w:p w14:paraId="4A1568A8" w14:textId="77777777" w:rsidR="00B11545" w:rsidRPr="00D618B7" w:rsidRDefault="00B11545" w:rsidP="004B11B7">
            <w:pPr>
              <w:jc w:val="right"/>
              <w:rPr>
                <w:color w:val="000000"/>
              </w:rPr>
            </w:pPr>
            <w:r w:rsidRPr="00D618B7">
              <w:t>2444.02</w:t>
            </w:r>
          </w:p>
        </w:tc>
      </w:tr>
      <w:tr w:rsidR="00B11545" w:rsidRPr="00D618B7" w14:paraId="016AE34A" w14:textId="77777777" w:rsidTr="004B11B7">
        <w:trPr>
          <w:trHeight w:val="307"/>
        </w:trPr>
        <w:tc>
          <w:tcPr>
            <w:tcW w:w="2226" w:type="pct"/>
            <w:tcBorders>
              <w:top w:val="nil"/>
              <w:left w:val="nil"/>
              <w:bottom w:val="nil"/>
              <w:right w:val="nil"/>
            </w:tcBorders>
            <w:shd w:val="clear" w:color="000000" w:fill="FFFFFF"/>
            <w:vAlign w:val="center"/>
            <w:hideMark/>
          </w:tcPr>
          <w:p w14:paraId="2C7C1E11" w14:textId="77777777" w:rsidR="00B11545" w:rsidRPr="00D618B7" w:rsidRDefault="00B11545" w:rsidP="004B11B7">
            <w:pPr>
              <w:jc w:val="center"/>
              <w:rPr>
                <w:color w:val="000000"/>
              </w:rPr>
            </w:pPr>
            <w:r w:rsidRPr="00D618B7">
              <w:rPr>
                <w:color w:val="000000"/>
              </w:rPr>
              <w:t>-3</w:t>
            </w:r>
          </w:p>
        </w:tc>
        <w:tc>
          <w:tcPr>
            <w:tcW w:w="1387" w:type="pct"/>
            <w:tcBorders>
              <w:top w:val="nil"/>
              <w:left w:val="nil"/>
              <w:bottom w:val="nil"/>
              <w:right w:val="nil"/>
            </w:tcBorders>
            <w:shd w:val="clear" w:color="000000" w:fill="FFFFFF"/>
            <w:noWrap/>
            <w:hideMark/>
          </w:tcPr>
          <w:p w14:paraId="309A3696" w14:textId="77777777" w:rsidR="00B11545" w:rsidRPr="00D618B7" w:rsidRDefault="00B11545" w:rsidP="004B11B7">
            <w:pPr>
              <w:jc w:val="right"/>
              <w:rPr>
                <w:color w:val="000000"/>
              </w:rPr>
            </w:pPr>
            <w:r w:rsidRPr="00D618B7">
              <w:t>9083.63</w:t>
            </w:r>
          </w:p>
        </w:tc>
        <w:tc>
          <w:tcPr>
            <w:tcW w:w="1387" w:type="pct"/>
            <w:tcBorders>
              <w:top w:val="nil"/>
              <w:left w:val="nil"/>
              <w:bottom w:val="nil"/>
              <w:right w:val="nil"/>
            </w:tcBorders>
            <w:shd w:val="clear" w:color="000000" w:fill="FFFFFF"/>
            <w:noWrap/>
            <w:hideMark/>
          </w:tcPr>
          <w:p w14:paraId="272CEC1D" w14:textId="77777777" w:rsidR="00B11545" w:rsidRPr="00D618B7" w:rsidRDefault="00B11545" w:rsidP="004B11B7">
            <w:pPr>
              <w:jc w:val="right"/>
              <w:rPr>
                <w:color w:val="000000"/>
              </w:rPr>
            </w:pPr>
            <w:r w:rsidRPr="00D618B7">
              <w:t>2467.88</w:t>
            </w:r>
          </w:p>
        </w:tc>
      </w:tr>
      <w:tr w:rsidR="00B11545" w:rsidRPr="00D618B7" w14:paraId="774A946A" w14:textId="77777777" w:rsidTr="004B11B7">
        <w:trPr>
          <w:trHeight w:val="307"/>
        </w:trPr>
        <w:tc>
          <w:tcPr>
            <w:tcW w:w="2226" w:type="pct"/>
            <w:tcBorders>
              <w:top w:val="nil"/>
              <w:left w:val="nil"/>
              <w:bottom w:val="nil"/>
              <w:right w:val="nil"/>
            </w:tcBorders>
            <w:shd w:val="clear" w:color="000000" w:fill="FFFFFF"/>
            <w:vAlign w:val="center"/>
            <w:hideMark/>
          </w:tcPr>
          <w:p w14:paraId="7C9E3DAF" w14:textId="77777777" w:rsidR="00B11545" w:rsidRPr="00D618B7" w:rsidRDefault="00B11545" w:rsidP="004B11B7">
            <w:pPr>
              <w:jc w:val="center"/>
              <w:rPr>
                <w:color w:val="000000"/>
              </w:rPr>
            </w:pPr>
            <w:r w:rsidRPr="00D618B7">
              <w:rPr>
                <w:color w:val="000000"/>
              </w:rPr>
              <w:t>-2</w:t>
            </w:r>
          </w:p>
        </w:tc>
        <w:tc>
          <w:tcPr>
            <w:tcW w:w="1387" w:type="pct"/>
            <w:tcBorders>
              <w:top w:val="nil"/>
              <w:left w:val="nil"/>
              <w:bottom w:val="nil"/>
              <w:right w:val="nil"/>
            </w:tcBorders>
            <w:shd w:val="clear" w:color="000000" w:fill="FFFFFF"/>
            <w:noWrap/>
            <w:hideMark/>
          </w:tcPr>
          <w:p w14:paraId="5DB15E6E" w14:textId="77777777" w:rsidR="00B11545" w:rsidRPr="00D618B7" w:rsidRDefault="00B11545" w:rsidP="004B11B7">
            <w:pPr>
              <w:jc w:val="right"/>
              <w:rPr>
                <w:color w:val="000000"/>
              </w:rPr>
            </w:pPr>
            <w:r w:rsidRPr="00D618B7">
              <w:t>921.01</w:t>
            </w:r>
          </w:p>
        </w:tc>
        <w:tc>
          <w:tcPr>
            <w:tcW w:w="1387" w:type="pct"/>
            <w:tcBorders>
              <w:top w:val="nil"/>
              <w:left w:val="nil"/>
              <w:bottom w:val="nil"/>
              <w:right w:val="nil"/>
            </w:tcBorders>
            <w:shd w:val="clear" w:color="000000" w:fill="FFFFFF"/>
            <w:noWrap/>
            <w:hideMark/>
          </w:tcPr>
          <w:p w14:paraId="78809114" w14:textId="77777777" w:rsidR="00B11545" w:rsidRPr="00D618B7" w:rsidRDefault="00B11545" w:rsidP="004B11B7">
            <w:pPr>
              <w:jc w:val="right"/>
              <w:rPr>
                <w:color w:val="000000"/>
              </w:rPr>
            </w:pPr>
            <w:r w:rsidRPr="00D618B7">
              <w:t>2140.27</w:t>
            </w:r>
          </w:p>
        </w:tc>
      </w:tr>
      <w:tr w:rsidR="00B11545" w:rsidRPr="00D618B7" w14:paraId="3FE07885" w14:textId="77777777" w:rsidTr="004B11B7">
        <w:trPr>
          <w:trHeight w:val="307"/>
        </w:trPr>
        <w:tc>
          <w:tcPr>
            <w:tcW w:w="2226" w:type="pct"/>
            <w:tcBorders>
              <w:top w:val="nil"/>
              <w:left w:val="nil"/>
              <w:bottom w:val="nil"/>
              <w:right w:val="nil"/>
            </w:tcBorders>
            <w:shd w:val="clear" w:color="000000" w:fill="FFFFFF"/>
            <w:vAlign w:val="center"/>
            <w:hideMark/>
          </w:tcPr>
          <w:p w14:paraId="032C92EF" w14:textId="77777777" w:rsidR="00B11545" w:rsidRPr="00D618B7" w:rsidRDefault="00B11545" w:rsidP="004B11B7">
            <w:pPr>
              <w:jc w:val="center"/>
              <w:rPr>
                <w:color w:val="000000"/>
              </w:rPr>
            </w:pPr>
            <w:r w:rsidRPr="00D618B7">
              <w:rPr>
                <w:color w:val="000000"/>
              </w:rPr>
              <w:t>-1</w:t>
            </w:r>
          </w:p>
        </w:tc>
        <w:tc>
          <w:tcPr>
            <w:tcW w:w="1387" w:type="pct"/>
            <w:tcBorders>
              <w:top w:val="nil"/>
              <w:left w:val="nil"/>
              <w:bottom w:val="nil"/>
              <w:right w:val="nil"/>
            </w:tcBorders>
            <w:shd w:val="clear" w:color="000000" w:fill="FFFFFF"/>
            <w:noWrap/>
            <w:hideMark/>
          </w:tcPr>
          <w:p w14:paraId="600D8801" w14:textId="77777777" w:rsidR="00B11545" w:rsidRPr="00D618B7" w:rsidRDefault="00B11545" w:rsidP="004B11B7">
            <w:pPr>
              <w:jc w:val="right"/>
              <w:rPr>
                <w:color w:val="000000"/>
              </w:rPr>
            </w:pPr>
            <w:r w:rsidRPr="00D618B7">
              <w:t>13796.90</w:t>
            </w:r>
          </w:p>
        </w:tc>
        <w:tc>
          <w:tcPr>
            <w:tcW w:w="1387" w:type="pct"/>
            <w:tcBorders>
              <w:top w:val="nil"/>
              <w:left w:val="nil"/>
              <w:bottom w:val="nil"/>
              <w:right w:val="nil"/>
            </w:tcBorders>
            <w:shd w:val="clear" w:color="000000" w:fill="FFFFFF"/>
            <w:noWrap/>
            <w:hideMark/>
          </w:tcPr>
          <w:p w14:paraId="02277C84" w14:textId="77777777" w:rsidR="00B11545" w:rsidRPr="00D618B7" w:rsidRDefault="00B11545" w:rsidP="004B11B7">
            <w:pPr>
              <w:jc w:val="right"/>
              <w:rPr>
                <w:color w:val="000000"/>
              </w:rPr>
            </w:pPr>
            <w:r w:rsidRPr="00D618B7">
              <w:t>2192.99</w:t>
            </w:r>
          </w:p>
        </w:tc>
      </w:tr>
      <w:tr w:rsidR="00B11545" w:rsidRPr="00D618B7" w14:paraId="2949B382" w14:textId="77777777" w:rsidTr="004B11B7">
        <w:trPr>
          <w:trHeight w:val="307"/>
        </w:trPr>
        <w:tc>
          <w:tcPr>
            <w:tcW w:w="2226" w:type="pct"/>
            <w:tcBorders>
              <w:top w:val="nil"/>
              <w:left w:val="nil"/>
              <w:bottom w:val="nil"/>
              <w:right w:val="nil"/>
            </w:tcBorders>
            <w:shd w:val="clear" w:color="000000" w:fill="FFFFFF"/>
            <w:vAlign w:val="center"/>
            <w:hideMark/>
          </w:tcPr>
          <w:p w14:paraId="217C5260" w14:textId="77777777" w:rsidR="00B11545" w:rsidRPr="00D618B7" w:rsidRDefault="00B11545" w:rsidP="004B11B7">
            <w:pPr>
              <w:jc w:val="center"/>
              <w:rPr>
                <w:color w:val="000000"/>
              </w:rPr>
            </w:pPr>
            <w:r w:rsidRPr="00D618B7">
              <w:rPr>
                <w:color w:val="000000"/>
              </w:rPr>
              <w:t>0</w:t>
            </w:r>
          </w:p>
        </w:tc>
        <w:tc>
          <w:tcPr>
            <w:tcW w:w="1387" w:type="pct"/>
            <w:tcBorders>
              <w:top w:val="nil"/>
              <w:left w:val="nil"/>
              <w:bottom w:val="nil"/>
              <w:right w:val="nil"/>
            </w:tcBorders>
            <w:shd w:val="clear" w:color="000000" w:fill="FFFFFF"/>
            <w:noWrap/>
            <w:hideMark/>
          </w:tcPr>
          <w:p w14:paraId="3970DF01" w14:textId="77777777" w:rsidR="00B11545" w:rsidRPr="00D618B7" w:rsidRDefault="00B11545" w:rsidP="004B11B7">
            <w:pPr>
              <w:jc w:val="right"/>
              <w:rPr>
                <w:color w:val="000000"/>
              </w:rPr>
            </w:pPr>
            <w:r w:rsidRPr="00D618B7">
              <w:t>1245.57</w:t>
            </w:r>
          </w:p>
        </w:tc>
        <w:tc>
          <w:tcPr>
            <w:tcW w:w="1387" w:type="pct"/>
            <w:tcBorders>
              <w:top w:val="nil"/>
              <w:left w:val="nil"/>
              <w:bottom w:val="nil"/>
              <w:right w:val="nil"/>
            </w:tcBorders>
            <w:shd w:val="clear" w:color="000000" w:fill="FFFFFF"/>
            <w:noWrap/>
            <w:hideMark/>
          </w:tcPr>
          <w:p w14:paraId="3A27F0B2" w14:textId="77777777" w:rsidR="00B11545" w:rsidRPr="00D618B7" w:rsidRDefault="00B11545" w:rsidP="004B11B7">
            <w:pPr>
              <w:jc w:val="right"/>
              <w:rPr>
                <w:color w:val="000000"/>
              </w:rPr>
            </w:pPr>
            <w:r w:rsidRPr="00D618B7">
              <w:t>1997.66</w:t>
            </w:r>
          </w:p>
        </w:tc>
      </w:tr>
      <w:tr w:rsidR="00B11545" w:rsidRPr="00D618B7" w14:paraId="1D6E8E42" w14:textId="77777777" w:rsidTr="004B11B7">
        <w:trPr>
          <w:trHeight w:val="307"/>
        </w:trPr>
        <w:tc>
          <w:tcPr>
            <w:tcW w:w="2226" w:type="pct"/>
            <w:tcBorders>
              <w:top w:val="nil"/>
              <w:left w:val="nil"/>
              <w:bottom w:val="nil"/>
              <w:right w:val="nil"/>
            </w:tcBorders>
            <w:shd w:val="clear" w:color="000000" w:fill="FFFFFF"/>
            <w:vAlign w:val="center"/>
            <w:hideMark/>
          </w:tcPr>
          <w:p w14:paraId="0B7849B6" w14:textId="77777777" w:rsidR="00B11545" w:rsidRPr="00D618B7" w:rsidRDefault="00B11545" w:rsidP="004B11B7">
            <w:pPr>
              <w:jc w:val="center"/>
              <w:rPr>
                <w:color w:val="000000"/>
              </w:rPr>
            </w:pPr>
            <w:r w:rsidRPr="00D618B7">
              <w:rPr>
                <w:color w:val="000000"/>
              </w:rPr>
              <w:t>1</w:t>
            </w:r>
          </w:p>
        </w:tc>
        <w:tc>
          <w:tcPr>
            <w:tcW w:w="1387" w:type="pct"/>
            <w:tcBorders>
              <w:top w:val="nil"/>
              <w:left w:val="nil"/>
              <w:bottom w:val="nil"/>
              <w:right w:val="nil"/>
            </w:tcBorders>
            <w:shd w:val="clear" w:color="000000" w:fill="FFFFFF"/>
            <w:noWrap/>
            <w:hideMark/>
          </w:tcPr>
          <w:p w14:paraId="20B08989" w14:textId="77777777" w:rsidR="00B11545" w:rsidRPr="00D618B7" w:rsidRDefault="00B11545" w:rsidP="004B11B7">
            <w:pPr>
              <w:jc w:val="right"/>
              <w:rPr>
                <w:color w:val="000000"/>
              </w:rPr>
            </w:pPr>
            <w:r w:rsidRPr="00D618B7">
              <w:t>6925.84</w:t>
            </w:r>
          </w:p>
        </w:tc>
        <w:tc>
          <w:tcPr>
            <w:tcW w:w="1387" w:type="pct"/>
            <w:tcBorders>
              <w:top w:val="nil"/>
              <w:left w:val="nil"/>
              <w:bottom w:val="nil"/>
              <w:right w:val="nil"/>
            </w:tcBorders>
            <w:shd w:val="clear" w:color="000000" w:fill="FFFFFF"/>
            <w:noWrap/>
            <w:hideMark/>
          </w:tcPr>
          <w:p w14:paraId="2F990C03" w14:textId="77777777" w:rsidR="00B11545" w:rsidRPr="00D618B7" w:rsidRDefault="00B11545" w:rsidP="004B11B7">
            <w:pPr>
              <w:jc w:val="right"/>
              <w:rPr>
                <w:color w:val="000000"/>
              </w:rPr>
            </w:pPr>
            <w:r w:rsidRPr="00D618B7">
              <w:t>1993.42</w:t>
            </w:r>
          </w:p>
        </w:tc>
      </w:tr>
      <w:tr w:rsidR="00B11545" w:rsidRPr="00D618B7" w14:paraId="5AB87BA4" w14:textId="77777777" w:rsidTr="004B11B7">
        <w:trPr>
          <w:trHeight w:val="307"/>
        </w:trPr>
        <w:tc>
          <w:tcPr>
            <w:tcW w:w="2226" w:type="pct"/>
            <w:tcBorders>
              <w:top w:val="nil"/>
              <w:left w:val="nil"/>
              <w:bottom w:val="nil"/>
              <w:right w:val="nil"/>
            </w:tcBorders>
            <w:shd w:val="clear" w:color="000000" w:fill="FFFFFF"/>
            <w:vAlign w:val="center"/>
            <w:hideMark/>
          </w:tcPr>
          <w:p w14:paraId="3554322C" w14:textId="77777777" w:rsidR="00B11545" w:rsidRPr="00D618B7" w:rsidRDefault="00B11545" w:rsidP="004B11B7">
            <w:pPr>
              <w:jc w:val="center"/>
              <w:rPr>
                <w:color w:val="000000"/>
              </w:rPr>
            </w:pPr>
            <w:r w:rsidRPr="00D618B7">
              <w:rPr>
                <w:color w:val="000000"/>
              </w:rPr>
              <w:t>2</w:t>
            </w:r>
          </w:p>
        </w:tc>
        <w:tc>
          <w:tcPr>
            <w:tcW w:w="1387" w:type="pct"/>
            <w:tcBorders>
              <w:top w:val="nil"/>
              <w:left w:val="nil"/>
              <w:bottom w:val="nil"/>
              <w:right w:val="nil"/>
            </w:tcBorders>
            <w:shd w:val="clear" w:color="000000" w:fill="FFFFFF"/>
            <w:noWrap/>
            <w:hideMark/>
          </w:tcPr>
          <w:p w14:paraId="7A15A4A9" w14:textId="77777777" w:rsidR="00B11545" w:rsidRPr="00D618B7" w:rsidRDefault="00B11545" w:rsidP="004B11B7">
            <w:pPr>
              <w:jc w:val="right"/>
              <w:rPr>
                <w:color w:val="000000"/>
              </w:rPr>
            </w:pPr>
            <w:r w:rsidRPr="00D618B7">
              <w:t>-253.95</w:t>
            </w:r>
          </w:p>
        </w:tc>
        <w:tc>
          <w:tcPr>
            <w:tcW w:w="1387" w:type="pct"/>
            <w:tcBorders>
              <w:top w:val="nil"/>
              <w:left w:val="nil"/>
              <w:bottom w:val="nil"/>
              <w:right w:val="nil"/>
            </w:tcBorders>
            <w:shd w:val="clear" w:color="000000" w:fill="FFFFFF"/>
            <w:noWrap/>
            <w:hideMark/>
          </w:tcPr>
          <w:p w14:paraId="2B5AF011" w14:textId="77777777" w:rsidR="00B11545" w:rsidRPr="00D618B7" w:rsidRDefault="00B11545" w:rsidP="004B11B7">
            <w:pPr>
              <w:jc w:val="right"/>
              <w:rPr>
                <w:color w:val="000000"/>
              </w:rPr>
            </w:pPr>
            <w:r w:rsidRPr="00D618B7">
              <w:t>2485.21</w:t>
            </w:r>
          </w:p>
        </w:tc>
      </w:tr>
      <w:tr w:rsidR="00B11545" w:rsidRPr="00D618B7" w14:paraId="7ABD21F2" w14:textId="77777777" w:rsidTr="004B11B7">
        <w:trPr>
          <w:trHeight w:val="307"/>
        </w:trPr>
        <w:tc>
          <w:tcPr>
            <w:tcW w:w="2226" w:type="pct"/>
            <w:tcBorders>
              <w:top w:val="nil"/>
              <w:left w:val="nil"/>
              <w:bottom w:val="nil"/>
              <w:right w:val="nil"/>
            </w:tcBorders>
            <w:shd w:val="clear" w:color="000000" w:fill="FFFFFF"/>
            <w:vAlign w:val="center"/>
            <w:hideMark/>
          </w:tcPr>
          <w:p w14:paraId="726C16A5" w14:textId="77777777" w:rsidR="00B11545" w:rsidRPr="00D618B7" w:rsidRDefault="00B11545" w:rsidP="004B11B7">
            <w:pPr>
              <w:jc w:val="center"/>
              <w:rPr>
                <w:color w:val="000000"/>
              </w:rPr>
            </w:pPr>
            <w:r w:rsidRPr="00D618B7">
              <w:rPr>
                <w:color w:val="000000"/>
              </w:rPr>
              <w:t>3</w:t>
            </w:r>
          </w:p>
        </w:tc>
        <w:tc>
          <w:tcPr>
            <w:tcW w:w="1387" w:type="pct"/>
            <w:tcBorders>
              <w:top w:val="nil"/>
              <w:left w:val="nil"/>
              <w:bottom w:val="nil"/>
              <w:right w:val="nil"/>
            </w:tcBorders>
            <w:shd w:val="clear" w:color="000000" w:fill="FFFFFF"/>
            <w:noWrap/>
            <w:hideMark/>
          </w:tcPr>
          <w:p w14:paraId="37ADB080" w14:textId="77777777" w:rsidR="00B11545" w:rsidRPr="00D618B7" w:rsidRDefault="00B11545" w:rsidP="004B11B7">
            <w:pPr>
              <w:jc w:val="right"/>
              <w:rPr>
                <w:color w:val="000000"/>
              </w:rPr>
            </w:pPr>
            <w:r w:rsidRPr="00D618B7">
              <w:t>3026.05</w:t>
            </w:r>
          </w:p>
        </w:tc>
        <w:tc>
          <w:tcPr>
            <w:tcW w:w="1387" w:type="pct"/>
            <w:tcBorders>
              <w:top w:val="nil"/>
              <w:left w:val="nil"/>
              <w:bottom w:val="nil"/>
              <w:right w:val="nil"/>
            </w:tcBorders>
            <w:shd w:val="clear" w:color="000000" w:fill="FFFFFF"/>
            <w:noWrap/>
            <w:hideMark/>
          </w:tcPr>
          <w:p w14:paraId="1D590262" w14:textId="77777777" w:rsidR="00B11545" w:rsidRPr="00D618B7" w:rsidRDefault="00B11545" w:rsidP="004B11B7">
            <w:pPr>
              <w:jc w:val="right"/>
              <w:rPr>
                <w:color w:val="000000"/>
              </w:rPr>
            </w:pPr>
            <w:r w:rsidRPr="00D618B7">
              <w:t>1982.51</w:t>
            </w:r>
          </w:p>
        </w:tc>
      </w:tr>
      <w:tr w:rsidR="00B11545" w:rsidRPr="00D618B7" w14:paraId="150930E7" w14:textId="77777777" w:rsidTr="004B11B7">
        <w:trPr>
          <w:trHeight w:val="307"/>
        </w:trPr>
        <w:tc>
          <w:tcPr>
            <w:tcW w:w="2226" w:type="pct"/>
            <w:tcBorders>
              <w:top w:val="nil"/>
              <w:left w:val="nil"/>
              <w:bottom w:val="nil"/>
              <w:right w:val="nil"/>
            </w:tcBorders>
            <w:shd w:val="clear" w:color="000000" w:fill="FFFFFF"/>
            <w:vAlign w:val="center"/>
            <w:hideMark/>
          </w:tcPr>
          <w:p w14:paraId="44CC3188" w14:textId="77777777" w:rsidR="00B11545" w:rsidRPr="00D618B7" w:rsidRDefault="00B11545" w:rsidP="004B11B7">
            <w:pPr>
              <w:jc w:val="center"/>
              <w:rPr>
                <w:color w:val="000000"/>
              </w:rPr>
            </w:pPr>
            <w:r w:rsidRPr="00D618B7">
              <w:rPr>
                <w:color w:val="000000"/>
              </w:rPr>
              <w:t>4</w:t>
            </w:r>
          </w:p>
        </w:tc>
        <w:tc>
          <w:tcPr>
            <w:tcW w:w="1387" w:type="pct"/>
            <w:tcBorders>
              <w:top w:val="nil"/>
              <w:left w:val="nil"/>
              <w:bottom w:val="nil"/>
              <w:right w:val="nil"/>
            </w:tcBorders>
            <w:shd w:val="clear" w:color="000000" w:fill="FFFFFF"/>
            <w:noWrap/>
            <w:hideMark/>
          </w:tcPr>
          <w:p w14:paraId="6895088B" w14:textId="77777777" w:rsidR="00B11545" w:rsidRPr="00D618B7" w:rsidRDefault="00B11545" w:rsidP="004B11B7">
            <w:pPr>
              <w:jc w:val="right"/>
              <w:rPr>
                <w:color w:val="000000"/>
              </w:rPr>
            </w:pPr>
            <w:r w:rsidRPr="00D618B7">
              <w:t>7434.63</w:t>
            </w:r>
          </w:p>
        </w:tc>
        <w:tc>
          <w:tcPr>
            <w:tcW w:w="1387" w:type="pct"/>
            <w:tcBorders>
              <w:top w:val="nil"/>
              <w:left w:val="nil"/>
              <w:bottom w:val="nil"/>
              <w:right w:val="nil"/>
            </w:tcBorders>
            <w:shd w:val="clear" w:color="000000" w:fill="FFFFFF"/>
            <w:noWrap/>
            <w:hideMark/>
          </w:tcPr>
          <w:p w14:paraId="3875AA0B" w14:textId="77777777" w:rsidR="00B11545" w:rsidRPr="00D618B7" w:rsidRDefault="00B11545" w:rsidP="004B11B7">
            <w:pPr>
              <w:jc w:val="right"/>
              <w:rPr>
                <w:color w:val="000000"/>
              </w:rPr>
            </w:pPr>
            <w:r w:rsidRPr="00D618B7">
              <w:t>2191.98</w:t>
            </w:r>
          </w:p>
        </w:tc>
      </w:tr>
      <w:tr w:rsidR="00B11545" w:rsidRPr="00D618B7" w14:paraId="62220704" w14:textId="77777777" w:rsidTr="004B11B7">
        <w:trPr>
          <w:trHeight w:val="307"/>
        </w:trPr>
        <w:tc>
          <w:tcPr>
            <w:tcW w:w="2226" w:type="pct"/>
            <w:tcBorders>
              <w:top w:val="nil"/>
              <w:left w:val="nil"/>
              <w:bottom w:val="single" w:sz="8" w:space="0" w:color="auto"/>
              <w:right w:val="nil"/>
            </w:tcBorders>
            <w:shd w:val="clear" w:color="000000" w:fill="FFFFFF"/>
            <w:vAlign w:val="center"/>
            <w:hideMark/>
          </w:tcPr>
          <w:p w14:paraId="1CA5DDA5" w14:textId="77777777" w:rsidR="00B11545" w:rsidRPr="00D618B7" w:rsidRDefault="00B11545" w:rsidP="004B11B7">
            <w:pPr>
              <w:jc w:val="center"/>
              <w:rPr>
                <w:color w:val="000000"/>
              </w:rPr>
            </w:pPr>
            <w:r w:rsidRPr="00D618B7">
              <w:rPr>
                <w:color w:val="000000"/>
              </w:rPr>
              <w:t>5</w:t>
            </w:r>
          </w:p>
        </w:tc>
        <w:tc>
          <w:tcPr>
            <w:tcW w:w="1387" w:type="pct"/>
            <w:tcBorders>
              <w:top w:val="nil"/>
              <w:left w:val="nil"/>
              <w:bottom w:val="single" w:sz="8" w:space="0" w:color="auto"/>
              <w:right w:val="nil"/>
            </w:tcBorders>
            <w:shd w:val="clear" w:color="000000" w:fill="FFFFFF"/>
            <w:noWrap/>
            <w:hideMark/>
          </w:tcPr>
          <w:p w14:paraId="2234C09C" w14:textId="77777777" w:rsidR="00B11545" w:rsidRPr="00D618B7" w:rsidRDefault="00B11545" w:rsidP="004B11B7">
            <w:pPr>
              <w:jc w:val="right"/>
              <w:rPr>
                <w:color w:val="000000"/>
              </w:rPr>
            </w:pPr>
            <w:r w:rsidRPr="00D618B7">
              <w:t>-172.59</w:t>
            </w:r>
          </w:p>
        </w:tc>
        <w:tc>
          <w:tcPr>
            <w:tcW w:w="1387" w:type="pct"/>
            <w:tcBorders>
              <w:top w:val="nil"/>
              <w:left w:val="nil"/>
              <w:bottom w:val="single" w:sz="8" w:space="0" w:color="auto"/>
              <w:right w:val="nil"/>
            </w:tcBorders>
            <w:shd w:val="clear" w:color="000000" w:fill="FFFFFF"/>
            <w:noWrap/>
            <w:hideMark/>
          </w:tcPr>
          <w:p w14:paraId="5CCDE6F4" w14:textId="77777777" w:rsidR="00B11545" w:rsidRPr="00D618B7" w:rsidRDefault="00B11545" w:rsidP="004B11B7">
            <w:pPr>
              <w:jc w:val="right"/>
              <w:rPr>
                <w:color w:val="000000"/>
              </w:rPr>
            </w:pPr>
            <w:r w:rsidRPr="00D618B7">
              <w:t>2368.34</w:t>
            </w:r>
          </w:p>
        </w:tc>
      </w:tr>
    </w:tbl>
    <w:p w14:paraId="4E73FF44" w14:textId="77777777" w:rsidR="00B11545" w:rsidRPr="00D618B7" w:rsidRDefault="00B11545" w:rsidP="00B11545">
      <w:pPr>
        <w:rPr>
          <w:i/>
          <w:iCs/>
        </w:rPr>
      </w:pPr>
    </w:p>
    <w:p w14:paraId="5314B33C" w14:textId="77777777" w:rsidR="00B11545" w:rsidRPr="00D618B7" w:rsidRDefault="00B11545" w:rsidP="00B11545">
      <w:r w:rsidRPr="00D618B7">
        <w:rPr>
          <w:i/>
          <w:iCs/>
        </w:rPr>
        <w:t>Note</w:t>
      </w:r>
      <w:r w:rsidRPr="00D618B7">
        <w:t>: This table lists the estimated mean summed duration and standard errors for each week of observation around reach-onset.</w:t>
      </w:r>
    </w:p>
    <w:p w14:paraId="5C2CF556" w14:textId="77777777" w:rsidR="00B11545" w:rsidRPr="00D618B7" w:rsidRDefault="00B11545" w:rsidP="00B11545">
      <w:pPr>
        <w:rPr>
          <w:b/>
          <w:bCs/>
        </w:rPr>
      </w:pPr>
    </w:p>
    <w:p w14:paraId="23A1984C" w14:textId="028C9C16" w:rsidR="00B11545" w:rsidRPr="00D618B7" w:rsidRDefault="004B7288" w:rsidP="007C5074">
      <w:pPr>
        <w:pStyle w:val="Caption"/>
      </w:pPr>
      <w:bookmarkStart w:id="150" w:name="_Toc172716849"/>
      <w:r w:rsidRPr="00D618B7">
        <w:t xml:space="preserve">Table </w:t>
      </w:r>
      <w:r w:rsidR="00000000">
        <w:fldChar w:fldCharType="begin"/>
      </w:r>
      <w:r w:rsidR="00000000">
        <w:instrText xml:space="preserve"> SEQ Table \* ARABIC </w:instrText>
      </w:r>
      <w:r w:rsidR="00000000">
        <w:fldChar w:fldCharType="separate"/>
      </w:r>
      <w:r w:rsidR="000C6E43">
        <w:rPr>
          <w:noProof/>
        </w:rPr>
        <w:t>21</w:t>
      </w:r>
      <w:r w:rsidR="00000000">
        <w:rPr>
          <w:noProof/>
        </w:rPr>
        <w:fldChar w:fldCharType="end"/>
      </w:r>
      <w:r w:rsidR="008839D5" w:rsidRPr="00D618B7">
        <w:t xml:space="preserve">: </w:t>
      </w:r>
      <w:r w:rsidR="008839D5" w:rsidRPr="00D618B7">
        <w:rPr>
          <w:rFonts w:eastAsia="Aptos"/>
          <w:kern w:val="2"/>
          <w:sz w:val="22"/>
          <w:szCs w:val="22"/>
        </w:rPr>
        <w:t>Event summed duration by type</w:t>
      </w:r>
      <w:bookmarkEnd w:id="150"/>
    </w:p>
    <w:p w14:paraId="095C64E5" w14:textId="77777777" w:rsidR="00B11545" w:rsidRPr="00D618B7" w:rsidRDefault="00B11545" w:rsidP="00B11545">
      <w:r w:rsidRPr="00D618B7">
        <w:t>Estimated Mean Summed Duration of Events by Type</w:t>
      </w:r>
    </w:p>
    <w:p w14:paraId="38974B08" w14:textId="77777777" w:rsidR="00B11545" w:rsidRPr="00D618B7" w:rsidRDefault="00B11545" w:rsidP="00B11545">
      <w:pPr>
        <w:rPr>
          <w:b/>
          <w:bCs/>
        </w:rPr>
      </w:pPr>
    </w:p>
    <w:tbl>
      <w:tblPr>
        <w:tblW w:w="5000" w:type="pct"/>
        <w:tblLook w:val="04A0" w:firstRow="1" w:lastRow="0" w:firstColumn="1" w:lastColumn="0" w:noHBand="0" w:noVBand="1"/>
      </w:tblPr>
      <w:tblGrid>
        <w:gridCol w:w="3961"/>
        <w:gridCol w:w="1559"/>
        <w:gridCol w:w="1560"/>
        <w:gridCol w:w="1560"/>
      </w:tblGrid>
      <w:tr w:rsidR="00B11545" w:rsidRPr="00D618B7" w14:paraId="1D1D0E6B" w14:textId="77777777" w:rsidTr="004B11B7">
        <w:trPr>
          <w:trHeight w:val="345"/>
        </w:trPr>
        <w:tc>
          <w:tcPr>
            <w:tcW w:w="2292" w:type="pct"/>
            <w:tcBorders>
              <w:top w:val="single" w:sz="4" w:space="0" w:color="auto"/>
              <w:left w:val="nil"/>
              <w:bottom w:val="single" w:sz="8" w:space="0" w:color="auto"/>
              <w:right w:val="nil"/>
            </w:tcBorders>
            <w:shd w:val="clear" w:color="000000" w:fill="FFFFFF"/>
            <w:vAlign w:val="center"/>
            <w:hideMark/>
          </w:tcPr>
          <w:p w14:paraId="1F264155" w14:textId="77777777" w:rsidR="00B11545" w:rsidRPr="00D618B7" w:rsidRDefault="00B11545" w:rsidP="004B11B7">
            <w:pPr>
              <w:rPr>
                <w:color w:val="000000"/>
              </w:rPr>
            </w:pPr>
            <w:r w:rsidRPr="00D618B7">
              <w:rPr>
                <w:color w:val="000000"/>
              </w:rPr>
              <w:t>Week</w:t>
            </w:r>
          </w:p>
        </w:tc>
        <w:tc>
          <w:tcPr>
            <w:tcW w:w="902" w:type="pct"/>
            <w:tcBorders>
              <w:top w:val="single" w:sz="4" w:space="0" w:color="auto"/>
              <w:left w:val="nil"/>
              <w:bottom w:val="single" w:sz="8" w:space="0" w:color="auto"/>
              <w:right w:val="nil"/>
            </w:tcBorders>
            <w:shd w:val="clear" w:color="000000" w:fill="FFFFFF"/>
            <w:noWrap/>
            <w:vAlign w:val="center"/>
            <w:hideMark/>
          </w:tcPr>
          <w:p w14:paraId="19A5220A" w14:textId="77777777" w:rsidR="00B11545" w:rsidRPr="00D618B7" w:rsidRDefault="00B11545" w:rsidP="004B11B7">
            <w:pPr>
              <w:jc w:val="right"/>
              <w:rPr>
                <w:color w:val="000000"/>
              </w:rPr>
            </w:pPr>
            <w:r w:rsidRPr="00D618B7">
              <w:rPr>
                <w:color w:val="000000"/>
              </w:rPr>
              <w:t>Mean</w:t>
            </w:r>
          </w:p>
        </w:tc>
        <w:tc>
          <w:tcPr>
            <w:tcW w:w="903" w:type="pct"/>
            <w:tcBorders>
              <w:top w:val="single" w:sz="4" w:space="0" w:color="auto"/>
              <w:left w:val="nil"/>
              <w:bottom w:val="single" w:sz="8" w:space="0" w:color="auto"/>
              <w:right w:val="nil"/>
            </w:tcBorders>
            <w:shd w:val="clear" w:color="000000" w:fill="FFFFFF"/>
          </w:tcPr>
          <w:p w14:paraId="6F178A09" w14:textId="77777777" w:rsidR="00B11545" w:rsidRPr="00D618B7" w:rsidRDefault="00B11545" w:rsidP="004B11B7">
            <w:pPr>
              <w:jc w:val="right"/>
              <w:rPr>
                <w:color w:val="000000"/>
              </w:rPr>
            </w:pPr>
          </w:p>
        </w:tc>
        <w:tc>
          <w:tcPr>
            <w:tcW w:w="903" w:type="pct"/>
            <w:tcBorders>
              <w:top w:val="single" w:sz="4" w:space="0" w:color="auto"/>
              <w:left w:val="nil"/>
              <w:bottom w:val="single" w:sz="8" w:space="0" w:color="auto"/>
              <w:right w:val="nil"/>
            </w:tcBorders>
            <w:shd w:val="clear" w:color="000000" w:fill="FFFFFF"/>
            <w:noWrap/>
            <w:vAlign w:val="center"/>
            <w:hideMark/>
          </w:tcPr>
          <w:p w14:paraId="75176225" w14:textId="77777777" w:rsidR="00B11545" w:rsidRPr="00D618B7" w:rsidRDefault="00B11545" w:rsidP="004B11B7">
            <w:pPr>
              <w:jc w:val="right"/>
              <w:rPr>
                <w:color w:val="000000"/>
              </w:rPr>
            </w:pPr>
            <w:r w:rsidRPr="00D618B7">
              <w:rPr>
                <w:color w:val="000000"/>
              </w:rPr>
              <w:t>Std. Error</w:t>
            </w:r>
          </w:p>
        </w:tc>
      </w:tr>
      <w:tr w:rsidR="00B11545" w:rsidRPr="00D618B7" w14:paraId="0EF1AD01" w14:textId="77777777" w:rsidTr="004B11B7">
        <w:trPr>
          <w:trHeight w:val="345"/>
        </w:trPr>
        <w:tc>
          <w:tcPr>
            <w:tcW w:w="2292" w:type="pct"/>
            <w:tcBorders>
              <w:top w:val="nil"/>
              <w:left w:val="nil"/>
              <w:bottom w:val="nil"/>
              <w:right w:val="nil"/>
            </w:tcBorders>
            <w:shd w:val="clear" w:color="000000" w:fill="FFFFFF"/>
            <w:vAlign w:val="center"/>
            <w:hideMark/>
          </w:tcPr>
          <w:p w14:paraId="7EBEE4C7" w14:textId="77777777" w:rsidR="00B11545" w:rsidRPr="00D618B7" w:rsidRDefault="00B11545" w:rsidP="004B11B7">
            <w:pPr>
              <w:rPr>
                <w:color w:val="000000"/>
              </w:rPr>
            </w:pPr>
            <w:r w:rsidRPr="00D618B7">
              <w:rPr>
                <w:color w:val="000000"/>
              </w:rPr>
              <w:t>Face</w:t>
            </w:r>
          </w:p>
        </w:tc>
        <w:tc>
          <w:tcPr>
            <w:tcW w:w="902" w:type="pct"/>
            <w:tcBorders>
              <w:top w:val="nil"/>
              <w:left w:val="nil"/>
              <w:bottom w:val="nil"/>
              <w:right w:val="nil"/>
            </w:tcBorders>
            <w:shd w:val="clear" w:color="000000" w:fill="FFFFFF"/>
            <w:noWrap/>
            <w:vAlign w:val="center"/>
            <w:hideMark/>
          </w:tcPr>
          <w:p w14:paraId="7C5B9230" w14:textId="77777777" w:rsidR="00B11545" w:rsidRPr="00D618B7" w:rsidRDefault="00B11545" w:rsidP="004B11B7">
            <w:pPr>
              <w:jc w:val="right"/>
              <w:rPr>
                <w:color w:val="000000"/>
              </w:rPr>
            </w:pPr>
            <w:r w:rsidRPr="00D618B7">
              <w:rPr>
                <w:color w:val="000000"/>
              </w:rPr>
              <w:t>613.42</w:t>
            </w:r>
          </w:p>
        </w:tc>
        <w:tc>
          <w:tcPr>
            <w:tcW w:w="903" w:type="pct"/>
            <w:tcBorders>
              <w:top w:val="nil"/>
              <w:left w:val="nil"/>
              <w:bottom w:val="nil"/>
              <w:right w:val="nil"/>
            </w:tcBorders>
            <w:shd w:val="clear" w:color="000000" w:fill="FFFFFF"/>
          </w:tcPr>
          <w:p w14:paraId="60042ADB" w14:textId="77777777" w:rsidR="00B11545" w:rsidRPr="00D618B7" w:rsidRDefault="00B11545" w:rsidP="004B11B7">
            <w:pPr>
              <w:jc w:val="right"/>
              <w:rPr>
                <w:color w:val="000000"/>
              </w:rPr>
            </w:pPr>
          </w:p>
        </w:tc>
        <w:tc>
          <w:tcPr>
            <w:tcW w:w="903" w:type="pct"/>
            <w:tcBorders>
              <w:top w:val="nil"/>
              <w:left w:val="nil"/>
              <w:bottom w:val="nil"/>
              <w:right w:val="nil"/>
            </w:tcBorders>
            <w:shd w:val="clear" w:color="000000" w:fill="FFFFFF"/>
            <w:noWrap/>
            <w:vAlign w:val="center"/>
            <w:hideMark/>
          </w:tcPr>
          <w:p w14:paraId="1AECF14C" w14:textId="77777777" w:rsidR="00B11545" w:rsidRPr="00D618B7" w:rsidRDefault="00B11545" w:rsidP="004B11B7">
            <w:pPr>
              <w:jc w:val="right"/>
              <w:rPr>
                <w:color w:val="000000"/>
              </w:rPr>
            </w:pPr>
            <w:r w:rsidRPr="00D618B7">
              <w:rPr>
                <w:color w:val="000000"/>
              </w:rPr>
              <w:t>1384.39</w:t>
            </w:r>
          </w:p>
        </w:tc>
      </w:tr>
      <w:tr w:rsidR="00B11545" w:rsidRPr="00D618B7" w14:paraId="6C0E1F3C" w14:textId="77777777" w:rsidTr="004B11B7">
        <w:trPr>
          <w:trHeight w:val="345"/>
        </w:trPr>
        <w:tc>
          <w:tcPr>
            <w:tcW w:w="2292" w:type="pct"/>
            <w:tcBorders>
              <w:top w:val="nil"/>
              <w:left w:val="nil"/>
              <w:bottom w:val="nil"/>
              <w:right w:val="nil"/>
            </w:tcBorders>
            <w:shd w:val="clear" w:color="000000" w:fill="FFFFFF"/>
            <w:vAlign w:val="center"/>
            <w:hideMark/>
          </w:tcPr>
          <w:p w14:paraId="6886C246" w14:textId="77777777" w:rsidR="00B11545" w:rsidRPr="00D618B7" w:rsidRDefault="00B11545" w:rsidP="004B11B7">
            <w:pPr>
              <w:rPr>
                <w:color w:val="000000"/>
              </w:rPr>
            </w:pPr>
            <w:r w:rsidRPr="00D618B7">
              <w:rPr>
                <w:color w:val="000000"/>
              </w:rPr>
              <w:t>Hand</w:t>
            </w:r>
          </w:p>
        </w:tc>
        <w:tc>
          <w:tcPr>
            <w:tcW w:w="902" w:type="pct"/>
            <w:tcBorders>
              <w:top w:val="nil"/>
              <w:left w:val="nil"/>
              <w:bottom w:val="nil"/>
              <w:right w:val="nil"/>
            </w:tcBorders>
            <w:shd w:val="clear" w:color="000000" w:fill="FFFFFF"/>
            <w:noWrap/>
            <w:vAlign w:val="center"/>
            <w:hideMark/>
          </w:tcPr>
          <w:p w14:paraId="14D7D924" w14:textId="77777777" w:rsidR="00B11545" w:rsidRPr="00D618B7" w:rsidRDefault="00B11545" w:rsidP="004B11B7">
            <w:pPr>
              <w:jc w:val="right"/>
              <w:rPr>
                <w:color w:val="000000"/>
              </w:rPr>
            </w:pPr>
            <w:r w:rsidRPr="00D618B7">
              <w:rPr>
                <w:color w:val="000000"/>
              </w:rPr>
              <w:t>237.14</w:t>
            </w:r>
          </w:p>
        </w:tc>
        <w:tc>
          <w:tcPr>
            <w:tcW w:w="903" w:type="pct"/>
            <w:tcBorders>
              <w:top w:val="nil"/>
              <w:left w:val="nil"/>
              <w:bottom w:val="nil"/>
              <w:right w:val="nil"/>
            </w:tcBorders>
            <w:shd w:val="clear" w:color="000000" w:fill="FFFFFF"/>
          </w:tcPr>
          <w:p w14:paraId="37B1E829" w14:textId="77777777" w:rsidR="00B11545" w:rsidRPr="00D618B7" w:rsidRDefault="00B11545" w:rsidP="004B11B7">
            <w:pPr>
              <w:jc w:val="right"/>
              <w:rPr>
                <w:color w:val="000000"/>
              </w:rPr>
            </w:pPr>
          </w:p>
        </w:tc>
        <w:tc>
          <w:tcPr>
            <w:tcW w:w="903" w:type="pct"/>
            <w:tcBorders>
              <w:top w:val="nil"/>
              <w:left w:val="nil"/>
              <w:bottom w:val="nil"/>
              <w:right w:val="nil"/>
            </w:tcBorders>
            <w:shd w:val="clear" w:color="000000" w:fill="FFFFFF"/>
            <w:noWrap/>
            <w:vAlign w:val="center"/>
            <w:hideMark/>
          </w:tcPr>
          <w:p w14:paraId="3F243B92" w14:textId="77777777" w:rsidR="00B11545" w:rsidRPr="00D618B7" w:rsidRDefault="00B11545" w:rsidP="004B11B7">
            <w:pPr>
              <w:jc w:val="right"/>
              <w:rPr>
                <w:color w:val="000000"/>
              </w:rPr>
            </w:pPr>
            <w:r w:rsidRPr="00D618B7">
              <w:rPr>
                <w:color w:val="000000"/>
              </w:rPr>
              <w:t>1380.41</w:t>
            </w:r>
          </w:p>
        </w:tc>
      </w:tr>
      <w:tr w:rsidR="00B11545" w:rsidRPr="00D618B7" w14:paraId="2AB5437C" w14:textId="77777777" w:rsidTr="004B11B7">
        <w:trPr>
          <w:trHeight w:val="345"/>
        </w:trPr>
        <w:tc>
          <w:tcPr>
            <w:tcW w:w="2292" w:type="pct"/>
            <w:tcBorders>
              <w:top w:val="nil"/>
              <w:left w:val="nil"/>
              <w:bottom w:val="single" w:sz="8" w:space="0" w:color="auto"/>
              <w:right w:val="nil"/>
            </w:tcBorders>
            <w:shd w:val="clear" w:color="000000" w:fill="FFFFFF"/>
            <w:vAlign w:val="center"/>
            <w:hideMark/>
          </w:tcPr>
          <w:p w14:paraId="74D140C6" w14:textId="77777777" w:rsidR="00B11545" w:rsidRPr="00D618B7" w:rsidRDefault="00B11545" w:rsidP="004B11B7">
            <w:pPr>
              <w:rPr>
                <w:color w:val="000000"/>
              </w:rPr>
            </w:pPr>
            <w:r w:rsidRPr="00D618B7">
              <w:rPr>
                <w:color w:val="000000"/>
              </w:rPr>
              <w:t>Mouth</w:t>
            </w:r>
          </w:p>
        </w:tc>
        <w:tc>
          <w:tcPr>
            <w:tcW w:w="902" w:type="pct"/>
            <w:tcBorders>
              <w:top w:val="nil"/>
              <w:left w:val="nil"/>
              <w:bottom w:val="single" w:sz="8" w:space="0" w:color="auto"/>
              <w:right w:val="nil"/>
            </w:tcBorders>
            <w:shd w:val="clear" w:color="000000" w:fill="FFFFFF"/>
            <w:noWrap/>
            <w:vAlign w:val="center"/>
            <w:hideMark/>
          </w:tcPr>
          <w:p w14:paraId="1AAECF10" w14:textId="77777777" w:rsidR="00B11545" w:rsidRPr="00D618B7" w:rsidRDefault="00B11545" w:rsidP="004B11B7">
            <w:pPr>
              <w:jc w:val="right"/>
              <w:rPr>
                <w:color w:val="000000"/>
              </w:rPr>
            </w:pPr>
            <w:r w:rsidRPr="00D618B7">
              <w:rPr>
                <w:color w:val="000000"/>
              </w:rPr>
              <w:t>11102.78</w:t>
            </w:r>
          </w:p>
        </w:tc>
        <w:tc>
          <w:tcPr>
            <w:tcW w:w="903" w:type="pct"/>
            <w:tcBorders>
              <w:top w:val="nil"/>
              <w:left w:val="nil"/>
              <w:bottom w:val="single" w:sz="8" w:space="0" w:color="auto"/>
              <w:right w:val="nil"/>
            </w:tcBorders>
            <w:shd w:val="clear" w:color="000000" w:fill="FFFFFF"/>
          </w:tcPr>
          <w:p w14:paraId="3F4A5847" w14:textId="77777777" w:rsidR="00B11545" w:rsidRPr="00D618B7" w:rsidRDefault="00B11545" w:rsidP="004B11B7">
            <w:pPr>
              <w:jc w:val="right"/>
              <w:rPr>
                <w:color w:val="000000"/>
              </w:rPr>
            </w:pPr>
          </w:p>
        </w:tc>
        <w:tc>
          <w:tcPr>
            <w:tcW w:w="903" w:type="pct"/>
            <w:tcBorders>
              <w:top w:val="nil"/>
              <w:left w:val="nil"/>
              <w:bottom w:val="single" w:sz="8" w:space="0" w:color="auto"/>
              <w:right w:val="nil"/>
            </w:tcBorders>
            <w:shd w:val="clear" w:color="000000" w:fill="FFFFFF"/>
            <w:noWrap/>
            <w:vAlign w:val="center"/>
            <w:hideMark/>
          </w:tcPr>
          <w:p w14:paraId="22296FDD" w14:textId="77777777" w:rsidR="00B11545" w:rsidRPr="00D618B7" w:rsidRDefault="00B11545" w:rsidP="004B11B7">
            <w:pPr>
              <w:jc w:val="right"/>
              <w:rPr>
                <w:color w:val="000000"/>
              </w:rPr>
            </w:pPr>
            <w:r w:rsidRPr="00D618B7">
              <w:rPr>
                <w:color w:val="000000"/>
              </w:rPr>
              <w:t>1384.02</w:t>
            </w:r>
          </w:p>
        </w:tc>
      </w:tr>
      <w:tr w:rsidR="00B11545" w:rsidRPr="00D618B7" w14:paraId="616518EA" w14:textId="77777777" w:rsidTr="004B11B7">
        <w:trPr>
          <w:trHeight w:val="345"/>
        </w:trPr>
        <w:tc>
          <w:tcPr>
            <w:tcW w:w="2292" w:type="pct"/>
            <w:tcBorders>
              <w:top w:val="nil"/>
              <w:left w:val="nil"/>
              <w:bottom w:val="nil"/>
              <w:right w:val="nil"/>
            </w:tcBorders>
            <w:shd w:val="clear" w:color="auto" w:fill="auto"/>
            <w:noWrap/>
            <w:vAlign w:val="bottom"/>
            <w:hideMark/>
          </w:tcPr>
          <w:p w14:paraId="06EAA97E" w14:textId="77777777" w:rsidR="00B11545" w:rsidRPr="00D618B7" w:rsidRDefault="00B11545" w:rsidP="004B11B7">
            <w:pPr>
              <w:jc w:val="right"/>
              <w:rPr>
                <w:color w:val="000000"/>
              </w:rPr>
            </w:pPr>
          </w:p>
        </w:tc>
        <w:tc>
          <w:tcPr>
            <w:tcW w:w="902" w:type="pct"/>
            <w:tcBorders>
              <w:top w:val="nil"/>
              <w:left w:val="nil"/>
              <w:bottom w:val="nil"/>
              <w:right w:val="nil"/>
            </w:tcBorders>
            <w:shd w:val="clear" w:color="auto" w:fill="auto"/>
            <w:noWrap/>
            <w:vAlign w:val="bottom"/>
            <w:hideMark/>
          </w:tcPr>
          <w:p w14:paraId="7374F826" w14:textId="77777777" w:rsidR="00B11545" w:rsidRPr="00D618B7" w:rsidRDefault="00B11545" w:rsidP="004B11B7">
            <w:pPr>
              <w:rPr>
                <w:sz w:val="20"/>
                <w:szCs w:val="20"/>
              </w:rPr>
            </w:pPr>
          </w:p>
        </w:tc>
        <w:tc>
          <w:tcPr>
            <w:tcW w:w="903" w:type="pct"/>
            <w:tcBorders>
              <w:top w:val="nil"/>
              <w:left w:val="nil"/>
              <w:bottom w:val="nil"/>
              <w:right w:val="nil"/>
            </w:tcBorders>
          </w:tcPr>
          <w:p w14:paraId="6960BE8A" w14:textId="77777777" w:rsidR="00B11545" w:rsidRPr="00D618B7" w:rsidRDefault="00B11545" w:rsidP="004B11B7">
            <w:pPr>
              <w:rPr>
                <w:sz w:val="20"/>
                <w:szCs w:val="20"/>
              </w:rPr>
            </w:pPr>
          </w:p>
        </w:tc>
        <w:tc>
          <w:tcPr>
            <w:tcW w:w="903" w:type="pct"/>
            <w:tcBorders>
              <w:top w:val="nil"/>
              <w:left w:val="nil"/>
              <w:bottom w:val="nil"/>
              <w:right w:val="nil"/>
            </w:tcBorders>
            <w:shd w:val="clear" w:color="auto" w:fill="auto"/>
            <w:noWrap/>
            <w:vAlign w:val="bottom"/>
            <w:hideMark/>
          </w:tcPr>
          <w:p w14:paraId="3F7AB456" w14:textId="77777777" w:rsidR="00B11545" w:rsidRPr="00D618B7" w:rsidRDefault="00B11545" w:rsidP="004B11B7">
            <w:pPr>
              <w:rPr>
                <w:sz w:val="20"/>
                <w:szCs w:val="20"/>
              </w:rPr>
            </w:pPr>
          </w:p>
        </w:tc>
      </w:tr>
    </w:tbl>
    <w:p w14:paraId="7E79A265" w14:textId="77777777" w:rsidR="00B11545" w:rsidRPr="00D618B7" w:rsidRDefault="00B11545" w:rsidP="00B11545">
      <w:r w:rsidRPr="00D618B7">
        <w:rPr>
          <w:i/>
          <w:iCs/>
        </w:rPr>
        <w:t>Note</w:t>
      </w:r>
      <w:r w:rsidRPr="00D618B7">
        <w:t>: This table lists the estimated mean summed durations and standard errors for face, hand, and mouth events.</w:t>
      </w:r>
    </w:p>
    <w:p w14:paraId="7154935B" w14:textId="77777777" w:rsidR="00EA713F" w:rsidRPr="00D618B7" w:rsidRDefault="00EA713F" w:rsidP="00822CAA"/>
    <w:p w14:paraId="353DF86D" w14:textId="77777777" w:rsidR="001E3794" w:rsidRDefault="001E3794" w:rsidP="007C5074">
      <w:pPr>
        <w:pStyle w:val="Caption"/>
      </w:pPr>
      <w:bookmarkStart w:id="151" w:name="_Toc172716850"/>
    </w:p>
    <w:p w14:paraId="5CA2C5B0" w14:textId="77777777" w:rsidR="001E3794" w:rsidRDefault="001E3794" w:rsidP="001E3794"/>
    <w:p w14:paraId="31F7CE19" w14:textId="77777777" w:rsidR="001E3794" w:rsidRDefault="001E3794" w:rsidP="001E3794"/>
    <w:p w14:paraId="7BB2360D" w14:textId="77777777" w:rsidR="000B5C72" w:rsidRDefault="000B5C72" w:rsidP="001E3794"/>
    <w:p w14:paraId="08004A9B" w14:textId="77777777" w:rsidR="000B5C72" w:rsidRDefault="000B5C72" w:rsidP="001E3794"/>
    <w:p w14:paraId="02DD3134" w14:textId="77777777" w:rsidR="000B5C72" w:rsidRDefault="000B5C72" w:rsidP="001E3794"/>
    <w:p w14:paraId="15F41F87" w14:textId="77777777" w:rsidR="000B5C72" w:rsidRDefault="000B5C72" w:rsidP="001E3794"/>
    <w:p w14:paraId="7295C600" w14:textId="77777777" w:rsidR="000B5C72" w:rsidRDefault="000B5C72" w:rsidP="001E3794"/>
    <w:p w14:paraId="22A80639" w14:textId="77777777" w:rsidR="000B5C72" w:rsidRDefault="000B5C72" w:rsidP="001E3794"/>
    <w:p w14:paraId="450CC0D3" w14:textId="77777777" w:rsidR="001E3794" w:rsidRDefault="001E3794" w:rsidP="001E3794"/>
    <w:p w14:paraId="737B5B38" w14:textId="77777777" w:rsidR="001E3794" w:rsidRDefault="001E3794" w:rsidP="001E3794"/>
    <w:p w14:paraId="42528D66" w14:textId="77777777" w:rsidR="001E3794" w:rsidRPr="001E3794" w:rsidRDefault="001E3794" w:rsidP="001E3794"/>
    <w:p w14:paraId="499740F1" w14:textId="7AFC1EFE" w:rsidR="004B7288" w:rsidRPr="00D618B7" w:rsidRDefault="004B7288" w:rsidP="007C5074">
      <w:pPr>
        <w:pStyle w:val="Caption"/>
      </w:pPr>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22</w:t>
      </w:r>
      <w:r w:rsidR="00000000">
        <w:rPr>
          <w:noProof/>
        </w:rPr>
        <w:fldChar w:fldCharType="end"/>
      </w:r>
      <w:r w:rsidR="008839D5" w:rsidRPr="00D618B7">
        <w:t>:</w:t>
      </w:r>
      <w:r w:rsidR="008839D5" w:rsidRPr="00D618B7">
        <w:rPr>
          <w:rFonts w:eastAsia="Aptos"/>
        </w:rPr>
        <w:t xml:space="preserve"> Event summed duration by proximity</w:t>
      </w:r>
      <w:bookmarkEnd w:id="151"/>
    </w:p>
    <w:p w14:paraId="17150693" w14:textId="17022D79" w:rsidR="00B11545" w:rsidRPr="00D618B7" w:rsidRDefault="00B11545" w:rsidP="00B11545">
      <w:r w:rsidRPr="00D618B7">
        <w:t>Estimated Mean Summed Duration of Events by Proximity</w:t>
      </w:r>
    </w:p>
    <w:tbl>
      <w:tblPr>
        <w:tblW w:w="5000" w:type="pct"/>
        <w:tblLook w:val="04A0" w:firstRow="1" w:lastRow="0" w:firstColumn="1" w:lastColumn="0" w:noHBand="0" w:noVBand="1"/>
      </w:tblPr>
      <w:tblGrid>
        <w:gridCol w:w="3074"/>
        <w:gridCol w:w="2409"/>
        <w:gridCol w:w="3157"/>
      </w:tblGrid>
      <w:tr w:rsidR="00B11545" w:rsidRPr="00D618B7" w14:paraId="3DC4F140" w14:textId="77777777" w:rsidTr="004B11B7">
        <w:trPr>
          <w:trHeight w:val="386"/>
        </w:trPr>
        <w:tc>
          <w:tcPr>
            <w:tcW w:w="1779" w:type="pct"/>
            <w:tcBorders>
              <w:top w:val="single" w:sz="4" w:space="0" w:color="auto"/>
              <w:left w:val="nil"/>
              <w:bottom w:val="single" w:sz="8" w:space="0" w:color="auto"/>
              <w:right w:val="nil"/>
            </w:tcBorders>
            <w:shd w:val="clear" w:color="000000" w:fill="FFFFFF"/>
            <w:vAlign w:val="center"/>
            <w:hideMark/>
          </w:tcPr>
          <w:p w14:paraId="1CA9F52B" w14:textId="77777777" w:rsidR="00B11545" w:rsidRPr="00D618B7" w:rsidRDefault="00B11545" w:rsidP="004B11B7">
            <w:pPr>
              <w:rPr>
                <w:color w:val="000000"/>
              </w:rPr>
            </w:pPr>
            <w:r w:rsidRPr="00D618B7">
              <w:rPr>
                <w:color w:val="000000"/>
              </w:rPr>
              <w:t>Week</w:t>
            </w:r>
          </w:p>
        </w:tc>
        <w:tc>
          <w:tcPr>
            <w:tcW w:w="1394" w:type="pct"/>
            <w:tcBorders>
              <w:top w:val="single" w:sz="4" w:space="0" w:color="auto"/>
              <w:left w:val="nil"/>
              <w:bottom w:val="single" w:sz="8" w:space="0" w:color="auto"/>
              <w:right w:val="nil"/>
            </w:tcBorders>
            <w:shd w:val="clear" w:color="000000" w:fill="FFFFFF"/>
            <w:noWrap/>
            <w:vAlign w:val="center"/>
            <w:hideMark/>
          </w:tcPr>
          <w:p w14:paraId="3F2F3C33" w14:textId="77777777" w:rsidR="00B11545" w:rsidRPr="00D618B7" w:rsidRDefault="00B11545" w:rsidP="004B11B7">
            <w:pPr>
              <w:jc w:val="right"/>
              <w:rPr>
                <w:color w:val="000000"/>
              </w:rPr>
            </w:pPr>
            <w:r w:rsidRPr="00D618B7">
              <w:rPr>
                <w:color w:val="000000"/>
              </w:rPr>
              <w:t>Mean</w:t>
            </w:r>
          </w:p>
        </w:tc>
        <w:tc>
          <w:tcPr>
            <w:tcW w:w="1827" w:type="pct"/>
            <w:tcBorders>
              <w:top w:val="single" w:sz="4" w:space="0" w:color="auto"/>
              <w:left w:val="nil"/>
              <w:bottom w:val="single" w:sz="8" w:space="0" w:color="auto"/>
              <w:right w:val="nil"/>
            </w:tcBorders>
            <w:shd w:val="clear" w:color="000000" w:fill="FFFFFF"/>
            <w:noWrap/>
            <w:vAlign w:val="center"/>
            <w:hideMark/>
          </w:tcPr>
          <w:p w14:paraId="1225589B" w14:textId="77777777" w:rsidR="00B11545" w:rsidRPr="00D618B7" w:rsidRDefault="00B11545" w:rsidP="004B11B7">
            <w:pPr>
              <w:jc w:val="right"/>
              <w:rPr>
                <w:color w:val="000000"/>
              </w:rPr>
            </w:pPr>
            <w:r w:rsidRPr="00D618B7">
              <w:rPr>
                <w:color w:val="000000"/>
              </w:rPr>
              <w:t>Std. Error</w:t>
            </w:r>
          </w:p>
        </w:tc>
      </w:tr>
      <w:tr w:rsidR="00AD03D6" w:rsidRPr="00D618B7" w14:paraId="32487E54" w14:textId="77777777" w:rsidTr="00C76080">
        <w:trPr>
          <w:trHeight w:val="386"/>
        </w:trPr>
        <w:tc>
          <w:tcPr>
            <w:tcW w:w="1779" w:type="pct"/>
            <w:tcBorders>
              <w:top w:val="nil"/>
              <w:left w:val="nil"/>
              <w:bottom w:val="nil"/>
              <w:right w:val="nil"/>
            </w:tcBorders>
            <w:shd w:val="clear" w:color="000000" w:fill="FFFFFF"/>
            <w:vAlign w:val="center"/>
            <w:hideMark/>
          </w:tcPr>
          <w:p w14:paraId="4767EDE8" w14:textId="77777777" w:rsidR="00AD03D6" w:rsidRPr="00D618B7" w:rsidRDefault="00AD03D6" w:rsidP="00AD03D6">
            <w:pPr>
              <w:rPr>
                <w:color w:val="000000"/>
              </w:rPr>
            </w:pPr>
            <w:r w:rsidRPr="00D618B7">
              <w:rPr>
                <w:color w:val="000000"/>
              </w:rPr>
              <w:t>Toy-out-of-Reach</w:t>
            </w:r>
          </w:p>
        </w:tc>
        <w:tc>
          <w:tcPr>
            <w:tcW w:w="1394" w:type="pct"/>
            <w:tcBorders>
              <w:top w:val="nil"/>
              <w:left w:val="nil"/>
              <w:bottom w:val="nil"/>
              <w:right w:val="nil"/>
            </w:tcBorders>
            <w:shd w:val="clear" w:color="000000" w:fill="FFFFFF"/>
            <w:noWrap/>
            <w:hideMark/>
          </w:tcPr>
          <w:p w14:paraId="791EA5F5" w14:textId="11B75F83" w:rsidR="00AD03D6" w:rsidRPr="00D618B7" w:rsidRDefault="00AD03D6" w:rsidP="00AD03D6">
            <w:pPr>
              <w:jc w:val="right"/>
              <w:rPr>
                <w:color w:val="000000"/>
              </w:rPr>
            </w:pPr>
            <w:r w:rsidRPr="00D618B7">
              <w:t>11102.78</w:t>
            </w:r>
          </w:p>
        </w:tc>
        <w:tc>
          <w:tcPr>
            <w:tcW w:w="1827" w:type="pct"/>
            <w:tcBorders>
              <w:top w:val="nil"/>
              <w:left w:val="nil"/>
              <w:bottom w:val="nil"/>
              <w:right w:val="nil"/>
            </w:tcBorders>
            <w:shd w:val="clear" w:color="000000" w:fill="FFFFFF"/>
            <w:noWrap/>
            <w:hideMark/>
          </w:tcPr>
          <w:p w14:paraId="27D1AF8D" w14:textId="6D57F80B" w:rsidR="00AD03D6" w:rsidRPr="00D618B7" w:rsidRDefault="00AD03D6" w:rsidP="00AD03D6">
            <w:pPr>
              <w:jc w:val="right"/>
              <w:rPr>
                <w:color w:val="000000"/>
              </w:rPr>
            </w:pPr>
            <w:r w:rsidRPr="00D618B7">
              <w:t>1384.02</w:t>
            </w:r>
          </w:p>
        </w:tc>
      </w:tr>
      <w:tr w:rsidR="00AD03D6" w:rsidRPr="00D618B7" w14:paraId="38C80E46" w14:textId="77777777" w:rsidTr="00C76080">
        <w:trPr>
          <w:trHeight w:val="386"/>
        </w:trPr>
        <w:tc>
          <w:tcPr>
            <w:tcW w:w="1779" w:type="pct"/>
            <w:tcBorders>
              <w:top w:val="nil"/>
              <w:left w:val="nil"/>
              <w:bottom w:val="nil"/>
              <w:right w:val="nil"/>
            </w:tcBorders>
            <w:shd w:val="clear" w:color="000000" w:fill="FFFFFF"/>
            <w:vAlign w:val="center"/>
            <w:hideMark/>
          </w:tcPr>
          <w:p w14:paraId="222328A5" w14:textId="77777777" w:rsidR="00AD03D6" w:rsidRPr="00D618B7" w:rsidRDefault="00AD03D6" w:rsidP="00AD03D6">
            <w:pPr>
              <w:rPr>
                <w:color w:val="000000"/>
              </w:rPr>
            </w:pPr>
            <w:r w:rsidRPr="00D618B7">
              <w:rPr>
                <w:color w:val="000000"/>
              </w:rPr>
              <w:t>Toy-Moving-into-Reach</w:t>
            </w:r>
          </w:p>
        </w:tc>
        <w:tc>
          <w:tcPr>
            <w:tcW w:w="1394" w:type="pct"/>
            <w:tcBorders>
              <w:top w:val="nil"/>
              <w:left w:val="nil"/>
              <w:bottom w:val="nil"/>
              <w:right w:val="nil"/>
            </w:tcBorders>
            <w:shd w:val="clear" w:color="000000" w:fill="FFFFFF"/>
            <w:noWrap/>
            <w:hideMark/>
          </w:tcPr>
          <w:p w14:paraId="39DB0A66" w14:textId="6F23687C" w:rsidR="00AD03D6" w:rsidRPr="00D618B7" w:rsidRDefault="00AD03D6" w:rsidP="00AD03D6">
            <w:pPr>
              <w:jc w:val="right"/>
              <w:rPr>
                <w:color w:val="000000"/>
              </w:rPr>
            </w:pPr>
            <w:r w:rsidRPr="00D618B7">
              <w:t>237.14</w:t>
            </w:r>
          </w:p>
        </w:tc>
        <w:tc>
          <w:tcPr>
            <w:tcW w:w="1827" w:type="pct"/>
            <w:tcBorders>
              <w:top w:val="nil"/>
              <w:left w:val="nil"/>
              <w:bottom w:val="nil"/>
              <w:right w:val="nil"/>
            </w:tcBorders>
            <w:shd w:val="clear" w:color="000000" w:fill="FFFFFF"/>
            <w:noWrap/>
            <w:hideMark/>
          </w:tcPr>
          <w:p w14:paraId="232AB755" w14:textId="1F9F077C" w:rsidR="00AD03D6" w:rsidRPr="00D618B7" w:rsidRDefault="00AD03D6" w:rsidP="00AD03D6">
            <w:pPr>
              <w:jc w:val="right"/>
              <w:rPr>
                <w:color w:val="000000"/>
              </w:rPr>
            </w:pPr>
            <w:r w:rsidRPr="00D618B7">
              <w:t>1380.41</w:t>
            </w:r>
          </w:p>
        </w:tc>
      </w:tr>
      <w:tr w:rsidR="00AD03D6" w:rsidRPr="00D618B7" w14:paraId="1CE7FAD1" w14:textId="77777777" w:rsidTr="00C76080">
        <w:trPr>
          <w:trHeight w:val="386"/>
        </w:trPr>
        <w:tc>
          <w:tcPr>
            <w:tcW w:w="1779" w:type="pct"/>
            <w:tcBorders>
              <w:top w:val="nil"/>
              <w:left w:val="nil"/>
              <w:bottom w:val="single" w:sz="8" w:space="0" w:color="auto"/>
              <w:right w:val="nil"/>
            </w:tcBorders>
            <w:shd w:val="clear" w:color="000000" w:fill="FFFFFF"/>
            <w:vAlign w:val="center"/>
            <w:hideMark/>
          </w:tcPr>
          <w:p w14:paraId="6DD85776" w14:textId="77777777" w:rsidR="00AD03D6" w:rsidRPr="00D618B7" w:rsidRDefault="00AD03D6" w:rsidP="00AD03D6">
            <w:pPr>
              <w:rPr>
                <w:color w:val="000000"/>
              </w:rPr>
            </w:pPr>
            <w:r w:rsidRPr="00D618B7">
              <w:rPr>
                <w:color w:val="000000"/>
              </w:rPr>
              <w:t>Toy-in-Reach</w:t>
            </w:r>
          </w:p>
        </w:tc>
        <w:tc>
          <w:tcPr>
            <w:tcW w:w="1394" w:type="pct"/>
            <w:tcBorders>
              <w:top w:val="nil"/>
              <w:left w:val="nil"/>
              <w:bottom w:val="single" w:sz="8" w:space="0" w:color="auto"/>
              <w:right w:val="nil"/>
            </w:tcBorders>
            <w:shd w:val="clear" w:color="000000" w:fill="FFFFFF"/>
            <w:noWrap/>
            <w:hideMark/>
          </w:tcPr>
          <w:p w14:paraId="1FA04760" w14:textId="13547DE4" w:rsidR="00AD03D6" w:rsidRPr="00D618B7" w:rsidRDefault="00AD03D6" w:rsidP="00AD03D6">
            <w:pPr>
              <w:jc w:val="right"/>
              <w:rPr>
                <w:color w:val="000000"/>
              </w:rPr>
            </w:pPr>
            <w:r w:rsidRPr="00D618B7">
              <w:t>3469.08</w:t>
            </w:r>
          </w:p>
        </w:tc>
        <w:tc>
          <w:tcPr>
            <w:tcW w:w="1827" w:type="pct"/>
            <w:tcBorders>
              <w:top w:val="nil"/>
              <w:left w:val="nil"/>
              <w:bottom w:val="single" w:sz="8" w:space="0" w:color="auto"/>
              <w:right w:val="nil"/>
            </w:tcBorders>
            <w:shd w:val="clear" w:color="000000" w:fill="FFFFFF"/>
            <w:noWrap/>
            <w:hideMark/>
          </w:tcPr>
          <w:p w14:paraId="62DEEAF1" w14:textId="43F107A2" w:rsidR="00AD03D6" w:rsidRPr="00D618B7" w:rsidRDefault="00AD03D6" w:rsidP="00AD03D6">
            <w:pPr>
              <w:jc w:val="right"/>
              <w:rPr>
                <w:color w:val="000000"/>
              </w:rPr>
            </w:pPr>
            <w:r w:rsidRPr="00D618B7">
              <w:t>1304.19</w:t>
            </w:r>
          </w:p>
        </w:tc>
      </w:tr>
    </w:tbl>
    <w:p w14:paraId="0A8DE08C" w14:textId="77777777" w:rsidR="00B11545" w:rsidRPr="00D618B7" w:rsidRDefault="00B11545" w:rsidP="00B11545">
      <w:pPr>
        <w:rPr>
          <w:i/>
          <w:iCs/>
        </w:rPr>
      </w:pPr>
    </w:p>
    <w:p w14:paraId="7FEC0C4F" w14:textId="585B202A" w:rsidR="008839D5" w:rsidRPr="00D618B7" w:rsidRDefault="00B11545" w:rsidP="00B11545">
      <w:r w:rsidRPr="00D618B7">
        <w:rPr>
          <w:i/>
          <w:iCs/>
        </w:rPr>
        <w:t>Note</w:t>
      </w:r>
      <w:r w:rsidRPr="00D618B7">
        <w:t>: This table lists the estimated mean summed durations and standard errors for toy-out-of-reach, toy-moving-into-reach, and toy-in-reach.</w:t>
      </w:r>
    </w:p>
    <w:p w14:paraId="3AEDC985" w14:textId="77777777" w:rsidR="008839D5" w:rsidRPr="00D618B7" w:rsidRDefault="008839D5">
      <w:r w:rsidRPr="00D618B7">
        <w:br w:type="page"/>
      </w:r>
    </w:p>
    <w:p w14:paraId="080F309F" w14:textId="77777777" w:rsidR="00B11545" w:rsidRPr="00D618B7" w:rsidRDefault="00B11545" w:rsidP="00B11545">
      <w:r w:rsidRPr="00D618B7">
        <w:rPr>
          <w:noProof/>
        </w:rPr>
        <w:lastRenderedPageBreak/>
        <w:drawing>
          <wp:inline distT="0" distB="0" distL="0" distR="0" wp14:anchorId="3ED5A46B" wp14:editId="559A9BFF">
            <wp:extent cx="5943600" cy="4448175"/>
            <wp:effectExtent l="0" t="0" r="0" b="9525"/>
            <wp:docPr id="1613860068" name="Chart 1">
              <a:extLst xmlns:a="http://schemas.openxmlformats.org/drawingml/2006/main">
                <a:ext uri="{FF2B5EF4-FFF2-40B4-BE49-F238E27FC236}">
                  <a16:creationId xmlns:a16="http://schemas.microsoft.com/office/drawing/2014/main" id="{00593113-3C5A-48EE-97DA-2771EDE8C2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1265B3F" w14:textId="77777777" w:rsidR="00B11545" w:rsidRPr="00D618B7" w:rsidRDefault="00B11545" w:rsidP="00B11545">
      <w:pPr>
        <w:rPr>
          <w:i/>
          <w:iCs/>
        </w:rPr>
      </w:pPr>
    </w:p>
    <w:p w14:paraId="541BC521" w14:textId="77777777" w:rsidR="001E3794" w:rsidRDefault="001E3794" w:rsidP="00B11545">
      <w:pPr>
        <w:rPr>
          <w:i/>
          <w:iCs/>
        </w:rPr>
      </w:pPr>
    </w:p>
    <w:p w14:paraId="0780C974" w14:textId="77777777" w:rsidR="001E3794" w:rsidRPr="00D618B7" w:rsidRDefault="001E3794" w:rsidP="007C5074">
      <w:pPr>
        <w:pStyle w:val="Caption"/>
      </w:pPr>
      <w:bookmarkStart w:id="152" w:name="_Toc172716951"/>
      <w:r w:rsidRPr="00D618B7">
        <w:t xml:space="preserve">Figure </w:t>
      </w:r>
      <w:r>
        <w:fldChar w:fldCharType="begin"/>
      </w:r>
      <w:r>
        <w:instrText xml:space="preserve"> SEQ Figure \* ARABIC </w:instrText>
      </w:r>
      <w:r>
        <w:fldChar w:fldCharType="separate"/>
      </w:r>
      <w:r>
        <w:rPr>
          <w:noProof/>
        </w:rPr>
        <w:t>11</w:t>
      </w:r>
      <w:r>
        <w:rPr>
          <w:noProof/>
        </w:rPr>
        <w:fldChar w:fldCharType="end"/>
      </w:r>
      <w:r w:rsidRPr="00D618B7">
        <w:t>:</w:t>
      </w:r>
      <w:r w:rsidRPr="00D618B7">
        <w:rPr>
          <w:rFonts w:eastAsia="Aptos"/>
        </w:rPr>
        <w:t xml:space="preserve"> Event summed duration by type and week</w:t>
      </w:r>
      <w:bookmarkEnd w:id="152"/>
    </w:p>
    <w:p w14:paraId="72BD2062" w14:textId="5C90471C" w:rsidR="001E3794" w:rsidRPr="00D618B7" w:rsidRDefault="001E3794" w:rsidP="001E3794">
      <w:r w:rsidRPr="00D618B7">
        <w:t>Estimated Mean Summed Duration of Event by Type and Week</w:t>
      </w:r>
      <w:r>
        <w:t>.</w:t>
      </w:r>
    </w:p>
    <w:p w14:paraId="49C8FE6E" w14:textId="486658A2" w:rsidR="00B11545" w:rsidRPr="00D618B7" w:rsidRDefault="00B11545" w:rsidP="00B11545">
      <w:r w:rsidRPr="00D618B7">
        <w:rPr>
          <w:i/>
          <w:iCs/>
        </w:rPr>
        <w:t>Note</w:t>
      </w:r>
      <w:r w:rsidRPr="00D618B7">
        <w:t>. This figure illustrates the estimated mean summed duration in milliseconds of face, hand, and mouth events for each week of observation around reach-onset. Error bars show standard error.</w:t>
      </w:r>
    </w:p>
    <w:p w14:paraId="73453621" w14:textId="26DB302C" w:rsidR="00B11545" w:rsidRPr="00D618B7" w:rsidRDefault="00AD6384" w:rsidP="007C5074">
      <w:pPr>
        <w:pStyle w:val="Caption"/>
      </w:pPr>
      <w:r w:rsidRPr="00D618B7">
        <w:rPr>
          <w:rFonts w:eastAsia="Aptos"/>
        </w:rPr>
        <w:br w:type="page"/>
      </w:r>
    </w:p>
    <w:p w14:paraId="413A75E4" w14:textId="25683652" w:rsidR="00B11545" w:rsidRPr="00D618B7" w:rsidRDefault="00B11545" w:rsidP="00B11545">
      <w:r w:rsidRPr="00D618B7">
        <w:rPr>
          <w:noProof/>
        </w:rPr>
        <w:lastRenderedPageBreak/>
        <w:drawing>
          <wp:anchor distT="0" distB="0" distL="114300" distR="114300" simplePos="0" relativeHeight="252014080" behindDoc="0" locked="0" layoutInCell="1" allowOverlap="1" wp14:anchorId="3F993F17" wp14:editId="687E09C6">
            <wp:simplePos x="0" y="0"/>
            <wp:positionH relativeFrom="column">
              <wp:posOffset>499745</wp:posOffset>
            </wp:positionH>
            <wp:positionV relativeFrom="paragraph">
              <wp:posOffset>0</wp:posOffset>
            </wp:positionV>
            <wp:extent cx="4486910" cy="6546215"/>
            <wp:effectExtent l="0" t="0" r="8890" b="6985"/>
            <wp:wrapTopAndBottom/>
            <wp:docPr id="1775937881" name="Picture 1" descr="A coll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37881" name="Picture 1" descr="A collage of a 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486910" cy="6546215"/>
                    </a:xfrm>
                    <a:prstGeom prst="rect">
                      <a:avLst/>
                    </a:prstGeom>
                  </pic:spPr>
                </pic:pic>
              </a:graphicData>
            </a:graphic>
            <wp14:sizeRelH relativeFrom="margin">
              <wp14:pctWidth>0</wp14:pctWidth>
            </wp14:sizeRelH>
            <wp14:sizeRelV relativeFrom="margin">
              <wp14:pctHeight>0</wp14:pctHeight>
            </wp14:sizeRelV>
          </wp:anchor>
        </w:drawing>
      </w:r>
    </w:p>
    <w:p w14:paraId="7AC986DD" w14:textId="77777777" w:rsidR="00B11545" w:rsidRDefault="00B11545" w:rsidP="00B11545"/>
    <w:p w14:paraId="756C1146" w14:textId="1EE1157E" w:rsidR="001E3794" w:rsidRPr="001E3794" w:rsidRDefault="001E3794" w:rsidP="00B11545">
      <w:pPr>
        <w:rPr>
          <w:b/>
          <w:bCs/>
          <w:i/>
          <w:iCs/>
        </w:rPr>
      </w:pPr>
      <w:bookmarkStart w:id="153" w:name="_Toc172716952"/>
      <w:r w:rsidRPr="001E3794">
        <w:rPr>
          <w:b/>
          <w:bCs/>
          <w:i/>
          <w:iCs/>
        </w:rPr>
        <w:t xml:space="preserve">Figure </w:t>
      </w:r>
      <w:r w:rsidRPr="001E3794">
        <w:rPr>
          <w:b/>
          <w:bCs/>
          <w:i/>
          <w:iCs/>
        </w:rPr>
        <w:fldChar w:fldCharType="begin"/>
      </w:r>
      <w:r w:rsidRPr="001E3794">
        <w:rPr>
          <w:b/>
          <w:bCs/>
          <w:i/>
          <w:iCs/>
        </w:rPr>
        <w:instrText xml:space="preserve"> SEQ Figure \* ARABIC </w:instrText>
      </w:r>
      <w:r w:rsidRPr="001E3794">
        <w:rPr>
          <w:b/>
          <w:bCs/>
          <w:i/>
          <w:iCs/>
        </w:rPr>
        <w:fldChar w:fldCharType="separate"/>
      </w:r>
      <w:r w:rsidRPr="001E3794">
        <w:rPr>
          <w:b/>
          <w:bCs/>
          <w:i/>
          <w:iCs/>
          <w:noProof/>
        </w:rPr>
        <w:t>12</w:t>
      </w:r>
      <w:r w:rsidRPr="001E3794">
        <w:rPr>
          <w:b/>
          <w:bCs/>
          <w:i/>
          <w:iCs/>
          <w:noProof/>
        </w:rPr>
        <w:fldChar w:fldCharType="end"/>
      </w:r>
      <w:r w:rsidRPr="001E3794">
        <w:rPr>
          <w:b/>
          <w:bCs/>
          <w:i/>
          <w:iCs/>
        </w:rPr>
        <w:t xml:space="preserve">: </w:t>
      </w:r>
      <w:r w:rsidRPr="001E3794">
        <w:rPr>
          <w:rFonts w:eastAsia="Aptos"/>
          <w:b/>
          <w:bCs/>
          <w:i/>
          <w:iCs/>
        </w:rPr>
        <w:t>Event summed duration by type, proximity, and week</w:t>
      </w:r>
      <w:bookmarkEnd w:id="153"/>
    </w:p>
    <w:p w14:paraId="40EDBB47" w14:textId="77777777" w:rsidR="001E3794" w:rsidRDefault="001E3794" w:rsidP="00B11545"/>
    <w:p w14:paraId="1B5BB20E" w14:textId="155D8CC2" w:rsidR="001E3794" w:rsidRDefault="001E3794" w:rsidP="00B11545">
      <w:pPr>
        <w:rPr>
          <w:i/>
          <w:iCs/>
        </w:rPr>
      </w:pPr>
      <w:r w:rsidRPr="00D618B7">
        <w:t>Estimated Mean Summed Duration of Event by Type, Proximity, and</w:t>
      </w:r>
      <w:r>
        <w:t xml:space="preserve"> Week.</w:t>
      </w:r>
    </w:p>
    <w:p w14:paraId="7432E00D" w14:textId="4649E179" w:rsidR="00B11545" w:rsidRPr="00D618B7" w:rsidRDefault="00B11545" w:rsidP="00B11545">
      <w:r w:rsidRPr="00D618B7">
        <w:rPr>
          <w:i/>
          <w:iCs/>
        </w:rPr>
        <w:t>Note</w:t>
      </w:r>
      <w:r w:rsidRPr="00D618B7">
        <w:t>. This figure illustrates the estimated mean summed duration in milliseconds of face, hand, and mouth events for each week of observation around reach-onset.</w:t>
      </w:r>
    </w:p>
    <w:p w14:paraId="078587E7" w14:textId="18A7FCAF" w:rsidR="00B11545" w:rsidRPr="00D618B7" w:rsidRDefault="004B7288" w:rsidP="007C5074">
      <w:pPr>
        <w:pStyle w:val="Caption"/>
      </w:pPr>
      <w:bookmarkStart w:id="154" w:name="_Toc172716851"/>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23</w:t>
      </w:r>
      <w:r w:rsidR="00000000">
        <w:rPr>
          <w:noProof/>
        </w:rPr>
        <w:fldChar w:fldCharType="end"/>
      </w:r>
      <w:r w:rsidR="008839D5" w:rsidRPr="00D618B7">
        <w:t xml:space="preserve">: </w:t>
      </w:r>
      <w:r w:rsidR="008839D5" w:rsidRPr="00D618B7">
        <w:rPr>
          <w:rFonts w:eastAsia="Aptos"/>
        </w:rPr>
        <w:t>Event summed duration by type and week</w:t>
      </w:r>
      <w:bookmarkEnd w:id="154"/>
    </w:p>
    <w:p w14:paraId="28BB61CA" w14:textId="77777777" w:rsidR="00B11545" w:rsidRPr="00D618B7" w:rsidRDefault="00B11545" w:rsidP="00B11545">
      <w:r w:rsidRPr="00D618B7">
        <w:t>Estimated Mean Summed Duration of Events by Type and Week</w:t>
      </w:r>
    </w:p>
    <w:tbl>
      <w:tblPr>
        <w:tblW w:w="5000" w:type="pct"/>
        <w:tblLook w:val="04A0" w:firstRow="1" w:lastRow="0" w:firstColumn="1" w:lastColumn="0" w:noHBand="0" w:noVBand="1"/>
      </w:tblPr>
      <w:tblGrid>
        <w:gridCol w:w="993"/>
        <w:gridCol w:w="1283"/>
        <w:gridCol w:w="1163"/>
        <w:gridCol w:w="1485"/>
        <w:gridCol w:w="1163"/>
        <w:gridCol w:w="1390"/>
        <w:gridCol w:w="1163"/>
      </w:tblGrid>
      <w:tr w:rsidR="00B11545" w:rsidRPr="00D618B7" w14:paraId="79137BC5" w14:textId="77777777" w:rsidTr="000118CE">
        <w:trPr>
          <w:trHeight w:val="402"/>
        </w:trPr>
        <w:tc>
          <w:tcPr>
            <w:tcW w:w="608" w:type="pct"/>
            <w:tcBorders>
              <w:top w:val="single" w:sz="18" w:space="0" w:color="auto"/>
              <w:left w:val="nil"/>
              <w:bottom w:val="nil"/>
              <w:right w:val="nil"/>
            </w:tcBorders>
            <w:shd w:val="clear" w:color="000000" w:fill="FFFFFF"/>
            <w:vAlign w:val="center"/>
            <w:hideMark/>
          </w:tcPr>
          <w:p w14:paraId="37A3570D" w14:textId="77777777" w:rsidR="00B11545" w:rsidRPr="00D618B7" w:rsidRDefault="00B11545" w:rsidP="004B11B7">
            <w:pPr>
              <w:rPr>
                <w:color w:val="000000"/>
              </w:rPr>
            </w:pPr>
            <w:r w:rsidRPr="00D618B7">
              <w:rPr>
                <w:color w:val="000000"/>
              </w:rPr>
              <w:t>Week</w:t>
            </w:r>
          </w:p>
        </w:tc>
        <w:tc>
          <w:tcPr>
            <w:tcW w:w="1424" w:type="pct"/>
            <w:gridSpan w:val="2"/>
            <w:tcBorders>
              <w:top w:val="single" w:sz="18" w:space="0" w:color="auto"/>
              <w:left w:val="nil"/>
              <w:bottom w:val="single" w:sz="18" w:space="0" w:color="auto"/>
              <w:right w:val="nil"/>
            </w:tcBorders>
            <w:shd w:val="clear" w:color="000000" w:fill="FFFFFF"/>
            <w:vAlign w:val="center"/>
            <w:hideMark/>
          </w:tcPr>
          <w:p w14:paraId="104F714E" w14:textId="77777777" w:rsidR="00B11545" w:rsidRPr="00D618B7" w:rsidRDefault="00B11545" w:rsidP="004B11B7">
            <w:pPr>
              <w:jc w:val="center"/>
              <w:rPr>
                <w:color w:val="000000"/>
              </w:rPr>
            </w:pPr>
            <w:r w:rsidRPr="00D618B7">
              <w:rPr>
                <w:color w:val="000000"/>
              </w:rPr>
              <w:t xml:space="preserve">       Face</w:t>
            </w:r>
          </w:p>
        </w:tc>
        <w:tc>
          <w:tcPr>
            <w:tcW w:w="1510" w:type="pct"/>
            <w:gridSpan w:val="2"/>
            <w:tcBorders>
              <w:top w:val="single" w:sz="18" w:space="0" w:color="auto"/>
              <w:left w:val="nil"/>
              <w:bottom w:val="single" w:sz="18" w:space="0" w:color="auto"/>
              <w:right w:val="nil"/>
            </w:tcBorders>
            <w:shd w:val="clear" w:color="000000" w:fill="FFFFFF"/>
            <w:vAlign w:val="center"/>
            <w:hideMark/>
          </w:tcPr>
          <w:p w14:paraId="52BA802C" w14:textId="77777777" w:rsidR="00B11545" w:rsidRPr="00D618B7" w:rsidRDefault="00B11545" w:rsidP="004B11B7">
            <w:pPr>
              <w:jc w:val="center"/>
              <w:rPr>
                <w:color w:val="000000"/>
              </w:rPr>
            </w:pPr>
            <w:r w:rsidRPr="00D618B7">
              <w:rPr>
                <w:color w:val="000000"/>
              </w:rPr>
              <w:t xml:space="preserve">                Hand</w:t>
            </w:r>
          </w:p>
        </w:tc>
        <w:tc>
          <w:tcPr>
            <w:tcW w:w="1458" w:type="pct"/>
            <w:gridSpan w:val="2"/>
            <w:tcBorders>
              <w:top w:val="single" w:sz="18" w:space="0" w:color="auto"/>
              <w:left w:val="nil"/>
              <w:bottom w:val="single" w:sz="18" w:space="0" w:color="auto"/>
              <w:right w:val="nil"/>
            </w:tcBorders>
            <w:shd w:val="clear" w:color="000000" w:fill="FFFFFF"/>
            <w:vAlign w:val="center"/>
            <w:hideMark/>
          </w:tcPr>
          <w:p w14:paraId="57D3F2B9" w14:textId="77777777" w:rsidR="00B11545" w:rsidRPr="00D618B7" w:rsidRDefault="00B11545" w:rsidP="004B11B7">
            <w:pPr>
              <w:jc w:val="center"/>
              <w:rPr>
                <w:color w:val="000000"/>
              </w:rPr>
            </w:pPr>
            <w:r w:rsidRPr="00D618B7">
              <w:rPr>
                <w:color w:val="000000"/>
              </w:rPr>
              <w:t xml:space="preserve">              Mouth</w:t>
            </w:r>
          </w:p>
        </w:tc>
      </w:tr>
      <w:tr w:rsidR="00B11545" w:rsidRPr="00D618B7" w14:paraId="1DEE00B6" w14:textId="77777777" w:rsidTr="000118CE">
        <w:trPr>
          <w:trHeight w:val="402"/>
        </w:trPr>
        <w:tc>
          <w:tcPr>
            <w:tcW w:w="608" w:type="pct"/>
            <w:tcBorders>
              <w:top w:val="nil"/>
              <w:left w:val="nil"/>
              <w:bottom w:val="single" w:sz="18" w:space="0" w:color="auto"/>
              <w:right w:val="nil"/>
            </w:tcBorders>
            <w:shd w:val="clear" w:color="000000" w:fill="FFFFFF"/>
            <w:noWrap/>
            <w:vAlign w:val="bottom"/>
            <w:hideMark/>
          </w:tcPr>
          <w:p w14:paraId="7B80293A" w14:textId="77777777" w:rsidR="00B11545" w:rsidRPr="00D618B7" w:rsidRDefault="00B11545" w:rsidP="004B11B7">
            <w:pPr>
              <w:rPr>
                <w:color w:val="000000"/>
              </w:rPr>
            </w:pPr>
            <w:r w:rsidRPr="00D618B7">
              <w:rPr>
                <w:color w:val="000000"/>
              </w:rPr>
              <w:t> </w:t>
            </w:r>
          </w:p>
        </w:tc>
        <w:tc>
          <w:tcPr>
            <w:tcW w:w="776" w:type="pct"/>
            <w:tcBorders>
              <w:top w:val="single" w:sz="18" w:space="0" w:color="auto"/>
              <w:left w:val="nil"/>
              <w:bottom w:val="single" w:sz="18" w:space="0" w:color="auto"/>
              <w:right w:val="nil"/>
            </w:tcBorders>
            <w:shd w:val="clear" w:color="000000" w:fill="FFFFFF"/>
            <w:noWrap/>
            <w:vAlign w:val="center"/>
            <w:hideMark/>
          </w:tcPr>
          <w:p w14:paraId="7EBA8F3A" w14:textId="77777777" w:rsidR="00B11545" w:rsidRPr="00D618B7" w:rsidRDefault="00B11545" w:rsidP="004B11B7">
            <w:pPr>
              <w:jc w:val="right"/>
              <w:rPr>
                <w:color w:val="000000"/>
              </w:rPr>
            </w:pPr>
            <w:r w:rsidRPr="00D618B7">
              <w:rPr>
                <w:color w:val="000000"/>
              </w:rPr>
              <w:t>Mean</w:t>
            </w:r>
          </w:p>
        </w:tc>
        <w:tc>
          <w:tcPr>
            <w:tcW w:w="647" w:type="pct"/>
            <w:tcBorders>
              <w:top w:val="single" w:sz="18" w:space="0" w:color="auto"/>
              <w:left w:val="nil"/>
              <w:bottom w:val="single" w:sz="18" w:space="0" w:color="auto"/>
              <w:right w:val="nil"/>
            </w:tcBorders>
            <w:shd w:val="clear" w:color="000000" w:fill="FFFFFF"/>
            <w:noWrap/>
            <w:vAlign w:val="center"/>
            <w:hideMark/>
          </w:tcPr>
          <w:p w14:paraId="56159955" w14:textId="77777777" w:rsidR="00B11545" w:rsidRPr="00D618B7" w:rsidRDefault="00B11545" w:rsidP="004B11B7">
            <w:pPr>
              <w:jc w:val="right"/>
              <w:rPr>
                <w:color w:val="000000"/>
              </w:rPr>
            </w:pPr>
            <w:r w:rsidRPr="00D618B7">
              <w:rPr>
                <w:color w:val="000000"/>
              </w:rPr>
              <w:t>Std. Error</w:t>
            </w:r>
          </w:p>
        </w:tc>
        <w:tc>
          <w:tcPr>
            <w:tcW w:w="893" w:type="pct"/>
            <w:tcBorders>
              <w:top w:val="single" w:sz="18" w:space="0" w:color="auto"/>
              <w:left w:val="nil"/>
              <w:bottom w:val="single" w:sz="18" w:space="0" w:color="auto"/>
              <w:right w:val="nil"/>
            </w:tcBorders>
            <w:shd w:val="clear" w:color="000000" w:fill="FFFFFF"/>
            <w:noWrap/>
            <w:vAlign w:val="center"/>
            <w:hideMark/>
          </w:tcPr>
          <w:p w14:paraId="15A83610" w14:textId="77777777" w:rsidR="00B11545" w:rsidRPr="00D618B7" w:rsidRDefault="00B11545" w:rsidP="004B11B7">
            <w:pPr>
              <w:jc w:val="right"/>
              <w:rPr>
                <w:color w:val="000000"/>
              </w:rPr>
            </w:pPr>
            <w:r w:rsidRPr="00D618B7">
              <w:rPr>
                <w:color w:val="000000"/>
              </w:rPr>
              <w:t>Mean</w:t>
            </w:r>
          </w:p>
        </w:tc>
        <w:tc>
          <w:tcPr>
            <w:tcW w:w="617" w:type="pct"/>
            <w:tcBorders>
              <w:top w:val="single" w:sz="18" w:space="0" w:color="auto"/>
              <w:left w:val="nil"/>
              <w:bottom w:val="single" w:sz="18" w:space="0" w:color="auto"/>
              <w:right w:val="nil"/>
            </w:tcBorders>
            <w:shd w:val="clear" w:color="000000" w:fill="FFFFFF"/>
            <w:noWrap/>
            <w:vAlign w:val="center"/>
            <w:hideMark/>
          </w:tcPr>
          <w:p w14:paraId="712EB1AA" w14:textId="77777777" w:rsidR="00B11545" w:rsidRPr="00D618B7" w:rsidRDefault="00B11545" w:rsidP="004B11B7">
            <w:pPr>
              <w:jc w:val="right"/>
              <w:rPr>
                <w:color w:val="000000"/>
              </w:rPr>
            </w:pPr>
            <w:r w:rsidRPr="00D618B7">
              <w:rPr>
                <w:color w:val="000000"/>
              </w:rPr>
              <w:t>Std. Error</w:t>
            </w:r>
          </w:p>
        </w:tc>
        <w:tc>
          <w:tcPr>
            <w:tcW w:w="838" w:type="pct"/>
            <w:tcBorders>
              <w:top w:val="single" w:sz="18" w:space="0" w:color="auto"/>
              <w:left w:val="nil"/>
              <w:bottom w:val="single" w:sz="18" w:space="0" w:color="auto"/>
              <w:right w:val="nil"/>
            </w:tcBorders>
            <w:shd w:val="clear" w:color="000000" w:fill="FFFFFF"/>
            <w:noWrap/>
            <w:vAlign w:val="center"/>
            <w:hideMark/>
          </w:tcPr>
          <w:p w14:paraId="2762CD42" w14:textId="77777777" w:rsidR="00B11545" w:rsidRPr="00D618B7" w:rsidRDefault="00B11545" w:rsidP="004B11B7">
            <w:pPr>
              <w:jc w:val="right"/>
              <w:rPr>
                <w:color w:val="000000"/>
              </w:rPr>
            </w:pPr>
            <w:r w:rsidRPr="00D618B7">
              <w:rPr>
                <w:color w:val="000000"/>
              </w:rPr>
              <w:t>Mean</w:t>
            </w:r>
          </w:p>
        </w:tc>
        <w:tc>
          <w:tcPr>
            <w:tcW w:w="620" w:type="pct"/>
            <w:tcBorders>
              <w:top w:val="single" w:sz="18" w:space="0" w:color="auto"/>
              <w:left w:val="nil"/>
              <w:bottom w:val="single" w:sz="18" w:space="0" w:color="auto"/>
              <w:right w:val="nil"/>
            </w:tcBorders>
            <w:shd w:val="clear" w:color="000000" w:fill="FFFFFF"/>
            <w:noWrap/>
            <w:vAlign w:val="center"/>
            <w:hideMark/>
          </w:tcPr>
          <w:p w14:paraId="14691241" w14:textId="77777777" w:rsidR="00B11545" w:rsidRPr="00D618B7" w:rsidRDefault="00B11545" w:rsidP="004B11B7">
            <w:pPr>
              <w:jc w:val="right"/>
              <w:rPr>
                <w:color w:val="000000"/>
              </w:rPr>
            </w:pPr>
            <w:r w:rsidRPr="00D618B7">
              <w:rPr>
                <w:color w:val="000000"/>
              </w:rPr>
              <w:t>Std. Error</w:t>
            </w:r>
          </w:p>
        </w:tc>
      </w:tr>
      <w:tr w:rsidR="00B11545" w:rsidRPr="00D618B7" w14:paraId="43C768BA" w14:textId="77777777" w:rsidTr="000118CE">
        <w:trPr>
          <w:trHeight w:val="383"/>
        </w:trPr>
        <w:tc>
          <w:tcPr>
            <w:tcW w:w="608" w:type="pct"/>
            <w:tcBorders>
              <w:top w:val="single" w:sz="18" w:space="0" w:color="auto"/>
              <w:left w:val="nil"/>
              <w:bottom w:val="nil"/>
              <w:right w:val="nil"/>
            </w:tcBorders>
            <w:shd w:val="clear" w:color="000000" w:fill="FFFFFF"/>
            <w:vAlign w:val="center"/>
            <w:hideMark/>
          </w:tcPr>
          <w:p w14:paraId="4E9E0954" w14:textId="77777777" w:rsidR="00B11545" w:rsidRPr="00D618B7" w:rsidRDefault="00B11545" w:rsidP="004B11B7">
            <w:pPr>
              <w:jc w:val="right"/>
              <w:rPr>
                <w:color w:val="000000"/>
              </w:rPr>
            </w:pPr>
            <w:r w:rsidRPr="00D618B7">
              <w:rPr>
                <w:color w:val="000000"/>
              </w:rPr>
              <w:t>-5</w:t>
            </w:r>
          </w:p>
        </w:tc>
        <w:tc>
          <w:tcPr>
            <w:tcW w:w="776" w:type="pct"/>
            <w:tcBorders>
              <w:top w:val="single" w:sz="18" w:space="0" w:color="auto"/>
              <w:left w:val="nil"/>
              <w:bottom w:val="nil"/>
              <w:right w:val="nil"/>
            </w:tcBorders>
            <w:shd w:val="clear" w:color="000000" w:fill="FFFFFF"/>
            <w:noWrap/>
            <w:vAlign w:val="bottom"/>
            <w:hideMark/>
          </w:tcPr>
          <w:p w14:paraId="1FD8B2BC" w14:textId="77777777" w:rsidR="00B11545" w:rsidRPr="00D618B7" w:rsidRDefault="00B11545" w:rsidP="004B11B7">
            <w:pPr>
              <w:jc w:val="right"/>
              <w:rPr>
                <w:color w:val="000000"/>
              </w:rPr>
            </w:pPr>
            <w:r w:rsidRPr="00D618B7">
              <w:rPr>
                <w:color w:val="000000"/>
              </w:rPr>
              <w:t>4002.28</w:t>
            </w:r>
          </w:p>
        </w:tc>
        <w:tc>
          <w:tcPr>
            <w:tcW w:w="647" w:type="pct"/>
            <w:tcBorders>
              <w:top w:val="single" w:sz="18" w:space="0" w:color="auto"/>
              <w:left w:val="nil"/>
              <w:bottom w:val="nil"/>
              <w:right w:val="nil"/>
            </w:tcBorders>
            <w:shd w:val="clear" w:color="000000" w:fill="FFFFFF"/>
            <w:noWrap/>
            <w:vAlign w:val="bottom"/>
            <w:hideMark/>
          </w:tcPr>
          <w:p w14:paraId="574D9A41" w14:textId="77777777" w:rsidR="00B11545" w:rsidRPr="00D618B7" w:rsidRDefault="00B11545" w:rsidP="004B11B7">
            <w:pPr>
              <w:jc w:val="right"/>
              <w:rPr>
                <w:color w:val="000000"/>
              </w:rPr>
            </w:pPr>
            <w:r w:rsidRPr="00D618B7">
              <w:rPr>
                <w:color w:val="000000"/>
              </w:rPr>
              <w:t>4169.56</w:t>
            </w:r>
          </w:p>
        </w:tc>
        <w:tc>
          <w:tcPr>
            <w:tcW w:w="893" w:type="pct"/>
            <w:tcBorders>
              <w:top w:val="single" w:sz="18" w:space="0" w:color="auto"/>
              <w:left w:val="nil"/>
              <w:bottom w:val="nil"/>
              <w:right w:val="nil"/>
            </w:tcBorders>
            <w:shd w:val="clear" w:color="000000" w:fill="FFFFFF"/>
            <w:noWrap/>
            <w:vAlign w:val="bottom"/>
            <w:hideMark/>
          </w:tcPr>
          <w:p w14:paraId="5723A626" w14:textId="77777777" w:rsidR="00B11545" w:rsidRPr="00D618B7" w:rsidRDefault="00B11545" w:rsidP="004B11B7">
            <w:pPr>
              <w:jc w:val="right"/>
              <w:rPr>
                <w:color w:val="000000"/>
              </w:rPr>
            </w:pPr>
            <w:r w:rsidRPr="00D618B7">
              <w:rPr>
                <w:color w:val="000000"/>
              </w:rPr>
              <w:t>305.33</w:t>
            </w:r>
          </w:p>
        </w:tc>
        <w:tc>
          <w:tcPr>
            <w:tcW w:w="617" w:type="pct"/>
            <w:tcBorders>
              <w:top w:val="single" w:sz="18" w:space="0" w:color="auto"/>
              <w:left w:val="nil"/>
              <w:bottom w:val="nil"/>
              <w:right w:val="nil"/>
            </w:tcBorders>
            <w:shd w:val="clear" w:color="000000" w:fill="FFFFFF"/>
            <w:noWrap/>
            <w:vAlign w:val="bottom"/>
            <w:hideMark/>
          </w:tcPr>
          <w:p w14:paraId="0DA9E749" w14:textId="77777777" w:rsidR="00B11545" w:rsidRPr="00D618B7" w:rsidRDefault="00B11545" w:rsidP="004B11B7">
            <w:pPr>
              <w:jc w:val="right"/>
              <w:rPr>
                <w:color w:val="000000"/>
              </w:rPr>
            </w:pPr>
            <w:r w:rsidRPr="00D618B7">
              <w:rPr>
                <w:color w:val="000000"/>
              </w:rPr>
              <w:t>3947.81</w:t>
            </w:r>
          </w:p>
        </w:tc>
        <w:tc>
          <w:tcPr>
            <w:tcW w:w="838" w:type="pct"/>
            <w:tcBorders>
              <w:top w:val="single" w:sz="18" w:space="0" w:color="auto"/>
              <w:left w:val="nil"/>
              <w:bottom w:val="nil"/>
              <w:right w:val="nil"/>
            </w:tcBorders>
            <w:shd w:val="clear" w:color="000000" w:fill="FFFFFF"/>
            <w:noWrap/>
            <w:vAlign w:val="bottom"/>
            <w:hideMark/>
          </w:tcPr>
          <w:p w14:paraId="4A1A8913" w14:textId="77777777" w:rsidR="00B11545" w:rsidRPr="00D618B7" w:rsidRDefault="00B11545" w:rsidP="004B11B7">
            <w:pPr>
              <w:jc w:val="right"/>
              <w:rPr>
                <w:color w:val="000000"/>
              </w:rPr>
            </w:pPr>
            <w:r w:rsidRPr="00D618B7">
              <w:rPr>
                <w:color w:val="000000"/>
              </w:rPr>
              <w:t>8477.99</w:t>
            </w:r>
          </w:p>
        </w:tc>
        <w:tc>
          <w:tcPr>
            <w:tcW w:w="620" w:type="pct"/>
            <w:tcBorders>
              <w:top w:val="single" w:sz="18" w:space="0" w:color="auto"/>
              <w:left w:val="nil"/>
              <w:bottom w:val="nil"/>
              <w:right w:val="nil"/>
            </w:tcBorders>
            <w:shd w:val="clear" w:color="000000" w:fill="FFFFFF"/>
            <w:noWrap/>
            <w:vAlign w:val="bottom"/>
            <w:hideMark/>
          </w:tcPr>
          <w:p w14:paraId="77098886" w14:textId="77777777" w:rsidR="00B11545" w:rsidRPr="00D618B7" w:rsidRDefault="00B11545" w:rsidP="004B11B7">
            <w:pPr>
              <w:jc w:val="right"/>
              <w:rPr>
                <w:color w:val="000000"/>
              </w:rPr>
            </w:pPr>
            <w:r w:rsidRPr="00D618B7">
              <w:rPr>
                <w:color w:val="000000"/>
              </w:rPr>
              <w:t>4031.05</w:t>
            </w:r>
          </w:p>
        </w:tc>
      </w:tr>
      <w:tr w:rsidR="00B11545" w:rsidRPr="00D618B7" w14:paraId="24F2E0CA" w14:textId="77777777" w:rsidTr="000118CE">
        <w:trPr>
          <w:trHeight w:val="383"/>
        </w:trPr>
        <w:tc>
          <w:tcPr>
            <w:tcW w:w="608" w:type="pct"/>
            <w:tcBorders>
              <w:top w:val="nil"/>
              <w:left w:val="nil"/>
              <w:bottom w:val="nil"/>
              <w:right w:val="nil"/>
            </w:tcBorders>
            <w:shd w:val="clear" w:color="000000" w:fill="FFFFFF"/>
            <w:vAlign w:val="center"/>
            <w:hideMark/>
          </w:tcPr>
          <w:p w14:paraId="54097EB6" w14:textId="77777777" w:rsidR="00B11545" w:rsidRPr="00D618B7" w:rsidRDefault="00B11545" w:rsidP="004B11B7">
            <w:pPr>
              <w:jc w:val="right"/>
              <w:rPr>
                <w:color w:val="000000"/>
              </w:rPr>
            </w:pPr>
            <w:r w:rsidRPr="00D618B7">
              <w:rPr>
                <w:color w:val="000000"/>
              </w:rPr>
              <w:t>-4</w:t>
            </w:r>
          </w:p>
        </w:tc>
        <w:tc>
          <w:tcPr>
            <w:tcW w:w="776" w:type="pct"/>
            <w:tcBorders>
              <w:top w:val="nil"/>
              <w:left w:val="nil"/>
              <w:bottom w:val="nil"/>
              <w:right w:val="nil"/>
            </w:tcBorders>
            <w:shd w:val="clear" w:color="000000" w:fill="FFFFFF"/>
            <w:noWrap/>
            <w:vAlign w:val="bottom"/>
            <w:hideMark/>
          </w:tcPr>
          <w:p w14:paraId="0B4EEF7A" w14:textId="77777777" w:rsidR="00B11545" w:rsidRPr="00D618B7" w:rsidRDefault="00B11545" w:rsidP="004B11B7">
            <w:pPr>
              <w:jc w:val="right"/>
              <w:rPr>
                <w:color w:val="000000"/>
              </w:rPr>
            </w:pPr>
            <w:r w:rsidRPr="00D618B7">
              <w:rPr>
                <w:color w:val="000000"/>
              </w:rPr>
              <w:t>-1086.78</w:t>
            </w:r>
          </w:p>
        </w:tc>
        <w:tc>
          <w:tcPr>
            <w:tcW w:w="647" w:type="pct"/>
            <w:tcBorders>
              <w:top w:val="nil"/>
              <w:left w:val="nil"/>
              <w:bottom w:val="nil"/>
              <w:right w:val="nil"/>
            </w:tcBorders>
            <w:shd w:val="clear" w:color="000000" w:fill="FFFFFF"/>
            <w:noWrap/>
            <w:vAlign w:val="bottom"/>
            <w:hideMark/>
          </w:tcPr>
          <w:p w14:paraId="6E45C940" w14:textId="77777777" w:rsidR="00B11545" w:rsidRPr="00D618B7" w:rsidRDefault="00B11545" w:rsidP="004B11B7">
            <w:pPr>
              <w:jc w:val="right"/>
              <w:rPr>
                <w:color w:val="000000"/>
              </w:rPr>
            </w:pPr>
            <w:r w:rsidRPr="00D618B7">
              <w:rPr>
                <w:color w:val="000000"/>
              </w:rPr>
              <w:t>4246.93</w:t>
            </w:r>
          </w:p>
        </w:tc>
        <w:tc>
          <w:tcPr>
            <w:tcW w:w="893" w:type="pct"/>
            <w:tcBorders>
              <w:top w:val="nil"/>
              <w:left w:val="nil"/>
              <w:bottom w:val="nil"/>
              <w:right w:val="nil"/>
            </w:tcBorders>
            <w:shd w:val="clear" w:color="000000" w:fill="FFFFFF"/>
            <w:noWrap/>
            <w:vAlign w:val="bottom"/>
            <w:hideMark/>
          </w:tcPr>
          <w:p w14:paraId="0646835B" w14:textId="77777777" w:rsidR="00B11545" w:rsidRPr="00D618B7" w:rsidRDefault="00B11545" w:rsidP="004B11B7">
            <w:pPr>
              <w:jc w:val="right"/>
              <w:rPr>
                <w:color w:val="000000"/>
              </w:rPr>
            </w:pPr>
            <w:r w:rsidRPr="00D618B7">
              <w:rPr>
                <w:color w:val="000000"/>
              </w:rPr>
              <w:t>-630.67</w:t>
            </w:r>
          </w:p>
        </w:tc>
        <w:tc>
          <w:tcPr>
            <w:tcW w:w="617" w:type="pct"/>
            <w:tcBorders>
              <w:top w:val="nil"/>
              <w:left w:val="nil"/>
              <w:bottom w:val="nil"/>
              <w:right w:val="nil"/>
            </w:tcBorders>
            <w:shd w:val="clear" w:color="000000" w:fill="FFFFFF"/>
            <w:noWrap/>
            <w:vAlign w:val="bottom"/>
            <w:hideMark/>
          </w:tcPr>
          <w:p w14:paraId="5A29EB23" w14:textId="77777777" w:rsidR="00B11545" w:rsidRPr="00D618B7" w:rsidRDefault="00B11545" w:rsidP="004B11B7">
            <w:pPr>
              <w:jc w:val="right"/>
              <w:rPr>
                <w:color w:val="000000"/>
              </w:rPr>
            </w:pPr>
            <w:r w:rsidRPr="00D618B7">
              <w:rPr>
                <w:color w:val="000000"/>
              </w:rPr>
              <w:t>4040.08</w:t>
            </w:r>
          </w:p>
        </w:tc>
        <w:tc>
          <w:tcPr>
            <w:tcW w:w="838" w:type="pct"/>
            <w:tcBorders>
              <w:top w:val="nil"/>
              <w:left w:val="nil"/>
              <w:bottom w:val="nil"/>
              <w:right w:val="nil"/>
            </w:tcBorders>
            <w:shd w:val="clear" w:color="000000" w:fill="FFFFFF"/>
            <w:noWrap/>
            <w:vAlign w:val="bottom"/>
            <w:hideMark/>
          </w:tcPr>
          <w:p w14:paraId="152E7695" w14:textId="77777777" w:rsidR="00B11545" w:rsidRPr="00D618B7" w:rsidRDefault="00B11545" w:rsidP="004B11B7">
            <w:pPr>
              <w:jc w:val="right"/>
              <w:rPr>
                <w:color w:val="000000"/>
              </w:rPr>
            </w:pPr>
            <w:r w:rsidRPr="00D618B7">
              <w:rPr>
                <w:color w:val="000000"/>
              </w:rPr>
              <w:t>-5602.65</w:t>
            </w:r>
          </w:p>
        </w:tc>
        <w:tc>
          <w:tcPr>
            <w:tcW w:w="620" w:type="pct"/>
            <w:tcBorders>
              <w:top w:val="nil"/>
              <w:left w:val="nil"/>
              <w:bottom w:val="nil"/>
              <w:right w:val="nil"/>
            </w:tcBorders>
            <w:shd w:val="clear" w:color="000000" w:fill="FFFFFF"/>
            <w:noWrap/>
            <w:vAlign w:val="bottom"/>
            <w:hideMark/>
          </w:tcPr>
          <w:p w14:paraId="3287F5F1" w14:textId="77777777" w:rsidR="00B11545" w:rsidRPr="00D618B7" w:rsidRDefault="00B11545" w:rsidP="004B11B7">
            <w:pPr>
              <w:jc w:val="right"/>
              <w:rPr>
                <w:color w:val="000000"/>
              </w:rPr>
            </w:pPr>
            <w:r w:rsidRPr="00D618B7">
              <w:rPr>
                <w:color w:val="000000"/>
              </w:rPr>
              <w:t>4131.77</w:t>
            </w:r>
          </w:p>
        </w:tc>
      </w:tr>
      <w:tr w:rsidR="00B11545" w:rsidRPr="00D618B7" w14:paraId="2C55114C" w14:textId="77777777" w:rsidTr="000118CE">
        <w:trPr>
          <w:trHeight w:val="383"/>
        </w:trPr>
        <w:tc>
          <w:tcPr>
            <w:tcW w:w="608" w:type="pct"/>
            <w:tcBorders>
              <w:top w:val="nil"/>
              <w:left w:val="nil"/>
              <w:bottom w:val="nil"/>
              <w:right w:val="nil"/>
            </w:tcBorders>
            <w:shd w:val="clear" w:color="000000" w:fill="FFFFFF"/>
            <w:vAlign w:val="center"/>
            <w:hideMark/>
          </w:tcPr>
          <w:p w14:paraId="14A66EBE" w14:textId="77777777" w:rsidR="00B11545" w:rsidRPr="00D618B7" w:rsidRDefault="00B11545" w:rsidP="004B11B7">
            <w:pPr>
              <w:jc w:val="right"/>
              <w:rPr>
                <w:color w:val="000000"/>
              </w:rPr>
            </w:pPr>
            <w:r w:rsidRPr="00D618B7">
              <w:rPr>
                <w:color w:val="000000"/>
              </w:rPr>
              <w:t>-3</w:t>
            </w:r>
          </w:p>
        </w:tc>
        <w:tc>
          <w:tcPr>
            <w:tcW w:w="776" w:type="pct"/>
            <w:tcBorders>
              <w:top w:val="nil"/>
              <w:left w:val="nil"/>
              <w:bottom w:val="nil"/>
              <w:right w:val="nil"/>
            </w:tcBorders>
            <w:shd w:val="clear" w:color="000000" w:fill="FFFFFF"/>
            <w:noWrap/>
            <w:vAlign w:val="bottom"/>
            <w:hideMark/>
          </w:tcPr>
          <w:p w14:paraId="4FF31BD4" w14:textId="77777777" w:rsidR="00B11545" w:rsidRPr="00D618B7" w:rsidRDefault="00B11545" w:rsidP="004B11B7">
            <w:pPr>
              <w:jc w:val="right"/>
              <w:rPr>
                <w:color w:val="000000"/>
              </w:rPr>
            </w:pPr>
            <w:r w:rsidRPr="00D618B7">
              <w:rPr>
                <w:color w:val="000000"/>
              </w:rPr>
              <w:t>1732.68</w:t>
            </w:r>
          </w:p>
        </w:tc>
        <w:tc>
          <w:tcPr>
            <w:tcW w:w="647" w:type="pct"/>
            <w:tcBorders>
              <w:top w:val="nil"/>
              <w:left w:val="nil"/>
              <w:bottom w:val="nil"/>
              <w:right w:val="nil"/>
            </w:tcBorders>
            <w:shd w:val="clear" w:color="000000" w:fill="FFFFFF"/>
            <w:noWrap/>
            <w:vAlign w:val="bottom"/>
            <w:hideMark/>
          </w:tcPr>
          <w:p w14:paraId="3C7F85AF" w14:textId="77777777" w:rsidR="00B11545" w:rsidRPr="00D618B7" w:rsidRDefault="00B11545" w:rsidP="004B11B7">
            <w:pPr>
              <w:jc w:val="right"/>
              <w:rPr>
                <w:color w:val="000000"/>
              </w:rPr>
            </w:pPr>
            <w:r w:rsidRPr="00D618B7">
              <w:rPr>
                <w:color w:val="000000"/>
              </w:rPr>
              <w:t>4287.34</w:t>
            </w:r>
          </w:p>
        </w:tc>
        <w:tc>
          <w:tcPr>
            <w:tcW w:w="893" w:type="pct"/>
            <w:tcBorders>
              <w:top w:val="nil"/>
              <w:left w:val="nil"/>
              <w:bottom w:val="nil"/>
              <w:right w:val="nil"/>
            </w:tcBorders>
            <w:shd w:val="clear" w:color="000000" w:fill="FFFFFF"/>
            <w:noWrap/>
            <w:vAlign w:val="bottom"/>
            <w:hideMark/>
          </w:tcPr>
          <w:p w14:paraId="0338531C" w14:textId="77777777" w:rsidR="00B11545" w:rsidRPr="00D618B7" w:rsidRDefault="00B11545" w:rsidP="004B11B7">
            <w:pPr>
              <w:jc w:val="right"/>
              <w:rPr>
                <w:color w:val="000000"/>
              </w:rPr>
            </w:pPr>
            <w:r w:rsidRPr="00D618B7">
              <w:rPr>
                <w:color w:val="000000"/>
              </w:rPr>
              <w:t>120.10</w:t>
            </w:r>
          </w:p>
        </w:tc>
        <w:tc>
          <w:tcPr>
            <w:tcW w:w="617" w:type="pct"/>
            <w:tcBorders>
              <w:top w:val="nil"/>
              <w:left w:val="nil"/>
              <w:bottom w:val="nil"/>
              <w:right w:val="nil"/>
            </w:tcBorders>
            <w:shd w:val="clear" w:color="000000" w:fill="FFFFFF"/>
            <w:noWrap/>
            <w:vAlign w:val="bottom"/>
            <w:hideMark/>
          </w:tcPr>
          <w:p w14:paraId="22D9060E" w14:textId="77777777" w:rsidR="00B11545" w:rsidRPr="00D618B7" w:rsidRDefault="00B11545" w:rsidP="004B11B7">
            <w:pPr>
              <w:jc w:val="right"/>
              <w:rPr>
                <w:color w:val="000000"/>
              </w:rPr>
            </w:pPr>
            <w:r w:rsidRPr="00D618B7">
              <w:rPr>
                <w:color w:val="000000"/>
              </w:rPr>
              <w:t>4088.22</w:t>
            </w:r>
          </w:p>
        </w:tc>
        <w:tc>
          <w:tcPr>
            <w:tcW w:w="838" w:type="pct"/>
            <w:tcBorders>
              <w:top w:val="nil"/>
              <w:left w:val="nil"/>
              <w:bottom w:val="nil"/>
              <w:right w:val="nil"/>
            </w:tcBorders>
            <w:shd w:val="clear" w:color="000000" w:fill="FFFFFF"/>
            <w:noWrap/>
            <w:vAlign w:val="bottom"/>
            <w:hideMark/>
          </w:tcPr>
          <w:p w14:paraId="7ACA195B" w14:textId="77777777" w:rsidR="00B11545" w:rsidRPr="00D618B7" w:rsidRDefault="00B11545" w:rsidP="004B11B7">
            <w:pPr>
              <w:jc w:val="right"/>
              <w:rPr>
                <w:color w:val="000000"/>
              </w:rPr>
            </w:pPr>
            <w:r w:rsidRPr="00D618B7">
              <w:rPr>
                <w:color w:val="000000"/>
              </w:rPr>
              <w:t>25398.10</w:t>
            </w:r>
          </w:p>
        </w:tc>
        <w:tc>
          <w:tcPr>
            <w:tcW w:w="620" w:type="pct"/>
            <w:tcBorders>
              <w:top w:val="nil"/>
              <w:left w:val="nil"/>
              <w:bottom w:val="nil"/>
              <w:right w:val="nil"/>
            </w:tcBorders>
            <w:shd w:val="clear" w:color="000000" w:fill="FFFFFF"/>
            <w:noWrap/>
            <w:vAlign w:val="bottom"/>
            <w:hideMark/>
          </w:tcPr>
          <w:p w14:paraId="363BB9D6" w14:textId="77777777" w:rsidR="00B11545" w:rsidRPr="00D618B7" w:rsidRDefault="00B11545" w:rsidP="004B11B7">
            <w:pPr>
              <w:jc w:val="right"/>
              <w:rPr>
                <w:color w:val="000000"/>
              </w:rPr>
            </w:pPr>
            <w:r w:rsidRPr="00D618B7">
              <w:rPr>
                <w:color w:val="000000"/>
              </w:rPr>
              <w:t>4155.64</w:t>
            </w:r>
          </w:p>
        </w:tc>
      </w:tr>
      <w:tr w:rsidR="00B11545" w:rsidRPr="00D618B7" w14:paraId="1B242B94" w14:textId="77777777" w:rsidTr="000118CE">
        <w:trPr>
          <w:trHeight w:val="383"/>
        </w:trPr>
        <w:tc>
          <w:tcPr>
            <w:tcW w:w="608" w:type="pct"/>
            <w:tcBorders>
              <w:top w:val="nil"/>
              <w:left w:val="nil"/>
              <w:bottom w:val="nil"/>
              <w:right w:val="nil"/>
            </w:tcBorders>
            <w:shd w:val="clear" w:color="000000" w:fill="FFFFFF"/>
            <w:vAlign w:val="center"/>
            <w:hideMark/>
          </w:tcPr>
          <w:p w14:paraId="5685602F" w14:textId="77777777" w:rsidR="00B11545" w:rsidRPr="00D618B7" w:rsidRDefault="00B11545" w:rsidP="004B11B7">
            <w:pPr>
              <w:jc w:val="right"/>
              <w:rPr>
                <w:color w:val="000000"/>
              </w:rPr>
            </w:pPr>
            <w:r w:rsidRPr="00D618B7">
              <w:rPr>
                <w:color w:val="000000"/>
              </w:rPr>
              <w:t>-2</w:t>
            </w:r>
          </w:p>
        </w:tc>
        <w:tc>
          <w:tcPr>
            <w:tcW w:w="776" w:type="pct"/>
            <w:tcBorders>
              <w:top w:val="nil"/>
              <w:left w:val="nil"/>
              <w:bottom w:val="nil"/>
              <w:right w:val="nil"/>
            </w:tcBorders>
            <w:shd w:val="clear" w:color="000000" w:fill="FFFFFF"/>
            <w:noWrap/>
            <w:vAlign w:val="bottom"/>
            <w:hideMark/>
          </w:tcPr>
          <w:p w14:paraId="55C7C12A" w14:textId="77777777" w:rsidR="00B11545" w:rsidRPr="00D618B7" w:rsidRDefault="00B11545" w:rsidP="004B11B7">
            <w:pPr>
              <w:jc w:val="right"/>
              <w:rPr>
                <w:color w:val="000000"/>
              </w:rPr>
            </w:pPr>
            <w:r w:rsidRPr="00D618B7">
              <w:rPr>
                <w:color w:val="000000"/>
              </w:rPr>
              <w:t>228.06</w:t>
            </w:r>
          </w:p>
        </w:tc>
        <w:tc>
          <w:tcPr>
            <w:tcW w:w="647" w:type="pct"/>
            <w:tcBorders>
              <w:top w:val="nil"/>
              <w:left w:val="nil"/>
              <w:bottom w:val="nil"/>
              <w:right w:val="nil"/>
            </w:tcBorders>
            <w:shd w:val="clear" w:color="000000" w:fill="FFFFFF"/>
            <w:noWrap/>
            <w:vAlign w:val="bottom"/>
            <w:hideMark/>
          </w:tcPr>
          <w:p w14:paraId="6B4A5D25" w14:textId="77777777" w:rsidR="00B11545" w:rsidRPr="00D618B7" w:rsidRDefault="00B11545" w:rsidP="004B11B7">
            <w:pPr>
              <w:jc w:val="right"/>
              <w:rPr>
                <w:color w:val="000000"/>
              </w:rPr>
            </w:pPr>
            <w:r w:rsidRPr="00D618B7">
              <w:rPr>
                <w:color w:val="000000"/>
              </w:rPr>
              <w:t>3663.88</w:t>
            </w:r>
          </w:p>
        </w:tc>
        <w:tc>
          <w:tcPr>
            <w:tcW w:w="893" w:type="pct"/>
            <w:tcBorders>
              <w:top w:val="nil"/>
              <w:left w:val="nil"/>
              <w:bottom w:val="nil"/>
              <w:right w:val="nil"/>
            </w:tcBorders>
            <w:shd w:val="clear" w:color="000000" w:fill="FFFFFF"/>
            <w:noWrap/>
            <w:vAlign w:val="bottom"/>
            <w:hideMark/>
          </w:tcPr>
          <w:p w14:paraId="1EE43C12" w14:textId="77777777" w:rsidR="00B11545" w:rsidRPr="00D618B7" w:rsidRDefault="00B11545" w:rsidP="004B11B7">
            <w:pPr>
              <w:jc w:val="right"/>
              <w:rPr>
                <w:color w:val="000000"/>
              </w:rPr>
            </w:pPr>
            <w:r w:rsidRPr="00D618B7">
              <w:rPr>
                <w:color w:val="000000"/>
              </w:rPr>
              <w:t>-2136.71</w:t>
            </w:r>
          </w:p>
        </w:tc>
        <w:tc>
          <w:tcPr>
            <w:tcW w:w="617" w:type="pct"/>
            <w:tcBorders>
              <w:top w:val="nil"/>
              <w:left w:val="nil"/>
              <w:bottom w:val="nil"/>
              <w:right w:val="nil"/>
            </w:tcBorders>
            <w:shd w:val="clear" w:color="000000" w:fill="FFFFFF"/>
            <w:noWrap/>
            <w:vAlign w:val="bottom"/>
            <w:hideMark/>
          </w:tcPr>
          <w:p w14:paraId="34E13A1C" w14:textId="77777777" w:rsidR="00B11545" w:rsidRPr="00D618B7" w:rsidRDefault="00B11545" w:rsidP="004B11B7">
            <w:pPr>
              <w:jc w:val="right"/>
              <w:rPr>
                <w:color w:val="000000"/>
              </w:rPr>
            </w:pPr>
            <w:r w:rsidRPr="00D618B7">
              <w:rPr>
                <w:color w:val="000000"/>
              </w:rPr>
              <w:t>3452.01</w:t>
            </w:r>
          </w:p>
        </w:tc>
        <w:tc>
          <w:tcPr>
            <w:tcW w:w="838" w:type="pct"/>
            <w:tcBorders>
              <w:top w:val="nil"/>
              <w:left w:val="nil"/>
              <w:bottom w:val="nil"/>
              <w:right w:val="nil"/>
            </w:tcBorders>
            <w:shd w:val="clear" w:color="000000" w:fill="FFFFFF"/>
            <w:noWrap/>
            <w:vAlign w:val="bottom"/>
            <w:hideMark/>
          </w:tcPr>
          <w:p w14:paraId="3F7F0728" w14:textId="77777777" w:rsidR="00B11545" w:rsidRPr="00D618B7" w:rsidRDefault="00B11545" w:rsidP="004B11B7">
            <w:pPr>
              <w:jc w:val="right"/>
              <w:rPr>
                <w:color w:val="000000"/>
              </w:rPr>
            </w:pPr>
            <w:r w:rsidRPr="00D618B7">
              <w:rPr>
                <w:color w:val="000000"/>
              </w:rPr>
              <w:t>4671.69</w:t>
            </w:r>
          </w:p>
        </w:tc>
        <w:tc>
          <w:tcPr>
            <w:tcW w:w="620" w:type="pct"/>
            <w:tcBorders>
              <w:top w:val="nil"/>
              <w:left w:val="nil"/>
              <w:bottom w:val="nil"/>
              <w:right w:val="nil"/>
            </w:tcBorders>
            <w:shd w:val="clear" w:color="000000" w:fill="FFFFFF"/>
            <w:noWrap/>
            <w:vAlign w:val="bottom"/>
            <w:hideMark/>
          </w:tcPr>
          <w:p w14:paraId="07427236" w14:textId="77777777" w:rsidR="00B11545" w:rsidRPr="00D618B7" w:rsidRDefault="00B11545" w:rsidP="004B11B7">
            <w:pPr>
              <w:jc w:val="right"/>
              <w:rPr>
                <w:color w:val="000000"/>
              </w:rPr>
            </w:pPr>
            <w:r w:rsidRPr="00D618B7">
              <w:rPr>
                <w:color w:val="000000"/>
              </w:rPr>
              <w:t>3580.67</w:t>
            </w:r>
          </w:p>
        </w:tc>
      </w:tr>
      <w:tr w:rsidR="00B11545" w:rsidRPr="00D618B7" w14:paraId="4224D216" w14:textId="77777777" w:rsidTr="000118CE">
        <w:trPr>
          <w:trHeight w:val="383"/>
        </w:trPr>
        <w:tc>
          <w:tcPr>
            <w:tcW w:w="608" w:type="pct"/>
            <w:tcBorders>
              <w:top w:val="nil"/>
              <w:left w:val="nil"/>
              <w:bottom w:val="nil"/>
              <w:right w:val="nil"/>
            </w:tcBorders>
            <w:shd w:val="clear" w:color="000000" w:fill="FFFFFF"/>
            <w:vAlign w:val="center"/>
            <w:hideMark/>
          </w:tcPr>
          <w:p w14:paraId="55A89BD0" w14:textId="77777777" w:rsidR="00B11545" w:rsidRPr="00D618B7" w:rsidRDefault="00B11545" w:rsidP="004B11B7">
            <w:pPr>
              <w:jc w:val="right"/>
              <w:rPr>
                <w:color w:val="000000"/>
              </w:rPr>
            </w:pPr>
            <w:r w:rsidRPr="00D618B7">
              <w:rPr>
                <w:color w:val="000000"/>
              </w:rPr>
              <w:t>-1</w:t>
            </w:r>
          </w:p>
        </w:tc>
        <w:tc>
          <w:tcPr>
            <w:tcW w:w="776" w:type="pct"/>
            <w:tcBorders>
              <w:top w:val="nil"/>
              <w:left w:val="nil"/>
              <w:bottom w:val="nil"/>
              <w:right w:val="nil"/>
            </w:tcBorders>
            <w:shd w:val="clear" w:color="000000" w:fill="FFFFFF"/>
            <w:noWrap/>
            <w:vAlign w:val="bottom"/>
            <w:hideMark/>
          </w:tcPr>
          <w:p w14:paraId="406E6C9B" w14:textId="77777777" w:rsidR="00B11545" w:rsidRPr="00D618B7" w:rsidRDefault="00B11545" w:rsidP="004B11B7">
            <w:pPr>
              <w:jc w:val="right"/>
              <w:rPr>
                <w:color w:val="000000"/>
              </w:rPr>
            </w:pPr>
            <w:r w:rsidRPr="00D618B7">
              <w:rPr>
                <w:color w:val="000000"/>
              </w:rPr>
              <w:t>1359.55</w:t>
            </w:r>
          </w:p>
        </w:tc>
        <w:tc>
          <w:tcPr>
            <w:tcW w:w="647" w:type="pct"/>
            <w:tcBorders>
              <w:top w:val="nil"/>
              <w:left w:val="nil"/>
              <w:bottom w:val="nil"/>
              <w:right w:val="nil"/>
            </w:tcBorders>
            <w:shd w:val="clear" w:color="000000" w:fill="FFFFFF"/>
            <w:noWrap/>
            <w:vAlign w:val="bottom"/>
            <w:hideMark/>
          </w:tcPr>
          <w:p w14:paraId="67493B51" w14:textId="77777777" w:rsidR="00B11545" w:rsidRPr="00D618B7" w:rsidRDefault="00B11545" w:rsidP="004B11B7">
            <w:pPr>
              <w:jc w:val="right"/>
              <w:rPr>
                <w:color w:val="000000"/>
              </w:rPr>
            </w:pPr>
            <w:r w:rsidRPr="00D618B7">
              <w:rPr>
                <w:color w:val="000000"/>
              </w:rPr>
              <w:t>3771.52</w:t>
            </w:r>
          </w:p>
        </w:tc>
        <w:tc>
          <w:tcPr>
            <w:tcW w:w="893" w:type="pct"/>
            <w:tcBorders>
              <w:top w:val="nil"/>
              <w:left w:val="nil"/>
              <w:bottom w:val="nil"/>
              <w:right w:val="nil"/>
            </w:tcBorders>
            <w:shd w:val="clear" w:color="000000" w:fill="FFFFFF"/>
            <w:noWrap/>
            <w:vAlign w:val="bottom"/>
            <w:hideMark/>
          </w:tcPr>
          <w:p w14:paraId="7F75776D" w14:textId="77777777" w:rsidR="00B11545" w:rsidRPr="00D618B7" w:rsidRDefault="00B11545" w:rsidP="004B11B7">
            <w:pPr>
              <w:jc w:val="right"/>
              <w:rPr>
                <w:color w:val="000000"/>
              </w:rPr>
            </w:pPr>
            <w:r w:rsidRPr="00D618B7">
              <w:rPr>
                <w:color w:val="000000"/>
              </w:rPr>
              <w:t>3680.66</w:t>
            </w:r>
          </w:p>
        </w:tc>
        <w:tc>
          <w:tcPr>
            <w:tcW w:w="617" w:type="pct"/>
            <w:tcBorders>
              <w:top w:val="nil"/>
              <w:left w:val="nil"/>
              <w:bottom w:val="nil"/>
              <w:right w:val="nil"/>
            </w:tcBorders>
            <w:shd w:val="clear" w:color="000000" w:fill="FFFFFF"/>
            <w:noWrap/>
            <w:vAlign w:val="bottom"/>
            <w:hideMark/>
          </w:tcPr>
          <w:p w14:paraId="58738B1B" w14:textId="77777777" w:rsidR="00B11545" w:rsidRPr="00D618B7" w:rsidRDefault="00B11545" w:rsidP="004B11B7">
            <w:pPr>
              <w:jc w:val="right"/>
              <w:rPr>
                <w:color w:val="000000"/>
              </w:rPr>
            </w:pPr>
            <w:r w:rsidRPr="00D618B7">
              <w:rPr>
                <w:color w:val="000000"/>
              </w:rPr>
              <w:t>3663.45</w:t>
            </w:r>
          </w:p>
        </w:tc>
        <w:tc>
          <w:tcPr>
            <w:tcW w:w="838" w:type="pct"/>
            <w:tcBorders>
              <w:top w:val="nil"/>
              <w:left w:val="nil"/>
              <w:bottom w:val="nil"/>
              <w:right w:val="nil"/>
            </w:tcBorders>
            <w:shd w:val="clear" w:color="000000" w:fill="FFFFFF"/>
            <w:noWrap/>
            <w:vAlign w:val="bottom"/>
            <w:hideMark/>
          </w:tcPr>
          <w:p w14:paraId="63AC640C" w14:textId="77777777" w:rsidR="00B11545" w:rsidRPr="00D618B7" w:rsidRDefault="00B11545" w:rsidP="004B11B7">
            <w:pPr>
              <w:jc w:val="right"/>
              <w:rPr>
                <w:color w:val="000000"/>
              </w:rPr>
            </w:pPr>
            <w:r w:rsidRPr="00D618B7">
              <w:rPr>
                <w:color w:val="000000"/>
              </w:rPr>
              <w:t>36350.51</w:t>
            </w:r>
          </w:p>
        </w:tc>
        <w:tc>
          <w:tcPr>
            <w:tcW w:w="620" w:type="pct"/>
            <w:tcBorders>
              <w:top w:val="nil"/>
              <w:left w:val="nil"/>
              <w:bottom w:val="nil"/>
              <w:right w:val="nil"/>
            </w:tcBorders>
            <w:shd w:val="clear" w:color="000000" w:fill="FFFFFF"/>
            <w:noWrap/>
            <w:vAlign w:val="bottom"/>
            <w:hideMark/>
          </w:tcPr>
          <w:p w14:paraId="67870702" w14:textId="77777777" w:rsidR="00B11545" w:rsidRPr="00D618B7" w:rsidRDefault="00B11545" w:rsidP="004B11B7">
            <w:pPr>
              <w:jc w:val="right"/>
              <w:rPr>
                <w:color w:val="000000"/>
              </w:rPr>
            </w:pPr>
            <w:r w:rsidRPr="00D618B7">
              <w:rPr>
                <w:color w:val="000000"/>
              </w:rPr>
              <w:t>3775.37</w:t>
            </w:r>
          </w:p>
        </w:tc>
      </w:tr>
      <w:tr w:rsidR="00B11545" w:rsidRPr="00D618B7" w14:paraId="14D75CE0" w14:textId="77777777" w:rsidTr="000118CE">
        <w:trPr>
          <w:trHeight w:val="383"/>
        </w:trPr>
        <w:tc>
          <w:tcPr>
            <w:tcW w:w="608" w:type="pct"/>
            <w:tcBorders>
              <w:top w:val="nil"/>
              <w:left w:val="nil"/>
              <w:bottom w:val="nil"/>
              <w:right w:val="nil"/>
            </w:tcBorders>
            <w:shd w:val="clear" w:color="000000" w:fill="FFFFFF"/>
            <w:vAlign w:val="center"/>
            <w:hideMark/>
          </w:tcPr>
          <w:p w14:paraId="199C6139" w14:textId="77777777" w:rsidR="00B11545" w:rsidRPr="00D618B7" w:rsidRDefault="00B11545" w:rsidP="004B11B7">
            <w:pPr>
              <w:jc w:val="right"/>
              <w:rPr>
                <w:color w:val="000000"/>
              </w:rPr>
            </w:pPr>
            <w:r w:rsidRPr="00D618B7">
              <w:rPr>
                <w:color w:val="000000"/>
              </w:rPr>
              <w:t>0</w:t>
            </w:r>
          </w:p>
        </w:tc>
        <w:tc>
          <w:tcPr>
            <w:tcW w:w="776" w:type="pct"/>
            <w:tcBorders>
              <w:top w:val="nil"/>
              <w:left w:val="nil"/>
              <w:bottom w:val="nil"/>
              <w:right w:val="nil"/>
            </w:tcBorders>
            <w:shd w:val="clear" w:color="000000" w:fill="FFFFFF"/>
            <w:noWrap/>
            <w:vAlign w:val="bottom"/>
            <w:hideMark/>
          </w:tcPr>
          <w:p w14:paraId="1F4A8946" w14:textId="77777777" w:rsidR="00B11545" w:rsidRPr="00D618B7" w:rsidRDefault="00B11545" w:rsidP="004B11B7">
            <w:pPr>
              <w:jc w:val="right"/>
              <w:rPr>
                <w:color w:val="000000"/>
              </w:rPr>
            </w:pPr>
            <w:r w:rsidRPr="00D618B7">
              <w:rPr>
                <w:color w:val="000000"/>
              </w:rPr>
              <w:t>-186.81</w:t>
            </w:r>
          </w:p>
        </w:tc>
        <w:tc>
          <w:tcPr>
            <w:tcW w:w="647" w:type="pct"/>
            <w:tcBorders>
              <w:top w:val="nil"/>
              <w:left w:val="nil"/>
              <w:bottom w:val="nil"/>
              <w:right w:val="nil"/>
            </w:tcBorders>
            <w:shd w:val="clear" w:color="000000" w:fill="FFFFFF"/>
            <w:noWrap/>
            <w:vAlign w:val="bottom"/>
            <w:hideMark/>
          </w:tcPr>
          <w:p w14:paraId="0980F370" w14:textId="77777777" w:rsidR="00B11545" w:rsidRPr="00D618B7" w:rsidRDefault="00B11545" w:rsidP="004B11B7">
            <w:pPr>
              <w:jc w:val="right"/>
              <w:rPr>
                <w:color w:val="000000"/>
              </w:rPr>
            </w:pPr>
            <w:r w:rsidRPr="00D618B7">
              <w:rPr>
                <w:color w:val="000000"/>
              </w:rPr>
              <w:t>3408.19</w:t>
            </w:r>
          </w:p>
        </w:tc>
        <w:tc>
          <w:tcPr>
            <w:tcW w:w="893" w:type="pct"/>
            <w:tcBorders>
              <w:top w:val="nil"/>
              <w:left w:val="nil"/>
              <w:bottom w:val="nil"/>
              <w:right w:val="nil"/>
            </w:tcBorders>
            <w:shd w:val="clear" w:color="000000" w:fill="FFFFFF"/>
            <w:noWrap/>
            <w:vAlign w:val="bottom"/>
            <w:hideMark/>
          </w:tcPr>
          <w:p w14:paraId="3307BB39" w14:textId="77777777" w:rsidR="00B11545" w:rsidRPr="00D618B7" w:rsidRDefault="00B11545" w:rsidP="004B11B7">
            <w:pPr>
              <w:jc w:val="right"/>
              <w:rPr>
                <w:color w:val="000000"/>
              </w:rPr>
            </w:pPr>
            <w:r w:rsidRPr="00D618B7">
              <w:rPr>
                <w:color w:val="000000"/>
              </w:rPr>
              <w:t>-4867.62</w:t>
            </w:r>
          </w:p>
        </w:tc>
        <w:tc>
          <w:tcPr>
            <w:tcW w:w="617" w:type="pct"/>
            <w:tcBorders>
              <w:top w:val="nil"/>
              <w:left w:val="nil"/>
              <w:bottom w:val="nil"/>
              <w:right w:val="nil"/>
            </w:tcBorders>
            <w:shd w:val="clear" w:color="000000" w:fill="FFFFFF"/>
            <w:noWrap/>
            <w:vAlign w:val="bottom"/>
            <w:hideMark/>
          </w:tcPr>
          <w:p w14:paraId="4AA641A3" w14:textId="77777777" w:rsidR="00B11545" w:rsidRPr="00D618B7" w:rsidRDefault="00B11545" w:rsidP="004B11B7">
            <w:pPr>
              <w:jc w:val="right"/>
              <w:rPr>
                <w:color w:val="000000"/>
              </w:rPr>
            </w:pPr>
            <w:r w:rsidRPr="00D618B7">
              <w:rPr>
                <w:color w:val="000000"/>
              </w:rPr>
              <w:t>3327.19</w:t>
            </w:r>
          </w:p>
        </w:tc>
        <w:tc>
          <w:tcPr>
            <w:tcW w:w="838" w:type="pct"/>
            <w:tcBorders>
              <w:top w:val="nil"/>
              <w:left w:val="nil"/>
              <w:bottom w:val="nil"/>
              <w:right w:val="nil"/>
            </w:tcBorders>
            <w:shd w:val="clear" w:color="000000" w:fill="FFFFFF"/>
            <w:noWrap/>
            <w:vAlign w:val="bottom"/>
            <w:hideMark/>
          </w:tcPr>
          <w:p w14:paraId="6730F270" w14:textId="77777777" w:rsidR="00B11545" w:rsidRPr="00D618B7" w:rsidRDefault="00B11545" w:rsidP="004B11B7">
            <w:pPr>
              <w:jc w:val="right"/>
              <w:rPr>
                <w:color w:val="000000"/>
              </w:rPr>
            </w:pPr>
            <w:r w:rsidRPr="00D618B7">
              <w:rPr>
                <w:color w:val="000000"/>
              </w:rPr>
              <w:t>8791.15</w:t>
            </w:r>
          </w:p>
        </w:tc>
        <w:tc>
          <w:tcPr>
            <w:tcW w:w="620" w:type="pct"/>
            <w:tcBorders>
              <w:top w:val="nil"/>
              <w:left w:val="nil"/>
              <w:bottom w:val="nil"/>
              <w:right w:val="nil"/>
            </w:tcBorders>
            <w:shd w:val="clear" w:color="000000" w:fill="FFFFFF"/>
            <w:noWrap/>
            <w:vAlign w:val="bottom"/>
            <w:hideMark/>
          </w:tcPr>
          <w:p w14:paraId="5BD1A5ED" w14:textId="77777777" w:rsidR="00B11545" w:rsidRPr="00D618B7" w:rsidRDefault="00B11545" w:rsidP="004B11B7">
            <w:pPr>
              <w:jc w:val="right"/>
              <w:rPr>
                <w:color w:val="000000"/>
              </w:rPr>
            </w:pPr>
            <w:r w:rsidRPr="00D618B7">
              <w:rPr>
                <w:color w:val="000000"/>
              </w:rPr>
              <w:t>3437.98</w:t>
            </w:r>
          </w:p>
        </w:tc>
      </w:tr>
      <w:tr w:rsidR="00B11545" w:rsidRPr="00D618B7" w14:paraId="68FFBFA0" w14:textId="77777777" w:rsidTr="000118CE">
        <w:trPr>
          <w:trHeight w:val="383"/>
        </w:trPr>
        <w:tc>
          <w:tcPr>
            <w:tcW w:w="608" w:type="pct"/>
            <w:tcBorders>
              <w:top w:val="nil"/>
              <w:left w:val="nil"/>
              <w:bottom w:val="nil"/>
              <w:right w:val="nil"/>
            </w:tcBorders>
            <w:shd w:val="clear" w:color="000000" w:fill="FFFFFF"/>
            <w:vAlign w:val="center"/>
            <w:hideMark/>
          </w:tcPr>
          <w:p w14:paraId="2512C6CF" w14:textId="77777777" w:rsidR="00B11545" w:rsidRPr="00D618B7" w:rsidRDefault="00B11545" w:rsidP="004B11B7">
            <w:pPr>
              <w:jc w:val="right"/>
              <w:rPr>
                <w:color w:val="000000"/>
              </w:rPr>
            </w:pPr>
            <w:r w:rsidRPr="00D618B7">
              <w:rPr>
                <w:color w:val="000000"/>
              </w:rPr>
              <w:t>1</w:t>
            </w:r>
          </w:p>
        </w:tc>
        <w:tc>
          <w:tcPr>
            <w:tcW w:w="776" w:type="pct"/>
            <w:tcBorders>
              <w:top w:val="nil"/>
              <w:left w:val="nil"/>
              <w:bottom w:val="nil"/>
              <w:right w:val="nil"/>
            </w:tcBorders>
            <w:shd w:val="clear" w:color="000000" w:fill="FFFFFF"/>
            <w:noWrap/>
            <w:vAlign w:val="bottom"/>
            <w:hideMark/>
          </w:tcPr>
          <w:p w14:paraId="5C61A6F9" w14:textId="77777777" w:rsidR="00B11545" w:rsidRPr="00D618B7" w:rsidRDefault="00B11545" w:rsidP="004B11B7">
            <w:pPr>
              <w:jc w:val="right"/>
              <w:rPr>
                <w:color w:val="000000"/>
              </w:rPr>
            </w:pPr>
            <w:r w:rsidRPr="00D618B7">
              <w:rPr>
                <w:color w:val="000000"/>
              </w:rPr>
              <w:t>529.19</w:t>
            </w:r>
          </w:p>
        </w:tc>
        <w:tc>
          <w:tcPr>
            <w:tcW w:w="647" w:type="pct"/>
            <w:tcBorders>
              <w:top w:val="nil"/>
              <w:left w:val="nil"/>
              <w:bottom w:val="nil"/>
              <w:right w:val="nil"/>
            </w:tcBorders>
            <w:shd w:val="clear" w:color="000000" w:fill="FFFFFF"/>
            <w:noWrap/>
            <w:vAlign w:val="bottom"/>
            <w:hideMark/>
          </w:tcPr>
          <w:p w14:paraId="294F8C01" w14:textId="77777777" w:rsidR="00B11545" w:rsidRPr="00D618B7" w:rsidRDefault="00B11545" w:rsidP="004B11B7">
            <w:pPr>
              <w:jc w:val="right"/>
              <w:rPr>
                <w:color w:val="000000"/>
              </w:rPr>
            </w:pPr>
            <w:r w:rsidRPr="00D618B7">
              <w:rPr>
                <w:color w:val="000000"/>
              </w:rPr>
              <w:t>3375.53</w:t>
            </w:r>
          </w:p>
        </w:tc>
        <w:tc>
          <w:tcPr>
            <w:tcW w:w="893" w:type="pct"/>
            <w:tcBorders>
              <w:top w:val="nil"/>
              <w:left w:val="nil"/>
              <w:bottom w:val="nil"/>
              <w:right w:val="nil"/>
            </w:tcBorders>
            <w:shd w:val="clear" w:color="000000" w:fill="FFFFFF"/>
            <w:noWrap/>
            <w:vAlign w:val="bottom"/>
            <w:hideMark/>
          </w:tcPr>
          <w:p w14:paraId="6BBACB44" w14:textId="77777777" w:rsidR="00B11545" w:rsidRPr="00D618B7" w:rsidRDefault="00B11545" w:rsidP="004B11B7">
            <w:pPr>
              <w:jc w:val="right"/>
              <w:rPr>
                <w:color w:val="000000"/>
              </w:rPr>
            </w:pPr>
            <w:r w:rsidRPr="00D618B7">
              <w:rPr>
                <w:color w:val="000000"/>
              </w:rPr>
              <w:t>5354.22</w:t>
            </w:r>
          </w:p>
        </w:tc>
        <w:tc>
          <w:tcPr>
            <w:tcW w:w="617" w:type="pct"/>
            <w:tcBorders>
              <w:top w:val="nil"/>
              <w:left w:val="nil"/>
              <w:bottom w:val="nil"/>
              <w:right w:val="nil"/>
            </w:tcBorders>
            <w:shd w:val="clear" w:color="000000" w:fill="FFFFFF"/>
            <w:noWrap/>
            <w:vAlign w:val="bottom"/>
            <w:hideMark/>
          </w:tcPr>
          <w:p w14:paraId="7814E5C9" w14:textId="77777777" w:rsidR="00B11545" w:rsidRPr="00D618B7" w:rsidRDefault="00B11545" w:rsidP="004B11B7">
            <w:pPr>
              <w:jc w:val="right"/>
              <w:rPr>
                <w:color w:val="000000"/>
              </w:rPr>
            </w:pPr>
            <w:r w:rsidRPr="00D618B7">
              <w:rPr>
                <w:color w:val="000000"/>
              </w:rPr>
              <w:t>3281.87</w:t>
            </w:r>
          </w:p>
        </w:tc>
        <w:tc>
          <w:tcPr>
            <w:tcW w:w="838" w:type="pct"/>
            <w:tcBorders>
              <w:top w:val="nil"/>
              <w:left w:val="nil"/>
              <w:bottom w:val="nil"/>
              <w:right w:val="nil"/>
            </w:tcBorders>
            <w:shd w:val="clear" w:color="000000" w:fill="FFFFFF"/>
            <w:noWrap/>
            <w:vAlign w:val="bottom"/>
            <w:hideMark/>
          </w:tcPr>
          <w:p w14:paraId="54C05A69" w14:textId="77777777" w:rsidR="00B11545" w:rsidRPr="00D618B7" w:rsidRDefault="00B11545" w:rsidP="004B11B7">
            <w:pPr>
              <w:jc w:val="right"/>
              <w:rPr>
                <w:color w:val="000000"/>
              </w:rPr>
            </w:pPr>
            <w:r w:rsidRPr="00D618B7">
              <w:rPr>
                <w:color w:val="000000"/>
              </w:rPr>
              <w:t>14894.10</w:t>
            </w:r>
          </w:p>
        </w:tc>
        <w:tc>
          <w:tcPr>
            <w:tcW w:w="620" w:type="pct"/>
            <w:tcBorders>
              <w:top w:val="nil"/>
              <w:left w:val="nil"/>
              <w:bottom w:val="nil"/>
              <w:right w:val="nil"/>
            </w:tcBorders>
            <w:shd w:val="clear" w:color="000000" w:fill="FFFFFF"/>
            <w:noWrap/>
            <w:vAlign w:val="bottom"/>
            <w:hideMark/>
          </w:tcPr>
          <w:p w14:paraId="72595ADD" w14:textId="77777777" w:rsidR="00B11545" w:rsidRPr="00D618B7" w:rsidRDefault="00B11545" w:rsidP="004B11B7">
            <w:pPr>
              <w:jc w:val="right"/>
              <w:rPr>
                <w:color w:val="000000"/>
              </w:rPr>
            </w:pPr>
            <w:r w:rsidRPr="00D618B7">
              <w:rPr>
                <w:color w:val="000000"/>
              </w:rPr>
              <w:t>3438.50</w:t>
            </w:r>
          </w:p>
        </w:tc>
      </w:tr>
      <w:tr w:rsidR="00B11545" w:rsidRPr="00D618B7" w14:paraId="080B2644" w14:textId="77777777" w:rsidTr="000118CE">
        <w:trPr>
          <w:trHeight w:val="383"/>
        </w:trPr>
        <w:tc>
          <w:tcPr>
            <w:tcW w:w="608" w:type="pct"/>
            <w:tcBorders>
              <w:top w:val="nil"/>
              <w:left w:val="nil"/>
              <w:bottom w:val="nil"/>
              <w:right w:val="nil"/>
            </w:tcBorders>
            <w:shd w:val="clear" w:color="000000" w:fill="FFFFFF"/>
            <w:vAlign w:val="center"/>
            <w:hideMark/>
          </w:tcPr>
          <w:p w14:paraId="36675A55" w14:textId="77777777" w:rsidR="00B11545" w:rsidRPr="00D618B7" w:rsidRDefault="00B11545" w:rsidP="004B11B7">
            <w:pPr>
              <w:jc w:val="right"/>
              <w:rPr>
                <w:color w:val="000000"/>
              </w:rPr>
            </w:pPr>
            <w:r w:rsidRPr="00D618B7">
              <w:rPr>
                <w:color w:val="000000"/>
              </w:rPr>
              <w:t>2</w:t>
            </w:r>
          </w:p>
        </w:tc>
        <w:tc>
          <w:tcPr>
            <w:tcW w:w="776" w:type="pct"/>
            <w:tcBorders>
              <w:top w:val="nil"/>
              <w:left w:val="nil"/>
              <w:bottom w:val="nil"/>
              <w:right w:val="nil"/>
            </w:tcBorders>
            <w:shd w:val="clear" w:color="000000" w:fill="FFFFFF"/>
            <w:noWrap/>
            <w:vAlign w:val="bottom"/>
            <w:hideMark/>
          </w:tcPr>
          <w:p w14:paraId="3601365D" w14:textId="77777777" w:rsidR="00B11545" w:rsidRPr="00D618B7" w:rsidRDefault="00B11545" w:rsidP="004B11B7">
            <w:pPr>
              <w:jc w:val="right"/>
              <w:rPr>
                <w:color w:val="000000"/>
              </w:rPr>
            </w:pPr>
            <w:r w:rsidRPr="00D618B7">
              <w:rPr>
                <w:color w:val="000000"/>
              </w:rPr>
              <w:t>1159.21</w:t>
            </w:r>
          </w:p>
        </w:tc>
        <w:tc>
          <w:tcPr>
            <w:tcW w:w="647" w:type="pct"/>
            <w:tcBorders>
              <w:top w:val="nil"/>
              <w:left w:val="nil"/>
              <w:bottom w:val="nil"/>
              <w:right w:val="nil"/>
            </w:tcBorders>
            <w:shd w:val="clear" w:color="000000" w:fill="FFFFFF"/>
            <w:noWrap/>
            <w:vAlign w:val="bottom"/>
            <w:hideMark/>
          </w:tcPr>
          <w:p w14:paraId="678F4C33" w14:textId="77777777" w:rsidR="00B11545" w:rsidRPr="00D618B7" w:rsidRDefault="00B11545" w:rsidP="004B11B7">
            <w:pPr>
              <w:jc w:val="right"/>
              <w:rPr>
                <w:color w:val="000000"/>
              </w:rPr>
            </w:pPr>
            <w:r w:rsidRPr="00D618B7">
              <w:rPr>
                <w:color w:val="000000"/>
              </w:rPr>
              <w:t>4327.19</w:t>
            </w:r>
          </w:p>
        </w:tc>
        <w:tc>
          <w:tcPr>
            <w:tcW w:w="893" w:type="pct"/>
            <w:tcBorders>
              <w:top w:val="nil"/>
              <w:left w:val="nil"/>
              <w:bottom w:val="nil"/>
              <w:right w:val="nil"/>
            </w:tcBorders>
            <w:shd w:val="clear" w:color="000000" w:fill="FFFFFF"/>
            <w:noWrap/>
            <w:vAlign w:val="bottom"/>
            <w:hideMark/>
          </w:tcPr>
          <w:p w14:paraId="7F6B2620" w14:textId="77777777" w:rsidR="00B11545" w:rsidRPr="00D618B7" w:rsidRDefault="00B11545" w:rsidP="004B11B7">
            <w:pPr>
              <w:jc w:val="right"/>
              <w:rPr>
                <w:color w:val="000000"/>
              </w:rPr>
            </w:pPr>
            <w:r w:rsidRPr="00D618B7">
              <w:rPr>
                <w:color w:val="000000"/>
              </w:rPr>
              <w:t>-4491.93</w:t>
            </w:r>
          </w:p>
        </w:tc>
        <w:tc>
          <w:tcPr>
            <w:tcW w:w="617" w:type="pct"/>
            <w:tcBorders>
              <w:top w:val="nil"/>
              <w:left w:val="nil"/>
              <w:bottom w:val="nil"/>
              <w:right w:val="nil"/>
            </w:tcBorders>
            <w:shd w:val="clear" w:color="000000" w:fill="FFFFFF"/>
            <w:noWrap/>
            <w:vAlign w:val="bottom"/>
            <w:hideMark/>
          </w:tcPr>
          <w:p w14:paraId="4CA2A584" w14:textId="77777777" w:rsidR="00B11545" w:rsidRPr="00D618B7" w:rsidRDefault="00B11545" w:rsidP="004B11B7">
            <w:pPr>
              <w:jc w:val="right"/>
              <w:rPr>
                <w:color w:val="000000"/>
              </w:rPr>
            </w:pPr>
            <w:r w:rsidRPr="00D618B7">
              <w:rPr>
                <w:color w:val="000000"/>
              </w:rPr>
              <w:t>4236.76</w:t>
            </w:r>
          </w:p>
        </w:tc>
        <w:tc>
          <w:tcPr>
            <w:tcW w:w="838" w:type="pct"/>
            <w:tcBorders>
              <w:top w:val="nil"/>
              <w:left w:val="nil"/>
              <w:bottom w:val="nil"/>
              <w:right w:val="nil"/>
            </w:tcBorders>
            <w:shd w:val="clear" w:color="000000" w:fill="FFFFFF"/>
            <w:noWrap/>
            <w:vAlign w:val="bottom"/>
            <w:hideMark/>
          </w:tcPr>
          <w:p w14:paraId="16B49797" w14:textId="77777777" w:rsidR="00B11545" w:rsidRPr="00D618B7" w:rsidRDefault="00B11545" w:rsidP="004B11B7">
            <w:pPr>
              <w:jc w:val="right"/>
              <w:rPr>
                <w:color w:val="000000"/>
              </w:rPr>
            </w:pPr>
            <w:r w:rsidRPr="00D618B7">
              <w:rPr>
                <w:color w:val="000000"/>
              </w:rPr>
              <w:t>2570.85</w:t>
            </w:r>
          </w:p>
        </w:tc>
        <w:tc>
          <w:tcPr>
            <w:tcW w:w="620" w:type="pct"/>
            <w:tcBorders>
              <w:top w:val="nil"/>
              <w:left w:val="nil"/>
              <w:bottom w:val="nil"/>
              <w:right w:val="nil"/>
            </w:tcBorders>
            <w:shd w:val="clear" w:color="000000" w:fill="FFFFFF"/>
            <w:noWrap/>
            <w:vAlign w:val="bottom"/>
            <w:hideMark/>
          </w:tcPr>
          <w:p w14:paraId="29283F25" w14:textId="77777777" w:rsidR="00B11545" w:rsidRPr="00D618B7" w:rsidRDefault="00B11545" w:rsidP="004B11B7">
            <w:pPr>
              <w:jc w:val="right"/>
              <w:rPr>
                <w:color w:val="000000"/>
              </w:rPr>
            </w:pPr>
            <w:r w:rsidRPr="00D618B7">
              <w:rPr>
                <w:color w:val="000000"/>
              </w:rPr>
              <w:t>4371.49</w:t>
            </w:r>
          </w:p>
        </w:tc>
      </w:tr>
      <w:tr w:rsidR="00B11545" w:rsidRPr="00D618B7" w14:paraId="2668717E" w14:textId="77777777" w:rsidTr="000118CE">
        <w:trPr>
          <w:trHeight w:val="383"/>
        </w:trPr>
        <w:tc>
          <w:tcPr>
            <w:tcW w:w="608" w:type="pct"/>
            <w:tcBorders>
              <w:top w:val="nil"/>
              <w:left w:val="nil"/>
              <w:bottom w:val="nil"/>
              <w:right w:val="nil"/>
            </w:tcBorders>
            <w:shd w:val="clear" w:color="000000" w:fill="FFFFFF"/>
            <w:vAlign w:val="center"/>
            <w:hideMark/>
          </w:tcPr>
          <w:p w14:paraId="2EC7BE8B" w14:textId="77777777" w:rsidR="00B11545" w:rsidRPr="00D618B7" w:rsidRDefault="00B11545" w:rsidP="004B11B7">
            <w:pPr>
              <w:jc w:val="right"/>
              <w:rPr>
                <w:color w:val="000000"/>
              </w:rPr>
            </w:pPr>
            <w:r w:rsidRPr="00D618B7">
              <w:rPr>
                <w:color w:val="000000"/>
              </w:rPr>
              <w:t>3</w:t>
            </w:r>
          </w:p>
        </w:tc>
        <w:tc>
          <w:tcPr>
            <w:tcW w:w="776" w:type="pct"/>
            <w:tcBorders>
              <w:top w:val="nil"/>
              <w:left w:val="nil"/>
              <w:bottom w:val="nil"/>
              <w:right w:val="nil"/>
            </w:tcBorders>
            <w:shd w:val="clear" w:color="000000" w:fill="FFFFFF"/>
            <w:noWrap/>
            <w:vAlign w:val="bottom"/>
            <w:hideMark/>
          </w:tcPr>
          <w:p w14:paraId="3FE5AB0B" w14:textId="77777777" w:rsidR="00B11545" w:rsidRPr="00D618B7" w:rsidRDefault="00B11545" w:rsidP="004B11B7">
            <w:pPr>
              <w:jc w:val="right"/>
              <w:rPr>
                <w:color w:val="000000"/>
              </w:rPr>
            </w:pPr>
            <w:r w:rsidRPr="00D618B7">
              <w:rPr>
                <w:color w:val="000000"/>
              </w:rPr>
              <w:t>-539.29</w:t>
            </w:r>
          </w:p>
        </w:tc>
        <w:tc>
          <w:tcPr>
            <w:tcW w:w="647" w:type="pct"/>
            <w:tcBorders>
              <w:top w:val="nil"/>
              <w:left w:val="nil"/>
              <w:bottom w:val="nil"/>
              <w:right w:val="nil"/>
            </w:tcBorders>
            <w:shd w:val="clear" w:color="000000" w:fill="FFFFFF"/>
            <w:noWrap/>
            <w:vAlign w:val="bottom"/>
            <w:hideMark/>
          </w:tcPr>
          <w:p w14:paraId="68DFA8F3" w14:textId="77777777" w:rsidR="00B11545" w:rsidRPr="00D618B7" w:rsidRDefault="00B11545" w:rsidP="004B11B7">
            <w:pPr>
              <w:jc w:val="right"/>
              <w:rPr>
                <w:color w:val="000000"/>
              </w:rPr>
            </w:pPr>
            <w:r w:rsidRPr="00D618B7">
              <w:rPr>
                <w:color w:val="000000"/>
              </w:rPr>
              <w:t>3389.13</w:t>
            </w:r>
          </w:p>
        </w:tc>
        <w:tc>
          <w:tcPr>
            <w:tcW w:w="893" w:type="pct"/>
            <w:tcBorders>
              <w:top w:val="nil"/>
              <w:left w:val="nil"/>
              <w:bottom w:val="nil"/>
              <w:right w:val="nil"/>
            </w:tcBorders>
            <w:shd w:val="clear" w:color="000000" w:fill="FFFFFF"/>
            <w:noWrap/>
            <w:vAlign w:val="bottom"/>
            <w:hideMark/>
          </w:tcPr>
          <w:p w14:paraId="676157F4" w14:textId="77777777" w:rsidR="00B11545" w:rsidRPr="00D618B7" w:rsidRDefault="00B11545" w:rsidP="004B11B7">
            <w:pPr>
              <w:jc w:val="right"/>
              <w:rPr>
                <w:color w:val="000000"/>
              </w:rPr>
            </w:pPr>
            <w:r w:rsidRPr="00D618B7">
              <w:rPr>
                <w:color w:val="000000"/>
              </w:rPr>
              <w:t>-498.70</w:t>
            </w:r>
          </w:p>
        </w:tc>
        <w:tc>
          <w:tcPr>
            <w:tcW w:w="617" w:type="pct"/>
            <w:tcBorders>
              <w:top w:val="nil"/>
              <w:left w:val="nil"/>
              <w:bottom w:val="nil"/>
              <w:right w:val="nil"/>
            </w:tcBorders>
            <w:shd w:val="clear" w:color="000000" w:fill="FFFFFF"/>
            <w:noWrap/>
            <w:vAlign w:val="bottom"/>
            <w:hideMark/>
          </w:tcPr>
          <w:p w14:paraId="1C781824" w14:textId="77777777" w:rsidR="00B11545" w:rsidRPr="00D618B7" w:rsidRDefault="00B11545" w:rsidP="004B11B7">
            <w:pPr>
              <w:jc w:val="right"/>
              <w:rPr>
                <w:color w:val="000000"/>
              </w:rPr>
            </w:pPr>
            <w:r w:rsidRPr="00D618B7">
              <w:rPr>
                <w:color w:val="000000"/>
              </w:rPr>
              <w:t>3312.70</w:t>
            </w:r>
          </w:p>
        </w:tc>
        <w:tc>
          <w:tcPr>
            <w:tcW w:w="838" w:type="pct"/>
            <w:tcBorders>
              <w:top w:val="nil"/>
              <w:left w:val="nil"/>
              <w:bottom w:val="nil"/>
              <w:right w:val="nil"/>
            </w:tcBorders>
            <w:shd w:val="clear" w:color="000000" w:fill="FFFFFF"/>
            <w:noWrap/>
            <w:vAlign w:val="bottom"/>
            <w:hideMark/>
          </w:tcPr>
          <w:p w14:paraId="4642D127" w14:textId="77777777" w:rsidR="00B11545" w:rsidRPr="00D618B7" w:rsidRDefault="00B11545" w:rsidP="004B11B7">
            <w:pPr>
              <w:jc w:val="right"/>
              <w:rPr>
                <w:color w:val="000000"/>
              </w:rPr>
            </w:pPr>
            <w:r w:rsidRPr="00D618B7">
              <w:rPr>
                <w:color w:val="000000"/>
              </w:rPr>
              <w:t>10116.14</w:t>
            </w:r>
          </w:p>
        </w:tc>
        <w:tc>
          <w:tcPr>
            <w:tcW w:w="620" w:type="pct"/>
            <w:tcBorders>
              <w:top w:val="nil"/>
              <w:left w:val="nil"/>
              <w:bottom w:val="nil"/>
              <w:right w:val="nil"/>
            </w:tcBorders>
            <w:shd w:val="clear" w:color="000000" w:fill="FFFFFF"/>
            <w:noWrap/>
            <w:vAlign w:val="bottom"/>
            <w:hideMark/>
          </w:tcPr>
          <w:p w14:paraId="0C5EA83A" w14:textId="77777777" w:rsidR="00B11545" w:rsidRPr="00D618B7" w:rsidRDefault="00B11545" w:rsidP="004B11B7">
            <w:pPr>
              <w:jc w:val="right"/>
              <w:rPr>
                <w:color w:val="000000"/>
              </w:rPr>
            </w:pPr>
            <w:r w:rsidRPr="00D618B7">
              <w:rPr>
                <w:color w:val="000000"/>
              </w:rPr>
              <w:t>3439.17</w:t>
            </w:r>
          </w:p>
        </w:tc>
      </w:tr>
      <w:tr w:rsidR="00B11545" w:rsidRPr="00D618B7" w14:paraId="29EC6748" w14:textId="77777777" w:rsidTr="000118CE">
        <w:trPr>
          <w:trHeight w:val="383"/>
        </w:trPr>
        <w:tc>
          <w:tcPr>
            <w:tcW w:w="608" w:type="pct"/>
            <w:tcBorders>
              <w:top w:val="nil"/>
              <w:left w:val="nil"/>
              <w:right w:val="nil"/>
            </w:tcBorders>
            <w:shd w:val="clear" w:color="000000" w:fill="FFFFFF"/>
            <w:vAlign w:val="center"/>
            <w:hideMark/>
          </w:tcPr>
          <w:p w14:paraId="0FD6C000" w14:textId="77777777" w:rsidR="00B11545" w:rsidRPr="00D618B7" w:rsidRDefault="00B11545" w:rsidP="004B11B7">
            <w:pPr>
              <w:jc w:val="right"/>
              <w:rPr>
                <w:color w:val="000000"/>
              </w:rPr>
            </w:pPr>
            <w:r w:rsidRPr="00D618B7">
              <w:rPr>
                <w:color w:val="000000"/>
              </w:rPr>
              <w:t>4</w:t>
            </w:r>
          </w:p>
        </w:tc>
        <w:tc>
          <w:tcPr>
            <w:tcW w:w="776" w:type="pct"/>
            <w:tcBorders>
              <w:top w:val="nil"/>
              <w:left w:val="nil"/>
              <w:right w:val="nil"/>
            </w:tcBorders>
            <w:shd w:val="clear" w:color="000000" w:fill="FFFFFF"/>
            <w:noWrap/>
            <w:vAlign w:val="bottom"/>
            <w:hideMark/>
          </w:tcPr>
          <w:p w14:paraId="3C906F94" w14:textId="77777777" w:rsidR="00B11545" w:rsidRPr="00D618B7" w:rsidRDefault="00B11545" w:rsidP="004B11B7">
            <w:pPr>
              <w:jc w:val="right"/>
              <w:rPr>
                <w:color w:val="000000"/>
              </w:rPr>
            </w:pPr>
            <w:r w:rsidRPr="00D618B7">
              <w:rPr>
                <w:color w:val="000000"/>
              </w:rPr>
              <w:t>1510.32</w:t>
            </w:r>
          </w:p>
        </w:tc>
        <w:tc>
          <w:tcPr>
            <w:tcW w:w="647" w:type="pct"/>
            <w:tcBorders>
              <w:top w:val="nil"/>
              <w:left w:val="nil"/>
              <w:right w:val="nil"/>
            </w:tcBorders>
            <w:shd w:val="clear" w:color="000000" w:fill="FFFFFF"/>
            <w:noWrap/>
            <w:vAlign w:val="bottom"/>
            <w:hideMark/>
          </w:tcPr>
          <w:p w14:paraId="0C1567B8" w14:textId="77777777" w:rsidR="00B11545" w:rsidRPr="00D618B7" w:rsidRDefault="00B11545" w:rsidP="004B11B7">
            <w:pPr>
              <w:jc w:val="right"/>
              <w:rPr>
                <w:color w:val="000000"/>
              </w:rPr>
            </w:pPr>
            <w:r w:rsidRPr="00D618B7">
              <w:rPr>
                <w:color w:val="000000"/>
              </w:rPr>
              <w:t>3753.32</w:t>
            </w:r>
          </w:p>
        </w:tc>
        <w:tc>
          <w:tcPr>
            <w:tcW w:w="893" w:type="pct"/>
            <w:tcBorders>
              <w:top w:val="nil"/>
              <w:left w:val="nil"/>
              <w:right w:val="nil"/>
            </w:tcBorders>
            <w:shd w:val="clear" w:color="000000" w:fill="FFFFFF"/>
            <w:noWrap/>
            <w:vAlign w:val="bottom"/>
            <w:hideMark/>
          </w:tcPr>
          <w:p w14:paraId="2C38C75A" w14:textId="77777777" w:rsidR="00B11545" w:rsidRPr="00D618B7" w:rsidRDefault="00B11545" w:rsidP="004B11B7">
            <w:pPr>
              <w:jc w:val="right"/>
              <w:rPr>
                <w:color w:val="000000"/>
              </w:rPr>
            </w:pPr>
            <w:r w:rsidRPr="00D618B7">
              <w:rPr>
                <w:color w:val="000000"/>
              </w:rPr>
              <w:t>-177.46</w:t>
            </w:r>
          </w:p>
        </w:tc>
        <w:tc>
          <w:tcPr>
            <w:tcW w:w="617" w:type="pct"/>
            <w:tcBorders>
              <w:top w:val="nil"/>
              <w:left w:val="nil"/>
              <w:right w:val="nil"/>
            </w:tcBorders>
            <w:shd w:val="clear" w:color="000000" w:fill="FFFFFF"/>
            <w:noWrap/>
            <w:vAlign w:val="bottom"/>
            <w:hideMark/>
          </w:tcPr>
          <w:p w14:paraId="19448271" w14:textId="77777777" w:rsidR="00B11545" w:rsidRPr="00D618B7" w:rsidRDefault="00B11545" w:rsidP="004B11B7">
            <w:pPr>
              <w:jc w:val="right"/>
              <w:rPr>
                <w:color w:val="000000"/>
              </w:rPr>
            </w:pPr>
            <w:r w:rsidRPr="00D618B7">
              <w:rPr>
                <w:color w:val="000000"/>
              </w:rPr>
              <w:t>3676.93</w:t>
            </w:r>
          </w:p>
        </w:tc>
        <w:tc>
          <w:tcPr>
            <w:tcW w:w="838" w:type="pct"/>
            <w:tcBorders>
              <w:top w:val="nil"/>
              <w:left w:val="nil"/>
              <w:right w:val="nil"/>
            </w:tcBorders>
            <w:shd w:val="clear" w:color="000000" w:fill="FFFFFF"/>
            <w:noWrap/>
            <w:vAlign w:val="bottom"/>
            <w:hideMark/>
          </w:tcPr>
          <w:p w14:paraId="744CEC1C" w14:textId="77777777" w:rsidR="00B11545" w:rsidRPr="00D618B7" w:rsidRDefault="00B11545" w:rsidP="004B11B7">
            <w:pPr>
              <w:jc w:val="right"/>
              <w:rPr>
                <w:color w:val="000000"/>
              </w:rPr>
            </w:pPr>
            <w:r w:rsidRPr="00D618B7">
              <w:rPr>
                <w:color w:val="000000"/>
              </w:rPr>
              <w:t>20971.04</w:t>
            </w:r>
          </w:p>
        </w:tc>
        <w:tc>
          <w:tcPr>
            <w:tcW w:w="620" w:type="pct"/>
            <w:tcBorders>
              <w:top w:val="nil"/>
              <w:left w:val="nil"/>
              <w:right w:val="nil"/>
            </w:tcBorders>
            <w:shd w:val="clear" w:color="000000" w:fill="FFFFFF"/>
            <w:noWrap/>
            <w:vAlign w:val="bottom"/>
            <w:hideMark/>
          </w:tcPr>
          <w:p w14:paraId="460ADDD1" w14:textId="77777777" w:rsidR="00B11545" w:rsidRPr="00D618B7" w:rsidRDefault="00B11545" w:rsidP="004B11B7">
            <w:pPr>
              <w:jc w:val="right"/>
              <w:rPr>
                <w:color w:val="000000"/>
              </w:rPr>
            </w:pPr>
            <w:r w:rsidRPr="00D618B7">
              <w:rPr>
                <w:color w:val="000000"/>
              </w:rPr>
              <w:t>3828.04</w:t>
            </w:r>
          </w:p>
        </w:tc>
      </w:tr>
      <w:tr w:rsidR="00B11545" w:rsidRPr="00D618B7" w14:paraId="498402BA" w14:textId="77777777" w:rsidTr="000118CE">
        <w:trPr>
          <w:trHeight w:val="402"/>
        </w:trPr>
        <w:tc>
          <w:tcPr>
            <w:tcW w:w="608" w:type="pct"/>
            <w:tcBorders>
              <w:top w:val="nil"/>
              <w:left w:val="nil"/>
              <w:bottom w:val="single" w:sz="18" w:space="0" w:color="auto"/>
              <w:right w:val="nil"/>
            </w:tcBorders>
            <w:shd w:val="clear" w:color="000000" w:fill="FFFFFF"/>
            <w:vAlign w:val="center"/>
            <w:hideMark/>
          </w:tcPr>
          <w:p w14:paraId="6D42EC27" w14:textId="77777777" w:rsidR="00B11545" w:rsidRPr="00D618B7" w:rsidRDefault="00B11545" w:rsidP="004B11B7">
            <w:pPr>
              <w:jc w:val="right"/>
              <w:rPr>
                <w:color w:val="000000"/>
              </w:rPr>
            </w:pPr>
            <w:r w:rsidRPr="00D618B7">
              <w:rPr>
                <w:color w:val="000000"/>
              </w:rPr>
              <w:t>5</w:t>
            </w:r>
          </w:p>
        </w:tc>
        <w:tc>
          <w:tcPr>
            <w:tcW w:w="776" w:type="pct"/>
            <w:tcBorders>
              <w:top w:val="nil"/>
              <w:left w:val="nil"/>
              <w:bottom w:val="single" w:sz="18" w:space="0" w:color="auto"/>
              <w:right w:val="nil"/>
            </w:tcBorders>
            <w:shd w:val="clear" w:color="000000" w:fill="FFFFFF"/>
            <w:noWrap/>
            <w:vAlign w:val="bottom"/>
            <w:hideMark/>
          </w:tcPr>
          <w:p w14:paraId="3B6A7A72" w14:textId="77777777" w:rsidR="00B11545" w:rsidRPr="00D618B7" w:rsidRDefault="00B11545" w:rsidP="004B11B7">
            <w:pPr>
              <w:jc w:val="right"/>
              <w:rPr>
                <w:color w:val="000000"/>
              </w:rPr>
            </w:pPr>
            <w:r w:rsidRPr="00D618B7">
              <w:rPr>
                <w:color w:val="000000"/>
              </w:rPr>
              <w:t>-1960.77</w:t>
            </w:r>
          </w:p>
        </w:tc>
        <w:tc>
          <w:tcPr>
            <w:tcW w:w="647" w:type="pct"/>
            <w:tcBorders>
              <w:top w:val="nil"/>
              <w:left w:val="nil"/>
              <w:bottom w:val="single" w:sz="18" w:space="0" w:color="auto"/>
              <w:right w:val="nil"/>
            </w:tcBorders>
            <w:shd w:val="clear" w:color="000000" w:fill="FFFFFF"/>
            <w:noWrap/>
            <w:vAlign w:val="bottom"/>
            <w:hideMark/>
          </w:tcPr>
          <w:p w14:paraId="7EE83F00" w14:textId="77777777" w:rsidR="00B11545" w:rsidRPr="00D618B7" w:rsidRDefault="00B11545" w:rsidP="004B11B7">
            <w:pPr>
              <w:jc w:val="right"/>
              <w:rPr>
                <w:color w:val="000000"/>
              </w:rPr>
            </w:pPr>
            <w:r w:rsidRPr="00D618B7">
              <w:rPr>
                <w:color w:val="000000"/>
              </w:rPr>
              <w:t>3995.65</w:t>
            </w:r>
          </w:p>
        </w:tc>
        <w:tc>
          <w:tcPr>
            <w:tcW w:w="893" w:type="pct"/>
            <w:tcBorders>
              <w:top w:val="nil"/>
              <w:left w:val="nil"/>
              <w:bottom w:val="single" w:sz="18" w:space="0" w:color="auto"/>
              <w:right w:val="nil"/>
            </w:tcBorders>
            <w:shd w:val="clear" w:color="000000" w:fill="FFFFFF"/>
            <w:noWrap/>
            <w:vAlign w:val="bottom"/>
            <w:hideMark/>
          </w:tcPr>
          <w:p w14:paraId="2EC5F02B" w14:textId="77777777" w:rsidR="00B11545" w:rsidRPr="00D618B7" w:rsidRDefault="00B11545" w:rsidP="004B11B7">
            <w:pPr>
              <w:jc w:val="right"/>
              <w:rPr>
                <w:color w:val="000000"/>
              </w:rPr>
            </w:pPr>
            <w:r w:rsidRPr="00D618B7">
              <w:rPr>
                <w:color w:val="000000"/>
              </w:rPr>
              <w:t>5951.38</w:t>
            </w:r>
          </w:p>
        </w:tc>
        <w:tc>
          <w:tcPr>
            <w:tcW w:w="617" w:type="pct"/>
            <w:tcBorders>
              <w:top w:val="nil"/>
              <w:left w:val="nil"/>
              <w:bottom w:val="single" w:sz="18" w:space="0" w:color="auto"/>
              <w:right w:val="nil"/>
            </w:tcBorders>
            <w:shd w:val="clear" w:color="000000" w:fill="FFFFFF"/>
            <w:noWrap/>
            <w:vAlign w:val="bottom"/>
            <w:hideMark/>
          </w:tcPr>
          <w:p w14:paraId="7A9B5D30" w14:textId="77777777" w:rsidR="00B11545" w:rsidRPr="00D618B7" w:rsidRDefault="00B11545" w:rsidP="004B11B7">
            <w:pPr>
              <w:jc w:val="right"/>
              <w:rPr>
                <w:color w:val="000000"/>
              </w:rPr>
            </w:pPr>
            <w:r w:rsidRPr="00D618B7">
              <w:rPr>
                <w:color w:val="000000"/>
              </w:rPr>
              <w:t>3909.12</w:t>
            </w:r>
          </w:p>
        </w:tc>
        <w:tc>
          <w:tcPr>
            <w:tcW w:w="838" w:type="pct"/>
            <w:tcBorders>
              <w:top w:val="nil"/>
              <w:left w:val="nil"/>
              <w:bottom w:val="single" w:sz="18" w:space="0" w:color="auto"/>
              <w:right w:val="nil"/>
            </w:tcBorders>
            <w:shd w:val="clear" w:color="000000" w:fill="FFFFFF"/>
            <w:noWrap/>
            <w:vAlign w:val="bottom"/>
            <w:hideMark/>
          </w:tcPr>
          <w:p w14:paraId="3552E3CA" w14:textId="77777777" w:rsidR="00B11545" w:rsidRPr="00D618B7" w:rsidRDefault="00B11545" w:rsidP="004B11B7">
            <w:pPr>
              <w:jc w:val="right"/>
              <w:rPr>
                <w:color w:val="000000"/>
              </w:rPr>
            </w:pPr>
            <w:r w:rsidRPr="00D618B7">
              <w:rPr>
                <w:color w:val="000000"/>
              </w:rPr>
              <w:t>-4508.39</w:t>
            </w:r>
          </w:p>
        </w:tc>
        <w:tc>
          <w:tcPr>
            <w:tcW w:w="620" w:type="pct"/>
            <w:tcBorders>
              <w:top w:val="nil"/>
              <w:left w:val="nil"/>
              <w:bottom w:val="single" w:sz="18" w:space="0" w:color="auto"/>
              <w:right w:val="nil"/>
            </w:tcBorders>
            <w:shd w:val="clear" w:color="000000" w:fill="FFFFFF"/>
            <w:noWrap/>
            <w:vAlign w:val="bottom"/>
            <w:hideMark/>
          </w:tcPr>
          <w:p w14:paraId="47F97ED8" w14:textId="77777777" w:rsidR="00B11545" w:rsidRPr="00D618B7" w:rsidRDefault="00B11545" w:rsidP="004B11B7">
            <w:pPr>
              <w:jc w:val="right"/>
              <w:rPr>
                <w:color w:val="000000"/>
              </w:rPr>
            </w:pPr>
            <w:r w:rsidRPr="00D618B7">
              <w:rPr>
                <w:color w:val="000000"/>
              </w:rPr>
              <w:t>4107.36</w:t>
            </w:r>
          </w:p>
        </w:tc>
      </w:tr>
    </w:tbl>
    <w:p w14:paraId="686986BD" w14:textId="77777777" w:rsidR="00B11545" w:rsidRPr="00D618B7" w:rsidRDefault="00B11545" w:rsidP="00B11545"/>
    <w:p w14:paraId="3362F374" w14:textId="77777777" w:rsidR="00B11545" w:rsidRPr="00D618B7" w:rsidRDefault="00B11545" w:rsidP="00B11545">
      <w:r w:rsidRPr="00D618B7">
        <w:rPr>
          <w:i/>
          <w:iCs/>
        </w:rPr>
        <w:t>Note</w:t>
      </w:r>
      <w:r w:rsidRPr="00D618B7">
        <w:t>: This table lists the estimated mean summed duration and standard error in milliseconds of face, hand, and mouth events for each week of observation around reach-onset.</w:t>
      </w:r>
    </w:p>
    <w:p w14:paraId="34B2EC33" w14:textId="77777777" w:rsidR="00B11545" w:rsidRPr="00D618B7" w:rsidRDefault="00B11545" w:rsidP="00B11545"/>
    <w:p w14:paraId="4A781CF6" w14:textId="7F5E3FC5" w:rsidR="00B11545" w:rsidRPr="00D618B7" w:rsidRDefault="004B7288" w:rsidP="007C5074">
      <w:pPr>
        <w:pStyle w:val="Caption"/>
      </w:pPr>
      <w:bookmarkStart w:id="155" w:name="_Toc172716852"/>
      <w:r w:rsidRPr="00D618B7">
        <w:t xml:space="preserve">Table </w:t>
      </w:r>
      <w:r w:rsidR="00000000">
        <w:fldChar w:fldCharType="begin"/>
      </w:r>
      <w:r w:rsidR="00000000">
        <w:instrText xml:space="preserve"> SEQ Table \* ARABIC </w:instrText>
      </w:r>
      <w:r w:rsidR="00000000">
        <w:fldChar w:fldCharType="separate"/>
      </w:r>
      <w:r w:rsidR="000C6E43">
        <w:rPr>
          <w:noProof/>
        </w:rPr>
        <w:t>24</w:t>
      </w:r>
      <w:r w:rsidR="00000000">
        <w:rPr>
          <w:noProof/>
        </w:rPr>
        <w:fldChar w:fldCharType="end"/>
      </w:r>
      <w:r w:rsidR="008839D5" w:rsidRPr="00D618B7">
        <w:t xml:space="preserve">: </w:t>
      </w:r>
      <w:r w:rsidR="008839D5" w:rsidRPr="00D618B7">
        <w:rPr>
          <w:rFonts w:eastAsia="Aptos"/>
        </w:rPr>
        <w:t>Event summed duration by type and proximity</w:t>
      </w:r>
      <w:bookmarkEnd w:id="155"/>
    </w:p>
    <w:p w14:paraId="067F9647" w14:textId="77777777" w:rsidR="00B11545" w:rsidRPr="00D618B7" w:rsidRDefault="00B11545" w:rsidP="00B11545">
      <w:r w:rsidRPr="00D618B7">
        <w:t>Estimated Mean Summed Duration of Events by Type and Proximity</w:t>
      </w:r>
    </w:p>
    <w:tbl>
      <w:tblPr>
        <w:tblW w:w="5000" w:type="pct"/>
        <w:tblLook w:val="04A0" w:firstRow="1" w:lastRow="0" w:firstColumn="1" w:lastColumn="0" w:noHBand="0" w:noVBand="1"/>
      </w:tblPr>
      <w:tblGrid>
        <w:gridCol w:w="976"/>
        <w:gridCol w:w="1116"/>
        <w:gridCol w:w="1294"/>
        <w:gridCol w:w="1190"/>
        <w:gridCol w:w="1216"/>
        <w:gridCol w:w="1202"/>
        <w:gridCol w:w="1646"/>
      </w:tblGrid>
      <w:tr w:rsidR="00B11545" w:rsidRPr="00D618B7" w14:paraId="4A01F972" w14:textId="77777777" w:rsidTr="004B11B7">
        <w:trPr>
          <w:trHeight w:val="315"/>
        </w:trPr>
        <w:tc>
          <w:tcPr>
            <w:tcW w:w="574" w:type="pct"/>
            <w:tcBorders>
              <w:top w:val="single" w:sz="4" w:space="0" w:color="auto"/>
              <w:left w:val="nil"/>
              <w:bottom w:val="nil"/>
              <w:right w:val="nil"/>
            </w:tcBorders>
            <w:shd w:val="clear" w:color="000000" w:fill="FFFFFF"/>
            <w:vAlign w:val="center"/>
            <w:hideMark/>
          </w:tcPr>
          <w:p w14:paraId="67B4C6BB" w14:textId="77777777" w:rsidR="00B11545" w:rsidRPr="00D618B7" w:rsidRDefault="00B11545" w:rsidP="004B11B7">
            <w:pPr>
              <w:rPr>
                <w:color w:val="000000"/>
              </w:rPr>
            </w:pPr>
            <w:r w:rsidRPr="00D618B7">
              <w:rPr>
                <w:color w:val="000000"/>
              </w:rPr>
              <w:t>Week</w:t>
            </w:r>
          </w:p>
        </w:tc>
        <w:tc>
          <w:tcPr>
            <w:tcW w:w="1347" w:type="pct"/>
            <w:gridSpan w:val="2"/>
            <w:tcBorders>
              <w:top w:val="single" w:sz="4" w:space="0" w:color="auto"/>
              <w:left w:val="nil"/>
              <w:bottom w:val="single" w:sz="8" w:space="0" w:color="auto"/>
              <w:right w:val="nil"/>
            </w:tcBorders>
            <w:shd w:val="clear" w:color="000000" w:fill="FFFFFF"/>
            <w:vAlign w:val="center"/>
            <w:hideMark/>
          </w:tcPr>
          <w:p w14:paraId="1D38E2D4" w14:textId="77777777" w:rsidR="00B11545" w:rsidRPr="00D618B7" w:rsidRDefault="00B11545" w:rsidP="004B11B7">
            <w:pPr>
              <w:jc w:val="center"/>
              <w:rPr>
                <w:color w:val="000000"/>
              </w:rPr>
            </w:pPr>
            <w:r w:rsidRPr="00D618B7">
              <w:rPr>
                <w:color w:val="000000"/>
              </w:rPr>
              <w:t xml:space="preserve">     Toy-out-of-Reach</w:t>
            </w:r>
          </w:p>
        </w:tc>
        <w:tc>
          <w:tcPr>
            <w:tcW w:w="1411" w:type="pct"/>
            <w:gridSpan w:val="2"/>
            <w:tcBorders>
              <w:top w:val="single" w:sz="4" w:space="0" w:color="auto"/>
              <w:left w:val="nil"/>
              <w:bottom w:val="single" w:sz="8" w:space="0" w:color="auto"/>
              <w:right w:val="nil"/>
            </w:tcBorders>
            <w:shd w:val="clear" w:color="000000" w:fill="FFFFFF"/>
            <w:vAlign w:val="center"/>
            <w:hideMark/>
          </w:tcPr>
          <w:p w14:paraId="2A62B243" w14:textId="77777777" w:rsidR="00B11545" w:rsidRPr="00D618B7" w:rsidRDefault="00B11545" w:rsidP="004B11B7">
            <w:pPr>
              <w:jc w:val="center"/>
              <w:rPr>
                <w:color w:val="000000"/>
              </w:rPr>
            </w:pPr>
            <w:r w:rsidRPr="00D618B7">
              <w:rPr>
                <w:color w:val="000000"/>
              </w:rPr>
              <w:t xml:space="preserve">          Toy-Moving-into-Reach</w:t>
            </w:r>
          </w:p>
        </w:tc>
        <w:tc>
          <w:tcPr>
            <w:tcW w:w="1667" w:type="pct"/>
            <w:gridSpan w:val="2"/>
            <w:tcBorders>
              <w:top w:val="single" w:sz="4" w:space="0" w:color="auto"/>
              <w:left w:val="nil"/>
              <w:bottom w:val="single" w:sz="8" w:space="0" w:color="auto"/>
              <w:right w:val="nil"/>
            </w:tcBorders>
            <w:shd w:val="clear" w:color="000000" w:fill="FFFFFF"/>
            <w:vAlign w:val="center"/>
            <w:hideMark/>
          </w:tcPr>
          <w:p w14:paraId="275D869D" w14:textId="77777777" w:rsidR="00B11545" w:rsidRPr="00D618B7" w:rsidRDefault="00B11545" w:rsidP="004B11B7">
            <w:pPr>
              <w:jc w:val="center"/>
              <w:rPr>
                <w:color w:val="000000"/>
              </w:rPr>
            </w:pPr>
            <w:r w:rsidRPr="00D618B7">
              <w:rPr>
                <w:color w:val="000000"/>
              </w:rPr>
              <w:t xml:space="preserve">      Toy-in-Reach</w:t>
            </w:r>
          </w:p>
        </w:tc>
      </w:tr>
      <w:tr w:rsidR="00B11545" w:rsidRPr="00D618B7" w14:paraId="4D46B553" w14:textId="77777777" w:rsidTr="004B11B7">
        <w:trPr>
          <w:trHeight w:val="315"/>
        </w:trPr>
        <w:tc>
          <w:tcPr>
            <w:tcW w:w="574" w:type="pct"/>
            <w:tcBorders>
              <w:top w:val="nil"/>
              <w:left w:val="nil"/>
              <w:bottom w:val="single" w:sz="8" w:space="0" w:color="auto"/>
              <w:right w:val="nil"/>
            </w:tcBorders>
            <w:shd w:val="clear" w:color="000000" w:fill="FFFFFF"/>
            <w:noWrap/>
            <w:vAlign w:val="bottom"/>
            <w:hideMark/>
          </w:tcPr>
          <w:p w14:paraId="48CB5E09" w14:textId="77777777" w:rsidR="00B11545" w:rsidRPr="00D618B7" w:rsidRDefault="00B11545" w:rsidP="004B11B7">
            <w:pPr>
              <w:rPr>
                <w:color w:val="000000"/>
              </w:rPr>
            </w:pPr>
            <w:r w:rsidRPr="00D618B7">
              <w:rPr>
                <w:color w:val="000000"/>
              </w:rPr>
              <w:t> </w:t>
            </w:r>
          </w:p>
        </w:tc>
        <w:tc>
          <w:tcPr>
            <w:tcW w:w="589" w:type="pct"/>
            <w:tcBorders>
              <w:top w:val="nil"/>
              <w:left w:val="nil"/>
              <w:bottom w:val="single" w:sz="8" w:space="0" w:color="auto"/>
              <w:right w:val="nil"/>
            </w:tcBorders>
            <w:shd w:val="clear" w:color="000000" w:fill="FFFFFF"/>
            <w:noWrap/>
            <w:vAlign w:val="center"/>
            <w:hideMark/>
          </w:tcPr>
          <w:p w14:paraId="3CE34E05" w14:textId="77777777" w:rsidR="00B11545" w:rsidRPr="00D618B7" w:rsidRDefault="00B11545" w:rsidP="004B11B7">
            <w:pPr>
              <w:jc w:val="right"/>
              <w:rPr>
                <w:color w:val="000000"/>
              </w:rPr>
            </w:pPr>
            <w:r w:rsidRPr="00D618B7">
              <w:rPr>
                <w:color w:val="000000"/>
              </w:rPr>
              <w:t>Mean</w:t>
            </w:r>
          </w:p>
        </w:tc>
        <w:tc>
          <w:tcPr>
            <w:tcW w:w="758" w:type="pct"/>
            <w:tcBorders>
              <w:top w:val="nil"/>
              <w:left w:val="nil"/>
              <w:bottom w:val="single" w:sz="8" w:space="0" w:color="auto"/>
              <w:right w:val="nil"/>
            </w:tcBorders>
            <w:shd w:val="clear" w:color="000000" w:fill="FFFFFF"/>
            <w:noWrap/>
            <w:vAlign w:val="center"/>
            <w:hideMark/>
          </w:tcPr>
          <w:p w14:paraId="7734EBFB" w14:textId="77777777" w:rsidR="00B11545" w:rsidRPr="00D618B7" w:rsidRDefault="00B11545" w:rsidP="004B11B7">
            <w:pPr>
              <w:jc w:val="right"/>
              <w:rPr>
                <w:color w:val="000000"/>
              </w:rPr>
            </w:pPr>
            <w:r w:rsidRPr="00D618B7">
              <w:rPr>
                <w:color w:val="000000"/>
              </w:rPr>
              <w:t>Std. Error</w:t>
            </w:r>
          </w:p>
        </w:tc>
        <w:tc>
          <w:tcPr>
            <w:tcW w:w="698" w:type="pct"/>
            <w:tcBorders>
              <w:top w:val="nil"/>
              <w:left w:val="nil"/>
              <w:bottom w:val="single" w:sz="8" w:space="0" w:color="auto"/>
              <w:right w:val="nil"/>
            </w:tcBorders>
            <w:shd w:val="clear" w:color="000000" w:fill="FFFFFF"/>
            <w:noWrap/>
            <w:vAlign w:val="center"/>
            <w:hideMark/>
          </w:tcPr>
          <w:p w14:paraId="444DF80A" w14:textId="77777777" w:rsidR="00B11545" w:rsidRPr="00D618B7" w:rsidRDefault="00B11545" w:rsidP="004B11B7">
            <w:pPr>
              <w:jc w:val="right"/>
              <w:rPr>
                <w:color w:val="000000"/>
              </w:rPr>
            </w:pPr>
            <w:r w:rsidRPr="00D618B7">
              <w:rPr>
                <w:color w:val="000000"/>
              </w:rPr>
              <w:t>Mean</w:t>
            </w:r>
          </w:p>
        </w:tc>
        <w:tc>
          <w:tcPr>
            <w:tcW w:w="713" w:type="pct"/>
            <w:tcBorders>
              <w:top w:val="nil"/>
              <w:left w:val="nil"/>
              <w:bottom w:val="single" w:sz="8" w:space="0" w:color="auto"/>
              <w:right w:val="nil"/>
            </w:tcBorders>
            <w:shd w:val="clear" w:color="000000" w:fill="FFFFFF"/>
            <w:noWrap/>
            <w:vAlign w:val="center"/>
            <w:hideMark/>
          </w:tcPr>
          <w:p w14:paraId="7E317B36" w14:textId="77777777" w:rsidR="00B11545" w:rsidRPr="00D618B7" w:rsidRDefault="00B11545" w:rsidP="004B11B7">
            <w:pPr>
              <w:jc w:val="right"/>
              <w:rPr>
                <w:color w:val="000000"/>
              </w:rPr>
            </w:pPr>
            <w:r w:rsidRPr="00D618B7">
              <w:rPr>
                <w:color w:val="000000"/>
              </w:rPr>
              <w:t>Std. Error</w:t>
            </w:r>
          </w:p>
        </w:tc>
        <w:tc>
          <w:tcPr>
            <w:tcW w:w="705" w:type="pct"/>
            <w:tcBorders>
              <w:top w:val="nil"/>
              <w:left w:val="nil"/>
              <w:bottom w:val="single" w:sz="8" w:space="0" w:color="auto"/>
              <w:right w:val="nil"/>
            </w:tcBorders>
            <w:shd w:val="clear" w:color="000000" w:fill="FFFFFF"/>
            <w:noWrap/>
            <w:vAlign w:val="center"/>
            <w:hideMark/>
          </w:tcPr>
          <w:p w14:paraId="4B50AFD1" w14:textId="77777777" w:rsidR="00B11545" w:rsidRPr="00D618B7" w:rsidRDefault="00B11545" w:rsidP="004B11B7">
            <w:pPr>
              <w:jc w:val="right"/>
              <w:rPr>
                <w:color w:val="000000"/>
              </w:rPr>
            </w:pPr>
            <w:r w:rsidRPr="00D618B7">
              <w:rPr>
                <w:color w:val="000000"/>
              </w:rPr>
              <w:t>Mean</w:t>
            </w:r>
          </w:p>
        </w:tc>
        <w:tc>
          <w:tcPr>
            <w:tcW w:w="962" w:type="pct"/>
            <w:tcBorders>
              <w:top w:val="nil"/>
              <w:left w:val="nil"/>
              <w:bottom w:val="single" w:sz="8" w:space="0" w:color="auto"/>
              <w:right w:val="nil"/>
            </w:tcBorders>
            <w:shd w:val="clear" w:color="000000" w:fill="FFFFFF"/>
            <w:noWrap/>
            <w:vAlign w:val="center"/>
            <w:hideMark/>
          </w:tcPr>
          <w:p w14:paraId="7175BFA9" w14:textId="77777777" w:rsidR="00B11545" w:rsidRPr="00D618B7" w:rsidRDefault="00B11545" w:rsidP="004B11B7">
            <w:pPr>
              <w:jc w:val="right"/>
              <w:rPr>
                <w:color w:val="000000"/>
              </w:rPr>
            </w:pPr>
            <w:r w:rsidRPr="00D618B7">
              <w:rPr>
                <w:color w:val="000000"/>
              </w:rPr>
              <w:t>Std. Error</w:t>
            </w:r>
          </w:p>
        </w:tc>
      </w:tr>
      <w:tr w:rsidR="00B11545" w:rsidRPr="00D618B7" w14:paraId="2BB9C9EE" w14:textId="77777777" w:rsidTr="004B11B7">
        <w:trPr>
          <w:trHeight w:val="300"/>
        </w:trPr>
        <w:tc>
          <w:tcPr>
            <w:tcW w:w="574" w:type="pct"/>
            <w:tcBorders>
              <w:top w:val="nil"/>
              <w:left w:val="nil"/>
              <w:bottom w:val="nil"/>
              <w:right w:val="nil"/>
            </w:tcBorders>
            <w:shd w:val="clear" w:color="000000" w:fill="FFFFFF"/>
            <w:vAlign w:val="center"/>
            <w:hideMark/>
          </w:tcPr>
          <w:p w14:paraId="2CA6FF9B" w14:textId="77777777" w:rsidR="00B11545" w:rsidRPr="00D618B7" w:rsidRDefault="00B11545" w:rsidP="004B11B7">
            <w:pPr>
              <w:rPr>
                <w:color w:val="000000"/>
              </w:rPr>
            </w:pPr>
            <w:r w:rsidRPr="00D618B7">
              <w:rPr>
                <w:color w:val="000000"/>
              </w:rPr>
              <w:t>Hand</w:t>
            </w:r>
          </w:p>
        </w:tc>
        <w:tc>
          <w:tcPr>
            <w:tcW w:w="589" w:type="pct"/>
            <w:tcBorders>
              <w:top w:val="nil"/>
              <w:left w:val="nil"/>
              <w:bottom w:val="nil"/>
              <w:right w:val="nil"/>
            </w:tcBorders>
            <w:shd w:val="clear" w:color="000000" w:fill="FFFFFF"/>
            <w:noWrap/>
            <w:vAlign w:val="center"/>
            <w:hideMark/>
          </w:tcPr>
          <w:p w14:paraId="1DA8979B" w14:textId="77777777" w:rsidR="00B11545" w:rsidRPr="00D618B7" w:rsidRDefault="00B11545" w:rsidP="004B11B7">
            <w:pPr>
              <w:jc w:val="right"/>
              <w:rPr>
                <w:color w:val="000000"/>
              </w:rPr>
            </w:pPr>
            <w:r w:rsidRPr="00D618B7">
              <w:rPr>
                <w:color w:val="000000"/>
              </w:rPr>
              <w:t>1123.82</w:t>
            </w:r>
          </w:p>
        </w:tc>
        <w:tc>
          <w:tcPr>
            <w:tcW w:w="758" w:type="pct"/>
            <w:tcBorders>
              <w:top w:val="nil"/>
              <w:left w:val="nil"/>
              <w:bottom w:val="nil"/>
              <w:right w:val="nil"/>
            </w:tcBorders>
            <w:shd w:val="clear" w:color="000000" w:fill="FFFFFF"/>
            <w:noWrap/>
            <w:vAlign w:val="center"/>
            <w:hideMark/>
          </w:tcPr>
          <w:p w14:paraId="67CCD4EC" w14:textId="77777777" w:rsidR="00B11545" w:rsidRPr="00D618B7" w:rsidRDefault="00B11545" w:rsidP="004B11B7">
            <w:pPr>
              <w:jc w:val="right"/>
              <w:rPr>
                <w:color w:val="000000"/>
              </w:rPr>
            </w:pPr>
            <w:r w:rsidRPr="00D618B7">
              <w:rPr>
                <w:color w:val="000000"/>
              </w:rPr>
              <w:t>2233.18</w:t>
            </w:r>
          </w:p>
        </w:tc>
        <w:tc>
          <w:tcPr>
            <w:tcW w:w="698" w:type="pct"/>
            <w:tcBorders>
              <w:top w:val="nil"/>
              <w:left w:val="nil"/>
              <w:bottom w:val="nil"/>
              <w:right w:val="nil"/>
            </w:tcBorders>
            <w:shd w:val="clear" w:color="000000" w:fill="FFFFFF"/>
            <w:noWrap/>
            <w:vAlign w:val="center"/>
            <w:hideMark/>
          </w:tcPr>
          <w:p w14:paraId="381143BE" w14:textId="77777777" w:rsidR="00B11545" w:rsidRPr="00D618B7" w:rsidRDefault="00B11545" w:rsidP="004B11B7">
            <w:pPr>
              <w:jc w:val="right"/>
              <w:rPr>
                <w:color w:val="000000"/>
              </w:rPr>
            </w:pPr>
            <w:r w:rsidRPr="00D618B7">
              <w:rPr>
                <w:color w:val="000000"/>
              </w:rPr>
              <w:t>34.87</w:t>
            </w:r>
          </w:p>
        </w:tc>
        <w:tc>
          <w:tcPr>
            <w:tcW w:w="713" w:type="pct"/>
            <w:tcBorders>
              <w:top w:val="nil"/>
              <w:left w:val="nil"/>
              <w:bottom w:val="nil"/>
              <w:right w:val="nil"/>
            </w:tcBorders>
            <w:shd w:val="clear" w:color="000000" w:fill="FFFFFF"/>
            <w:noWrap/>
            <w:vAlign w:val="center"/>
            <w:hideMark/>
          </w:tcPr>
          <w:p w14:paraId="096099FB" w14:textId="77777777" w:rsidR="00B11545" w:rsidRPr="00D618B7" w:rsidRDefault="00B11545" w:rsidP="004B11B7">
            <w:pPr>
              <w:jc w:val="right"/>
              <w:rPr>
                <w:color w:val="000000"/>
              </w:rPr>
            </w:pPr>
            <w:r w:rsidRPr="00D618B7">
              <w:rPr>
                <w:color w:val="000000"/>
              </w:rPr>
              <w:t>2245.08</w:t>
            </w:r>
          </w:p>
        </w:tc>
        <w:tc>
          <w:tcPr>
            <w:tcW w:w="705" w:type="pct"/>
            <w:tcBorders>
              <w:top w:val="nil"/>
              <w:left w:val="nil"/>
              <w:bottom w:val="nil"/>
              <w:right w:val="nil"/>
            </w:tcBorders>
            <w:shd w:val="clear" w:color="000000" w:fill="FFFFFF"/>
            <w:noWrap/>
            <w:vAlign w:val="center"/>
            <w:hideMark/>
          </w:tcPr>
          <w:p w14:paraId="59FFF05F" w14:textId="77777777" w:rsidR="00B11545" w:rsidRPr="00D618B7" w:rsidRDefault="00B11545" w:rsidP="004B11B7">
            <w:pPr>
              <w:jc w:val="right"/>
              <w:rPr>
                <w:color w:val="000000"/>
              </w:rPr>
            </w:pPr>
            <w:r w:rsidRPr="00D618B7">
              <w:rPr>
                <w:color w:val="000000"/>
              </w:rPr>
              <w:t>681.58</w:t>
            </w:r>
          </w:p>
        </w:tc>
        <w:tc>
          <w:tcPr>
            <w:tcW w:w="962" w:type="pct"/>
            <w:tcBorders>
              <w:top w:val="nil"/>
              <w:left w:val="nil"/>
              <w:bottom w:val="nil"/>
              <w:right w:val="nil"/>
            </w:tcBorders>
            <w:shd w:val="clear" w:color="000000" w:fill="FFFFFF"/>
            <w:noWrap/>
            <w:vAlign w:val="center"/>
            <w:hideMark/>
          </w:tcPr>
          <w:p w14:paraId="4AB56393" w14:textId="77777777" w:rsidR="00B11545" w:rsidRPr="00D618B7" w:rsidRDefault="00B11545" w:rsidP="004B11B7">
            <w:pPr>
              <w:jc w:val="right"/>
              <w:rPr>
                <w:color w:val="000000"/>
              </w:rPr>
            </w:pPr>
            <w:r w:rsidRPr="00D618B7">
              <w:rPr>
                <w:color w:val="000000"/>
              </w:rPr>
              <w:t>2261.27</w:t>
            </w:r>
          </w:p>
        </w:tc>
      </w:tr>
      <w:tr w:rsidR="00B11545" w:rsidRPr="00D618B7" w14:paraId="3E9EA008" w14:textId="77777777" w:rsidTr="004B11B7">
        <w:trPr>
          <w:trHeight w:val="300"/>
        </w:trPr>
        <w:tc>
          <w:tcPr>
            <w:tcW w:w="574" w:type="pct"/>
            <w:tcBorders>
              <w:top w:val="nil"/>
              <w:left w:val="nil"/>
              <w:bottom w:val="nil"/>
              <w:right w:val="nil"/>
            </w:tcBorders>
            <w:shd w:val="clear" w:color="000000" w:fill="FFFFFF"/>
            <w:vAlign w:val="center"/>
            <w:hideMark/>
          </w:tcPr>
          <w:p w14:paraId="11848CE6" w14:textId="77777777" w:rsidR="00B11545" w:rsidRPr="00D618B7" w:rsidRDefault="00B11545" w:rsidP="004B11B7">
            <w:pPr>
              <w:rPr>
                <w:color w:val="000000"/>
              </w:rPr>
            </w:pPr>
            <w:r w:rsidRPr="00D618B7">
              <w:rPr>
                <w:color w:val="000000"/>
              </w:rPr>
              <w:t>Face</w:t>
            </w:r>
          </w:p>
        </w:tc>
        <w:tc>
          <w:tcPr>
            <w:tcW w:w="589" w:type="pct"/>
            <w:tcBorders>
              <w:top w:val="nil"/>
              <w:left w:val="nil"/>
              <w:bottom w:val="nil"/>
              <w:right w:val="nil"/>
            </w:tcBorders>
            <w:shd w:val="clear" w:color="000000" w:fill="FFFFFF"/>
            <w:noWrap/>
            <w:vAlign w:val="center"/>
            <w:hideMark/>
          </w:tcPr>
          <w:p w14:paraId="251E1A70" w14:textId="77777777" w:rsidR="00B11545" w:rsidRPr="00D618B7" w:rsidRDefault="00B11545" w:rsidP="004B11B7">
            <w:pPr>
              <w:jc w:val="right"/>
              <w:rPr>
                <w:color w:val="000000"/>
              </w:rPr>
            </w:pPr>
            <w:r w:rsidRPr="00D618B7">
              <w:rPr>
                <w:color w:val="000000"/>
              </w:rPr>
              <w:t>-20.49</w:t>
            </w:r>
          </w:p>
        </w:tc>
        <w:tc>
          <w:tcPr>
            <w:tcW w:w="758" w:type="pct"/>
            <w:tcBorders>
              <w:top w:val="nil"/>
              <w:left w:val="nil"/>
              <w:bottom w:val="nil"/>
              <w:right w:val="nil"/>
            </w:tcBorders>
            <w:shd w:val="clear" w:color="000000" w:fill="FFFFFF"/>
            <w:noWrap/>
            <w:vAlign w:val="center"/>
            <w:hideMark/>
          </w:tcPr>
          <w:p w14:paraId="0EE90E16" w14:textId="77777777" w:rsidR="00B11545" w:rsidRPr="00D618B7" w:rsidRDefault="00B11545" w:rsidP="004B11B7">
            <w:pPr>
              <w:jc w:val="right"/>
              <w:rPr>
                <w:color w:val="000000"/>
              </w:rPr>
            </w:pPr>
            <w:r w:rsidRPr="00D618B7">
              <w:rPr>
                <w:color w:val="000000"/>
              </w:rPr>
              <w:t>2229.59</w:t>
            </w:r>
          </w:p>
        </w:tc>
        <w:tc>
          <w:tcPr>
            <w:tcW w:w="698" w:type="pct"/>
            <w:tcBorders>
              <w:top w:val="nil"/>
              <w:left w:val="nil"/>
              <w:bottom w:val="nil"/>
              <w:right w:val="nil"/>
            </w:tcBorders>
            <w:shd w:val="clear" w:color="000000" w:fill="FFFFFF"/>
            <w:noWrap/>
            <w:vAlign w:val="center"/>
            <w:hideMark/>
          </w:tcPr>
          <w:p w14:paraId="1DCE1BD7" w14:textId="77777777" w:rsidR="00B11545" w:rsidRPr="00D618B7" w:rsidRDefault="00B11545" w:rsidP="004B11B7">
            <w:pPr>
              <w:jc w:val="right"/>
              <w:rPr>
                <w:color w:val="000000"/>
              </w:rPr>
            </w:pPr>
            <w:r w:rsidRPr="00D618B7">
              <w:rPr>
                <w:color w:val="000000"/>
              </w:rPr>
              <w:t>236.11</w:t>
            </w:r>
          </w:p>
        </w:tc>
        <w:tc>
          <w:tcPr>
            <w:tcW w:w="713" w:type="pct"/>
            <w:tcBorders>
              <w:top w:val="nil"/>
              <w:left w:val="nil"/>
              <w:bottom w:val="nil"/>
              <w:right w:val="nil"/>
            </w:tcBorders>
            <w:shd w:val="clear" w:color="000000" w:fill="FFFFFF"/>
            <w:noWrap/>
            <w:vAlign w:val="center"/>
            <w:hideMark/>
          </w:tcPr>
          <w:p w14:paraId="070EC347" w14:textId="77777777" w:rsidR="00B11545" w:rsidRPr="00D618B7" w:rsidRDefault="00B11545" w:rsidP="004B11B7">
            <w:pPr>
              <w:jc w:val="right"/>
              <w:rPr>
                <w:color w:val="000000"/>
              </w:rPr>
            </w:pPr>
            <w:r w:rsidRPr="00D618B7">
              <w:rPr>
                <w:color w:val="000000"/>
              </w:rPr>
              <w:t>2228.63</w:t>
            </w:r>
          </w:p>
        </w:tc>
        <w:tc>
          <w:tcPr>
            <w:tcW w:w="705" w:type="pct"/>
            <w:tcBorders>
              <w:top w:val="nil"/>
              <w:left w:val="nil"/>
              <w:bottom w:val="nil"/>
              <w:right w:val="nil"/>
            </w:tcBorders>
            <w:shd w:val="clear" w:color="000000" w:fill="FFFFFF"/>
            <w:noWrap/>
            <w:vAlign w:val="center"/>
            <w:hideMark/>
          </w:tcPr>
          <w:p w14:paraId="5C6628CC" w14:textId="77777777" w:rsidR="00B11545" w:rsidRPr="00D618B7" w:rsidRDefault="00B11545" w:rsidP="004B11B7">
            <w:pPr>
              <w:jc w:val="right"/>
              <w:rPr>
                <w:color w:val="000000"/>
              </w:rPr>
            </w:pPr>
            <w:r w:rsidRPr="00D618B7">
              <w:rPr>
                <w:color w:val="000000"/>
              </w:rPr>
              <w:t>495.82</w:t>
            </w:r>
          </w:p>
        </w:tc>
        <w:tc>
          <w:tcPr>
            <w:tcW w:w="962" w:type="pct"/>
            <w:tcBorders>
              <w:top w:val="nil"/>
              <w:left w:val="nil"/>
              <w:bottom w:val="nil"/>
              <w:right w:val="nil"/>
            </w:tcBorders>
            <w:shd w:val="clear" w:color="000000" w:fill="FFFFFF"/>
            <w:noWrap/>
            <w:vAlign w:val="center"/>
            <w:hideMark/>
          </w:tcPr>
          <w:p w14:paraId="5638082E" w14:textId="77777777" w:rsidR="00B11545" w:rsidRPr="00D618B7" w:rsidRDefault="00B11545" w:rsidP="004B11B7">
            <w:pPr>
              <w:jc w:val="right"/>
              <w:rPr>
                <w:color w:val="000000"/>
              </w:rPr>
            </w:pPr>
            <w:r w:rsidRPr="00D618B7">
              <w:rPr>
                <w:color w:val="000000"/>
              </w:rPr>
              <w:t>2229.63</w:t>
            </w:r>
          </w:p>
        </w:tc>
      </w:tr>
      <w:tr w:rsidR="00B11545" w:rsidRPr="00D618B7" w14:paraId="5ECB62B0" w14:textId="77777777" w:rsidTr="004B11B7">
        <w:trPr>
          <w:trHeight w:val="315"/>
        </w:trPr>
        <w:tc>
          <w:tcPr>
            <w:tcW w:w="574" w:type="pct"/>
            <w:tcBorders>
              <w:top w:val="nil"/>
              <w:left w:val="nil"/>
              <w:bottom w:val="single" w:sz="8" w:space="0" w:color="auto"/>
              <w:right w:val="nil"/>
            </w:tcBorders>
            <w:shd w:val="clear" w:color="000000" w:fill="FFFFFF"/>
            <w:vAlign w:val="center"/>
            <w:hideMark/>
          </w:tcPr>
          <w:p w14:paraId="666E2C25" w14:textId="77777777" w:rsidR="00B11545" w:rsidRPr="00D618B7" w:rsidRDefault="00B11545" w:rsidP="004B11B7">
            <w:pPr>
              <w:rPr>
                <w:color w:val="000000"/>
              </w:rPr>
            </w:pPr>
            <w:r w:rsidRPr="00D618B7">
              <w:rPr>
                <w:color w:val="000000"/>
              </w:rPr>
              <w:t>Mouth</w:t>
            </w:r>
          </w:p>
        </w:tc>
        <w:tc>
          <w:tcPr>
            <w:tcW w:w="589" w:type="pct"/>
            <w:tcBorders>
              <w:top w:val="nil"/>
              <w:left w:val="nil"/>
              <w:bottom w:val="single" w:sz="8" w:space="0" w:color="auto"/>
              <w:right w:val="nil"/>
            </w:tcBorders>
            <w:shd w:val="clear" w:color="000000" w:fill="FFFFFF"/>
            <w:noWrap/>
            <w:vAlign w:val="center"/>
            <w:hideMark/>
          </w:tcPr>
          <w:p w14:paraId="2BA06E18" w14:textId="77777777" w:rsidR="00B11545" w:rsidRPr="00D618B7" w:rsidRDefault="00B11545" w:rsidP="004B11B7">
            <w:pPr>
              <w:jc w:val="right"/>
              <w:rPr>
                <w:color w:val="000000"/>
              </w:rPr>
            </w:pPr>
            <w:r w:rsidRPr="00D618B7">
              <w:rPr>
                <w:color w:val="000000"/>
              </w:rPr>
              <w:t>21829.24</w:t>
            </w:r>
          </w:p>
        </w:tc>
        <w:tc>
          <w:tcPr>
            <w:tcW w:w="758" w:type="pct"/>
            <w:tcBorders>
              <w:top w:val="nil"/>
              <w:left w:val="nil"/>
              <w:bottom w:val="single" w:sz="8" w:space="0" w:color="auto"/>
              <w:right w:val="nil"/>
            </w:tcBorders>
            <w:shd w:val="clear" w:color="000000" w:fill="FFFFFF"/>
            <w:noWrap/>
            <w:vAlign w:val="center"/>
            <w:hideMark/>
          </w:tcPr>
          <w:p w14:paraId="44AC62B7" w14:textId="77777777" w:rsidR="00B11545" w:rsidRPr="00D618B7" w:rsidRDefault="00B11545" w:rsidP="004B11B7">
            <w:pPr>
              <w:jc w:val="right"/>
              <w:rPr>
                <w:color w:val="000000"/>
              </w:rPr>
            </w:pPr>
            <w:r w:rsidRPr="00D618B7">
              <w:rPr>
                <w:color w:val="000000"/>
              </w:rPr>
              <w:t>2259.26</w:t>
            </w:r>
          </w:p>
        </w:tc>
        <w:tc>
          <w:tcPr>
            <w:tcW w:w="698" w:type="pct"/>
            <w:tcBorders>
              <w:top w:val="nil"/>
              <w:left w:val="nil"/>
              <w:bottom w:val="single" w:sz="8" w:space="0" w:color="auto"/>
              <w:right w:val="nil"/>
            </w:tcBorders>
            <w:shd w:val="clear" w:color="000000" w:fill="FFFFFF"/>
            <w:noWrap/>
            <w:vAlign w:val="center"/>
            <w:hideMark/>
          </w:tcPr>
          <w:p w14:paraId="2453D1B6" w14:textId="77777777" w:rsidR="00B11545" w:rsidRPr="00D618B7" w:rsidRDefault="00B11545" w:rsidP="004B11B7">
            <w:pPr>
              <w:jc w:val="right"/>
              <w:rPr>
                <w:color w:val="000000"/>
              </w:rPr>
            </w:pPr>
            <w:r w:rsidRPr="00D618B7">
              <w:rPr>
                <w:color w:val="000000"/>
              </w:rPr>
              <w:t>2249.25</w:t>
            </w:r>
          </w:p>
        </w:tc>
        <w:tc>
          <w:tcPr>
            <w:tcW w:w="713" w:type="pct"/>
            <w:tcBorders>
              <w:top w:val="nil"/>
              <w:left w:val="nil"/>
              <w:bottom w:val="single" w:sz="8" w:space="0" w:color="auto"/>
              <w:right w:val="nil"/>
            </w:tcBorders>
            <w:shd w:val="clear" w:color="000000" w:fill="FFFFFF"/>
            <w:noWrap/>
            <w:vAlign w:val="center"/>
            <w:hideMark/>
          </w:tcPr>
          <w:p w14:paraId="3EA0F4AE" w14:textId="77777777" w:rsidR="00B11545" w:rsidRPr="00D618B7" w:rsidRDefault="00B11545" w:rsidP="004B11B7">
            <w:pPr>
              <w:jc w:val="right"/>
              <w:rPr>
                <w:color w:val="000000"/>
              </w:rPr>
            </w:pPr>
            <w:r w:rsidRPr="00D618B7">
              <w:rPr>
                <w:color w:val="000000"/>
              </w:rPr>
              <w:t>2243.39</w:t>
            </w:r>
          </w:p>
        </w:tc>
        <w:tc>
          <w:tcPr>
            <w:tcW w:w="705" w:type="pct"/>
            <w:tcBorders>
              <w:top w:val="nil"/>
              <w:left w:val="nil"/>
              <w:bottom w:val="single" w:sz="8" w:space="0" w:color="auto"/>
              <w:right w:val="nil"/>
            </w:tcBorders>
            <w:shd w:val="clear" w:color="000000" w:fill="FFFFFF"/>
            <w:noWrap/>
            <w:vAlign w:val="center"/>
            <w:hideMark/>
          </w:tcPr>
          <w:p w14:paraId="3FD78E94" w14:textId="77777777" w:rsidR="00B11545" w:rsidRPr="00D618B7" w:rsidRDefault="00B11545" w:rsidP="004B11B7">
            <w:pPr>
              <w:jc w:val="right"/>
              <w:rPr>
                <w:color w:val="000000"/>
              </w:rPr>
            </w:pPr>
            <w:r w:rsidRPr="00D618B7">
              <w:rPr>
                <w:color w:val="000000"/>
              </w:rPr>
              <w:t>9229.84</w:t>
            </w:r>
          </w:p>
        </w:tc>
        <w:tc>
          <w:tcPr>
            <w:tcW w:w="962" w:type="pct"/>
            <w:tcBorders>
              <w:top w:val="nil"/>
              <w:left w:val="nil"/>
              <w:bottom w:val="single" w:sz="8" w:space="0" w:color="auto"/>
              <w:right w:val="nil"/>
            </w:tcBorders>
            <w:shd w:val="clear" w:color="000000" w:fill="FFFFFF"/>
            <w:noWrap/>
            <w:vAlign w:val="center"/>
            <w:hideMark/>
          </w:tcPr>
          <w:p w14:paraId="4B8595A9" w14:textId="77777777" w:rsidR="00B11545" w:rsidRPr="00D618B7" w:rsidRDefault="00B11545" w:rsidP="004B11B7">
            <w:pPr>
              <w:jc w:val="right"/>
              <w:rPr>
                <w:color w:val="000000"/>
              </w:rPr>
            </w:pPr>
            <w:r w:rsidRPr="00D618B7">
              <w:rPr>
                <w:color w:val="000000"/>
              </w:rPr>
              <w:t>2233.07</w:t>
            </w:r>
          </w:p>
        </w:tc>
      </w:tr>
    </w:tbl>
    <w:p w14:paraId="00123223" w14:textId="77777777" w:rsidR="00B11545" w:rsidRPr="00D618B7" w:rsidRDefault="00B11545" w:rsidP="00B11545">
      <w:pPr>
        <w:rPr>
          <w:i/>
          <w:iCs/>
        </w:rPr>
      </w:pPr>
    </w:p>
    <w:p w14:paraId="551A2A20" w14:textId="77777777" w:rsidR="00B11545" w:rsidRPr="00D618B7" w:rsidRDefault="00B11545" w:rsidP="00B11545">
      <w:r w:rsidRPr="00D618B7">
        <w:rPr>
          <w:i/>
          <w:iCs/>
        </w:rPr>
        <w:t>Note</w:t>
      </w:r>
      <w:r w:rsidRPr="00D618B7">
        <w:t>: This table lists the estimated mean summed duration and standard errors for hand, face, and mouth events for toy-out-of-reach, toy-moving-into-reach, and toy-in-reach.</w:t>
      </w:r>
    </w:p>
    <w:p w14:paraId="254B7685" w14:textId="77777777" w:rsidR="00B11545" w:rsidRPr="00D618B7" w:rsidRDefault="00B11545" w:rsidP="00B11545"/>
    <w:p w14:paraId="5ECA45D0" w14:textId="2175866E" w:rsidR="00B11545" w:rsidRPr="00D618B7" w:rsidRDefault="00B11545" w:rsidP="00B11545">
      <w:r w:rsidRPr="00D618B7">
        <w:br w:type="page"/>
      </w:r>
    </w:p>
    <w:p w14:paraId="5B0E93F2" w14:textId="3E67C62F" w:rsidR="00B11545" w:rsidRPr="00D618B7" w:rsidRDefault="004B7288" w:rsidP="007C5074">
      <w:pPr>
        <w:pStyle w:val="Caption"/>
      </w:pPr>
      <w:bookmarkStart w:id="156" w:name="_Toc172716853"/>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25</w:t>
      </w:r>
      <w:r w:rsidR="00000000">
        <w:rPr>
          <w:noProof/>
        </w:rPr>
        <w:fldChar w:fldCharType="end"/>
      </w:r>
      <w:r w:rsidR="008839D5" w:rsidRPr="00D618B7">
        <w:t xml:space="preserve">: </w:t>
      </w:r>
      <w:r w:rsidR="008839D5" w:rsidRPr="00D618B7">
        <w:rPr>
          <w:rFonts w:eastAsia="Aptos"/>
        </w:rPr>
        <w:t>Event summed duration by proximity and week</w:t>
      </w:r>
      <w:bookmarkEnd w:id="156"/>
    </w:p>
    <w:p w14:paraId="594E9DA1" w14:textId="77777777" w:rsidR="00B11545" w:rsidRPr="00D618B7" w:rsidRDefault="00B11545" w:rsidP="00B11545">
      <w:r w:rsidRPr="00D618B7">
        <w:t>Estimated Mean Summed Duration of Events by Proximity and Week</w:t>
      </w:r>
    </w:p>
    <w:tbl>
      <w:tblPr>
        <w:tblW w:w="5000" w:type="pct"/>
        <w:tblLook w:val="04A0" w:firstRow="1" w:lastRow="0" w:firstColumn="1" w:lastColumn="0" w:noHBand="0" w:noVBand="1"/>
      </w:tblPr>
      <w:tblGrid>
        <w:gridCol w:w="813"/>
        <w:gridCol w:w="1116"/>
        <w:gridCol w:w="1649"/>
        <w:gridCol w:w="1116"/>
        <w:gridCol w:w="1528"/>
        <w:gridCol w:w="1116"/>
        <w:gridCol w:w="1302"/>
      </w:tblGrid>
      <w:tr w:rsidR="00B11545" w:rsidRPr="00D618B7" w14:paraId="55575C9E" w14:textId="77777777" w:rsidTr="004B11B7">
        <w:trPr>
          <w:trHeight w:val="326"/>
        </w:trPr>
        <w:tc>
          <w:tcPr>
            <w:tcW w:w="533" w:type="pct"/>
            <w:tcBorders>
              <w:top w:val="single" w:sz="4" w:space="0" w:color="auto"/>
              <w:left w:val="nil"/>
              <w:bottom w:val="nil"/>
              <w:right w:val="nil"/>
            </w:tcBorders>
            <w:shd w:val="clear" w:color="000000" w:fill="FFFFFF"/>
            <w:vAlign w:val="center"/>
            <w:hideMark/>
          </w:tcPr>
          <w:p w14:paraId="380206DA" w14:textId="77777777" w:rsidR="00B11545" w:rsidRPr="00D618B7" w:rsidRDefault="00B11545" w:rsidP="004B11B7">
            <w:pPr>
              <w:rPr>
                <w:color w:val="000000"/>
              </w:rPr>
            </w:pPr>
            <w:r w:rsidRPr="00D618B7">
              <w:rPr>
                <w:color w:val="000000"/>
              </w:rPr>
              <w:t>Week</w:t>
            </w:r>
          </w:p>
        </w:tc>
        <w:tc>
          <w:tcPr>
            <w:tcW w:w="1634" w:type="pct"/>
            <w:gridSpan w:val="2"/>
            <w:tcBorders>
              <w:top w:val="single" w:sz="4" w:space="0" w:color="auto"/>
              <w:left w:val="nil"/>
              <w:bottom w:val="single" w:sz="8" w:space="0" w:color="auto"/>
              <w:right w:val="nil"/>
            </w:tcBorders>
            <w:shd w:val="clear" w:color="000000" w:fill="FFFFFF"/>
            <w:vAlign w:val="center"/>
            <w:hideMark/>
          </w:tcPr>
          <w:p w14:paraId="40CD991C" w14:textId="77777777" w:rsidR="00B11545" w:rsidRPr="00D618B7" w:rsidRDefault="00B11545" w:rsidP="004B11B7">
            <w:pPr>
              <w:jc w:val="center"/>
              <w:rPr>
                <w:color w:val="000000"/>
              </w:rPr>
            </w:pPr>
            <w:r w:rsidRPr="00D618B7">
              <w:rPr>
                <w:color w:val="000000"/>
              </w:rPr>
              <w:t>Toy-out-of-Reach</w:t>
            </w:r>
          </w:p>
        </w:tc>
        <w:tc>
          <w:tcPr>
            <w:tcW w:w="1522" w:type="pct"/>
            <w:gridSpan w:val="2"/>
            <w:tcBorders>
              <w:top w:val="single" w:sz="4" w:space="0" w:color="auto"/>
              <w:left w:val="nil"/>
              <w:bottom w:val="single" w:sz="8" w:space="0" w:color="auto"/>
              <w:right w:val="nil"/>
            </w:tcBorders>
            <w:shd w:val="clear" w:color="000000" w:fill="FFFFFF"/>
            <w:vAlign w:val="center"/>
            <w:hideMark/>
          </w:tcPr>
          <w:p w14:paraId="2A779EB1" w14:textId="77777777" w:rsidR="00B11545" w:rsidRPr="00D618B7" w:rsidRDefault="00B11545" w:rsidP="004B11B7">
            <w:pPr>
              <w:jc w:val="center"/>
              <w:rPr>
                <w:color w:val="000000"/>
              </w:rPr>
            </w:pPr>
            <w:r w:rsidRPr="00D618B7">
              <w:rPr>
                <w:color w:val="000000"/>
              </w:rPr>
              <w:t>Toy-Moving-into-Reach</w:t>
            </w:r>
          </w:p>
        </w:tc>
        <w:tc>
          <w:tcPr>
            <w:tcW w:w="1311" w:type="pct"/>
            <w:gridSpan w:val="2"/>
            <w:tcBorders>
              <w:top w:val="single" w:sz="4" w:space="0" w:color="auto"/>
              <w:left w:val="nil"/>
              <w:bottom w:val="single" w:sz="8" w:space="0" w:color="auto"/>
              <w:right w:val="nil"/>
            </w:tcBorders>
            <w:shd w:val="clear" w:color="000000" w:fill="FFFFFF"/>
            <w:vAlign w:val="center"/>
            <w:hideMark/>
          </w:tcPr>
          <w:p w14:paraId="4A0FA5C5" w14:textId="77777777" w:rsidR="00B11545" w:rsidRPr="00D618B7" w:rsidRDefault="00B11545" w:rsidP="004B11B7">
            <w:pPr>
              <w:jc w:val="center"/>
              <w:rPr>
                <w:color w:val="000000"/>
              </w:rPr>
            </w:pPr>
            <w:r w:rsidRPr="00D618B7">
              <w:rPr>
                <w:color w:val="000000"/>
              </w:rPr>
              <w:t>Toy-in-Reach</w:t>
            </w:r>
          </w:p>
        </w:tc>
      </w:tr>
      <w:tr w:rsidR="00B11545" w:rsidRPr="00D618B7" w14:paraId="5BB3075B" w14:textId="77777777" w:rsidTr="004B11B7">
        <w:trPr>
          <w:trHeight w:val="326"/>
        </w:trPr>
        <w:tc>
          <w:tcPr>
            <w:tcW w:w="533" w:type="pct"/>
            <w:tcBorders>
              <w:top w:val="nil"/>
              <w:left w:val="nil"/>
              <w:bottom w:val="single" w:sz="8" w:space="0" w:color="auto"/>
              <w:right w:val="nil"/>
            </w:tcBorders>
            <w:shd w:val="clear" w:color="000000" w:fill="FFFFFF"/>
            <w:noWrap/>
            <w:vAlign w:val="bottom"/>
            <w:hideMark/>
          </w:tcPr>
          <w:p w14:paraId="13890260" w14:textId="77777777" w:rsidR="00B11545" w:rsidRPr="00D618B7" w:rsidRDefault="00B11545" w:rsidP="004B11B7">
            <w:pPr>
              <w:rPr>
                <w:color w:val="000000"/>
              </w:rPr>
            </w:pPr>
            <w:r w:rsidRPr="00D618B7">
              <w:rPr>
                <w:color w:val="000000"/>
              </w:rPr>
              <w:t> </w:t>
            </w:r>
          </w:p>
        </w:tc>
        <w:tc>
          <w:tcPr>
            <w:tcW w:w="617" w:type="pct"/>
            <w:tcBorders>
              <w:top w:val="nil"/>
              <w:left w:val="nil"/>
              <w:bottom w:val="single" w:sz="8" w:space="0" w:color="auto"/>
              <w:right w:val="nil"/>
            </w:tcBorders>
            <w:shd w:val="clear" w:color="000000" w:fill="FFFFFF"/>
            <w:noWrap/>
            <w:vAlign w:val="center"/>
            <w:hideMark/>
          </w:tcPr>
          <w:p w14:paraId="0A2CE2B6" w14:textId="77777777" w:rsidR="00B11545" w:rsidRPr="00D618B7" w:rsidRDefault="00B11545" w:rsidP="004B11B7">
            <w:pPr>
              <w:jc w:val="right"/>
              <w:rPr>
                <w:color w:val="000000"/>
              </w:rPr>
            </w:pPr>
            <w:r w:rsidRPr="00D618B7">
              <w:rPr>
                <w:color w:val="000000"/>
              </w:rPr>
              <w:t>Mean</w:t>
            </w:r>
          </w:p>
        </w:tc>
        <w:tc>
          <w:tcPr>
            <w:tcW w:w="1017" w:type="pct"/>
            <w:tcBorders>
              <w:top w:val="nil"/>
              <w:left w:val="nil"/>
              <w:bottom w:val="single" w:sz="8" w:space="0" w:color="auto"/>
              <w:right w:val="nil"/>
            </w:tcBorders>
            <w:shd w:val="clear" w:color="000000" w:fill="FFFFFF"/>
            <w:noWrap/>
            <w:vAlign w:val="center"/>
            <w:hideMark/>
          </w:tcPr>
          <w:p w14:paraId="77021EAE" w14:textId="77777777" w:rsidR="00B11545" w:rsidRPr="00D618B7" w:rsidRDefault="00B11545" w:rsidP="004B11B7">
            <w:pPr>
              <w:jc w:val="right"/>
              <w:rPr>
                <w:color w:val="000000"/>
              </w:rPr>
            </w:pPr>
            <w:r w:rsidRPr="00D618B7">
              <w:rPr>
                <w:color w:val="000000"/>
              </w:rPr>
              <w:t>Std. Error</w:t>
            </w:r>
          </w:p>
        </w:tc>
        <w:tc>
          <w:tcPr>
            <w:tcW w:w="575" w:type="pct"/>
            <w:tcBorders>
              <w:top w:val="nil"/>
              <w:left w:val="nil"/>
              <w:bottom w:val="single" w:sz="8" w:space="0" w:color="auto"/>
              <w:right w:val="nil"/>
            </w:tcBorders>
            <w:shd w:val="clear" w:color="000000" w:fill="FFFFFF"/>
            <w:noWrap/>
            <w:vAlign w:val="center"/>
            <w:hideMark/>
          </w:tcPr>
          <w:p w14:paraId="275FECC1" w14:textId="77777777" w:rsidR="00B11545" w:rsidRPr="00D618B7" w:rsidRDefault="00B11545" w:rsidP="004B11B7">
            <w:pPr>
              <w:jc w:val="right"/>
              <w:rPr>
                <w:color w:val="000000"/>
              </w:rPr>
            </w:pPr>
            <w:r w:rsidRPr="00D618B7">
              <w:rPr>
                <w:color w:val="000000"/>
              </w:rPr>
              <w:t>Mean</w:t>
            </w:r>
          </w:p>
        </w:tc>
        <w:tc>
          <w:tcPr>
            <w:tcW w:w="947" w:type="pct"/>
            <w:tcBorders>
              <w:top w:val="nil"/>
              <w:left w:val="nil"/>
              <w:bottom w:val="single" w:sz="8" w:space="0" w:color="auto"/>
              <w:right w:val="nil"/>
            </w:tcBorders>
            <w:shd w:val="clear" w:color="000000" w:fill="FFFFFF"/>
            <w:noWrap/>
            <w:vAlign w:val="center"/>
            <w:hideMark/>
          </w:tcPr>
          <w:p w14:paraId="260A5F30" w14:textId="77777777" w:rsidR="00B11545" w:rsidRPr="00D618B7" w:rsidRDefault="00B11545" w:rsidP="004B11B7">
            <w:pPr>
              <w:jc w:val="right"/>
              <w:rPr>
                <w:color w:val="000000"/>
              </w:rPr>
            </w:pPr>
            <w:r w:rsidRPr="00D618B7">
              <w:rPr>
                <w:color w:val="000000"/>
              </w:rPr>
              <w:t>Std. Error</w:t>
            </w:r>
          </w:p>
        </w:tc>
        <w:tc>
          <w:tcPr>
            <w:tcW w:w="495" w:type="pct"/>
            <w:tcBorders>
              <w:top w:val="nil"/>
              <w:left w:val="nil"/>
              <w:bottom w:val="single" w:sz="8" w:space="0" w:color="auto"/>
              <w:right w:val="nil"/>
            </w:tcBorders>
            <w:shd w:val="clear" w:color="000000" w:fill="FFFFFF"/>
            <w:noWrap/>
            <w:vAlign w:val="center"/>
            <w:hideMark/>
          </w:tcPr>
          <w:p w14:paraId="76F27B51" w14:textId="77777777" w:rsidR="00B11545" w:rsidRPr="00D618B7" w:rsidRDefault="00B11545" w:rsidP="004B11B7">
            <w:pPr>
              <w:jc w:val="right"/>
              <w:rPr>
                <w:color w:val="000000"/>
              </w:rPr>
            </w:pPr>
            <w:r w:rsidRPr="00D618B7">
              <w:rPr>
                <w:color w:val="000000"/>
              </w:rPr>
              <w:t>Mean</w:t>
            </w:r>
          </w:p>
        </w:tc>
        <w:tc>
          <w:tcPr>
            <w:tcW w:w="816" w:type="pct"/>
            <w:tcBorders>
              <w:top w:val="nil"/>
              <w:left w:val="nil"/>
              <w:bottom w:val="single" w:sz="8" w:space="0" w:color="auto"/>
              <w:right w:val="nil"/>
            </w:tcBorders>
            <w:shd w:val="clear" w:color="000000" w:fill="FFFFFF"/>
            <w:noWrap/>
            <w:vAlign w:val="center"/>
            <w:hideMark/>
          </w:tcPr>
          <w:p w14:paraId="4F71CC2F" w14:textId="77777777" w:rsidR="00B11545" w:rsidRPr="00D618B7" w:rsidRDefault="00B11545" w:rsidP="004B11B7">
            <w:pPr>
              <w:jc w:val="right"/>
              <w:rPr>
                <w:color w:val="000000"/>
              </w:rPr>
            </w:pPr>
            <w:r w:rsidRPr="00D618B7">
              <w:rPr>
                <w:color w:val="000000"/>
              </w:rPr>
              <w:t>Std. Error</w:t>
            </w:r>
          </w:p>
        </w:tc>
      </w:tr>
      <w:tr w:rsidR="00B11545" w:rsidRPr="00D618B7" w14:paraId="41594893" w14:textId="77777777" w:rsidTr="004B11B7">
        <w:trPr>
          <w:trHeight w:val="326"/>
        </w:trPr>
        <w:tc>
          <w:tcPr>
            <w:tcW w:w="533" w:type="pct"/>
            <w:tcBorders>
              <w:top w:val="nil"/>
              <w:left w:val="nil"/>
              <w:bottom w:val="nil"/>
              <w:right w:val="nil"/>
            </w:tcBorders>
            <w:shd w:val="clear" w:color="000000" w:fill="FFFFFF"/>
            <w:vAlign w:val="center"/>
            <w:hideMark/>
          </w:tcPr>
          <w:p w14:paraId="7E2E178E" w14:textId="77777777" w:rsidR="00B11545" w:rsidRPr="00D618B7" w:rsidRDefault="00B11545" w:rsidP="004B11B7">
            <w:pPr>
              <w:jc w:val="right"/>
              <w:rPr>
                <w:color w:val="000000"/>
              </w:rPr>
            </w:pPr>
            <w:r w:rsidRPr="00D618B7">
              <w:rPr>
                <w:color w:val="000000"/>
              </w:rPr>
              <w:t>-5</w:t>
            </w:r>
          </w:p>
        </w:tc>
        <w:tc>
          <w:tcPr>
            <w:tcW w:w="617" w:type="pct"/>
            <w:tcBorders>
              <w:top w:val="nil"/>
              <w:left w:val="nil"/>
              <w:bottom w:val="nil"/>
              <w:right w:val="nil"/>
            </w:tcBorders>
            <w:shd w:val="clear" w:color="000000" w:fill="FFFFFF"/>
            <w:noWrap/>
            <w:vAlign w:val="center"/>
            <w:hideMark/>
          </w:tcPr>
          <w:p w14:paraId="494A9932" w14:textId="77777777" w:rsidR="00B11545" w:rsidRPr="00D618B7" w:rsidRDefault="00B11545" w:rsidP="004B11B7">
            <w:pPr>
              <w:jc w:val="right"/>
              <w:rPr>
                <w:color w:val="000000"/>
              </w:rPr>
            </w:pPr>
            <w:r w:rsidRPr="00D618B7">
              <w:rPr>
                <w:color w:val="000000"/>
              </w:rPr>
              <w:t>6824.17</w:t>
            </w:r>
          </w:p>
        </w:tc>
        <w:tc>
          <w:tcPr>
            <w:tcW w:w="1017" w:type="pct"/>
            <w:tcBorders>
              <w:top w:val="nil"/>
              <w:left w:val="nil"/>
              <w:bottom w:val="nil"/>
              <w:right w:val="nil"/>
            </w:tcBorders>
            <w:shd w:val="clear" w:color="000000" w:fill="FFFFFF"/>
            <w:noWrap/>
            <w:vAlign w:val="center"/>
            <w:hideMark/>
          </w:tcPr>
          <w:p w14:paraId="4DE401AF" w14:textId="77777777" w:rsidR="00B11545" w:rsidRPr="00D618B7" w:rsidRDefault="00B11545" w:rsidP="004B11B7">
            <w:pPr>
              <w:jc w:val="right"/>
              <w:rPr>
                <w:color w:val="000000"/>
              </w:rPr>
            </w:pPr>
            <w:r w:rsidRPr="00D618B7">
              <w:rPr>
                <w:color w:val="000000"/>
              </w:rPr>
              <w:t>3989.99</w:t>
            </w:r>
          </w:p>
        </w:tc>
        <w:tc>
          <w:tcPr>
            <w:tcW w:w="575" w:type="pct"/>
            <w:tcBorders>
              <w:top w:val="nil"/>
              <w:left w:val="nil"/>
              <w:bottom w:val="nil"/>
              <w:right w:val="nil"/>
            </w:tcBorders>
            <w:shd w:val="clear" w:color="000000" w:fill="FFFFFF"/>
            <w:noWrap/>
            <w:vAlign w:val="center"/>
            <w:hideMark/>
          </w:tcPr>
          <w:p w14:paraId="3F216D57" w14:textId="77777777" w:rsidR="00B11545" w:rsidRPr="00D618B7" w:rsidRDefault="00B11545" w:rsidP="004B11B7">
            <w:pPr>
              <w:jc w:val="right"/>
              <w:rPr>
                <w:color w:val="000000"/>
              </w:rPr>
            </w:pPr>
            <w:r w:rsidRPr="00D618B7">
              <w:rPr>
                <w:color w:val="000000"/>
              </w:rPr>
              <w:t>2620.89</w:t>
            </w:r>
          </w:p>
        </w:tc>
        <w:tc>
          <w:tcPr>
            <w:tcW w:w="947" w:type="pct"/>
            <w:tcBorders>
              <w:top w:val="nil"/>
              <w:left w:val="nil"/>
              <w:bottom w:val="nil"/>
              <w:right w:val="nil"/>
            </w:tcBorders>
            <w:shd w:val="clear" w:color="000000" w:fill="FFFFFF"/>
            <w:noWrap/>
            <w:vAlign w:val="center"/>
            <w:hideMark/>
          </w:tcPr>
          <w:p w14:paraId="006C897C" w14:textId="77777777" w:rsidR="00B11545" w:rsidRPr="00D618B7" w:rsidRDefault="00B11545" w:rsidP="004B11B7">
            <w:pPr>
              <w:jc w:val="right"/>
              <w:rPr>
                <w:color w:val="000000"/>
              </w:rPr>
            </w:pPr>
            <w:r w:rsidRPr="00D618B7">
              <w:rPr>
                <w:color w:val="000000"/>
              </w:rPr>
              <w:t>3979.12</w:t>
            </w:r>
          </w:p>
        </w:tc>
        <w:tc>
          <w:tcPr>
            <w:tcW w:w="495" w:type="pct"/>
            <w:tcBorders>
              <w:top w:val="nil"/>
              <w:left w:val="nil"/>
              <w:bottom w:val="nil"/>
              <w:right w:val="nil"/>
            </w:tcBorders>
            <w:shd w:val="clear" w:color="000000" w:fill="FFFFFF"/>
            <w:noWrap/>
            <w:vAlign w:val="center"/>
            <w:hideMark/>
          </w:tcPr>
          <w:p w14:paraId="5EE31C95" w14:textId="77777777" w:rsidR="00B11545" w:rsidRPr="00D618B7" w:rsidRDefault="00B11545" w:rsidP="004B11B7">
            <w:pPr>
              <w:jc w:val="right"/>
              <w:rPr>
                <w:color w:val="000000"/>
              </w:rPr>
            </w:pPr>
            <w:r w:rsidRPr="00D618B7">
              <w:rPr>
                <w:color w:val="000000"/>
              </w:rPr>
              <w:t>3340.54</w:t>
            </w:r>
          </w:p>
        </w:tc>
        <w:tc>
          <w:tcPr>
            <w:tcW w:w="816" w:type="pct"/>
            <w:tcBorders>
              <w:top w:val="nil"/>
              <w:left w:val="nil"/>
              <w:bottom w:val="nil"/>
              <w:right w:val="nil"/>
            </w:tcBorders>
            <w:shd w:val="clear" w:color="000000" w:fill="FFFFFF"/>
            <w:noWrap/>
            <w:vAlign w:val="center"/>
            <w:hideMark/>
          </w:tcPr>
          <w:p w14:paraId="49CC655C" w14:textId="77777777" w:rsidR="00B11545" w:rsidRPr="00D618B7" w:rsidRDefault="00B11545" w:rsidP="004B11B7">
            <w:pPr>
              <w:jc w:val="right"/>
              <w:rPr>
                <w:color w:val="000000"/>
              </w:rPr>
            </w:pPr>
            <w:r w:rsidRPr="00D618B7">
              <w:rPr>
                <w:color w:val="000000"/>
              </w:rPr>
              <w:t>4034.39</w:t>
            </w:r>
          </w:p>
        </w:tc>
      </w:tr>
      <w:tr w:rsidR="00B11545" w:rsidRPr="00D618B7" w14:paraId="794C924D" w14:textId="77777777" w:rsidTr="004B11B7">
        <w:trPr>
          <w:trHeight w:val="326"/>
        </w:trPr>
        <w:tc>
          <w:tcPr>
            <w:tcW w:w="533" w:type="pct"/>
            <w:tcBorders>
              <w:top w:val="nil"/>
              <w:left w:val="nil"/>
              <w:bottom w:val="nil"/>
              <w:right w:val="nil"/>
            </w:tcBorders>
            <w:shd w:val="clear" w:color="000000" w:fill="FFFFFF"/>
            <w:vAlign w:val="center"/>
            <w:hideMark/>
          </w:tcPr>
          <w:p w14:paraId="1941F430" w14:textId="77777777" w:rsidR="00B11545" w:rsidRPr="00D618B7" w:rsidRDefault="00B11545" w:rsidP="004B11B7">
            <w:pPr>
              <w:jc w:val="right"/>
              <w:rPr>
                <w:color w:val="000000"/>
              </w:rPr>
            </w:pPr>
            <w:r w:rsidRPr="00D618B7">
              <w:rPr>
                <w:color w:val="000000"/>
              </w:rPr>
              <w:t>-4</w:t>
            </w:r>
          </w:p>
        </w:tc>
        <w:tc>
          <w:tcPr>
            <w:tcW w:w="617" w:type="pct"/>
            <w:tcBorders>
              <w:top w:val="nil"/>
              <w:left w:val="nil"/>
              <w:bottom w:val="nil"/>
              <w:right w:val="nil"/>
            </w:tcBorders>
            <w:shd w:val="clear" w:color="000000" w:fill="FFFFFF"/>
            <w:noWrap/>
            <w:vAlign w:val="center"/>
            <w:hideMark/>
          </w:tcPr>
          <w:p w14:paraId="1241A58A" w14:textId="77777777" w:rsidR="00B11545" w:rsidRPr="00D618B7" w:rsidRDefault="00B11545" w:rsidP="004B11B7">
            <w:pPr>
              <w:jc w:val="right"/>
              <w:rPr>
                <w:color w:val="000000"/>
              </w:rPr>
            </w:pPr>
            <w:r w:rsidRPr="00D618B7">
              <w:rPr>
                <w:color w:val="000000"/>
              </w:rPr>
              <w:t>-2004.06</w:t>
            </w:r>
          </w:p>
        </w:tc>
        <w:tc>
          <w:tcPr>
            <w:tcW w:w="1017" w:type="pct"/>
            <w:tcBorders>
              <w:top w:val="nil"/>
              <w:left w:val="nil"/>
              <w:bottom w:val="nil"/>
              <w:right w:val="nil"/>
            </w:tcBorders>
            <w:shd w:val="clear" w:color="000000" w:fill="FFFFFF"/>
            <w:noWrap/>
            <w:vAlign w:val="center"/>
            <w:hideMark/>
          </w:tcPr>
          <w:p w14:paraId="7B785946" w14:textId="77777777" w:rsidR="00B11545" w:rsidRPr="00D618B7" w:rsidRDefault="00B11545" w:rsidP="004B11B7">
            <w:pPr>
              <w:jc w:val="right"/>
              <w:rPr>
                <w:color w:val="000000"/>
              </w:rPr>
            </w:pPr>
            <w:r w:rsidRPr="00D618B7">
              <w:rPr>
                <w:color w:val="000000"/>
              </w:rPr>
              <w:t>4089.29</w:t>
            </w:r>
          </w:p>
        </w:tc>
        <w:tc>
          <w:tcPr>
            <w:tcW w:w="575" w:type="pct"/>
            <w:tcBorders>
              <w:top w:val="nil"/>
              <w:left w:val="nil"/>
              <w:bottom w:val="nil"/>
              <w:right w:val="nil"/>
            </w:tcBorders>
            <w:shd w:val="clear" w:color="000000" w:fill="FFFFFF"/>
            <w:noWrap/>
            <w:vAlign w:val="center"/>
            <w:hideMark/>
          </w:tcPr>
          <w:p w14:paraId="5305D0D5" w14:textId="77777777" w:rsidR="00B11545" w:rsidRPr="00D618B7" w:rsidRDefault="00B11545" w:rsidP="004B11B7">
            <w:pPr>
              <w:jc w:val="right"/>
              <w:rPr>
                <w:color w:val="000000"/>
              </w:rPr>
            </w:pPr>
            <w:r w:rsidRPr="00D618B7">
              <w:rPr>
                <w:color w:val="000000"/>
              </w:rPr>
              <w:t>-4970.97</w:t>
            </w:r>
          </w:p>
        </w:tc>
        <w:tc>
          <w:tcPr>
            <w:tcW w:w="947" w:type="pct"/>
            <w:tcBorders>
              <w:top w:val="nil"/>
              <w:left w:val="nil"/>
              <w:bottom w:val="nil"/>
              <w:right w:val="nil"/>
            </w:tcBorders>
            <w:shd w:val="clear" w:color="000000" w:fill="FFFFFF"/>
            <w:noWrap/>
            <w:vAlign w:val="center"/>
            <w:hideMark/>
          </w:tcPr>
          <w:p w14:paraId="212965B4" w14:textId="77777777" w:rsidR="00B11545" w:rsidRPr="00D618B7" w:rsidRDefault="00B11545" w:rsidP="004B11B7">
            <w:pPr>
              <w:jc w:val="right"/>
              <w:rPr>
                <w:color w:val="000000"/>
              </w:rPr>
            </w:pPr>
            <w:r w:rsidRPr="00D618B7">
              <w:rPr>
                <w:color w:val="000000"/>
              </w:rPr>
              <w:t>4061.24</w:t>
            </w:r>
          </w:p>
        </w:tc>
        <w:tc>
          <w:tcPr>
            <w:tcW w:w="495" w:type="pct"/>
            <w:tcBorders>
              <w:top w:val="nil"/>
              <w:left w:val="nil"/>
              <w:bottom w:val="nil"/>
              <w:right w:val="nil"/>
            </w:tcBorders>
            <w:shd w:val="clear" w:color="000000" w:fill="FFFFFF"/>
            <w:noWrap/>
            <w:vAlign w:val="center"/>
            <w:hideMark/>
          </w:tcPr>
          <w:p w14:paraId="4C2F7A90" w14:textId="77777777" w:rsidR="00B11545" w:rsidRPr="00D618B7" w:rsidRDefault="00B11545" w:rsidP="004B11B7">
            <w:pPr>
              <w:jc w:val="right"/>
              <w:rPr>
                <w:color w:val="000000"/>
              </w:rPr>
            </w:pPr>
            <w:r w:rsidRPr="00D618B7">
              <w:rPr>
                <w:color w:val="000000"/>
              </w:rPr>
              <w:t>-345.08</w:t>
            </w:r>
          </w:p>
        </w:tc>
        <w:tc>
          <w:tcPr>
            <w:tcW w:w="816" w:type="pct"/>
            <w:tcBorders>
              <w:top w:val="nil"/>
              <w:left w:val="nil"/>
              <w:bottom w:val="nil"/>
              <w:right w:val="nil"/>
            </w:tcBorders>
            <w:shd w:val="clear" w:color="000000" w:fill="FFFFFF"/>
            <w:noWrap/>
            <w:vAlign w:val="center"/>
            <w:hideMark/>
          </w:tcPr>
          <w:p w14:paraId="547DCDCA" w14:textId="77777777" w:rsidR="00B11545" w:rsidRPr="00D618B7" w:rsidRDefault="00B11545" w:rsidP="004B11B7">
            <w:pPr>
              <w:jc w:val="right"/>
              <w:rPr>
                <w:color w:val="000000"/>
              </w:rPr>
            </w:pPr>
            <w:r w:rsidRPr="00D618B7">
              <w:rPr>
                <w:color w:val="000000"/>
              </w:rPr>
              <w:t>4123.55</w:t>
            </w:r>
          </w:p>
        </w:tc>
      </w:tr>
      <w:tr w:rsidR="00B11545" w:rsidRPr="00D618B7" w14:paraId="20E16E66" w14:textId="77777777" w:rsidTr="004B11B7">
        <w:trPr>
          <w:trHeight w:val="326"/>
        </w:trPr>
        <w:tc>
          <w:tcPr>
            <w:tcW w:w="533" w:type="pct"/>
            <w:tcBorders>
              <w:top w:val="nil"/>
              <w:left w:val="nil"/>
              <w:bottom w:val="nil"/>
              <w:right w:val="nil"/>
            </w:tcBorders>
            <w:shd w:val="clear" w:color="000000" w:fill="FFFFFF"/>
            <w:vAlign w:val="center"/>
            <w:hideMark/>
          </w:tcPr>
          <w:p w14:paraId="09957E99" w14:textId="77777777" w:rsidR="00B11545" w:rsidRPr="00D618B7" w:rsidRDefault="00B11545" w:rsidP="004B11B7">
            <w:pPr>
              <w:jc w:val="right"/>
              <w:rPr>
                <w:color w:val="000000"/>
              </w:rPr>
            </w:pPr>
            <w:r w:rsidRPr="00D618B7">
              <w:rPr>
                <w:color w:val="000000"/>
              </w:rPr>
              <w:t>-3</w:t>
            </w:r>
          </w:p>
        </w:tc>
        <w:tc>
          <w:tcPr>
            <w:tcW w:w="617" w:type="pct"/>
            <w:tcBorders>
              <w:top w:val="nil"/>
              <w:left w:val="nil"/>
              <w:bottom w:val="nil"/>
              <w:right w:val="nil"/>
            </w:tcBorders>
            <w:shd w:val="clear" w:color="000000" w:fill="FFFFFF"/>
            <w:noWrap/>
            <w:vAlign w:val="center"/>
            <w:hideMark/>
          </w:tcPr>
          <w:p w14:paraId="47267957" w14:textId="77777777" w:rsidR="00B11545" w:rsidRPr="00D618B7" w:rsidRDefault="00B11545" w:rsidP="004B11B7">
            <w:pPr>
              <w:jc w:val="right"/>
              <w:rPr>
                <w:color w:val="000000"/>
              </w:rPr>
            </w:pPr>
            <w:r w:rsidRPr="00D618B7">
              <w:rPr>
                <w:color w:val="000000"/>
              </w:rPr>
              <w:t>13509.15</w:t>
            </w:r>
          </w:p>
        </w:tc>
        <w:tc>
          <w:tcPr>
            <w:tcW w:w="1017" w:type="pct"/>
            <w:tcBorders>
              <w:top w:val="nil"/>
              <w:left w:val="nil"/>
              <w:bottom w:val="nil"/>
              <w:right w:val="nil"/>
            </w:tcBorders>
            <w:shd w:val="clear" w:color="000000" w:fill="FFFFFF"/>
            <w:noWrap/>
            <w:vAlign w:val="center"/>
            <w:hideMark/>
          </w:tcPr>
          <w:p w14:paraId="2A09DC91" w14:textId="77777777" w:rsidR="00B11545" w:rsidRPr="00D618B7" w:rsidRDefault="00B11545" w:rsidP="004B11B7">
            <w:pPr>
              <w:jc w:val="right"/>
              <w:rPr>
                <w:color w:val="000000"/>
              </w:rPr>
            </w:pPr>
            <w:r w:rsidRPr="00D618B7">
              <w:rPr>
                <w:color w:val="000000"/>
              </w:rPr>
              <w:t>4113.93</w:t>
            </w:r>
          </w:p>
        </w:tc>
        <w:tc>
          <w:tcPr>
            <w:tcW w:w="575" w:type="pct"/>
            <w:tcBorders>
              <w:top w:val="nil"/>
              <w:left w:val="nil"/>
              <w:bottom w:val="nil"/>
              <w:right w:val="nil"/>
            </w:tcBorders>
            <w:shd w:val="clear" w:color="000000" w:fill="FFFFFF"/>
            <w:noWrap/>
            <w:vAlign w:val="center"/>
            <w:hideMark/>
          </w:tcPr>
          <w:p w14:paraId="575F77F9" w14:textId="77777777" w:rsidR="00B11545" w:rsidRPr="00D618B7" w:rsidRDefault="00B11545" w:rsidP="004B11B7">
            <w:pPr>
              <w:jc w:val="right"/>
              <w:rPr>
                <w:color w:val="000000"/>
              </w:rPr>
            </w:pPr>
            <w:r w:rsidRPr="00D618B7">
              <w:rPr>
                <w:color w:val="000000"/>
              </w:rPr>
              <w:t>3142.85</w:t>
            </w:r>
          </w:p>
        </w:tc>
        <w:tc>
          <w:tcPr>
            <w:tcW w:w="947" w:type="pct"/>
            <w:tcBorders>
              <w:top w:val="nil"/>
              <w:left w:val="nil"/>
              <w:bottom w:val="nil"/>
              <w:right w:val="nil"/>
            </w:tcBorders>
            <w:shd w:val="clear" w:color="000000" w:fill="FFFFFF"/>
            <w:noWrap/>
            <w:vAlign w:val="center"/>
            <w:hideMark/>
          </w:tcPr>
          <w:p w14:paraId="048A685F" w14:textId="77777777" w:rsidR="00B11545" w:rsidRPr="00D618B7" w:rsidRDefault="00B11545" w:rsidP="004B11B7">
            <w:pPr>
              <w:jc w:val="right"/>
              <w:rPr>
                <w:color w:val="000000"/>
              </w:rPr>
            </w:pPr>
            <w:r w:rsidRPr="00D618B7">
              <w:rPr>
                <w:color w:val="000000"/>
              </w:rPr>
              <w:t>4084.64</w:t>
            </w:r>
          </w:p>
        </w:tc>
        <w:tc>
          <w:tcPr>
            <w:tcW w:w="495" w:type="pct"/>
            <w:tcBorders>
              <w:top w:val="nil"/>
              <w:left w:val="nil"/>
              <w:bottom w:val="nil"/>
              <w:right w:val="nil"/>
            </w:tcBorders>
            <w:shd w:val="clear" w:color="000000" w:fill="FFFFFF"/>
            <w:noWrap/>
            <w:vAlign w:val="center"/>
            <w:hideMark/>
          </w:tcPr>
          <w:p w14:paraId="4CD2C0FA" w14:textId="77777777" w:rsidR="00B11545" w:rsidRPr="00D618B7" w:rsidRDefault="00B11545" w:rsidP="004B11B7">
            <w:pPr>
              <w:jc w:val="right"/>
              <w:rPr>
                <w:color w:val="000000"/>
              </w:rPr>
            </w:pPr>
            <w:r w:rsidRPr="00D618B7">
              <w:rPr>
                <w:color w:val="000000"/>
              </w:rPr>
              <w:t>10598.87</w:t>
            </w:r>
          </w:p>
        </w:tc>
        <w:tc>
          <w:tcPr>
            <w:tcW w:w="816" w:type="pct"/>
            <w:tcBorders>
              <w:top w:val="nil"/>
              <w:left w:val="nil"/>
              <w:bottom w:val="nil"/>
              <w:right w:val="nil"/>
            </w:tcBorders>
            <w:shd w:val="clear" w:color="000000" w:fill="FFFFFF"/>
            <w:noWrap/>
            <w:vAlign w:val="center"/>
            <w:hideMark/>
          </w:tcPr>
          <w:p w14:paraId="4C422710" w14:textId="77777777" w:rsidR="00B11545" w:rsidRPr="00D618B7" w:rsidRDefault="00B11545" w:rsidP="004B11B7">
            <w:pPr>
              <w:jc w:val="right"/>
              <w:rPr>
                <w:color w:val="000000"/>
              </w:rPr>
            </w:pPr>
            <w:r w:rsidRPr="00D618B7">
              <w:rPr>
                <w:color w:val="000000"/>
              </w:rPr>
              <w:t>4144.14</w:t>
            </w:r>
          </w:p>
        </w:tc>
      </w:tr>
      <w:tr w:rsidR="00B11545" w:rsidRPr="00D618B7" w14:paraId="59CF0F32" w14:textId="77777777" w:rsidTr="004B11B7">
        <w:trPr>
          <w:trHeight w:val="326"/>
        </w:trPr>
        <w:tc>
          <w:tcPr>
            <w:tcW w:w="533" w:type="pct"/>
            <w:tcBorders>
              <w:top w:val="nil"/>
              <w:left w:val="nil"/>
              <w:bottom w:val="nil"/>
              <w:right w:val="nil"/>
            </w:tcBorders>
            <w:shd w:val="clear" w:color="000000" w:fill="FFFFFF"/>
            <w:vAlign w:val="center"/>
            <w:hideMark/>
          </w:tcPr>
          <w:p w14:paraId="035513E1" w14:textId="77777777" w:rsidR="00B11545" w:rsidRPr="00D618B7" w:rsidRDefault="00B11545" w:rsidP="004B11B7">
            <w:pPr>
              <w:jc w:val="right"/>
              <w:rPr>
                <w:color w:val="000000"/>
              </w:rPr>
            </w:pPr>
            <w:r w:rsidRPr="00D618B7">
              <w:rPr>
                <w:color w:val="000000"/>
              </w:rPr>
              <w:t>-2</w:t>
            </w:r>
          </w:p>
        </w:tc>
        <w:tc>
          <w:tcPr>
            <w:tcW w:w="617" w:type="pct"/>
            <w:tcBorders>
              <w:top w:val="nil"/>
              <w:left w:val="nil"/>
              <w:bottom w:val="nil"/>
              <w:right w:val="nil"/>
            </w:tcBorders>
            <w:shd w:val="clear" w:color="000000" w:fill="FFFFFF"/>
            <w:noWrap/>
            <w:vAlign w:val="center"/>
            <w:hideMark/>
          </w:tcPr>
          <w:p w14:paraId="71E84386" w14:textId="77777777" w:rsidR="00B11545" w:rsidRPr="00D618B7" w:rsidRDefault="00B11545" w:rsidP="004B11B7">
            <w:pPr>
              <w:jc w:val="right"/>
              <w:rPr>
                <w:color w:val="000000"/>
              </w:rPr>
            </w:pPr>
            <w:r w:rsidRPr="00D618B7">
              <w:rPr>
                <w:color w:val="000000"/>
              </w:rPr>
              <w:t>809.41</w:t>
            </w:r>
          </w:p>
        </w:tc>
        <w:tc>
          <w:tcPr>
            <w:tcW w:w="1017" w:type="pct"/>
            <w:tcBorders>
              <w:top w:val="nil"/>
              <w:left w:val="nil"/>
              <w:bottom w:val="nil"/>
              <w:right w:val="nil"/>
            </w:tcBorders>
            <w:shd w:val="clear" w:color="000000" w:fill="FFFFFF"/>
            <w:noWrap/>
            <w:vAlign w:val="center"/>
            <w:hideMark/>
          </w:tcPr>
          <w:p w14:paraId="76737300" w14:textId="77777777" w:rsidR="00B11545" w:rsidRPr="00D618B7" w:rsidRDefault="00B11545" w:rsidP="004B11B7">
            <w:pPr>
              <w:jc w:val="right"/>
              <w:rPr>
                <w:color w:val="000000"/>
              </w:rPr>
            </w:pPr>
            <w:r w:rsidRPr="00D618B7">
              <w:rPr>
                <w:color w:val="000000"/>
              </w:rPr>
              <w:t>3680.26</w:t>
            </w:r>
          </w:p>
        </w:tc>
        <w:tc>
          <w:tcPr>
            <w:tcW w:w="575" w:type="pct"/>
            <w:tcBorders>
              <w:top w:val="nil"/>
              <w:left w:val="nil"/>
              <w:bottom w:val="nil"/>
              <w:right w:val="nil"/>
            </w:tcBorders>
            <w:shd w:val="clear" w:color="000000" w:fill="FFFFFF"/>
            <w:noWrap/>
            <w:vAlign w:val="center"/>
            <w:hideMark/>
          </w:tcPr>
          <w:p w14:paraId="460FB991" w14:textId="77777777" w:rsidR="00B11545" w:rsidRPr="00D618B7" w:rsidRDefault="00B11545" w:rsidP="004B11B7">
            <w:pPr>
              <w:jc w:val="right"/>
              <w:rPr>
                <w:color w:val="000000"/>
              </w:rPr>
            </w:pPr>
            <w:r w:rsidRPr="00D618B7">
              <w:rPr>
                <w:color w:val="000000"/>
              </w:rPr>
              <w:t>-3829.23</w:t>
            </w:r>
          </w:p>
        </w:tc>
        <w:tc>
          <w:tcPr>
            <w:tcW w:w="947" w:type="pct"/>
            <w:tcBorders>
              <w:top w:val="nil"/>
              <w:left w:val="nil"/>
              <w:bottom w:val="nil"/>
              <w:right w:val="nil"/>
            </w:tcBorders>
            <w:shd w:val="clear" w:color="000000" w:fill="FFFFFF"/>
            <w:noWrap/>
            <w:vAlign w:val="center"/>
            <w:hideMark/>
          </w:tcPr>
          <w:p w14:paraId="644EBF2C" w14:textId="77777777" w:rsidR="00B11545" w:rsidRPr="00D618B7" w:rsidRDefault="00B11545" w:rsidP="004B11B7">
            <w:pPr>
              <w:jc w:val="right"/>
              <w:rPr>
                <w:color w:val="000000"/>
              </w:rPr>
            </w:pPr>
            <w:r w:rsidRPr="00D618B7">
              <w:rPr>
                <w:color w:val="000000"/>
              </w:rPr>
              <w:t>3642.68</w:t>
            </w:r>
          </w:p>
        </w:tc>
        <w:tc>
          <w:tcPr>
            <w:tcW w:w="495" w:type="pct"/>
            <w:tcBorders>
              <w:top w:val="nil"/>
              <w:left w:val="nil"/>
              <w:bottom w:val="nil"/>
              <w:right w:val="nil"/>
            </w:tcBorders>
            <w:shd w:val="clear" w:color="000000" w:fill="FFFFFF"/>
            <w:noWrap/>
            <w:vAlign w:val="center"/>
            <w:hideMark/>
          </w:tcPr>
          <w:p w14:paraId="3C08F079" w14:textId="77777777" w:rsidR="00B11545" w:rsidRPr="00D618B7" w:rsidRDefault="00B11545" w:rsidP="004B11B7">
            <w:pPr>
              <w:jc w:val="right"/>
              <w:rPr>
                <w:color w:val="000000"/>
              </w:rPr>
            </w:pPr>
            <w:r w:rsidRPr="00D618B7">
              <w:rPr>
                <w:color w:val="000000"/>
              </w:rPr>
              <w:t>5782.85</w:t>
            </w:r>
          </w:p>
        </w:tc>
        <w:tc>
          <w:tcPr>
            <w:tcW w:w="816" w:type="pct"/>
            <w:tcBorders>
              <w:top w:val="nil"/>
              <w:left w:val="nil"/>
              <w:bottom w:val="nil"/>
              <w:right w:val="nil"/>
            </w:tcBorders>
            <w:shd w:val="clear" w:color="000000" w:fill="FFFFFF"/>
            <w:noWrap/>
            <w:vAlign w:val="center"/>
            <w:hideMark/>
          </w:tcPr>
          <w:p w14:paraId="3DFE249A" w14:textId="77777777" w:rsidR="00B11545" w:rsidRPr="00D618B7" w:rsidRDefault="00B11545" w:rsidP="004B11B7">
            <w:pPr>
              <w:jc w:val="right"/>
              <w:rPr>
                <w:color w:val="000000"/>
              </w:rPr>
            </w:pPr>
            <w:r w:rsidRPr="00D618B7">
              <w:rPr>
                <w:color w:val="000000"/>
              </w:rPr>
              <w:t>3690.29</w:t>
            </w:r>
          </w:p>
        </w:tc>
      </w:tr>
      <w:tr w:rsidR="00B11545" w:rsidRPr="00D618B7" w14:paraId="119229A6" w14:textId="77777777" w:rsidTr="004B11B7">
        <w:trPr>
          <w:trHeight w:val="326"/>
        </w:trPr>
        <w:tc>
          <w:tcPr>
            <w:tcW w:w="533" w:type="pct"/>
            <w:tcBorders>
              <w:top w:val="nil"/>
              <w:left w:val="nil"/>
              <w:bottom w:val="nil"/>
              <w:right w:val="nil"/>
            </w:tcBorders>
            <w:shd w:val="clear" w:color="000000" w:fill="FFFFFF"/>
            <w:vAlign w:val="center"/>
            <w:hideMark/>
          </w:tcPr>
          <w:p w14:paraId="7786D68A" w14:textId="77777777" w:rsidR="00B11545" w:rsidRPr="00D618B7" w:rsidRDefault="00B11545" w:rsidP="004B11B7">
            <w:pPr>
              <w:jc w:val="right"/>
              <w:rPr>
                <w:color w:val="000000"/>
              </w:rPr>
            </w:pPr>
            <w:r w:rsidRPr="00D618B7">
              <w:rPr>
                <w:color w:val="000000"/>
              </w:rPr>
              <w:t>-1</w:t>
            </w:r>
          </w:p>
        </w:tc>
        <w:tc>
          <w:tcPr>
            <w:tcW w:w="617" w:type="pct"/>
            <w:tcBorders>
              <w:top w:val="nil"/>
              <w:left w:val="nil"/>
              <w:bottom w:val="nil"/>
              <w:right w:val="nil"/>
            </w:tcBorders>
            <w:shd w:val="clear" w:color="000000" w:fill="FFFFFF"/>
            <w:noWrap/>
            <w:vAlign w:val="center"/>
            <w:hideMark/>
          </w:tcPr>
          <w:p w14:paraId="0AE1631F" w14:textId="77777777" w:rsidR="00B11545" w:rsidRPr="00D618B7" w:rsidRDefault="00B11545" w:rsidP="004B11B7">
            <w:pPr>
              <w:jc w:val="right"/>
              <w:rPr>
                <w:color w:val="000000"/>
              </w:rPr>
            </w:pPr>
            <w:r w:rsidRPr="00D618B7">
              <w:rPr>
                <w:color w:val="000000"/>
              </w:rPr>
              <w:t>16568.51</w:t>
            </w:r>
          </w:p>
        </w:tc>
        <w:tc>
          <w:tcPr>
            <w:tcW w:w="1017" w:type="pct"/>
            <w:tcBorders>
              <w:top w:val="nil"/>
              <w:left w:val="nil"/>
              <w:bottom w:val="nil"/>
              <w:right w:val="nil"/>
            </w:tcBorders>
            <w:shd w:val="clear" w:color="000000" w:fill="FFFFFF"/>
            <w:noWrap/>
            <w:vAlign w:val="center"/>
            <w:hideMark/>
          </w:tcPr>
          <w:p w14:paraId="03A460D3" w14:textId="77777777" w:rsidR="00B11545" w:rsidRPr="00D618B7" w:rsidRDefault="00B11545" w:rsidP="004B11B7">
            <w:pPr>
              <w:jc w:val="right"/>
              <w:rPr>
                <w:color w:val="000000"/>
              </w:rPr>
            </w:pPr>
            <w:r w:rsidRPr="00D618B7">
              <w:rPr>
                <w:color w:val="000000"/>
              </w:rPr>
              <w:t>3649.87</w:t>
            </w:r>
          </w:p>
        </w:tc>
        <w:tc>
          <w:tcPr>
            <w:tcW w:w="575" w:type="pct"/>
            <w:tcBorders>
              <w:top w:val="nil"/>
              <w:left w:val="nil"/>
              <w:bottom w:val="nil"/>
              <w:right w:val="nil"/>
            </w:tcBorders>
            <w:shd w:val="clear" w:color="000000" w:fill="FFFFFF"/>
            <w:noWrap/>
            <w:vAlign w:val="center"/>
            <w:hideMark/>
          </w:tcPr>
          <w:p w14:paraId="542339D8" w14:textId="77777777" w:rsidR="00B11545" w:rsidRPr="00D618B7" w:rsidRDefault="00B11545" w:rsidP="004B11B7">
            <w:pPr>
              <w:jc w:val="right"/>
              <w:rPr>
                <w:color w:val="000000"/>
              </w:rPr>
            </w:pPr>
            <w:r w:rsidRPr="00D618B7">
              <w:rPr>
                <w:color w:val="000000"/>
              </w:rPr>
              <w:t>11049.30</w:t>
            </w:r>
          </w:p>
        </w:tc>
        <w:tc>
          <w:tcPr>
            <w:tcW w:w="947" w:type="pct"/>
            <w:tcBorders>
              <w:top w:val="nil"/>
              <w:left w:val="nil"/>
              <w:bottom w:val="nil"/>
              <w:right w:val="nil"/>
            </w:tcBorders>
            <w:shd w:val="clear" w:color="000000" w:fill="FFFFFF"/>
            <w:noWrap/>
            <w:vAlign w:val="center"/>
            <w:hideMark/>
          </w:tcPr>
          <w:p w14:paraId="666F0056" w14:textId="77777777" w:rsidR="00B11545" w:rsidRPr="00D618B7" w:rsidRDefault="00B11545" w:rsidP="004B11B7">
            <w:pPr>
              <w:jc w:val="right"/>
              <w:rPr>
                <w:color w:val="000000"/>
              </w:rPr>
            </w:pPr>
            <w:r w:rsidRPr="00D618B7">
              <w:rPr>
                <w:color w:val="000000"/>
              </w:rPr>
              <w:t>3612.40</w:t>
            </w:r>
          </w:p>
        </w:tc>
        <w:tc>
          <w:tcPr>
            <w:tcW w:w="495" w:type="pct"/>
            <w:tcBorders>
              <w:top w:val="nil"/>
              <w:left w:val="nil"/>
              <w:bottom w:val="nil"/>
              <w:right w:val="nil"/>
            </w:tcBorders>
            <w:shd w:val="clear" w:color="000000" w:fill="FFFFFF"/>
            <w:noWrap/>
            <w:vAlign w:val="center"/>
            <w:hideMark/>
          </w:tcPr>
          <w:p w14:paraId="4B6CE086" w14:textId="77777777" w:rsidR="00B11545" w:rsidRPr="00D618B7" w:rsidRDefault="00B11545" w:rsidP="004B11B7">
            <w:pPr>
              <w:jc w:val="right"/>
              <w:rPr>
                <w:color w:val="000000"/>
              </w:rPr>
            </w:pPr>
            <w:r w:rsidRPr="00D618B7">
              <w:rPr>
                <w:color w:val="000000"/>
              </w:rPr>
              <w:t>13772.91</w:t>
            </w:r>
          </w:p>
        </w:tc>
        <w:tc>
          <w:tcPr>
            <w:tcW w:w="816" w:type="pct"/>
            <w:tcBorders>
              <w:top w:val="nil"/>
              <w:left w:val="nil"/>
              <w:bottom w:val="nil"/>
              <w:right w:val="nil"/>
            </w:tcBorders>
            <w:shd w:val="clear" w:color="000000" w:fill="FFFFFF"/>
            <w:noWrap/>
            <w:vAlign w:val="center"/>
            <w:hideMark/>
          </w:tcPr>
          <w:p w14:paraId="2AEE4322" w14:textId="77777777" w:rsidR="00B11545" w:rsidRPr="00D618B7" w:rsidRDefault="00B11545" w:rsidP="004B11B7">
            <w:pPr>
              <w:jc w:val="right"/>
              <w:rPr>
                <w:color w:val="000000"/>
              </w:rPr>
            </w:pPr>
            <w:r w:rsidRPr="00D618B7">
              <w:rPr>
                <w:color w:val="000000"/>
              </w:rPr>
              <w:t>3650.81</w:t>
            </w:r>
          </w:p>
        </w:tc>
      </w:tr>
      <w:tr w:rsidR="00B11545" w:rsidRPr="00D618B7" w14:paraId="390F3B5B" w14:textId="77777777" w:rsidTr="004B11B7">
        <w:trPr>
          <w:trHeight w:val="326"/>
        </w:trPr>
        <w:tc>
          <w:tcPr>
            <w:tcW w:w="533" w:type="pct"/>
            <w:tcBorders>
              <w:top w:val="nil"/>
              <w:left w:val="nil"/>
              <w:bottom w:val="nil"/>
              <w:right w:val="nil"/>
            </w:tcBorders>
            <w:shd w:val="clear" w:color="000000" w:fill="FFFFFF"/>
            <w:vAlign w:val="center"/>
            <w:hideMark/>
          </w:tcPr>
          <w:p w14:paraId="2F5484EC" w14:textId="77777777" w:rsidR="00B11545" w:rsidRPr="00D618B7" w:rsidRDefault="00B11545" w:rsidP="004B11B7">
            <w:pPr>
              <w:jc w:val="right"/>
              <w:rPr>
                <w:color w:val="000000"/>
              </w:rPr>
            </w:pPr>
            <w:r w:rsidRPr="00D618B7">
              <w:rPr>
                <w:color w:val="000000"/>
              </w:rPr>
              <w:t>0</w:t>
            </w:r>
          </w:p>
        </w:tc>
        <w:tc>
          <w:tcPr>
            <w:tcW w:w="617" w:type="pct"/>
            <w:tcBorders>
              <w:top w:val="nil"/>
              <w:left w:val="nil"/>
              <w:bottom w:val="nil"/>
              <w:right w:val="nil"/>
            </w:tcBorders>
            <w:shd w:val="clear" w:color="000000" w:fill="FFFFFF"/>
            <w:noWrap/>
            <w:vAlign w:val="center"/>
            <w:hideMark/>
          </w:tcPr>
          <w:p w14:paraId="587C0D60" w14:textId="77777777" w:rsidR="00B11545" w:rsidRPr="00D618B7" w:rsidRDefault="00B11545" w:rsidP="004B11B7">
            <w:pPr>
              <w:jc w:val="right"/>
              <w:rPr>
                <w:color w:val="000000"/>
              </w:rPr>
            </w:pPr>
            <w:r w:rsidRPr="00D618B7">
              <w:rPr>
                <w:color w:val="000000"/>
              </w:rPr>
              <w:t>1463.87</w:t>
            </w:r>
          </w:p>
        </w:tc>
        <w:tc>
          <w:tcPr>
            <w:tcW w:w="1017" w:type="pct"/>
            <w:tcBorders>
              <w:top w:val="nil"/>
              <w:left w:val="nil"/>
              <w:bottom w:val="nil"/>
              <w:right w:val="nil"/>
            </w:tcBorders>
            <w:shd w:val="clear" w:color="000000" w:fill="FFFFFF"/>
            <w:noWrap/>
            <w:vAlign w:val="center"/>
            <w:hideMark/>
          </w:tcPr>
          <w:p w14:paraId="2A1A0C32" w14:textId="77777777" w:rsidR="00B11545" w:rsidRPr="00D618B7" w:rsidRDefault="00B11545" w:rsidP="004B11B7">
            <w:pPr>
              <w:jc w:val="right"/>
              <w:rPr>
                <w:color w:val="000000"/>
              </w:rPr>
            </w:pPr>
            <w:r w:rsidRPr="00D618B7">
              <w:rPr>
                <w:color w:val="000000"/>
              </w:rPr>
              <w:t>4047.12</w:t>
            </w:r>
          </w:p>
        </w:tc>
        <w:tc>
          <w:tcPr>
            <w:tcW w:w="575" w:type="pct"/>
            <w:tcBorders>
              <w:top w:val="nil"/>
              <w:left w:val="nil"/>
              <w:bottom w:val="nil"/>
              <w:right w:val="nil"/>
            </w:tcBorders>
            <w:shd w:val="clear" w:color="000000" w:fill="FFFFFF"/>
            <w:noWrap/>
            <w:vAlign w:val="center"/>
            <w:hideMark/>
          </w:tcPr>
          <w:p w14:paraId="4452985B" w14:textId="77777777" w:rsidR="00B11545" w:rsidRPr="00D618B7" w:rsidRDefault="00B11545" w:rsidP="004B11B7">
            <w:pPr>
              <w:jc w:val="right"/>
              <w:rPr>
                <w:color w:val="000000"/>
              </w:rPr>
            </w:pPr>
            <w:r w:rsidRPr="00D618B7">
              <w:rPr>
                <w:color w:val="000000"/>
              </w:rPr>
              <w:t>-1564.21</w:t>
            </w:r>
          </w:p>
        </w:tc>
        <w:tc>
          <w:tcPr>
            <w:tcW w:w="947" w:type="pct"/>
            <w:tcBorders>
              <w:top w:val="nil"/>
              <w:left w:val="nil"/>
              <w:bottom w:val="nil"/>
              <w:right w:val="nil"/>
            </w:tcBorders>
            <w:shd w:val="clear" w:color="000000" w:fill="FFFFFF"/>
            <w:noWrap/>
            <w:vAlign w:val="center"/>
            <w:hideMark/>
          </w:tcPr>
          <w:p w14:paraId="2FABABC2" w14:textId="77777777" w:rsidR="00B11545" w:rsidRPr="00D618B7" w:rsidRDefault="00B11545" w:rsidP="004B11B7">
            <w:pPr>
              <w:jc w:val="right"/>
              <w:rPr>
                <w:color w:val="000000"/>
              </w:rPr>
            </w:pPr>
            <w:r w:rsidRPr="00D618B7">
              <w:rPr>
                <w:color w:val="000000"/>
              </w:rPr>
              <w:t>3985.88</w:t>
            </w:r>
          </w:p>
        </w:tc>
        <w:tc>
          <w:tcPr>
            <w:tcW w:w="495" w:type="pct"/>
            <w:tcBorders>
              <w:top w:val="nil"/>
              <w:left w:val="nil"/>
              <w:bottom w:val="nil"/>
              <w:right w:val="nil"/>
            </w:tcBorders>
            <w:shd w:val="clear" w:color="000000" w:fill="FFFFFF"/>
            <w:noWrap/>
            <w:vAlign w:val="center"/>
            <w:hideMark/>
          </w:tcPr>
          <w:p w14:paraId="67E8FD01" w14:textId="77777777" w:rsidR="00B11545" w:rsidRPr="00D618B7" w:rsidRDefault="00B11545" w:rsidP="004B11B7">
            <w:pPr>
              <w:jc w:val="right"/>
              <w:rPr>
                <w:color w:val="000000"/>
              </w:rPr>
            </w:pPr>
            <w:r w:rsidRPr="00D618B7">
              <w:rPr>
                <w:color w:val="000000"/>
              </w:rPr>
              <w:t>-417.44</w:t>
            </w:r>
          </w:p>
        </w:tc>
        <w:tc>
          <w:tcPr>
            <w:tcW w:w="816" w:type="pct"/>
            <w:tcBorders>
              <w:top w:val="nil"/>
              <w:left w:val="nil"/>
              <w:bottom w:val="nil"/>
              <w:right w:val="nil"/>
            </w:tcBorders>
            <w:shd w:val="clear" w:color="000000" w:fill="FFFFFF"/>
            <w:noWrap/>
            <w:vAlign w:val="center"/>
            <w:hideMark/>
          </w:tcPr>
          <w:p w14:paraId="703EECCC" w14:textId="77777777" w:rsidR="00B11545" w:rsidRPr="00D618B7" w:rsidRDefault="00B11545" w:rsidP="004B11B7">
            <w:pPr>
              <w:jc w:val="right"/>
              <w:rPr>
                <w:color w:val="000000"/>
              </w:rPr>
            </w:pPr>
            <w:r w:rsidRPr="00D618B7">
              <w:rPr>
                <w:color w:val="000000"/>
              </w:rPr>
              <w:t>4001.65</w:t>
            </w:r>
          </w:p>
        </w:tc>
      </w:tr>
      <w:tr w:rsidR="00B11545" w:rsidRPr="00D618B7" w14:paraId="2D827B0C" w14:textId="77777777" w:rsidTr="004B11B7">
        <w:trPr>
          <w:trHeight w:val="326"/>
        </w:trPr>
        <w:tc>
          <w:tcPr>
            <w:tcW w:w="533" w:type="pct"/>
            <w:tcBorders>
              <w:top w:val="nil"/>
              <w:left w:val="nil"/>
              <w:bottom w:val="nil"/>
              <w:right w:val="nil"/>
            </w:tcBorders>
            <w:shd w:val="clear" w:color="000000" w:fill="FFFFFF"/>
            <w:vAlign w:val="center"/>
            <w:hideMark/>
          </w:tcPr>
          <w:p w14:paraId="1864E59B" w14:textId="77777777" w:rsidR="00B11545" w:rsidRPr="00D618B7" w:rsidRDefault="00B11545" w:rsidP="004B11B7">
            <w:pPr>
              <w:jc w:val="right"/>
              <w:rPr>
                <w:color w:val="000000"/>
              </w:rPr>
            </w:pPr>
            <w:r w:rsidRPr="00D618B7">
              <w:rPr>
                <w:color w:val="000000"/>
              </w:rPr>
              <w:t>1</w:t>
            </w:r>
          </w:p>
        </w:tc>
        <w:tc>
          <w:tcPr>
            <w:tcW w:w="617" w:type="pct"/>
            <w:tcBorders>
              <w:top w:val="nil"/>
              <w:left w:val="nil"/>
              <w:bottom w:val="nil"/>
              <w:right w:val="nil"/>
            </w:tcBorders>
            <w:shd w:val="clear" w:color="000000" w:fill="FFFFFF"/>
            <w:noWrap/>
            <w:vAlign w:val="center"/>
            <w:hideMark/>
          </w:tcPr>
          <w:p w14:paraId="71C93316" w14:textId="77777777" w:rsidR="00B11545" w:rsidRPr="00D618B7" w:rsidRDefault="00B11545" w:rsidP="004B11B7">
            <w:pPr>
              <w:jc w:val="right"/>
              <w:rPr>
                <w:color w:val="000000"/>
              </w:rPr>
            </w:pPr>
            <w:r w:rsidRPr="00D618B7">
              <w:rPr>
                <w:color w:val="000000"/>
              </w:rPr>
              <w:t>5433.76</w:t>
            </w:r>
          </w:p>
        </w:tc>
        <w:tc>
          <w:tcPr>
            <w:tcW w:w="1017" w:type="pct"/>
            <w:tcBorders>
              <w:top w:val="nil"/>
              <w:left w:val="nil"/>
              <w:bottom w:val="nil"/>
              <w:right w:val="nil"/>
            </w:tcBorders>
            <w:shd w:val="clear" w:color="000000" w:fill="FFFFFF"/>
            <w:noWrap/>
            <w:vAlign w:val="center"/>
            <w:hideMark/>
          </w:tcPr>
          <w:p w14:paraId="4EB9D3A5" w14:textId="77777777" w:rsidR="00B11545" w:rsidRPr="00D618B7" w:rsidRDefault="00B11545" w:rsidP="004B11B7">
            <w:pPr>
              <w:jc w:val="right"/>
              <w:rPr>
                <w:color w:val="000000"/>
              </w:rPr>
            </w:pPr>
            <w:r w:rsidRPr="00D618B7">
              <w:rPr>
                <w:color w:val="000000"/>
              </w:rPr>
              <w:t>3398.50</w:t>
            </w:r>
          </w:p>
        </w:tc>
        <w:tc>
          <w:tcPr>
            <w:tcW w:w="575" w:type="pct"/>
            <w:tcBorders>
              <w:top w:val="nil"/>
              <w:left w:val="nil"/>
              <w:bottom w:val="nil"/>
              <w:right w:val="nil"/>
            </w:tcBorders>
            <w:shd w:val="clear" w:color="000000" w:fill="FFFFFF"/>
            <w:noWrap/>
            <w:vAlign w:val="center"/>
            <w:hideMark/>
          </w:tcPr>
          <w:p w14:paraId="49F93622" w14:textId="77777777" w:rsidR="00B11545" w:rsidRPr="00D618B7" w:rsidRDefault="00B11545" w:rsidP="004B11B7">
            <w:pPr>
              <w:jc w:val="right"/>
              <w:rPr>
                <w:color w:val="000000"/>
              </w:rPr>
            </w:pPr>
            <w:r w:rsidRPr="00D618B7">
              <w:rPr>
                <w:color w:val="000000"/>
              </w:rPr>
              <w:t>-3027.46</w:t>
            </w:r>
          </w:p>
        </w:tc>
        <w:tc>
          <w:tcPr>
            <w:tcW w:w="947" w:type="pct"/>
            <w:tcBorders>
              <w:top w:val="nil"/>
              <w:left w:val="nil"/>
              <w:bottom w:val="nil"/>
              <w:right w:val="nil"/>
            </w:tcBorders>
            <w:shd w:val="clear" w:color="000000" w:fill="FFFFFF"/>
            <w:noWrap/>
            <w:vAlign w:val="center"/>
            <w:hideMark/>
          </w:tcPr>
          <w:p w14:paraId="789EA458" w14:textId="77777777" w:rsidR="00B11545" w:rsidRPr="00D618B7" w:rsidRDefault="00B11545" w:rsidP="004B11B7">
            <w:pPr>
              <w:jc w:val="right"/>
              <w:rPr>
                <w:color w:val="000000"/>
              </w:rPr>
            </w:pPr>
            <w:r w:rsidRPr="00D618B7">
              <w:rPr>
                <w:color w:val="000000"/>
              </w:rPr>
              <w:t>3357.31</w:t>
            </w:r>
          </w:p>
        </w:tc>
        <w:tc>
          <w:tcPr>
            <w:tcW w:w="495" w:type="pct"/>
            <w:tcBorders>
              <w:top w:val="nil"/>
              <w:left w:val="nil"/>
              <w:bottom w:val="nil"/>
              <w:right w:val="nil"/>
            </w:tcBorders>
            <w:shd w:val="clear" w:color="000000" w:fill="FFFFFF"/>
            <w:noWrap/>
            <w:vAlign w:val="center"/>
            <w:hideMark/>
          </w:tcPr>
          <w:p w14:paraId="7913B6AE" w14:textId="77777777" w:rsidR="00B11545" w:rsidRPr="00D618B7" w:rsidRDefault="00B11545" w:rsidP="004B11B7">
            <w:pPr>
              <w:jc w:val="right"/>
              <w:rPr>
                <w:color w:val="000000"/>
              </w:rPr>
            </w:pPr>
            <w:r w:rsidRPr="00D618B7">
              <w:rPr>
                <w:color w:val="000000"/>
              </w:rPr>
              <w:t>1330.42</w:t>
            </w:r>
          </w:p>
        </w:tc>
        <w:tc>
          <w:tcPr>
            <w:tcW w:w="816" w:type="pct"/>
            <w:tcBorders>
              <w:top w:val="nil"/>
              <w:left w:val="nil"/>
              <w:bottom w:val="nil"/>
              <w:right w:val="nil"/>
            </w:tcBorders>
            <w:shd w:val="clear" w:color="000000" w:fill="FFFFFF"/>
            <w:noWrap/>
            <w:vAlign w:val="center"/>
            <w:hideMark/>
          </w:tcPr>
          <w:p w14:paraId="04543504" w14:textId="77777777" w:rsidR="00B11545" w:rsidRPr="00D618B7" w:rsidRDefault="00B11545" w:rsidP="004B11B7">
            <w:pPr>
              <w:jc w:val="right"/>
              <w:rPr>
                <w:color w:val="000000"/>
              </w:rPr>
            </w:pPr>
            <w:r w:rsidRPr="00D618B7">
              <w:rPr>
                <w:color w:val="000000"/>
              </w:rPr>
              <w:t>3395.28</w:t>
            </w:r>
          </w:p>
        </w:tc>
      </w:tr>
      <w:tr w:rsidR="00B11545" w:rsidRPr="00D618B7" w14:paraId="5CB5BFB3" w14:textId="77777777" w:rsidTr="004B11B7">
        <w:trPr>
          <w:trHeight w:val="326"/>
        </w:trPr>
        <w:tc>
          <w:tcPr>
            <w:tcW w:w="533" w:type="pct"/>
            <w:tcBorders>
              <w:top w:val="nil"/>
              <w:left w:val="nil"/>
              <w:bottom w:val="nil"/>
              <w:right w:val="nil"/>
            </w:tcBorders>
            <w:shd w:val="clear" w:color="000000" w:fill="FFFFFF"/>
            <w:vAlign w:val="center"/>
            <w:hideMark/>
          </w:tcPr>
          <w:p w14:paraId="01B755BA" w14:textId="77777777" w:rsidR="00B11545" w:rsidRPr="00D618B7" w:rsidRDefault="00B11545" w:rsidP="004B11B7">
            <w:pPr>
              <w:jc w:val="right"/>
              <w:rPr>
                <w:color w:val="000000"/>
              </w:rPr>
            </w:pPr>
            <w:r w:rsidRPr="00D618B7">
              <w:rPr>
                <w:color w:val="000000"/>
              </w:rPr>
              <w:t>2</w:t>
            </w:r>
          </w:p>
        </w:tc>
        <w:tc>
          <w:tcPr>
            <w:tcW w:w="617" w:type="pct"/>
            <w:tcBorders>
              <w:top w:val="nil"/>
              <w:left w:val="nil"/>
              <w:bottom w:val="nil"/>
              <w:right w:val="nil"/>
            </w:tcBorders>
            <w:shd w:val="clear" w:color="000000" w:fill="FFFFFF"/>
            <w:noWrap/>
            <w:vAlign w:val="center"/>
            <w:hideMark/>
          </w:tcPr>
          <w:p w14:paraId="7160764B" w14:textId="77777777" w:rsidR="00B11545" w:rsidRPr="00D618B7" w:rsidRDefault="00B11545" w:rsidP="004B11B7">
            <w:pPr>
              <w:jc w:val="right"/>
              <w:rPr>
                <w:color w:val="000000"/>
              </w:rPr>
            </w:pPr>
            <w:r w:rsidRPr="00D618B7">
              <w:rPr>
                <w:color w:val="000000"/>
              </w:rPr>
              <w:t>13468.61</w:t>
            </w:r>
          </w:p>
        </w:tc>
        <w:tc>
          <w:tcPr>
            <w:tcW w:w="1017" w:type="pct"/>
            <w:tcBorders>
              <w:top w:val="nil"/>
              <w:left w:val="nil"/>
              <w:bottom w:val="nil"/>
              <w:right w:val="nil"/>
            </w:tcBorders>
            <w:shd w:val="clear" w:color="000000" w:fill="FFFFFF"/>
            <w:noWrap/>
            <w:vAlign w:val="center"/>
            <w:hideMark/>
          </w:tcPr>
          <w:p w14:paraId="1CA6FE28" w14:textId="77777777" w:rsidR="00B11545" w:rsidRPr="00D618B7" w:rsidRDefault="00B11545" w:rsidP="004B11B7">
            <w:pPr>
              <w:jc w:val="right"/>
              <w:rPr>
                <w:color w:val="000000"/>
              </w:rPr>
            </w:pPr>
            <w:r w:rsidRPr="00D618B7">
              <w:rPr>
                <w:color w:val="000000"/>
              </w:rPr>
              <w:t>3376.86</w:t>
            </w:r>
          </w:p>
        </w:tc>
        <w:tc>
          <w:tcPr>
            <w:tcW w:w="575" w:type="pct"/>
            <w:tcBorders>
              <w:top w:val="nil"/>
              <w:left w:val="nil"/>
              <w:bottom w:val="nil"/>
              <w:right w:val="nil"/>
            </w:tcBorders>
            <w:shd w:val="clear" w:color="000000" w:fill="FFFFFF"/>
            <w:noWrap/>
            <w:vAlign w:val="center"/>
            <w:hideMark/>
          </w:tcPr>
          <w:p w14:paraId="4D710618" w14:textId="77777777" w:rsidR="00B11545" w:rsidRPr="00D618B7" w:rsidRDefault="00B11545" w:rsidP="004B11B7">
            <w:pPr>
              <w:jc w:val="right"/>
              <w:rPr>
                <w:color w:val="000000"/>
              </w:rPr>
            </w:pPr>
            <w:r w:rsidRPr="00D618B7">
              <w:rPr>
                <w:color w:val="000000"/>
              </w:rPr>
              <w:t>3222.19</w:t>
            </w:r>
          </w:p>
        </w:tc>
        <w:tc>
          <w:tcPr>
            <w:tcW w:w="947" w:type="pct"/>
            <w:tcBorders>
              <w:top w:val="nil"/>
              <w:left w:val="nil"/>
              <w:bottom w:val="nil"/>
              <w:right w:val="nil"/>
            </w:tcBorders>
            <w:shd w:val="clear" w:color="000000" w:fill="FFFFFF"/>
            <w:noWrap/>
            <w:vAlign w:val="center"/>
            <w:hideMark/>
          </w:tcPr>
          <w:p w14:paraId="04039E17" w14:textId="77777777" w:rsidR="00B11545" w:rsidRPr="00D618B7" w:rsidRDefault="00B11545" w:rsidP="004B11B7">
            <w:pPr>
              <w:jc w:val="right"/>
              <w:rPr>
                <w:color w:val="000000"/>
              </w:rPr>
            </w:pPr>
            <w:r w:rsidRPr="00D618B7">
              <w:rPr>
                <w:color w:val="000000"/>
              </w:rPr>
              <w:t>3341.95</w:t>
            </w:r>
          </w:p>
        </w:tc>
        <w:tc>
          <w:tcPr>
            <w:tcW w:w="495" w:type="pct"/>
            <w:tcBorders>
              <w:top w:val="nil"/>
              <w:left w:val="nil"/>
              <w:bottom w:val="nil"/>
              <w:right w:val="nil"/>
            </w:tcBorders>
            <w:shd w:val="clear" w:color="000000" w:fill="FFFFFF"/>
            <w:noWrap/>
            <w:vAlign w:val="center"/>
            <w:hideMark/>
          </w:tcPr>
          <w:p w14:paraId="19D483E4" w14:textId="77777777" w:rsidR="00B11545" w:rsidRPr="00D618B7" w:rsidRDefault="00B11545" w:rsidP="004B11B7">
            <w:pPr>
              <w:jc w:val="right"/>
              <w:rPr>
                <w:color w:val="000000"/>
              </w:rPr>
            </w:pPr>
            <w:r w:rsidRPr="00D618B7">
              <w:rPr>
                <w:color w:val="000000"/>
              </w:rPr>
              <w:t>4086.70</w:t>
            </w:r>
          </w:p>
        </w:tc>
        <w:tc>
          <w:tcPr>
            <w:tcW w:w="816" w:type="pct"/>
            <w:tcBorders>
              <w:top w:val="nil"/>
              <w:left w:val="nil"/>
              <w:bottom w:val="nil"/>
              <w:right w:val="nil"/>
            </w:tcBorders>
            <w:shd w:val="clear" w:color="000000" w:fill="FFFFFF"/>
            <w:noWrap/>
            <w:vAlign w:val="center"/>
            <w:hideMark/>
          </w:tcPr>
          <w:p w14:paraId="08D489C3" w14:textId="77777777" w:rsidR="00B11545" w:rsidRPr="00D618B7" w:rsidRDefault="00B11545" w:rsidP="004B11B7">
            <w:pPr>
              <w:jc w:val="right"/>
              <w:rPr>
                <w:color w:val="000000"/>
              </w:rPr>
            </w:pPr>
            <w:r w:rsidRPr="00D618B7">
              <w:rPr>
                <w:color w:val="000000"/>
              </w:rPr>
              <w:t>3373.83</w:t>
            </w:r>
          </w:p>
        </w:tc>
      </w:tr>
      <w:tr w:rsidR="00B11545" w:rsidRPr="00D618B7" w14:paraId="02320CFD" w14:textId="77777777" w:rsidTr="004B11B7">
        <w:trPr>
          <w:trHeight w:val="326"/>
        </w:trPr>
        <w:tc>
          <w:tcPr>
            <w:tcW w:w="533" w:type="pct"/>
            <w:tcBorders>
              <w:top w:val="nil"/>
              <w:left w:val="nil"/>
              <w:bottom w:val="nil"/>
              <w:right w:val="nil"/>
            </w:tcBorders>
            <w:shd w:val="clear" w:color="000000" w:fill="FFFFFF"/>
            <w:vAlign w:val="center"/>
            <w:hideMark/>
          </w:tcPr>
          <w:p w14:paraId="43882944" w14:textId="77777777" w:rsidR="00B11545" w:rsidRPr="00D618B7" w:rsidRDefault="00B11545" w:rsidP="004B11B7">
            <w:pPr>
              <w:jc w:val="right"/>
              <w:rPr>
                <w:color w:val="000000"/>
              </w:rPr>
            </w:pPr>
            <w:r w:rsidRPr="00D618B7">
              <w:rPr>
                <w:color w:val="000000"/>
              </w:rPr>
              <w:t>3</w:t>
            </w:r>
          </w:p>
        </w:tc>
        <w:tc>
          <w:tcPr>
            <w:tcW w:w="617" w:type="pct"/>
            <w:tcBorders>
              <w:top w:val="nil"/>
              <w:left w:val="nil"/>
              <w:bottom w:val="nil"/>
              <w:right w:val="nil"/>
            </w:tcBorders>
            <w:shd w:val="clear" w:color="000000" w:fill="FFFFFF"/>
            <w:noWrap/>
            <w:vAlign w:val="center"/>
            <w:hideMark/>
          </w:tcPr>
          <w:p w14:paraId="59A3FD7A" w14:textId="77777777" w:rsidR="00B11545" w:rsidRPr="00D618B7" w:rsidRDefault="00B11545" w:rsidP="004B11B7">
            <w:pPr>
              <w:jc w:val="right"/>
              <w:rPr>
                <w:color w:val="000000"/>
              </w:rPr>
            </w:pPr>
            <w:r w:rsidRPr="00D618B7">
              <w:rPr>
                <w:color w:val="000000"/>
              </w:rPr>
              <w:t>3697.16</w:t>
            </w:r>
          </w:p>
        </w:tc>
        <w:tc>
          <w:tcPr>
            <w:tcW w:w="1017" w:type="pct"/>
            <w:tcBorders>
              <w:top w:val="nil"/>
              <w:left w:val="nil"/>
              <w:bottom w:val="nil"/>
              <w:right w:val="nil"/>
            </w:tcBorders>
            <w:shd w:val="clear" w:color="000000" w:fill="FFFFFF"/>
            <w:noWrap/>
            <w:vAlign w:val="center"/>
            <w:hideMark/>
          </w:tcPr>
          <w:p w14:paraId="0340211E" w14:textId="77777777" w:rsidR="00B11545" w:rsidRPr="00D618B7" w:rsidRDefault="00B11545" w:rsidP="004B11B7">
            <w:pPr>
              <w:jc w:val="right"/>
              <w:rPr>
                <w:color w:val="000000"/>
              </w:rPr>
            </w:pPr>
            <w:r w:rsidRPr="00D618B7">
              <w:rPr>
                <w:color w:val="000000"/>
              </w:rPr>
              <w:t>4066.60</w:t>
            </w:r>
          </w:p>
        </w:tc>
        <w:tc>
          <w:tcPr>
            <w:tcW w:w="575" w:type="pct"/>
            <w:tcBorders>
              <w:top w:val="nil"/>
              <w:left w:val="nil"/>
              <w:bottom w:val="nil"/>
              <w:right w:val="nil"/>
            </w:tcBorders>
            <w:shd w:val="clear" w:color="000000" w:fill="FFFFFF"/>
            <w:noWrap/>
            <w:vAlign w:val="center"/>
            <w:hideMark/>
          </w:tcPr>
          <w:p w14:paraId="4E432FAC" w14:textId="77777777" w:rsidR="00B11545" w:rsidRPr="00D618B7" w:rsidRDefault="00B11545" w:rsidP="004B11B7">
            <w:pPr>
              <w:jc w:val="right"/>
              <w:rPr>
                <w:color w:val="000000"/>
              </w:rPr>
            </w:pPr>
            <w:r w:rsidRPr="00D618B7">
              <w:rPr>
                <w:color w:val="000000"/>
              </w:rPr>
              <w:t>-2951.64</w:t>
            </w:r>
          </w:p>
        </w:tc>
        <w:tc>
          <w:tcPr>
            <w:tcW w:w="947" w:type="pct"/>
            <w:tcBorders>
              <w:top w:val="nil"/>
              <w:left w:val="nil"/>
              <w:bottom w:val="nil"/>
              <w:right w:val="nil"/>
            </w:tcBorders>
            <w:shd w:val="clear" w:color="000000" w:fill="FFFFFF"/>
            <w:noWrap/>
            <w:vAlign w:val="center"/>
            <w:hideMark/>
          </w:tcPr>
          <w:p w14:paraId="0288C709" w14:textId="77777777" w:rsidR="00B11545" w:rsidRPr="00D618B7" w:rsidRDefault="00B11545" w:rsidP="004B11B7">
            <w:pPr>
              <w:jc w:val="right"/>
              <w:rPr>
                <w:color w:val="000000"/>
              </w:rPr>
            </w:pPr>
            <w:r w:rsidRPr="00D618B7">
              <w:rPr>
                <w:color w:val="000000"/>
              </w:rPr>
              <w:t>4004.50</w:t>
            </w:r>
          </w:p>
        </w:tc>
        <w:tc>
          <w:tcPr>
            <w:tcW w:w="495" w:type="pct"/>
            <w:tcBorders>
              <w:top w:val="nil"/>
              <w:left w:val="nil"/>
              <w:bottom w:val="nil"/>
              <w:right w:val="nil"/>
            </w:tcBorders>
            <w:shd w:val="clear" w:color="000000" w:fill="FFFFFF"/>
            <w:noWrap/>
            <w:vAlign w:val="center"/>
            <w:hideMark/>
          </w:tcPr>
          <w:p w14:paraId="54485DD0" w14:textId="77777777" w:rsidR="00B11545" w:rsidRPr="00D618B7" w:rsidRDefault="00B11545" w:rsidP="004B11B7">
            <w:pPr>
              <w:jc w:val="right"/>
              <w:rPr>
                <w:color w:val="000000"/>
              </w:rPr>
            </w:pPr>
            <w:r w:rsidRPr="00D618B7">
              <w:rPr>
                <w:color w:val="000000"/>
              </w:rPr>
              <w:t>-1507.38</w:t>
            </w:r>
          </w:p>
        </w:tc>
        <w:tc>
          <w:tcPr>
            <w:tcW w:w="816" w:type="pct"/>
            <w:tcBorders>
              <w:top w:val="nil"/>
              <w:left w:val="nil"/>
              <w:bottom w:val="nil"/>
              <w:right w:val="nil"/>
            </w:tcBorders>
            <w:shd w:val="clear" w:color="000000" w:fill="FFFFFF"/>
            <w:noWrap/>
            <w:vAlign w:val="center"/>
            <w:hideMark/>
          </w:tcPr>
          <w:p w14:paraId="7743E195" w14:textId="77777777" w:rsidR="00B11545" w:rsidRPr="00D618B7" w:rsidRDefault="00B11545" w:rsidP="004B11B7">
            <w:pPr>
              <w:jc w:val="right"/>
              <w:rPr>
                <w:color w:val="000000"/>
              </w:rPr>
            </w:pPr>
            <w:r w:rsidRPr="00D618B7">
              <w:rPr>
                <w:color w:val="000000"/>
              </w:rPr>
              <w:t>4051.14</w:t>
            </w:r>
          </w:p>
        </w:tc>
      </w:tr>
      <w:tr w:rsidR="00B11545" w:rsidRPr="00D618B7" w14:paraId="7BA68C02" w14:textId="77777777" w:rsidTr="004B11B7">
        <w:trPr>
          <w:trHeight w:val="326"/>
        </w:trPr>
        <w:tc>
          <w:tcPr>
            <w:tcW w:w="533" w:type="pct"/>
            <w:tcBorders>
              <w:top w:val="nil"/>
              <w:left w:val="nil"/>
              <w:bottom w:val="nil"/>
              <w:right w:val="nil"/>
            </w:tcBorders>
            <w:shd w:val="clear" w:color="000000" w:fill="FFFFFF"/>
            <w:vAlign w:val="center"/>
            <w:hideMark/>
          </w:tcPr>
          <w:p w14:paraId="55290320" w14:textId="77777777" w:rsidR="00B11545" w:rsidRPr="00D618B7" w:rsidRDefault="00B11545" w:rsidP="004B11B7">
            <w:pPr>
              <w:jc w:val="right"/>
              <w:rPr>
                <w:color w:val="000000"/>
              </w:rPr>
            </w:pPr>
            <w:r w:rsidRPr="00D618B7">
              <w:rPr>
                <w:color w:val="000000"/>
              </w:rPr>
              <w:t>4</w:t>
            </w:r>
          </w:p>
        </w:tc>
        <w:tc>
          <w:tcPr>
            <w:tcW w:w="617" w:type="pct"/>
            <w:tcBorders>
              <w:top w:val="nil"/>
              <w:left w:val="nil"/>
              <w:bottom w:val="nil"/>
              <w:right w:val="nil"/>
            </w:tcBorders>
            <w:shd w:val="clear" w:color="000000" w:fill="FFFFFF"/>
            <w:noWrap/>
            <w:vAlign w:val="center"/>
            <w:hideMark/>
          </w:tcPr>
          <w:p w14:paraId="2169CBD4" w14:textId="77777777" w:rsidR="00B11545" w:rsidRPr="00D618B7" w:rsidRDefault="00B11545" w:rsidP="004B11B7">
            <w:pPr>
              <w:jc w:val="right"/>
              <w:rPr>
                <w:color w:val="000000"/>
              </w:rPr>
            </w:pPr>
            <w:r w:rsidRPr="00D618B7">
              <w:rPr>
                <w:color w:val="000000"/>
              </w:rPr>
              <w:t>6147.92</w:t>
            </w:r>
          </w:p>
        </w:tc>
        <w:tc>
          <w:tcPr>
            <w:tcW w:w="1017" w:type="pct"/>
            <w:tcBorders>
              <w:top w:val="nil"/>
              <w:left w:val="nil"/>
              <w:bottom w:val="nil"/>
              <w:right w:val="nil"/>
            </w:tcBorders>
            <w:shd w:val="clear" w:color="000000" w:fill="FFFFFF"/>
            <w:noWrap/>
            <w:vAlign w:val="center"/>
            <w:hideMark/>
          </w:tcPr>
          <w:p w14:paraId="72BD4F64" w14:textId="77777777" w:rsidR="00B11545" w:rsidRPr="00D618B7" w:rsidRDefault="00B11545" w:rsidP="004B11B7">
            <w:pPr>
              <w:jc w:val="right"/>
              <w:rPr>
                <w:color w:val="000000"/>
              </w:rPr>
            </w:pPr>
            <w:r w:rsidRPr="00D618B7">
              <w:rPr>
                <w:color w:val="000000"/>
              </w:rPr>
              <w:t>3394.90</w:t>
            </w:r>
          </w:p>
        </w:tc>
        <w:tc>
          <w:tcPr>
            <w:tcW w:w="575" w:type="pct"/>
            <w:tcBorders>
              <w:top w:val="nil"/>
              <w:left w:val="nil"/>
              <w:bottom w:val="nil"/>
              <w:right w:val="nil"/>
            </w:tcBorders>
            <w:shd w:val="clear" w:color="000000" w:fill="FFFFFF"/>
            <w:noWrap/>
            <w:vAlign w:val="center"/>
            <w:hideMark/>
          </w:tcPr>
          <w:p w14:paraId="639BA530" w14:textId="77777777" w:rsidR="00B11545" w:rsidRPr="00D618B7" w:rsidRDefault="00B11545" w:rsidP="004B11B7">
            <w:pPr>
              <w:jc w:val="right"/>
              <w:rPr>
                <w:color w:val="000000"/>
              </w:rPr>
            </w:pPr>
            <w:r w:rsidRPr="00D618B7">
              <w:rPr>
                <w:color w:val="000000"/>
              </w:rPr>
              <w:t>3091.23</w:t>
            </w:r>
          </w:p>
        </w:tc>
        <w:tc>
          <w:tcPr>
            <w:tcW w:w="947" w:type="pct"/>
            <w:tcBorders>
              <w:top w:val="nil"/>
              <w:left w:val="nil"/>
              <w:bottom w:val="nil"/>
              <w:right w:val="nil"/>
            </w:tcBorders>
            <w:shd w:val="clear" w:color="000000" w:fill="FFFFFF"/>
            <w:noWrap/>
            <w:vAlign w:val="center"/>
            <w:hideMark/>
          </w:tcPr>
          <w:p w14:paraId="651D1800" w14:textId="77777777" w:rsidR="00B11545" w:rsidRPr="00D618B7" w:rsidRDefault="00B11545" w:rsidP="004B11B7">
            <w:pPr>
              <w:jc w:val="right"/>
              <w:rPr>
                <w:color w:val="000000"/>
              </w:rPr>
            </w:pPr>
            <w:r w:rsidRPr="00D618B7">
              <w:rPr>
                <w:color w:val="000000"/>
              </w:rPr>
              <w:t>3353.62</w:t>
            </w:r>
          </w:p>
        </w:tc>
        <w:tc>
          <w:tcPr>
            <w:tcW w:w="495" w:type="pct"/>
            <w:tcBorders>
              <w:top w:val="nil"/>
              <w:left w:val="nil"/>
              <w:bottom w:val="nil"/>
              <w:right w:val="nil"/>
            </w:tcBorders>
            <w:shd w:val="clear" w:color="000000" w:fill="FFFFFF"/>
            <w:noWrap/>
            <w:vAlign w:val="center"/>
            <w:hideMark/>
          </w:tcPr>
          <w:p w14:paraId="282E919E" w14:textId="77777777" w:rsidR="00B11545" w:rsidRPr="00D618B7" w:rsidRDefault="00B11545" w:rsidP="004B11B7">
            <w:pPr>
              <w:jc w:val="right"/>
              <w:rPr>
                <w:color w:val="000000"/>
              </w:rPr>
            </w:pPr>
            <w:r w:rsidRPr="00D618B7">
              <w:rPr>
                <w:color w:val="000000"/>
              </w:rPr>
              <w:t>-160.99</w:t>
            </w:r>
          </w:p>
        </w:tc>
        <w:tc>
          <w:tcPr>
            <w:tcW w:w="816" w:type="pct"/>
            <w:tcBorders>
              <w:top w:val="nil"/>
              <w:left w:val="nil"/>
              <w:bottom w:val="nil"/>
              <w:right w:val="nil"/>
            </w:tcBorders>
            <w:shd w:val="clear" w:color="000000" w:fill="FFFFFF"/>
            <w:noWrap/>
            <w:vAlign w:val="center"/>
            <w:hideMark/>
          </w:tcPr>
          <w:p w14:paraId="1D95172B" w14:textId="77777777" w:rsidR="00B11545" w:rsidRPr="00D618B7" w:rsidRDefault="00B11545" w:rsidP="004B11B7">
            <w:pPr>
              <w:jc w:val="right"/>
              <w:rPr>
                <w:color w:val="000000"/>
              </w:rPr>
            </w:pPr>
            <w:r w:rsidRPr="00D618B7">
              <w:rPr>
                <w:color w:val="000000"/>
              </w:rPr>
              <w:t>3379.04</w:t>
            </w:r>
          </w:p>
        </w:tc>
      </w:tr>
      <w:tr w:rsidR="00B11545" w:rsidRPr="00D618B7" w14:paraId="5A4EF1B2" w14:textId="77777777" w:rsidTr="004B11B7">
        <w:trPr>
          <w:trHeight w:val="326"/>
        </w:trPr>
        <w:tc>
          <w:tcPr>
            <w:tcW w:w="533" w:type="pct"/>
            <w:tcBorders>
              <w:top w:val="nil"/>
              <w:left w:val="nil"/>
              <w:bottom w:val="single" w:sz="8" w:space="0" w:color="auto"/>
              <w:right w:val="nil"/>
            </w:tcBorders>
            <w:shd w:val="clear" w:color="000000" w:fill="FFFFFF"/>
            <w:vAlign w:val="center"/>
            <w:hideMark/>
          </w:tcPr>
          <w:p w14:paraId="3F561C31" w14:textId="77777777" w:rsidR="00B11545" w:rsidRPr="00D618B7" w:rsidRDefault="00B11545" w:rsidP="004B11B7">
            <w:pPr>
              <w:jc w:val="right"/>
              <w:rPr>
                <w:color w:val="000000"/>
              </w:rPr>
            </w:pPr>
            <w:r w:rsidRPr="00D618B7">
              <w:rPr>
                <w:color w:val="000000"/>
              </w:rPr>
              <w:t>5</w:t>
            </w:r>
          </w:p>
        </w:tc>
        <w:tc>
          <w:tcPr>
            <w:tcW w:w="617" w:type="pct"/>
            <w:tcBorders>
              <w:top w:val="nil"/>
              <w:left w:val="nil"/>
              <w:bottom w:val="single" w:sz="8" w:space="0" w:color="auto"/>
              <w:right w:val="nil"/>
            </w:tcBorders>
            <w:shd w:val="clear" w:color="000000" w:fill="FFFFFF"/>
            <w:noWrap/>
            <w:vAlign w:val="center"/>
            <w:hideMark/>
          </w:tcPr>
          <w:p w14:paraId="65845A31" w14:textId="77777777" w:rsidR="00B11545" w:rsidRPr="00D618B7" w:rsidRDefault="00B11545" w:rsidP="004B11B7">
            <w:pPr>
              <w:jc w:val="right"/>
              <w:rPr>
                <w:color w:val="000000"/>
              </w:rPr>
            </w:pPr>
            <w:r w:rsidRPr="00D618B7">
              <w:rPr>
                <w:color w:val="000000"/>
              </w:rPr>
              <w:t>18167.53</w:t>
            </w:r>
          </w:p>
        </w:tc>
        <w:tc>
          <w:tcPr>
            <w:tcW w:w="1017" w:type="pct"/>
            <w:tcBorders>
              <w:top w:val="nil"/>
              <w:left w:val="nil"/>
              <w:bottom w:val="single" w:sz="8" w:space="0" w:color="auto"/>
              <w:right w:val="nil"/>
            </w:tcBorders>
            <w:shd w:val="clear" w:color="000000" w:fill="FFFFFF"/>
            <w:noWrap/>
            <w:vAlign w:val="center"/>
            <w:hideMark/>
          </w:tcPr>
          <w:p w14:paraId="2184F433" w14:textId="77777777" w:rsidR="00B11545" w:rsidRPr="00D618B7" w:rsidRDefault="00B11545" w:rsidP="004B11B7">
            <w:pPr>
              <w:jc w:val="right"/>
              <w:rPr>
                <w:color w:val="000000"/>
              </w:rPr>
            </w:pPr>
            <w:r w:rsidRPr="00D618B7">
              <w:rPr>
                <w:color w:val="000000"/>
              </w:rPr>
              <w:t>3664.98</w:t>
            </w:r>
          </w:p>
        </w:tc>
        <w:tc>
          <w:tcPr>
            <w:tcW w:w="575" w:type="pct"/>
            <w:tcBorders>
              <w:top w:val="nil"/>
              <w:left w:val="nil"/>
              <w:bottom w:val="single" w:sz="8" w:space="0" w:color="auto"/>
              <w:right w:val="nil"/>
            </w:tcBorders>
            <w:shd w:val="clear" w:color="000000" w:fill="FFFFFF"/>
            <w:noWrap/>
            <w:vAlign w:val="center"/>
            <w:hideMark/>
          </w:tcPr>
          <w:p w14:paraId="04991FAC" w14:textId="77777777" w:rsidR="00B11545" w:rsidRPr="00D618B7" w:rsidRDefault="00B11545" w:rsidP="004B11B7">
            <w:pPr>
              <w:jc w:val="right"/>
              <w:rPr>
                <w:color w:val="000000"/>
              </w:rPr>
            </w:pPr>
            <w:r w:rsidRPr="00D618B7">
              <w:rPr>
                <w:color w:val="000000"/>
              </w:rPr>
              <w:t>2457.89</w:t>
            </w:r>
          </w:p>
        </w:tc>
        <w:tc>
          <w:tcPr>
            <w:tcW w:w="947" w:type="pct"/>
            <w:tcBorders>
              <w:top w:val="nil"/>
              <w:left w:val="nil"/>
              <w:bottom w:val="single" w:sz="8" w:space="0" w:color="auto"/>
              <w:right w:val="nil"/>
            </w:tcBorders>
            <w:shd w:val="clear" w:color="000000" w:fill="FFFFFF"/>
            <w:noWrap/>
            <w:vAlign w:val="center"/>
            <w:hideMark/>
          </w:tcPr>
          <w:p w14:paraId="0160C67B" w14:textId="77777777" w:rsidR="00B11545" w:rsidRPr="00D618B7" w:rsidRDefault="00B11545" w:rsidP="004B11B7">
            <w:pPr>
              <w:jc w:val="right"/>
              <w:rPr>
                <w:color w:val="000000"/>
              </w:rPr>
            </w:pPr>
            <w:r w:rsidRPr="00D618B7">
              <w:rPr>
                <w:color w:val="000000"/>
              </w:rPr>
              <w:t>3619.79</w:t>
            </w:r>
          </w:p>
        </w:tc>
        <w:tc>
          <w:tcPr>
            <w:tcW w:w="495" w:type="pct"/>
            <w:tcBorders>
              <w:top w:val="nil"/>
              <w:left w:val="nil"/>
              <w:bottom w:val="single" w:sz="8" w:space="0" w:color="auto"/>
              <w:right w:val="nil"/>
            </w:tcBorders>
            <w:shd w:val="clear" w:color="000000" w:fill="FFFFFF"/>
            <w:noWrap/>
            <w:vAlign w:val="center"/>
            <w:hideMark/>
          </w:tcPr>
          <w:p w14:paraId="78AB0A9D" w14:textId="77777777" w:rsidR="00B11545" w:rsidRPr="00D618B7" w:rsidRDefault="00B11545" w:rsidP="004B11B7">
            <w:pPr>
              <w:jc w:val="right"/>
              <w:rPr>
                <w:color w:val="000000"/>
              </w:rPr>
            </w:pPr>
            <w:r w:rsidRPr="00D618B7">
              <w:rPr>
                <w:color w:val="000000"/>
              </w:rPr>
              <w:t>1678.48</w:t>
            </w:r>
          </w:p>
        </w:tc>
        <w:tc>
          <w:tcPr>
            <w:tcW w:w="816" w:type="pct"/>
            <w:tcBorders>
              <w:top w:val="nil"/>
              <w:left w:val="nil"/>
              <w:bottom w:val="single" w:sz="8" w:space="0" w:color="auto"/>
              <w:right w:val="nil"/>
            </w:tcBorders>
            <w:shd w:val="clear" w:color="000000" w:fill="FFFFFF"/>
            <w:noWrap/>
            <w:vAlign w:val="center"/>
            <w:hideMark/>
          </w:tcPr>
          <w:p w14:paraId="54C31023" w14:textId="77777777" w:rsidR="00B11545" w:rsidRPr="00D618B7" w:rsidRDefault="00B11545" w:rsidP="004B11B7">
            <w:pPr>
              <w:jc w:val="right"/>
              <w:rPr>
                <w:color w:val="000000"/>
              </w:rPr>
            </w:pPr>
            <w:r w:rsidRPr="00D618B7">
              <w:rPr>
                <w:color w:val="000000"/>
              </w:rPr>
              <w:t>3643.76</w:t>
            </w:r>
          </w:p>
        </w:tc>
      </w:tr>
    </w:tbl>
    <w:p w14:paraId="219B117B" w14:textId="77777777" w:rsidR="00B11545" w:rsidRPr="00D618B7" w:rsidRDefault="00B11545" w:rsidP="00B11545">
      <w:pPr>
        <w:rPr>
          <w:i/>
          <w:iCs/>
        </w:rPr>
      </w:pPr>
    </w:p>
    <w:p w14:paraId="54FA7107" w14:textId="77777777" w:rsidR="00B11545" w:rsidRPr="00D618B7" w:rsidRDefault="00B11545" w:rsidP="00B11545">
      <w:r w:rsidRPr="00D618B7">
        <w:rPr>
          <w:i/>
          <w:iCs/>
        </w:rPr>
        <w:t>Note</w:t>
      </w:r>
      <w:r w:rsidRPr="00D618B7">
        <w:t>: This table lists the estimated mean summed duration and standard errors for toy-out-of-reach, toy-moving-into-reach, and toy-in-reach by weeks around reach-onset.</w:t>
      </w:r>
    </w:p>
    <w:p w14:paraId="26CEEF1D" w14:textId="77777777" w:rsidR="00B11545" w:rsidRPr="00D618B7" w:rsidRDefault="00B11545" w:rsidP="00B11545"/>
    <w:p w14:paraId="44B71BAE" w14:textId="77777777" w:rsidR="00B11545" w:rsidRPr="00D618B7" w:rsidRDefault="00B11545">
      <w:pPr>
        <w:rPr>
          <w:rFonts w:eastAsia="Aptos"/>
          <w:kern w:val="2"/>
          <w:sz w:val="22"/>
          <w:szCs w:val="22"/>
        </w:rPr>
      </w:pPr>
      <w:r w:rsidRPr="00D618B7">
        <w:rPr>
          <w:rFonts w:eastAsia="Aptos"/>
          <w:kern w:val="2"/>
          <w:sz w:val="22"/>
          <w:szCs w:val="22"/>
        </w:rPr>
        <w:br w:type="page"/>
      </w:r>
    </w:p>
    <w:p w14:paraId="6677F7E8" w14:textId="44927874" w:rsidR="004B7288" w:rsidRPr="00D618B7" w:rsidRDefault="004B7288" w:rsidP="007C5074">
      <w:pPr>
        <w:pStyle w:val="Caption"/>
      </w:pPr>
      <w:bookmarkStart w:id="157" w:name="_Toc172716854"/>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26</w:t>
      </w:r>
      <w:r w:rsidR="00000000">
        <w:rPr>
          <w:noProof/>
        </w:rPr>
        <w:fldChar w:fldCharType="end"/>
      </w:r>
      <w:r w:rsidR="000C1A25" w:rsidRPr="00D618B7">
        <w:t xml:space="preserve">: </w:t>
      </w:r>
      <w:r w:rsidR="000C1A25" w:rsidRPr="00D618B7">
        <w:rPr>
          <w:rFonts w:eastAsia="Aptos"/>
        </w:rPr>
        <w:t>Event summed duration by type, proximity, and week</w:t>
      </w:r>
      <w:bookmarkEnd w:id="157"/>
    </w:p>
    <w:p w14:paraId="06E61278" w14:textId="1FB7BA6F" w:rsidR="00B11545" w:rsidRPr="00D618B7" w:rsidRDefault="00B11545" w:rsidP="00B11545">
      <w:r w:rsidRPr="00D618B7">
        <w:t>Estimated Mean Summed Duration of Event by Type, Proximity, and Week</w:t>
      </w:r>
    </w:p>
    <w:p w14:paraId="64EBE460" w14:textId="77777777" w:rsidR="00B11545" w:rsidRPr="00D618B7" w:rsidRDefault="00B11545" w:rsidP="00B11545"/>
    <w:tbl>
      <w:tblPr>
        <w:tblW w:w="8969" w:type="dxa"/>
        <w:tblLook w:val="04A0" w:firstRow="1" w:lastRow="0" w:firstColumn="1" w:lastColumn="0" w:noHBand="0" w:noVBand="1"/>
      </w:tblPr>
      <w:tblGrid>
        <w:gridCol w:w="1355"/>
        <w:gridCol w:w="1046"/>
        <w:gridCol w:w="1111"/>
        <w:gridCol w:w="1580"/>
        <w:gridCol w:w="1100"/>
        <w:gridCol w:w="1635"/>
        <w:gridCol w:w="1142"/>
      </w:tblGrid>
      <w:tr w:rsidR="00B11545" w:rsidRPr="00D618B7" w14:paraId="6A09F30B" w14:textId="77777777" w:rsidTr="00B11545">
        <w:trPr>
          <w:trHeight w:val="254"/>
        </w:trPr>
        <w:tc>
          <w:tcPr>
            <w:tcW w:w="1355" w:type="dxa"/>
            <w:tcBorders>
              <w:top w:val="single" w:sz="18" w:space="0" w:color="auto"/>
              <w:left w:val="nil"/>
              <w:bottom w:val="nil"/>
              <w:right w:val="nil"/>
            </w:tcBorders>
            <w:shd w:val="clear" w:color="000000" w:fill="FFFFFF"/>
            <w:vAlign w:val="center"/>
            <w:hideMark/>
          </w:tcPr>
          <w:p w14:paraId="435F2DD5" w14:textId="77777777" w:rsidR="00B11545" w:rsidRPr="00D618B7" w:rsidRDefault="00B11545" w:rsidP="004B11B7">
            <w:pPr>
              <w:rPr>
                <w:color w:val="000000"/>
                <w:sz w:val="20"/>
                <w:szCs w:val="20"/>
              </w:rPr>
            </w:pPr>
            <w:r w:rsidRPr="00D618B7">
              <w:rPr>
                <w:color w:val="000000"/>
                <w:sz w:val="20"/>
                <w:szCs w:val="20"/>
              </w:rPr>
              <w:t>Week</w:t>
            </w:r>
          </w:p>
        </w:tc>
        <w:tc>
          <w:tcPr>
            <w:tcW w:w="2157" w:type="dxa"/>
            <w:gridSpan w:val="2"/>
            <w:tcBorders>
              <w:top w:val="single" w:sz="18" w:space="0" w:color="auto"/>
              <w:left w:val="nil"/>
              <w:bottom w:val="single" w:sz="18" w:space="0" w:color="auto"/>
              <w:right w:val="nil"/>
            </w:tcBorders>
            <w:shd w:val="clear" w:color="000000" w:fill="FFFFFF"/>
            <w:vAlign w:val="center"/>
            <w:hideMark/>
          </w:tcPr>
          <w:p w14:paraId="356E0C9C" w14:textId="77777777" w:rsidR="00B11545" w:rsidRPr="00D618B7" w:rsidRDefault="00B11545" w:rsidP="004B11B7">
            <w:pPr>
              <w:jc w:val="center"/>
              <w:rPr>
                <w:color w:val="000000"/>
                <w:sz w:val="20"/>
                <w:szCs w:val="20"/>
              </w:rPr>
            </w:pPr>
            <w:r w:rsidRPr="00D618B7">
              <w:rPr>
                <w:color w:val="000000"/>
                <w:sz w:val="20"/>
                <w:szCs w:val="20"/>
              </w:rPr>
              <w:t>Face</w:t>
            </w:r>
          </w:p>
        </w:tc>
        <w:tc>
          <w:tcPr>
            <w:tcW w:w="2680" w:type="dxa"/>
            <w:gridSpan w:val="2"/>
            <w:tcBorders>
              <w:top w:val="single" w:sz="18" w:space="0" w:color="auto"/>
              <w:left w:val="nil"/>
              <w:bottom w:val="single" w:sz="18" w:space="0" w:color="auto"/>
              <w:right w:val="nil"/>
            </w:tcBorders>
            <w:shd w:val="clear" w:color="000000" w:fill="FFFFFF"/>
            <w:vAlign w:val="center"/>
            <w:hideMark/>
          </w:tcPr>
          <w:p w14:paraId="59E69A68" w14:textId="77777777" w:rsidR="00B11545" w:rsidRPr="00D618B7" w:rsidRDefault="00B11545" w:rsidP="004B11B7">
            <w:pPr>
              <w:jc w:val="center"/>
              <w:rPr>
                <w:color w:val="000000"/>
                <w:sz w:val="20"/>
                <w:szCs w:val="20"/>
              </w:rPr>
            </w:pPr>
            <w:r w:rsidRPr="00D618B7">
              <w:rPr>
                <w:color w:val="000000"/>
                <w:sz w:val="20"/>
                <w:szCs w:val="20"/>
              </w:rPr>
              <w:t xml:space="preserve">              Hand</w:t>
            </w:r>
          </w:p>
        </w:tc>
        <w:tc>
          <w:tcPr>
            <w:tcW w:w="2775" w:type="dxa"/>
            <w:gridSpan w:val="2"/>
            <w:tcBorders>
              <w:top w:val="single" w:sz="18" w:space="0" w:color="auto"/>
              <w:left w:val="nil"/>
              <w:bottom w:val="single" w:sz="18" w:space="0" w:color="auto"/>
              <w:right w:val="nil"/>
            </w:tcBorders>
            <w:shd w:val="clear" w:color="000000" w:fill="FFFFFF"/>
            <w:vAlign w:val="center"/>
            <w:hideMark/>
          </w:tcPr>
          <w:p w14:paraId="7EBE6A89" w14:textId="77777777" w:rsidR="00B11545" w:rsidRPr="00D618B7" w:rsidRDefault="00B11545" w:rsidP="004B11B7">
            <w:pPr>
              <w:jc w:val="center"/>
              <w:rPr>
                <w:color w:val="000000"/>
                <w:sz w:val="20"/>
                <w:szCs w:val="20"/>
              </w:rPr>
            </w:pPr>
            <w:r w:rsidRPr="00D618B7">
              <w:rPr>
                <w:color w:val="000000"/>
                <w:sz w:val="20"/>
                <w:szCs w:val="20"/>
              </w:rPr>
              <w:t xml:space="preserve">                Mouth</w:t>
            </w:r>
          </w:p>
        </w:tc>
      </w:tr>
      <w:tr w:rsidR="00B11545" w:rsidRPr="00D618B7" w14:paraId="67FBF82D" w14:textId="77777777" w:rsidTr="00B11545">
        <w:trPr>
          <w:trHeight w:val="254"/>
        </w:trPr>
        <w:tc>
          <w:tcPr>
            <w:tcW w:w="1355" w:type="dxa"/>
            <w:tcBorders>
              <w:top w:val="nil"/>
              <w:left w:val="nil"/>
              <w:bottom w:val="single" w:sz="18" w:space="0" w:color="auto"/>
              <w:right w:val="nil"/>
            </w:tcBorders>
            <w:shd w:val="clear" w:color="000000" w:fill="FFFFFF"/>
            <w:noWrap/>
            <w:vAlign w:val="bottom"/>
            <w:hideMark/>
          </w:tcPr>
          <w:p w14:paraId="1ABDCEC8" w14:textId="77777777" w:rsidR="00B11545" w:rsidRPr="00D618B7" w:rsidRDefault="00B11545" w:rsidP="004B11B7">
            <w:pPr>
              <w:rPr>
                <w:color w:val="000000"/>
                <w:sz w:val="20"/>
                <w:szCs w:val="20"/>
              </w:rPr>
            </w:pPr>
            <w:r w:rsidRPr="00D618B7">
              <w:rPr>
                <w:color w:val="000000"/>
                <w:sz w:val="20"/>
                <w:szCs w:val="20"/>
              </w:rPr>
              <w:t> </w:t>
            </w:r>
          </w:p>
        </w:tc>
        <w:tc>
          <w:tcPr>
            <w:tcW w:w="1046" w:type="dxa"/>
            <w:tcBorders>
              <w:top w:val="single" w:sz="18" w:space="0" w:color="auto"/>
              <w:left w:val="nil"/>
              <w:bottom w:val="single" w:sz="18" w:space="0" w:color="auto"/>
              <w:right w:val="nil"/>
            </w:tcBorders>
            <w:shd w:val="clear" w:color="000000" w:fill="FFFFFF"/>
            <w:noWrap/>
            <w:vAlign w:val="center"/>
            <w:hideMark/>
          </w:tcPr>
          <w:p w14:paraId="7EB283B4" w14:textId="77777777" w:rsidR="00B11545" w:rsidRPr="00D618B7" w:rsidRDefault="00B11545" w:rsidP="004B11B7">
            <w:pPr>
              <w:jc w:val="right"/>
              <w:rPr>
                <w:color w:val="000000"/>
                <w:sz w:val="20"/>
                <w:szCs w:val="20"/>
              </w:rPr>
            </w:pPr>
            <w:r w:rsidRPr="00D618B7">
              <w:rPr>
                <w:color w:val="000000"/>
                <w:sz w:val="20"/>
                <w:szCs w:val="20"/>
              </w:rPr>
              <w:t>Mean</w:t>
            </w:r>
          </w:p>
        </w:tc>
        <w:tc>
          <w:tcPr>
            <w:tcW w:w="1111" w:type="dxa"/>
            <w:tcBorders>
              <w:top w:val="single" w:sz="18" w:space="0" w:color="auto"/>
              <w:left w:val="nil"/>
              <w:bottom w:val="single" w:sz="18" w:space="0" w:color="auto"/>
              <w:right w:val="nil"/>
            </w:tcBorders>
            <w:shd w:val="clear" w:color="000000" w:fill="FFFFFF"/>
            <w:noWrap/>
            <w:vAlign w:val="center"/>
            <w:hideMark/>
          </w:tcPr>
          <w:p w14:paraId="2173814F" w14:textId="77777777" w:rsidR="00B11545" w:rsidRPr="00D618B7" w:rsidRDefault="00B11545" w:rsidP="004B11B7">
            <w:pPr>
              <w:jc w:val="right"/>
              <w:rPr>
                <w:color w:val="000000"/>
                <w:sz w:val="20"/>
                <w:szCs w:val="20"/>
              </w:rPr>
            </w:pPr>
            <w:r w:rsidRPr="00D618B7">
              <w:rPr>
                <w:color w:val="000000"/>
                <w:sz w:val="20"/>
                <w:szCs w:val="20"/>
              </w:rPr>
              <w:t>Std. Error</w:t>
            </w:r>
          </w:p>
        </w:tc>
        <w:tc>
          <w:tcPr>
            <w:tcW w:w="1580" w:type="dxa"/>
            <w:tcBorders>
              <w:top w:val="single" w:sz="18" w:space="0" w:color="auto"/>
              <w:left w:val="nil"/>
              <w:bottom w:val="single" w:sz="18" w:space="0" w:color="auto"/>
              <w:right w:val="nil"/>
            </w:tcBorders>
            <w:shd w:val="clear" w:color="000000" w:fill="FFFFFF"/>
            <w:noWrap/>
            <w:vAlign w:val="center"/>
            <w:hideMark/>
          </w:tcPr>
          <w:p w14:paraId="67348359" w14:textId="77777777" w:rsidR="00B11545" w:rsidRPr="00D618B7" w:rsidRDefault="00B11545" w:rsidP="004B11B7">
            <w:pPr>
              <w:jc w:val="right"/>
              <w:rPr>
                <w:color w:val="000000"/>
                <w:sz w:val="20"/>
                <w:szCs w:val="20"/>
              </w:rPr>
            </w:pPr>
            <w:r w:rsidRPr="00D618B7">
              <w:rPr>
                <w:color w:val="000000"/>
                <w:sz w:val="20"/>
                <w:szCs w:val="20"/>
              </w:rPr>
              <w:t>Mean</w:t>
            </w:r>
          </w:p>
        </w:tc>
        <w:tc>
          <w:tcPr>
            <w:tcW w:w="1100" w:type="dxa"/>
            <w:tcBorders>
              <w:top w:val="single" w:sz="18" w:space="0" w:color="auto"/>
              <w:left w:val="nil"/>
              <w:bottom w:val="single" w:sz="18" w:space="0" w:color="auto"/>
              <w:right w:val="nil"/>
            </w:tcBorders>
            <w:shd w:val="clear" w:color="000000" w:fill="FFFFFF"/>
            <w:noWrap/>
            <w:vAlign w:val="center"/>
            <w:hideMark/>
          </w:tcPr>
          <w:p w14:paraId="649FCA64" w14:textId="77777777" w:rsidR="00B11545" w:rsidRPr="00D618B7" w:rsidRDefault="00B11545" w:rsidP="004B11B7">
            <w:pPr>
              <w:jc w:val="right"/>
              <w:rPr>
                <w:color w:val="000000"/>
                <w:sz w:val="20"/>
                <w:szCs w:val="20"/>
              </w:rPr>
            </w:pPr>
            <w:r w:rsidRPr="00D618B7">
              <w:rPr>
                <w:color w:val="000000"/>
                <w:sz w:val="20"/>
                <w:szCs w:val="20"/>
              </w:rPr>
              <w:t>Std. Error</w:t>
            </w:r>
          </w:p>
        </w:tc>
        <w:tc>
          <w:tcPr>
            <w:tcW w:w="1635" w:type="dxa"/>
            <w:tcBorders>
              <w:top w:val="single" w:sz="18" w:space="0" w:color="auto"/>
              <w:left w:val="nil"/>
              <w:bottom w:val="single" w:sz="18" w:space="0" w:color="auto"/>
              <w:right w:val="nil"/>
            </w:tcBorders>
            <w:shd w:val="clear" w:color="000000" w:fill="FFFFFF"/>
            <w:noWrap/>
            <w:vAlign w:val="center"/>
            <w:hideMark/>
          </w:tcPr>
          <w:p w14:paraId="61244F18" w14:textId="77777777" w:rsidR="00B11545" w:rsidRPr="00D618B7" w:rsidRDefault="00B11545" w:rsidP="004B11B7">
            <w:pPr>
              <w:jc w:val="right"/>
              <w:rPr>
                <w:color w:val="000000"/>
                <w:sz w:val="20"/>
                <w:szCs w:val="20"/>
              </w:rPr>
            </w:pPr>
            <w:r w:rsidRPr="00D618B7">
              <w:rPr>
                <w:color w:val="000000"/>
                <w:sz w:val="20"/>
                <w:szCs w:val="20"/>
              </w:rPr>
              <w:t>Mean</w:t>
            </w:r>
          </w:p>
        </w:tc>
        <w:tc>
          <w:tcPr>
            <w:tcW w:w="1139" w:type="dxa"/>
            <w:tcBorders>
              <w:top w:val="single" w:sz="18" w:space="0" w:color="auto"/>
              <w:left w:val="nil"/>
              <w:bottom w:val="single" w:sz="18" w:space="0" w:color="auto"/>
              <w:right w:val="nil"/>
            </w:tcBorders>
            <w:shd w:val="clear" w:color="000000" w:fill="FFFFFF"/>
            <w:noWrap/>
            <w:vAlign w:val="center"/>
            <w:hideMark/>
          </w:tcPr>
          <w:p w14:paraId="48FB33B8" w14:textId="77777777" w:rsidR="00B11545" w:rsidRPr="00D618B7" w:rsidRDefault="00B11545" w:rsidP="004B11B7">
            <w:pPr>
              <w:jc w:val="right"/>
              <w:rPr>
                <w:color w:val="000000"/>
                <w:sz w:val="20"/>
                <w:szCs w:val="20"/>
              </w:rPr>
            </w:pPr>
            <w:r w:rsidRPr="00D618B7">
              <w:rPr>
                <w:color w:val="000000"/>
                <w:sz w:val="20"/>
                <w:szCs w:val="20"/>
              </w:rPr>
              <w:t>Std. Error</w:t>
            </w:r>
          </w:p>
        </w:tc>
      </w:tr>
      <w:tr w:rsidR="00B11545" w:rsidRPr="00D618B7" w14:paraId="07998230" w14:textId="77777777" w:rsidTr="00B11545">
        <w:trPr>
          <w:trHeight w:val="242"/>
        </w:trPr>
        <w:tc>
          <w:tcPr>
            <w:tcW w:w="1355" w:type="dxa"/>
            <w:tcBorders>
              <w:top w:val="single" w:sz="18" w:space="0" w:color="auto"/>
              <w:left w:val="nil"/>
              <w:bottom w:val="nil"/>
              <w:right w:val="nil"/>
            </w:tcBorders>
            <w:shd w:val="clear" w:color="000000" w:fill="FFFFFF"/>
            <w:noWrap/>
            <w:vAlign w:val="bottom"/>
            <w:hideMark/>
          </w:tcPr>
          <w:p w14:paraId="486CCA7C" w14:textId="77777777" w:rsidR="00B11545" w:rsidRPr="00D618B7" w:rsidRDefault="00B11545" w:rsidP="004B11B7">
            <w:pPr>
              <w:rPr>
                <w:color w:val="000000"/>
                <w:sz w:val="20"/>
                <w:szCs w:val="20"/>
              </w:rPr>
            </w:pPr>
            <w:r w:rsidRPr="00D618B7">
              <w:rPr>
                <w:color w:val="000000"/>
                <w:sz w:val="20"/>
                <w:szCs w:val="20"/>
              </w:rPr>
              <w:t> </w:t>
            </w:r>
          </w:p>
        </w:tc>
        <w:tc>
          <w:tcPr>
            <w:tcW w:w="7614" w:type="dxa"/>
            <w:gridSpan w:val="6"/>
            <w:tcBorders>
              <w:top w:val="single" w:sz="18" w:space="0" w:color="auto"/>
              <w:left w:val="nil"/>
              <w:bottom w:val="nil"/>
              <w:right w:val="nil"/>
            </w:tcBorders>
            <w:shd w:val="clear" w:color="000000" w:fill="FFFFFF"/>
            <w:noWrap/>
            <w:vAlign w:val="center"/>
            <w:hideMark/>
          </w:tcPr>
          <w:p w14:paraId="10A0E5B8" w14:textId="77777777" w:rsidR="00B11545" w:rsidRPr="00D618B7" w:rsidRDefault="00B11545" w:rsidP="004B11B7">
            <w:pPr>
              <w:jc w:val="center"/>
              <w:rPr>
                <w:color w:val="000000"/>
                <w:sz w:val="20"/>
                <w:szCs w:val="20"/>
              </w:rPr>
            </w:pPr>
            <w:r w:rsidRPr="00D618B7">
              <w:rPr>
                <w:color w:val="000000"/>
                <w:sz w:val="20"/>
                <w:szCs w:val="20"/>
              </w:rPr>
              <w:t>Toy-out-of-Reach</w:t>
            </w:r>
          </w:p>
        </w:tc>
      </w:tr>
      <w:tr w:rsidR="00B11545" w:rsidRPr="00D618B7" w14:paraId="685C27AD" w14:textId="77777777" w:rsidTr="00B11545">
        <w:trPr>
          <w:trHeight w:val="242"/>
        </w:trPr>
        <w:tc>
          <w:tcPr>
            <w:tcW w:w="1355" w:type="dxa"/>
            <w:tcBorders>
              <w:top w:val="nil"/>
              <w:left w:val="nil"/>
              <w:bottom w:val="nil"/>
              <w:right w:val="nil"/>
            </w:tcBorders>
            <w:shd w:val="clear" w:color="000000" w:fill="FFFFFF"/>
            <w:vAlign w:val="center"/>
            <w:hideMark/>
          </w:tcPr>
          <w:p w14:paraId="272423B6" w14:textId="77777777" w:rsidR="00B11545" w:rsidRPr="00D618B7" w:rsidRDefault="00B11545" w:rsidP="004B11B7">
            <w:pPr>
              <w:jc w:val="right"/>
              <w:rPr>
                <w:color w:val="000000"/>
                <w:sz w:val="20"/>
                <w:szCs w:val="20"/>
              </w:rPr>
            </w:pPr>
            <w:r w:rsidRPr="00D618B7">
              <w:rPr>
                <w:color w:val="000000"/>
                <w:sz w:val="20"/>
                <w:szCs w:val="20"/>
              </w:rPr>
              <w:t>-5</w:t>
            </w:r>
          </w:p>
        </w:tc>
        <w:tc>
          <w:tcPr>
            <w:tcW w:w="1046" w:type="dxa"/>
            <w:tcBorders>
              <w:top w:val="nil"/>
              <w:left w:val="nil"/>
              <w:bottom w:val="nil"/>
              <w:right w:val="nil"/>
            </w:tcBorders>
            <w:shd w:val="clear" w:color="000000" w:fill="FFFFFF"/>
            <w:noWrap/>
            <w:vAlign w:val="center"/>
            <w:hideMark/>
          </w:tcPr>
          <w:p w14:paraId="307AC067" w14:textId="77777777" w:rsidR="00B11545" w:rsidRPr="00D618B7" w:rsidRDefault="00B11545" w:rsidP="004B11B7">
            <w:pPr>
              <w:jc w:val="right"/>
              <w:rPr>
                <w:color w:val="000000"/>
                <w:sz w:val="20"/>
                <w:szCs w:val="20"/>
              </w:rPr>
            </w:pPr>
            <w:r w:rsidRPr="00D618B7">
              <w:rPr>
                <w:color w:val="000000"/>
                <w:sz w:val="20"/>
                <w:szCs w:val="20"/>
              </w:rPr>
              <w:t>7876.08</w:t>
            </w:r>
          </w:p>
        </w:tc>
        <w:tc>
          <w:tcPr>
            <w:tcW w:w="1111" w:type="dxa"/>
            <w:tcBorders>
              <w:top w:val="nil"/>
              <w:left w:val="nil"/>
              <w:bottom w:val="nil"/>
              <w:right w:val="nil"/>
            </w:tcBorders>
            <w:shd w:val="clear" w:color="000000" w:fill="FFFFFF"/>
            <w:noWrap/>
            <w:vAlign w:val="center"/>
            <w:hideMark/>
          </w:tcPr>
          <w:p w14:paraId="70340D9A" w14:textId="77777777" w:rsidR="00B11545" w:rsidRPr="00D618B7" w:rsidRDefault="00B11545" w:rsidP="004B11B7">
            <w:pPr>
              <w:jc w:val="right"/>
              <w:rPr>
                <w:color w:val="000000"/>
                <w:sz w:val="20"/>
                <w:szCs w:val="20"/>
              </w:rPr>
            </w:pPr>
            <w:r w:rsidRPr="00D618B7">
              <w:rPr>
                <w:color w:val="000000"/>
                <w:sz w:val="20"/>
                <w:szCs w:val="20"/>
              </w:rPr>
              <w:t>6650.09</w:t>
            </w:r>
          </w:p>
        </w:tc>
        <w:tc>
          <w:tcPr>
            <w:tcW w:w="1580" w:type="dxa"/>
            <w:tcBorders>
              <w:top w:val="nil"/>
              <w:left w:val="nil"/>
              <w:bottom w:val="nil"/>
              <w:right w:val="nil"/>
            </w:tcBorders>
            <w:shd w:val="clear" w:color="000000" w:fill="FFFFFF"/>
            <w:noWrap/>
            <w:vAlign w:val="center"/>
            <w:hideMark/>
          </w:tcPr>
          <w:p w14:paraId="17FAB326" w14:textId="77777777" w:rsidR="00B11545" w:rsidRPr="00D618B7" w:rsidRDefault="00B11545" w:rsidP="004B11B7">
            <w:pPr>
              <w:jc w:val="right"/>
              <w:rPr>
                <w:color w:val="000000"/>
                <w:sz w:val="20"/>
                <w:szCs w:val="20"/>
              </w:rPr>
            </w:pPr>
            <w:r w:rsidRPr="00D618B7">
              <w:rPr>
                <w:color w:val="000000"/>
                <w:sz w:val="20"/>
                <w:szCs w:val="20"/>
              </w:rPr>
              <w:t>1013.57</w:t>
            </w:r>
          </w:p>
        </w:tc>
        <w:tc>
          <w:tcPr>
            <w:tcW w:w="1100" w:type="dxa"/>
            <w:tcBorders>
              <w:top w:val="nil"/>
              <w:left w:val="nil"/>
              <w:bottom w:val="nil"/>
              <w:right w:val="nil"/>
            </w:tcBorders>
            <w:shd w:val="clear" w:color="000000" w:fill="FFFFFF"/>
            <w:noWrap/>
            <w:vAlign w:val="center"/>
            <w:hideMark/>
          </w:tcPr>
          <w:p w14:paraId="07B7895B" w14:textId="77777777" w:rsidR="00B11545" w:rsidRPr="00D618B7" w:rsidRDefault="00B11545" w:rsidP="004B11B7">
            <w:pPr>
              <w:jc w:val="right"/>
              <w:rPr>
                <w:color w:val="000000"/>
                <w:sz w:val="20"/>
                <w:szCs w:val="20"/>
              </w:rPr>
            </w:pPr>
            <w:r w:rsidRPr="00D618B7">
              <w:rPr>
                <w:color w:val="000000"/>
                <w:sz w:val="20"/>
                <w:szCs w:val="20"/>
              </w:rPr>
              <w:t>6549.34</w:t>
            </w:r>
          </w:p>
        </w:tc>
        <w:tc>
          <w:tcPr>
            <w:tcW w:w="1635" w:type="dxa"/>
            <w:tcBorders>
              <w:top w:val="nil"/>
              <w:left w:val="nil"/>
              <w:bottom w:val="nil"/>
              <w:right w:val="nil"/>
            </w:tcBorders>
            <w:shd w:val="clear" w:color="000000" w:fill="FFFFFF"/>
            <w:noWrap/>
            <w:vAlign w:val="center"/>
            <w:hideMark/>
          </w:tcPr>
          <w:p w14:paraId="271D25A7" w14:textId="77777777" w:rsidR="00B11545" w:rsidRPr="00D618B7" w:rsidRDefault="00B11545" w:rsidP="004B11B7">
            <w:pPr>
              <w:jc w:val="right"/>
              <w:rPr>
                <w:color w:val="000000"/>
                <w:sz w:val="20"/>
                <w:szCs w:val="20"/>
              </w:rPr>
            </w:pPr>
            <w:r w:rsidRPr="00D618B7">
              <w:rPr>
                <w:color w:val="000000"/>
                <w:sz w:val="20"/>
                <w:szCs w:val="20"/>
              </w:rPr>
              <w:t>11582.86</w:t>
            </w:r>
          </w:p>
        </w:tc>
        <w:tc>
          <w:tcPr>
            <w:tcW w:w="1139" w:type="dxa"/>
            <w:tcBorders>
              <w:top w:val="nil"/>
              <w:left w:val="nil"/>
              <w:bottom w:val="nil"/>
              <w:right w:val="nil"/>
            </w:tcBorders>
            <w:shd w:val="clear" w:color="000000" w:fill="FFFFFF"/>
            <w:noWrap/>
            <w:vAlign w:val="center"/>
            <w:hideMark/>
          </w:tcPr>
          <w:p w14:paraId="243A36FC" w14:textId="77777777" w:rsidR="00B11545" w:rsidRPr="00D618B7" w:rsidRDefault="00B11545" w:rsidP="004B11B7">
            <w:pPr>
              <w:jc w:val="right"/>
              <w:rPr>
                <w:color w:val="000000"/>
                <w:sz w:val="20"/>
                <w:szCs w:val="20"/>
              </w:rPr>
            </w:pPr>
            <w:r w:rsidRPr="00D618B7">
              <w:rPr>
                <w:color w:val="000000"/>
                <w:sz w:val="20"/>
                <w:szCs w:val="20"/>
              </w:rPr>
              <w:t>6985.83</w:t>
            </w:r>
          </w:p>
        </w:tc>
      </w:tr>
      <w:tr w:rsidR="00B11545" w:rsidRPr="00D618B7" w14:paraId="7D2290DB" w14:textId="77777777" w:rsidTr="00B11545">
        <w:trPr>
          <w:trHeight w:val="242"/>
        </w:trPr>
        <w:tc>
          <w:tcPr>
            <w:tcW w:w="1355" w:type="dxa"/>
            <w:tcBorders>
              <w:top w:val="nil"/>
              <w:left w:val="nil"/>
              <w:bottom w:val="nil"/>
              <w:right w:val="nil"/>
            </w:tcBorders>
            <w:shd w:val="clear" w:color="000000" w:fill="FFFFFF"/>
            <w:vAlign w:val="center"/>
            <w:hideMark/>
          </w:tcPr>
          <w:p w14:paraId="326B18A7" w14:textId="77777777" w:rsidR="00B11545" w:rsidRPr="00D618B7" w:rsidRDefault="00B11545" w:rsidP="004B11B7">
            <w:pPr>
              <w:jc w:val="right"/>
              <w:rPr>
                <w:color w:val="000000"/>
                <w:sz w:val="20"/>
                <w:szCs w:val="20"/>
              </w:rPr>
            </w:pPr>
            <w:r w:rsidRPr="00D618B7">
              <w:rPr>
                <w:color w:val="000000"/>
                <w:sz w:val="20"/>
                <w:szCs w:val="20"/>
              </w:rPr>
              <w:t>-4</w:t>
            </w:r>
          </w:p>
        </w:tc>
        <w:tc>
          <w:tcPr>
            <w:tcW w:w="1046" w:type="dxa"/>
            <w:tcBorders>
              <w:top w:val="nil"/>
              <w:left w:val="nil"/>
              <w:bottom w:val="nil"/>
              <w:right w:val="nil"/>
            </w:tcBorders>
            <w:shd w:val="clear" w:color="000000" w:fill="FFFFFF"/>
            <w:noWrap/>
            <w:vAlign w:val="center"/>
            <w:hideMark/>
          </w:tcPr>
          <w:p w14:paraId="519D7B5C" w14:textId="77777777" w:rsidR="00B11545" w:rsidRPr="00D618B7" w:rsidRDefault="00B11545" w:rsidP="004B11B7">
            <w:pPr>
              <w:jc w:val="right"/>
              <w:rPr>
                <w:color w:val="000000"/>
                <w:sz w:val="20"/>
                <w:szCs w:val="20"/>
              </w:rPr>
            </w:pPr>
            <w:r w:rsidRPr="00D618B7">
              <w:rPr>
                <w:color w:val="000000"/>
                <w:sz w:val="20"/>
                <w:szCs w:val="20"/>
              </w:rPr>
              <w:t>-257.80</w:t>
            </w:r>
          </w:p>
        </w:tc>
        <w:tc>
          <w:tcPr>
            <w:tcW w:w="1111" w:type="dxa"/>
            <w:tcBorders>
              <w:top w:val="nil"/>
              <w:left w:val="nil"/>
              <w:bottom w:val="nil"/>
              <w:right w:val="nil"/>
            </w:tcBorders>
            <w:shd w:val="clear" w:color="000000" w:fill="FFFFFF"/>
            <w:noWrap/>
            <w:vAlign w:val="center"/>
            <w:hideMark/>
          </w:tcPr>
          <w:p w14:paraId="21925735" w14:textId="77777777" w:rsidR="00B11545" w:rsidRPr="00D618B7" w:rsidRDefault="00B11545" w:rsidP="004B11B7">
            <w:pPr>
              <w:jc w:val="right"/>
              <w:rPr>
                <w:color w:val="000000"/>
                <w:sz w:val="20"/>
                <w:szCs w:val="20"/>
              </w:rPr>
            </w:pPr>
            <w:r w:rsidRPr="00D618B7">
              <w:rPr>
                <w:color w:val="000000"/>
                <w:sz w:val="20"/>
                <w:szCs w:val="20"/>
              </w:rPr>
              <w:t>6867.68</w:t>
            </w:r>
          </w:p>
        </w:tc>
        <w:tc>
          <w:tcPr>
            <w:tcW w:w="1580" w:type="dxa"/>
            <w:tcBorders>
              <w:top w:val="nil"/>
              <w:left w:val="nil"/>
              <w:bottom w:val="nil"/>
              <w:right w:val="nil"/>
            </w:tcBorders>
            <w:shd w:val="clear" w:color="000000" w:fill="FFFFFF"/>
            <w:noWrap/>
            <w:vAlign w:val="center"/>
            <w:hideMark/>
          </w:tcPr>
          <w:p w14:paraId="06285D7B" w14:textId="77777777" w:rsidR="00B11545" w:rsidRPr="00D618B7" w:rsidRDefault="00B11545" w:rsidP="004B11B7">
            <w:pPr>
              <w:jc w:val="right"/>
              <w:rPr>
                <w:color w:val="000000"/>
                <w:sz w:val="20"/>
                <w:szCs w:val="20"/>
              </w:rPr>
            </w:pPr>
            <w:r w:rsidRPr="00D618B7">
              <w:rPr>
                <w:color w:val="000000"/>
                <w:sz w:val="20"/>
                <w:szCs w:val="20"/>
              </w:rPr>
              <w:t>-1629.96</w:t>
            </w:r>
          </w:p>
        </w:tc>
        <w:tc>
          <w:tcPr>
            <w:tcW w:w="1100" w:type="dxa"/>
            <w:tcBorders>
              <w:top w:val="nil"/>
              <w:left w:val="nil"/>
              <w:bottom w:val="nil"/>
              <w:right w:val="nil"/>
            </w:tcBorders>
            <w:shd w:val="clear" w:color="000000" w:fill="FFFFFF"/>
            <w:noWrap/>
            <w:vAlign w:val="center"/>
            <w:hideMark/>
          </w:tcPr>
          <w:p w14:paraId="5596E743" w14:textId="77777777" w:rsidR="00B11545" w:rsidRPr="00D618B7" w:rsidRDefault="00B11545" w:rsidP="004B11B7">
            <w:pPr>
              <w:jc w:val="right"/>
              <w:rPr>
                <w:color w:val="000000"/>
                <w:sz w:val="20"/>
                <w:szCs w:val="20"/>
              </w:rPr>
            </w:pPr>
            <w:r w:rsidRPr="00D618B7">
              <w:rPr>
                <w:color w:val="000000"/>
                <w:sz w:val="20"/>
                <w:szCs w:val="20"/>
              </w:rPr>
              <w:t>6821.01</w:t>
            </w:r>
          </w:p>
        </w:tc>
        <w:tc>
          <w:tcPr>
            <w:tcW w:w="1635" w:type="dxa"/>
            <w:tcBorders>
              <w:top w:val="nil"/>
              <w:left w:val="nil"/>
              <w:bottom w:val="nil"/>
              <w:right w:val="nil"/>
            </w:tcBorders>
            <w:shd w:val="clear" w:color="000000" w:fill="FFFFFF"/>
            <w:noWrap/>
            <w:vAlign w:val="center"/>
            <w:hideMark/>
          </w:tcPr>
          <w:p w14:paraId="1932DC4B" w14:textId="77777777" w:rsidR="00B11545" w:rsidRPr="00D618B7" w:rsidRDefault="00B11545" w:rsidP="004B11B7">
            <w:pPr>
              <w:jc w:val="right"/>
              <w:rPr>
                <w:color w:val="000000"/>
                <w:sz w:val="20"/>
                <w:szCs w:val="20"/>
              </w:rPr>
            </w:pPr>
            <w:r w:rsidRPr="00D618B7">
              <w:rPr>
                <w:color w:val="000000"/>
                <w:sz w:val="20"/>
                <w:szCs w:val="20"/>
              </w:rPr>
              <w:t>-4124.41</w:t>
            </w:r>
          </w:p>
        </w:tc>
        <w:tc>
          <w:tcPr>
            <w:tcW w:w="1139" w:type="dxa"/>
            <w:tcBorders>
              <w:top w:val="nil"/>
              <w:left w:val="nil"/>
              <w:bottom w:val="nil"/>
              <w:right w:val="nil"/>
            </w:tcBorders>
            <w:shd w:val="clear" w:color="000000" w:fill="FFFFFF"/>
            <w:noWrap/>
            <w:vAlign w:val="center"/>
            <w:hideMark/>
          </w:tcPr>
          <w:p w14:paraId="4F39F2C0" w14:textId="77777777" w:rsidR="00B11545" w:rsidRPr="00D618B7" w:rsidRDefault="00B11545" w:rsidP="004B11B7">
            <w:pPr>
              <w:jc w:val="right"/>
              <w:rPr>
                <w:color w:val="000000"/>
                <w:sz w:val="20"/>
                <w:szCs w:val="20"/>
              </w:rPr>
            </w:pPr>
            <w:r w:rsidRPr="00D618B7">
              <w:rPr>
                <w:color w:val="000000"/>
                <w:sz w:val="20"/>
                <w:szCs w:val="20"/>
              </w:rPr>
              <w:t>7168.10</w:t>
            </w:r>
          </w:p>
        </w:tc>
      </w:tr>
      <w:tr w:rsidR="00B11545" w:rsidRPr="00D618B7" w14:paraId="2A2F85E0" w14:textId="77777777" w:rsidTr="00B11545">
        <w:trPr>
          <w:trHeight w:val="242"/>
        </w:trPr>
        <w:tc>
          <w:tcPr>
            <w:tcW w:w="1355" w:type="dxa"/>
            <w:tcBorders>
              <w:top w:val="nil"/>
              <w:left w:val="nil"/>
              <w:bottom w:val="nil"/>
              <w:right w:val="nil"/>
            </w:tcBorders>
            <w:shd w:val="clear" w:color="000000" w:fill="FFFFFF"/>
            <w:vAlign w:val="center"/>
            <w:hideMark/>
          </w:tcPr>
          <w:p w14:paraId="321C0AFC" w14:textId="77777777" w:rsidR="00B11545" w:rsidRPr="00D618B7" w:rsidRDefault="00B11545" w:rsidP="004B11B7">
            <w:pPr>
              <w:jc w:val="right"/>
              <w:rPr>
                <w:color w:val="000000"/>
                <w:sz w:val="20"/>
                <w:szCs w:val="20"/>
              </w:rPr>
            </w:pPr>
            <w:r w:rsidRPr="00D618B7">
              <w:rPr>
                <w:color w:val="000000"/>
                <w:sz w:val="20"/>
                <w:szCs w:val="20"/>
              </w:rPr>
              <w:t>-3</w:t>
            </w:r>
          </w:p>
        </w:tc>
        <w:tc>
          <w:tcPr>
            <w:tcW w:w="1046" w:type="dxa"/>
            <w:tcBorders>
              <w:top w:val="nil"/>
              <w:left w:val="nil"/>
              <w:bottom w:val="nil"/>
              <w:right w:val="nil"/>
            </w:tcBorders>
            <w:shd w:val="clear" w:color="000000" w:fill="FFFFFF"/>
            <w:noWrap/>
            <w:vAlign w:val="center"/>
            <w:hideMark/>
          </w:tcPr>
          <w:p w14:paraId="78DE2EE6" w14:textId="77777777" w:rsidR="00B11545" w:rsidRPr="00D618B7" w:rsidRDefault="00B11545" w:rsidP="004B11B7">
            <w:pPr>
              <w:jc w:val="right"/>
              <w:rPr>
                <w:color w:val="000000"/>
                <w:sz w:val="20"/>
                <w:szCs w:val="20"/>
              </w:rPr>
            </w:pPr>
            <w:r w:rsidRPr="00D618B7">
              <w:rPr>
                <w:color w:val="000000"/>
                <w:sz w:val="20"/>
                <w:szCs w:val="20"/>
              </w:rPr>
              <w:t>2109.83</w:t>
            </w:r>
          </w:p>
        </w:tc>
        <w:tc>
          <w:tcPr>
            <w:tcW w:w="1111" w:type="dxa"/>
            <w:tcBorders>
              <w:top w:val="nil"/>
              <w:left w:val="nil"/>
              <w:bottom w:val="nil"/>
              <w:right w:val="nil"/>
            </w:tcBorders>
            <w:shd w:val="clear" w:color="000000" w:fill="FFFFFF"/>
            <w:noWrap/>
            <w:vAlign w:val="center"/>
            <w:hideMark/>
          </w:tcPr>
          <w:p w14:paraId="7EBA2716" w14:textId="77777777" w:rsidR="00B11545" w:rsidRPr="00D618B7" w:rsidRDefault="00B11545" w:rsidP="004B11B7">
            <w:pPr>
              <w:jc w:val="right"/>
              <w:rPr>
                <w:color w:val="000000"/>
                <w:sz w:val="20"/>
                <w:szCs w:val="20"/>
              </w:rPr>
            </w:pPr>
            <w:r w:rsidRPr="00D618B7">
              <w:rPr>
                <w:color w:val="000000"/>
                <w:sz w:val="20"/>
                <w:szCs w:val="20"/>
              </w:rPr>
              <w:t>6922.76</w:t>
            </w:r>
          </w:p>
        </w:tc>
        <w:tc>
          <w:tcPr>
            <w:tcW w:w="1580" w:type="dxa"/>
            <w:tcBorders>
              <w:top w:val="nil"/>
              <w:left w:val="nil"/>
              <w:bottom w:val="nil"/>
              <w:right w:val="nil"/>
            </w:tcBorders>
            <w:shd w:val="clear" w:color="000000" w:fill="FFFFFF"/>
            <w:noWrap/>
            <w:vAlign w:val="center"/>
            <w:hideMark/>
          </w:tcPr>
          <w:p w14:paraId="467A68CF" w14:textId="77777777" w:rsidR="00B11545" w:rsidRPr="00D618B7" w:rsidRDefault="00B11545" w:rsidP="004B11B7">
            <w:pPr>
              <w:jc w:val="right"/>
              <w:rPr>
                <w:color w:val="000000"/>
                <w:sz w:val="20"/>
                <w:szCs w:val="20"/>
              </w:rPr>
            </w:pPr>
            <w:r w:rsidRPr="00D618B7">
              <w:rPr>
                <w:color w:val="000000"/>
                <w:sz w:val="20"/>
                <w:szCs w:val="20"/>
              </w:rPr>
              <w:t>513.87</w:t>
            </w:r>
          </w:p>
        </w:tc>
        <w:tc>
          <w:tcPr>
            <w:tcW w:w="1100" w:type="dxa"/>
            <w:tcBorders>
              <w:top w:val="nil"/>
              <w:left w:val="nil"/>
              <w:bottom w:val="nil"/>
              <w:right w:val="nil"/>
            </w:tcBorders>
            <w:shd w:val="clear" w:color="000000" w:fill="FFFFFF"/>
            <w:noWrap/>
            <w:vAlign w:val="center"/>
            <w:hideMark/>
          </w:tcPr>
          <w:p w14:paraId="6113A3BD" w14:textId="77777777" w:rsidR="00B11545" w:rsidRPr="00D618B7" w:rsidRDefault="00B11545" w:rsidP="004B11B7">
            <w:pPr>
              <w:jc w:val="right"/>
              <w:rPr>
                <w:color w:val="000000"/>
                <w:sz w:val="20"/>
                <w:szCs w:val="20"/>
              </w:rPr>
            </w:pPr>
            <w:r w:rsidRPr="00D618B7">
              <w:rPr>
                <w:color w:val="000000"/>
                <w:sz w:val="20"/>
                <w:szCs w:val="20"/>
              </w:rPr>
              <w:t>6869.95</w:t>
            </w:r>
          </w:p>
        </w:tc>
        <w:tc>
          <w:tcPr>
            <w:tcW w:w="1635" w:type="dxa"/>
            <w:tcBorders>
              <w:top w:val="nil"/>
              <w:left w:val="nil"/>
              <w:bottom w:val="nil"/>
              <w:right w:val="nil"/>
            </w:tcBorders>
            <w:shd w:val="clear" w:color="000000" w:fill="FFFFFF"/>
            <w:noWrap/>
            <w:vAlign w:val="center"/>
            <w:hideMark/>
          </w:tcPr>
          <w:p w14:paraId="497D81FF" w14:textId="77777777" w:rsidR="00B11545" w:rsidRPr="00D618B7" w:rsidRDefault="00B11545" w:rsidP="004B11B7">
            <w:pPr>
              <w:jc w:val="right"/>
              <w:rPr>
                <w:color w:val="000000"/>
                <w:sz w:val="20"/>
                <w:szCs w:val="20"/>
              </w:rPr>
            </w:pPr>
            <w:r w:rsidRPr="00D618B7">
              <w:rPr>
                <w:color w:val="000000"/>
                <w:sz w:val="20"/>
                <w:szCs w:val="20"/>
              </w:rPr>
              <w:t>37903.76</w:t>
            </w:r>
          </w:p>
        </w:tc>
        <w:tc>
          <w:tcPr>
            <w:tcW w:w="1139" w:type="dxa"/>
            <w:tcBorders>
              <w:top w:val="nil"/>
              <w:left w:val="nil"/>
              <w:bottom w:val="nil"/>
              <w:right w:val="nil"/>
            </w:tcBorders>
            <w:shd w:val="clear" w:color="000000" w:fill="FFFFFF"/>
            <w:noWrap/>
            <w:vAlign w:val="center"/>
            <w:hideMark/>
          </w:tcPr>
          <w:p w14:paraId="6EF0E289" w14:textId="77777777" w:rsidR="00B11545" w:rsidRPr="00D618B7" w:rsidRDefault="00B11545" w:rsidP="004B11B7">
            <w:pPr>
              <w:jc w:val="right"/>
              <w:rPr>
                <w:color w:val="000000"/>
                <w:sz w:val="20"/>
                <w:szCs w:val="20"/>
              </w:rPr>
            </w:pPr>
            <w:r w:rsidRPr="00D618B7">
              <w:rPr>
                <w:color w:val="000000"/>
                <w:sz w:val="20"/>
                <w:szCs w:val="20"/>
              </w:rPr>
              <w:t>7202.22</w:t>
            </w:r>
          </w:p>
        </w:tc>
      </w:tr>
      <w:tr w:rsidR="00B11545" w:rsidRPr="00D618B7" w14:paraId="7DF2A1A5" w14:textId="77777777" w:rsidTr="00B11545">
        <w:trPr>
          <w:trHeight w:val="242"/>
        </w:trPr>
        <w:tc>
          <w:tcPr>
            <w:tcW w:w="1355" w:type="dxa"/>
            <w:tcBorders>
              <w:top w:val="nil"/>
              <w:left w:val="nil"/>
              <w:bottom w:val="nil"/>
              <w:right w:val="nil"/>
            </w:tcBorders>
            <w:shd w:val="clear" w:color="000000" w:fill="FFFFFF"/>
            <w:vAlign w:val="center"/>
            <w:hideMark/>
          </w:tcPr>
          <w:p w14:paraId="7C2FAF9F" w14:textId="77777777" w:rsidR="00B11545" w:rsidRPr="00D618B7" w:rsidRDefault="00B11545" w:rsidP="004B11B7">
            <w:pPr>
              <w:jc w:val="right"/>
              <w:rPr>
                <w:color w:val="000000"/>
                <w:sz w:val="20"/>
                <w:szCs w:val="20"/>
              </w:rPr>
            </w:pPr>
            <w:r w:rsidRPr="00D618B7">
              <w:rPr>
                <w:color w:val="000000"/>
                <w:sz w:val="20"/>
                <w:szCs w:val="20"/>
              </w:rPr>
              <w:t>-2</w:t>
            </w:r>
          </w:p>
        </w:tc>
        <w:tc>
          <w:tcPr>
            <w:tcW w:w="1046" w:type="dxa"/>
            <w:tcBorders>
              <w:top w:val="nil"/>
              <w:left w:val="nil"/>
              <w:bottom w:val="nil"/>
              <w:right w:val="nil"/>
            </w:tcBorders>
            <w:shd w:val="clear" w:color="000000" w:fill="FFFFFF"/>
            <w:noWrap/>
            <w:vAlign w:val="center"/>
            <w:hideMark/>
          </w:tcPr>
          <w:p w14:paraId="4C717161" w14:textId="77777777" w:rsidR="00B11545" w:rsidRPr="00D618B7" w:rsidRDefault="00B11545" w:rsidP="004B11B7">
            <w:pPr>
              <w:jc w:val="right"/>
              <w:rPr>
                <w:color w:val="000000"/>
                <w:sz w:val="20"/>
                <w:szCs w:val="20"/>
              </w:rPr>
            </w:pPr>
            <w:r w:rsidRPr="00D618B7">
              <w:rPr>
                <w:color w:val="000000"/>
                <w:sz w:val="20"/>
                <w:szCs w:val="20"/>
              </w:rPr>
              <w:t>-852.51</w:t>
            </w:r>
          </w:p>
        </w:tc>
        <w:tc>
          <w:tcPr>
            <w:tcW w:w="1111" w:type="dxa"/>
            <w:tcBorders>
              <w:top w:val="nil"/>
              <w:left w:val="nil"/>
              <w:bottom w:val="nil"/>
              <w:right w:val="nil"/>
            </w:tcBorders>
            <w:shd w:val="clear" w:color="000000" w:fill="FFFFFF"/>
            <w:noWrap/>
            <w:vAlign w:val="center"/>
            <w:hideMark/>
          </w:tcPr>
          <w:p w14:paraId="37177194" w14:textId="77777777" w:rsidR="00B11545" w:rsidRPr="00D618B7" w:rsidRDefault="00B11545" w:rsidP="004B11B7">
            <w:pPr>
              <w:jc w:val="right"/>
              <w:rPr>
                <w:color w:val="000000"/>
                <w:sz w:val="20"/>
                <w:szCs w:val="20"/>
              </w:rPr>
            </w:pPr>
            <w:r w:rsidRPr="00D618B7">
              <w:rPr>
                <w:color w:val="000000"/>
                <w:sz w:val="20"/>
                <w:szCs w:val="20"/>
              </w:rPr>
              <w:t>6067.44</w:t>
            </w:r>
          </w:p>
        </w:tc>
        <w:tc>
          <w:tcPr>
            <w:tcW w:w="1580" w:type="dxa"/>
            <w:tcBorders>
              <w:top w:val="nil"/>
              <w:left w:val="nil"/>
              <w:bottom w:val="nil"/>
              <w:right w:val="nil"/>
            </w:tcBorders>
            <w:shd w:val="clear" w:color="000000" w:fill="FFFFFF"/>
            <w:noWrap/>
            <w:vAlign w:val="center"/>
            <w:hideMark/>
          </w:tcPr>
          <w:p w14:paraId="196CFE5B" w14:textId="77777777" w:rsidR="00B11545" w:rsidRPr="00D618B7" w:rsidRDefault="00B11545" w:rsidP="004B11B7">
            <w:pPr>
              <w:jc w:val="right"/>
              <w:rPr>
                <w:color w:val="000000"/>
                <w:sz w:val="20"/>
                <w:szCs w:val="20"/>
              </w:rPr>
            </w:pPr>
            <w:r w:rsidRPr="00D618B7">
              <w:rPr>
                <w:color w:val="000000"/>
                <w:sz w:val="20"/>
                <w:szCs w:val="20"/>
              </w:rPr>
              <w:t>-4645.12</w:t>
            </w:r>
          </w:p>
        </w:tc>
        <w:tc>
          <w:tcPr>
            <w:tcW w:w="1100" w:type="dxa"/>
            <w:tcBorders>
              <w:top w:val="nil"/>
              <w:left w:val="nil"/>
              <w:bottom w:val="nil"/>
              <w:right w:val="nil"/>
            </w:tcBorders>
            <w:shd w:val="clear" w:color="000000" w:fill="FFFFFF"/>
            <w:noWrap/>
            <w:vAlign w:val="center"/>
            <w:hideMark/>
          </w:tcPr>
          <w:p w14:paraId="05669665" w14:textId="77777777" w:rsidR="00B11545" w:rsidRPr="00D618B7" w:rsidRDefault="00B11545" w:rsidP="004B11B7">
            <w:pPr>
              <w:jc w:val="right"/>
              <w:rPr>
                <w:color w:val="000000"/>
                <w:sz w:val="20"/>
                <w:szCs w:val="20"/>
              </w:rPr>
            </w:pPr>
            <w:r w:rsidRPr="00D618B7">
              <w:rPr>
                <w:color w:val="000000"/>
                <w:sz w:val="20"/>
                <w:szCs w:val="20"/>
              </w:rPr>
              <w:t>6008.16</w:t>
            </w:r>
          </w:p>
        </w:tc>
        <w:tc>
          <w:tcPr>
            <w:tcW w:w="1635" w:type="dxa"/>
            <w:tcBorders>
              <w:top w:val="nil"/>
              <w:left w:val="nil"/>
              <w:bottom w:val="nil"/>
              <w:right w:val="nil"/>
            </w:tcBorders>
            <w:shd w:val="clear" w:color="000000" w:fill="FFFFFF"/>
            <w:noWrap/>
            <w:vAlign w:val="center"/>
            <w:hideMark/>
          </w:tcPr>
          <w:p w14:paraId="4BA4500C" w14:textId="77777777" w:rsidR="00B11545" w:rsidRPr="00D618B7" w:rsidRDefault="00B11545" w:rsidP="004B11B7">
            <w:pPr>
              <w:jc w:val="right"/>
              <w:rPr>
                <w:color w:val="000000"/>
                <w:sz w:val="20"/>
                <w:szCs w:val="20"/>
              </w:rPr>
            </w:pPr>
            <w:r w:rsidRPr="00D618B7">
              <w:rPr>
                <w:color w:val="000000"/>
                <w:sz w:val="20"/>
                <w:szCs w:val="20"/>
              </w:rPr>
              <w:t>7925.87</w:t>
            </w:r>
          </w:p>
        </w:tc>
        <w:tc>
          <w:tcPr>
            <w:tcW w:w="1139" w:type="dxa"/>
            <w:tcBorders>
              <w:top w:val="nil"/>
              <w:left w:val="nil"/>
              <w:bottom w:val="nil"/>
              <w:right w:val="nil"/>
            </w:tcBorders>
            <w:shd w:val="clear" w:color="000000" w:fill="FFFFFF"/>
            <w:noWrap/>
            <w:vAlign w:val="center"/>
            <w:hideMark/>
          </w:tcPr>
          <w:p w14:paraId="799FAE67" w14:textId="77777777" w:rsidR="00B11545" w:rsidRPr="00D618B7" w:rsidRDefault="00B11545" w:rsidP="004B11B7">
            <w:pPr>
              <w:jc w:val="right"/>
              <w:rPr>
                <w:color w:val="000000"/>
                <w:sz w:val="20"/>
                <w:szCs w:val="20"/>
              </w:rPr>
            </w:pPr>
            <w:r w:rsidRPr="00D618B7">
              <w:rPr>
                <w:color w:val="000000"/>
                <w:sz w:val="20"/>
                <w:szCs w:val="20"/>
              </w:rPr>
              <w:t>6440.61</w:t>
            </w:r>
          </w:p>
        </w:tc>
      </w:tr>
      <w:tr w:rsidR="00B11545" w:rsidRPr="00D618B7" w14:paraId="59DB1A64" w14:textId="77777777" w:rsidTr="00B11545">
        <w:trPr>
          <w:trHeight w:val="242"/>
        </w:trPr>
        <w:tc>
          <w:tcPr>
            <w:tcW w:w="1355" w:type="dxa"/>
            <w:tcBorders>
              <w:top w:val="nil"/>
              <w:left w:val="nil"/>
              <w:bottom w:val="nil"/>
              <w:right w:val="nil"/>
            </w:tcBorders>
            <w:shd w:val="clear" w:color="000000" w:fill="FFFFFF"/>
            <w:vAlign w:val="center"/>
            <w:hideMark/>
          </w:tcPr>
          <w:p w14:paraId="60303D70" w14:textId="77777777" w:rsidR="00B11545" w:rsidRPr="00D618B7" w:rsidRDefault="00B11545" w:rsidP="004B11B7">
            <w:pPr>
              <w:jc w:val="right"/>
              <w:rPr>
                <w:color w:val="000000"/>
                <w:sz w:val="20"/>
                <w:szCs w:val="20"/>
              </w:rPr>
            </w:pPr>
            <w:r w:rsidRPr="00D618B7">
              <w:rPr>
                <w:color w:val="000000"/>
                <w:sz w:val="20"/>
                <w:szCs w:val="20"/>
              </w:rPr>
              <w:t>-1</w:t>
            </w:r>
          </w:p>
        </w:tc>
        <w:tc>
          <w:tcPr>
            <w:tcW w:w="1046" w:type="dxa"/>
            <w:tcBorders>
              <w:top w:val="nil"/>
              <w:left w:val="nil"/>
              <w:bottom w:val="nil"/>
              <w:right w:val="nil"/>
            </w:tcBorders>
            <w:shd w:val="clear" w:color="000000" w:fill="FFFFFF"/>
            <w:noWrap/>
            <w:vAlign w:val="center"/>
            <w:hideMark/>
          </w:tcPr>
          <w:p w14:paraId="35B1CD53" w14:textId="77777777" w:rsidR="00B11545" w:rsidRPr="00D618B7" w:rsidRDefault="00B11545" w:rsidP="004B11B7">
            <w:pPr>
              <w:jc w:val="right"/>
              <w:rPr>
                <w:color w:val="000000"/>
                <w:sz w:val="20"/>
                <w:szCs w:val="20"/>
              </w:rPr>
            </w:pPr>
            <w:r w:rsidRPr="00D618B7">
              <w:rPr>
                <w:color w:val="000000"/>
                <w:sz w:val="20"/>
                <w:szCs w:val="20"/>
              </w:rPr>
              <w:t>2275.16</w:t>
            </w:r>
          </w:p>
        </w:tc>
        <w:tc>
          <w:tcPr>
            <w:tcW w:w="1111" w:type="dxa"/>
            <w:tcBorders>
              <w:top w:val="nil"/>
              <w:left w:val="nil"/>
              <w:bottom w:val="nil"/>
              <w:right w:val="nil"/>
            </w:tcBorders>
            <w:shd w:val="clear" w:color="000000" w:fill="FFFFFF"/>
            <w:noWrap/>
            <w:vAlign w:val="center"/>
            <w:hideMark/>
          </w:tcPr>
          <w:p w14:paraId="011EC89D" w14:textId="77777777" w:rsidR="00B11545" w:rsidRPr="00D618B7" w:rsidRDefault="00B11545" w:rsidP="004B11B7">
            <w:pPr>
              <w:jc w:val="right"/>
              <w:rPr>
                <w:color w:val="000000"/>
                <w:sz w:val="20"/>
                <w:szCs w:val="20"/>
              </w:rPr>
            </w:pPr>
            <w:r w:rsidRPr="00D618B7">
              <w:rPr>
                <w:color w:val="000000"/>
                <w:sz w:val="20"/>
                <w:szCs w:val="20"/>
              </w:rPr>
              <w:t>6163.41</w:t>
            </w:r>
          </w:p>
        </w:tc>
        <w:tc>
          <w:tcPr>
            <w:tcW w:w="1580" w:type="dxa"/>
            <w:tcBorders>
              <w:top w:val="nil"/>
              <w:left w:val="nil"/>
              <w:bottom w:val="nil"/>
              <w:right w:val="nil"/>
            </w:tcBorders>
            <w:shd w:val="clear" w:color="000000" w:fill="FFFFFF"/>
            <w:noWrap/>
            <w:vAlign w:val="center"/>
            <w:hideMark/>
          </w:tcPr>
          <w:p w14:paraId="1502F240" w14:textId="77777777" w:rsidR="00B11545" w:rsidRPr="00D618B7" w:rsidRDefault="00B11545" w:rsidP="004B11B7">
            <w:pPr>
              <w:jc w:val="right"/>
              <w:rPr>
                <w:color w:val="000000"/>
                <w:sz w:val="20"/>
                <w:szCs w:val="20"/>
              </w:rPr>
            </w:pPr>
            <w:r w:rsidRPr="00D618B7">
              <w:rPr>
                <w:color w:val="000000"/>
                <w:sz w:val="20"/>
                <w:szCs w:val="20"/>
              </w:rPr>
              <w:t>6207.86</w:t>
            </w:r>
          </w:p>
        </w:tc>
        <w:tc>
          <w:tcPr>
            <w:tcW w:w="1100" w:type="dxa"/>
            <w:tcBorders>
              <w:top w:val="nil"/>
              <w:left w:val="nil"/>
              <w:bottom w:val="nil"/>
              <w:right w:val="nil"/>
            </w:tcBorders>
            <w:shd w:val="clear" w:color="000000" w:fill="FFFFFF"/>
            <w:noWrap/>
            <w:vAlign w:val="center"/>
            <w:hideMark/>
          </w:tcPr>
          <w:p w14:paraId="2D14321B" w14:textId="77777777" w:rsidR="00B11545" w:rsidRPr="00D618B7" w:rsidRDefault="00B11545" w:rsidP="004B11B7">
            <w:pPr>
              <w:jc w:val="right"/>
              <w:rPr>
                <w:color w:val="000000"/>
                <w:sz w:val="20"/>
                <w:szCs w:val="20"/>
              </w:rPr>
            </w:pPr>
            <w:r w:rsidRPr="00D618B7">
              <w:rPr>
                <w:color w:val="000000"/>
                <w:sz w:val="20"/>
                <w:szCs w:val="20"/>
              </w:rPr>
              <w:t>6112.48</w:t>
            </w:r>
          </w:p>
        </w:tc>
        <w:tc>
          <w:tcPr>
            <w:tcW w:w="1635" w:type="dxa"/>
            <w:tcBorders>
              <w:top w:val="nil"/>
              <w:left w:val="nil"/>
              <w:bottom w:val="nil"/>
              <w:right w:val="nil"/>
            </w:tcBorders>
            <w:shd w:val="clear" w:color="000000" w:fill="FFFFFF"/>
            <w:noWrap/>
            <w:vAlign w:val="center"/>
            <w:hideMark/>
          </w:tcPr>
          <w:p w14:paraId="7AD30544" w14:textId="77777777" w:rsidR="00B11545" w:rsidRPr="00D618B7" w:rsidRDefault="00B11545" w:rsidP="004B11B7">
            <w:pPr>
              <w:jc w:val="right"/>
              <w:rPr>
                <w:color w:val="000000"/>
                <w:sz w:val="20"/>
                <w:szCs w:val="20"/>
              </w:rPr>
            </w:pPr>
            <w:r w:rsidRPr="00D618B7">
              <w:rPr>
                <w:color w:val="000000"/>
                <w:sz w:val="20"/>
                <w:szCs w:val="20"/>
              </w:rPr>
              <w:t>41222.52</w:t>
            </w:r>
          </w:p>
        </w:tc>
        <w:tc>
          <w:tcPr>
            <w:tcW w:w="1139" w:type="dxa"/>
            <w:tcBorders>
              <w:top w:val="nil"/>
              <w:left w:val="nil"/>
              <w:bottom w:val="nil"/>
              <w:right w:val="nil"/>
            </w:tcBorders>
            <w:shd w:val="clear" w:color="000000" w:fill="FFFFFF"/>
            <w:noWrap/>
            <w:vAlign w:val="center"/>
            <w:hideMark/>
          </w:tcPr>
          <w:p w14:paraId="0C7E06E4" w14:textId="77777777" w:rsidR="00B11545" w:rsidRPr="00D618B7" w:rsidRDefault="00B11545" w:rsidP="004B11B7">
            <w:pPr>
              <w:jc w:val="right"/>
              <w:rPr>
                <w:color w:val="000000"/>
                <w:sz w:val="20"/>
                <w:szCs w:val="20"/>
              </w:rPr>
            </w:pPr>
            <w:r w:rsidRPr="00D618B7">
              <w:rPr>
                <w:color w:val="000000"/>
                <w:sz w:val="20"/>
                <w:szCs w:val="20"/>
              </w:rPr>
              <w:t>6478.82</w:t>
            </w:r>
          </w:p>
        </w:tc>
      </w:tr>
      <w:tr w:rsidR="00B11545" w:rsidRPr="00D618B7" w14:paraId="5218CD90" w14:textId="77777777" w:rsidTr="00B11545">
        <w:trPr>
          <w:trHeight w:val="242"/>
        </w:trPr>
        <w:tc>
          <w:tcPr>
            <w:tcW w:w="1355" w:type="dxa"/>
            <w:tcBorders>
              <w:top w:val="nil"/>
              <w:left w:val="nil"/>
              <w:bottom w:val="nil"/>
              <w:right w:val="nil"/>
            </w:tcBorders>
            <w:shd w:val="clear" w:color="000000" w:fill="FFFFFF"/>
            <w:vAlign w:val="center"/>
            <w:hideMark/>
          </w:tcPr>
          <w:p w14:paraId="459045B2" w14:textId="77777777" w:rsidR="00B11545" w:rsidRPr="00D618B7" w:rsidRDefault="00B11545" w:rsidP="004B11B7">
            <w:pPr>
              <w:jc w:val="right"/>
              <w:rPr>
                <w:color w:val="000000"/>
                <w:sz w:val="20"/>
                <w:szCs w:val="20"/>
              </w:rPr>
            </w:pPr>
            <w:r w:rsidRPr="00D618B7">
              <w:rPr>
                <w:color w:val="000000"/>
                <w:sz w:val="20"/>
                <w:szCs w:val="20"/>
              </w:rPr>
              <w:t>0</w:t>
            </w:r>
          </w:p>
        </w:tc>
        <w:tc>
          <w:tcPr>
            <w:tcW w:w="1046" w:type="dxa"/>
            <w:tcBorders>
              <w:top w:val="nil"/>
              <w:left w:val="nil"/>
              <w:bottom w:val="nil"/>
              <w:right w:val="nil"/>
            </w:tcBorders>
            <w:shd w:val="clear" w:color="000000" w:fill="FFFFFF"/>
            <w:noWrap/>
            <w:vAlign w:val="center"/>
            <w:hideMark/>
          </w:tcPr>
          <w:p w14:paraId="4ACE8F8F" w14:textId="77777777" w:rsidR="00B11545" w:rsidRPr="00D618B7" w:rsidRDefault="00B11545" w:rsidP="004B11B7">
            <w:pPr>
              <w:jc w:val="right"/>
              <w:rPr>
                <w:color w:val="000000"/>
                <w:sz w:val="20"/>
                <w:szCs w:val="20"/>
              </w:rPr>
            </w:pPr>
            <w:r w:rsidRPr="00D618B7">
              <w:rPr>
                <w:color w:val="000000"/>
                <w:sz w:val="20"/>
                <w:szCs w:val="20"/>
              </w:rPr>
              <w:t>-237.56</w:t>
            </w:r>
          </w:p>
        </w:tc>
        <w:tc>
          <w:tcPr>
            <w:tcW w:w="1111" w:type="dxa"/>
            <w:tcBorders>
              <w:top w:val="nil"/>
              <w:left w:val="nil"/>
              <w:bottom w:val="nil"/>
              <w:right w:val="nil"/>
            </w:tcBorders>
            <w:shd w:val="clear" w:color="000000" w:fill="FFFFFF"/>
            <w:noWrap/>
            <w:vAlign w:val="center"/>
            <w:hideMark/>
          </w:tcPr>
          <w:p w14:paraId="71664F3E" w14:textId="77777777" w:rsidR="00B11545" w:rsidRPr="00D618B7" w:rsidRDefault="00B11545" w:rsidP="004B11B7">
            <w:pPr>
              <w:jc w:val="right"/>
              <w:rPr>
                <w:color w:val="000000"/>
                <w:sz w:val="20"/>
                <w:szCs w:val="20"/>
              </w:rPr>
            </w:pPr>
            <w:r w:rsidRPr="00D618B7">
              <w:rPr>
                <w:color w:val="000000"/>
                <w:sz w:val="20"/>
                <w:szCs w:val="20"/>
              </w:rPr>
              <w:t>5708.87</w:t>
            </w:r>
          </w:p>
        </w:tc>
        <w:tc>
          <w:tcPr>
            <w:tcW w:w="1580" w:type="dxa"/>
            <w:tcBorders>
              <w:top w:val="nil"/>
              <w:left w:val="nil"/>
              <w:bottom w:val="nil"/>
              <w:right w:val="nil"/>
            </w:tcBorders>
            <w:shd w:val="clear" w:color="000000" w:fill="FFFFFF"/>
            <w:noWrap/>
            <w:vAlign w:val="center"/>
            <w:hideMark/>
          </w:tcPr>
          <w:p w14:paraId="7CFAE5BF" w14:textId="77777777" w:rsidR="00B11545" w:rsidRPr="00D618B7" w:rsidRDefault="00B11545" w:rsidP="004B11B7">
            <w:pPr>
              <w:jc w:val="right"/>
              <w:rPr>
                <w:color w:val="000000"/>
                <w:sz w:val="20"/>
                <w:szCs w:val="20"/>
              </w:rPr>
            </w:pPr>
            <w:r w:rsidRPr="00D618B7">
              <w:rPr>
                <w:color w:val="000000"/>
                <w:sz w:val="20"/>
                <w:szCs w:val="20"/>
              </w:rPr>
              <w:t>-11011.54</w:t>
            </w:r>
          </w:p>
        </w:tc>
        <w:tc>
          <w:tcPr>
            <w:tcW w:w="1100" w:type="dxa"/>
            <w:tcBorders>
              <w:top w:val="nil"/>
              <w:left w:val="nil"/>
              <w:bottom w:val="nil"/>
              <w:right w:val="nil"/>
            </w:tcBorders>
            <w:shd w:val="clear" w:color="000000" w:fill="FFFFFF"/>
            <w:noWrap/>
            <w:vAlign w:val="center"/>
            <w:hideMark/>
          </w:tcPr>
          <w:p w14:paraId="404CC3B4" w14:textId="77777777" w:rsidR="00B11545" w:rsidRPr="00D618B7" w:rsidRDefault="00B11545" w:rsidP="004B11B7">
            <w:pPr>
              <w:jc w:val="right"/>
              <w:rPr>
                <w:color w:val="000000"/>
                <w:sz w:val="20"/>
                <w:szCs w:val="20"/>
              </w:rPr>
            </w:pPr>
            <w:r w:rsidRPr="00D618B7">
              <w:rPr>
                <w:color w:val="000000"/>
                <w:sz w:val="20"/>
                <w:szCs w:val="20"/>
              </w:rPr>
              <w:t>5686.33</w:t>
            </w:r>
          </w:p>
        </w:tc>
        <w:tc>
          <w:tcPr>
            <w:tcW w:w="1635" w:type="dxa"/>
            <w:tcBorders>
              <w:top w:val="nil"/>
              <w:left w:val="nil"/>
              <w:bottom w:val="nil"/>
              <w:right w:val="nil"/>
            </w:tcBorders>
            <w:shd w:val="clear" w:color="000000" w:fill="FFFFFF"/>
            <w:noWrap/>
            <w:vAlign w:val="center"/>
            <w:hideMark/>
          </w:tcPr>
          <w:p w14:paraId="5BFC98D8" w14:textId="77777777" w:rsidR="00B11545" w:rsidRPr="00D618B7" w:rsidRDefault="00B11545" w:rsidP="004B11B7">
            <w:pPr>
              <w:jc w:val="right"/>
              <w:rPr>
                <w:color w:val="000000"/>
                <w:sz w:val="20"/>
                <w:szCs w:val="20"/>
              </w:rPr>
            </w:pPr>
            <w:r w:rsidRPr="00D618B7">
              <w:rPr>
                <w:color w:val="000000"/>
                <w:sz w:val="20"/>
                <w:szCs w:val="20"/>
              </w:rPr>
              <w:t>27550.40</w:t>
            </w:r>
          </w:p>
        </w:tc>
        <w:tc>
          <w:tcPr>
            <w:tcW w:w="1139" w:type="dxa"/>
            <w:tcBorders>
              <w:top w:val="nil"/>
              <w:left w:val="nil"/>
              <w:bottom w:val="nil"/>
              <w:right w:val="nil"/>
            </w:tcBorders>
            <w:shd w:val="clear" w:color="000000" w:fill="FFFFFF"/>
            <w:noWrap/>
            <w:vAlign w:val="center"/>
            <w:hideMark/>
          </w:tcPr>
          <w:p w14:paraId="0480891D" w14:textId="77777777" w:rsidR="00B11545" w:rsidRPr="00D618B7" w:rsidRDefault="00B11545" w:rsidP="004B11B7">
            <w:pPr>
              <w:jc w:val="right"/>
              <w:rPr>
                <w:color w:val="000000"/>
                <w:sz w:val="20"/>
                <w:szCs w:val="20"/>
              </w:rPr>
            </w:pPr>
            <w:r w:rsidRPr="00D618B7">
              <w:rPr>
                <w:color w:val="000000"/>
                <w:sz w:val="20"/>
                <w:szCs w:val="20"/>
              </w:rPr>
              <w:t>6004.67</w:t>
            </w:r>
          </w:p>
        </w:tc>
      </w:tr>
      <w:tr w:rsidR="00B11545" w:rsidRPr="00D618B7" w14:paraId="265A749D" w14:textId="77777777" w:rsidTr="00B11545">
        <w:trPr>
          <w:trHeight w:val="242"/>
        </w:trPr>
        <w:tc>
          <w:tcPr>
            <w:tcW w:w="1355" w:type="dxa"/>
            <w:tcBorders>
              <w:top w:val="nil"/>
              <w:left w:val="nil"/>
              <w:bottom w:val="nil"/>
              <w:right w:val="nil"/>
            </w:tcBorders>
            <w:shd w:val="clear" w:color="000000" w:fill="FFFFFF"/>
            <w:vAlign w:val="center"/>
            <w:hideMark/>
          </w:tcPr>
          <w:p w14:paraId="1C92F7B7" w14:textId="77777777" w:rsidR="00B11545" w:rsidRPr="00D618B7" w:rsidRDefault="00B11545" w:rsidP="004B11B7">
            <w:pPr>
              <w:jc w:val="right"/>
              <w:rPr>
                <w:color w:val="000000"/>
                <w:sz w:val="20"/>
                <w:szCs w:val="20"/>
              </w:rPr>
            </w:pPr>
            <w:r w:rsidRPr="00D618B7">
              <w:rPr>
                <w:color w:val="000000"/>
                <w:sz w:val="20"/>
                <w:szCs w:val="20"/>
              </w:rPr>
              <w:t>1</w:t>
            </w:r>
          </w:p>
        </w:tc>
        <w:tc>
          <w:tcPr>
            <w:tcW w:w="1046" w:type="dxa"/>
            <w:tcBorders>
              <w:top w:val="nil"/>
              <w:left w:val="nil"/>
              <w:bottom w:val="nil"/>
              <w:right w:val="nil"/>
            </w:tcBorders>
            <w:shd w:val="clear" w:color="000000" w:fill="FFFFFF"/>
            <w:noWrap/>
            <w:vAlign w:val="center"/>
            <w:hideMark/>
          </w:tcPr>
          <w:p w14:paraId="4D35D842" w14:textId="77777777" w:rsidR="00B11545" w:rsidRPr="00D618B7" w:rsidRDefault="00B11545" w:rsidP="004B11B7">
            <w:pPr>
              <w:jc w:val="right"/>
              <w:rPr>
                <w:color w:val="000000"/>
                <w:sz w:val="20"/>
                <w:szCs w:val="20"/>
              </w:rPr>
            </w:pPr>
            <w:r w:rsidRPr="00D618B7">
              <w:rPr>
                <w:color w:val="000000"/>
                <w:sz w:val="20"/>
                <w:szCs w:val="20"/>
              </w:rPr>
              <w:t>1897.81</w:t>
            </w:r>
          </w:p>
        </w:tc>
        <w:tc>
          <w:tcPr>
            <w:tcW w:w="1111" w:type="dxa"/>
            <w:tcBorders>
              <w:top w:val="nil"/>
              <w:left w:val="nil"/>
              <w:bottom w:val="nil"/>
              <w:right w:val="nil"/>
            </w:tcBorders>
            <w:shd w:val="clear" w:color="000000" w:fill="FFFFFF"/>
            <w:noWrap/>
            <w:vAlign w:val="center"/>
            <w:hideMark/>
          </w:tcPr>
          <w:p w14:paraId="25B63F55" w14:textId="77777777" w:rsidR="00B11545" w:rsidRPr="00D618B7" w:rsidRDefault="00B11545" w:rsidP="004B11B7">
            <w:pPr>
              <w:jc w:val="right"/>
              <w:rPr>
                <w:color w:val="000000"/>
                <w:sz w:val="20"/>
                <w:szCs w:val="20"/>
              </w:rPr>
            </w:pPr>
            <w:r w:rsidRPr="00D618B7">
              <w:rPr>
                <w:color w:val="000000"/>
                <w:sz w:val="20"/>
                <w:szCs w:val="20"/>
              </w:rPr>
              <w:t>5653.87</w:t>
            </w:r>
          </w:p>
        </w:tc>
        <w:tc>
          <w:tcPr>
            <w:tcW w:w="1580" w:type="dxa"/>
            <w:tcBorders>
              <w:top w:val="nil"/>
              <w:left w:val="nil"/>
              <w:bottom w:val="nil"/>
              <w:right w:val="nil"/>
            </w:tcBorders>
            <w:shd w:val="clear" w:color="000000" w:fill="FFFFFF"/>
            <w:noWrap/>
            <w:vAlign w:val="center"/>
            <w:hideMark/>
          </w:tcPr>
          <w:p w14:paraId="5BA8742C" w14:textId="77777777" w:rsidR="00B11545" w:rsidRPr="00D618B7" w:rsidRDefault="00B11545" w:rsidP="004B11B7">
            <w:pPr>
              <w:jc w:val="right"/>
              <w:rPr>
                <w:color w:val="000000"/>
                <w:sz w:val="20"/>
                <w:szCs w:val="20"/>
              </w:rPr>
            </w:pPr>
            <w:r w:rsidRPr="00D618B7">
              <w:rPr>
                <w:color w:val="000000"/>
                <w:sz w:val="20"/>
                <w:szCs w:val="20"/>
              </w:rPr>
              <w:t>8517.47</w:t>
            </w:r>
          </w:p>
        </w:tc>
        <w:tc>
          <w:tcPr>
            <w:tcW w:w="1100" w:type="dxa"/>
            <w:tcBorders>
              <w:top w:val="nil"/>
              <w:left w:val="nil"/>
              <w:bottom w:val="nil"/>
              <w:right w:val="nil"/>
            </w:tcBorders>
            <w:shd w:val="clear" w:color="000000" w:fill="FFFFFF"/>
            <w:noWrap/>
            <w:vAlign w:val="center"/>
            <w:hideMark/>
          </w:tcPr>
          <w:p w14:paraId="687DA315" w14:textId="77777777" w:rsidR="00B11545" w:rsidRPr="00D618B7" w:rsidRDefault="00B11545" w:rsidP="004B11B7">
            <w:pPr>
              <w:jc w:val="right"/>
              <w:rPr>
                <w:color w:val="000000"/>
                <w:sz w:val="20"/>
                <w:szCs w:val="20"/>
              </w:rPr>
            </w:pPr>
            <w:r w:rsidRPr="00D618B7">
              <w:rPr>
                <w:color w:val="000000"/>
                <w:sz w:val="20"/>
                <w:szCs w:val="20"/>
              </w:rPr>
              <w:t>5633.02</w:t>
            </w:r>
          </w:p>
        </w:tc>
        <w:tc>
          <w:tcPr>
            <w:tcW w:w="1635" w:type="dxa"/>
            <w:tcBorders>
              <w:top w:val="nil"/>
              <w:left w:val="nil"/>
              <w:bottom w:val="nil"/>
              <w:right w:val="nil"/>
            </w:tcBorders>
            <w:shd w:val="clear" w:color="000000" w:fill="FFFFFF"/>
            <w:noWrap/>
            <w:vAlign w:val="center"/>
            <w:hideMark/>
          </w:tcPr>
          <w:p w14:paraId="36E65A6F" w14:textId="77777777" w:rsidR="00B11545" w:rsidRPr="00D618B7" w:rsidRDefault="00B11545" w:rsidP="004B11B7">
            <w:pPr>
              <w:jc w:val="right"/>
              <w:rPr>
                <w:color w:val="000000"/>
                <w:sz w:val="20"/>
                <w:szCs w:val="20"/>
              </w:rPr>
            </w:pPr>
            <w:r w:rsidRPr="00D618B7">
              <w:rPr>
                <w:color w:val="000000"/>
                <w:sz w:val="20"/>
                <w:szCs w:val="20"/>
              </w:rPr>
              <w:t>29990.56</w:t>
            </w:r>
          </w:p>
        </w:tc>
        <w:tc>
          <w:tcPr>
            <w:tcW w:w="1139" w:type="dxa"/>
            <w:tcBorders>
              <w:top w:val="nil"/>
              <w:left w:val="nil"/>
              <w:bottom w:val="nil"/>
              <w:right w:val="nil"/>
            </w:tcBorders>
            <w:shd w:val="clear" w:color="000000" w:fill="FFFFFF"/>
            <w:noWrap/>
            <w:vAlign w:val="center"/>
            <w:hideMark/>
          </w:tcPr>
          <w:p w14:paraId="3E282D31" w14:textId="77777777" w:rsidR="00B11545" w:rsidRPr="00D618B7" w:rsidRDefault="00B11545" w:rsidP="004B11B7">
            <w:pPr>
              <w:jc w:val="right"/>
              <w:rPr>
                <w:color w:val="000000"/>
                <w:sz w:val="20"/>
                <w:szCs w:val="20"/>
              </w:rPr>
            </w:pPr>
            <w:r w:rsidRPr="00D618B7">
              <w:rPr>
                <w:color w:val="000000"/>
                <w:sz w:val="20"/>
                <w:szCs w:val="20"/>
              </w:rPr>
              <w:t>5985.76</w:t>
            </w:r>
          </w:p>
        </w:tc>
      </w:tr>
      <w:tr w:rsidR="00B11545" w:rsidRPr="00D618B7" w14:paraId="55495050" w14:textId="77777777" w:rsidTr="00B11545">
        <w:trPr>
          <w:trHeight w:val="242"/>
        </w:trPr>
        <w:tc>
          <w:tcPr>
            <w:tcW w:w="1355" w:type="dxa"/>
            <w:tcBorders>
              <w:top w:val="nil"/>
              <w:left w:val="nil"/>
              <w:bottom w:val="nil"/>
              <w:right w:val="nil"/>
            </w:tcBorders>
            <w:shd w:val="clear" w:color="000000" w:fill="FFFFFF"/>
            <w:vAlign w:val="center"/>
            <w:hideMark/>
          </w:tcPr>
          <w:p w14:paraId="77386D45" w14:textId="77777777" w:rsidR="00B11545" w:rsidRPr="00D618B7" w:rsidRDefault="00B11545" w:rsidP="004B11B7">
            <w:pPr>
              <w:jc w:val="right"/>
              <w:rPr>
                <w:color w:val="000000"/>
                <w:sz w:val="20"/>
                <w:szCs w:val="20"/>
              </w:rPr>
            </w:pPr>
            <w:r w:rsidRPr="00D618B7">
              <w:rPr>
                <w:color w:val="000000"/>
                <w:sz w:val="20"/>
                <w:szCs w:val="20"/>
              </w:rPr>
              <w:t>2</w:t>
            </w:r>
          </w:p>
        </w:tc>
        <w:tc>
          <w:tcPr>
            <w:tcW w:w="1046" w:type="dxa"/>
            <w:tcBorders>
              <w:top w:val="nil"/>
              <w:left w:val="nil"/>
              <w:bottom w:val="nil"/>
              <w:right w:val="nil"/>
            </w:tcBorders>
            <w:shd w:val="clear" w:color="000000" w:fill="FFFFFF"/>
            <w:noWrap/>
            <w:vAlign w:val="center"/>
            <w:hideMark/>
          </w:tcPr>
          <w:p w14:paraId="4AC4DFC9" w14:textId="77777777" w:rsidR="00B11545" w:rsidRPr="00D618B7" w:rsidRDefault="00B11545" w:rsidP="004B11B7">
            <w:pPr>
              <w:jc w:val="right"/>
              <w:rPr>
                <w:color w:val="000000"/>
                <w:sz w:val="20"/>
                <w:szCs w:val="20"/>
              </w:rPr>
            </w:pPr>
            <w:r w:rsidRPr="00D618B7">
              <w:rPr>
                <w:color w:val="000000"/>
                <w:sz w:val="20"/>
                <w:szCs w:val="20"/>
              </w:rPr>
              <w:t>1133.14</w:t>
            </w:r>
          </w:p>
        </w:tc>
        <w:tc>
          <w:tcPr>
            <w:tcW w:w="1111" w:type="dxa"/>
            <w:tcBorders>
              <w:top w:val="nil"/>
              <w:left w:val="nil"/>
              <w:bottom w:val="nil"/>
              <w:right w:val="nil"/>
            </w:tcBorders>
            <w:shd w:val="clear" w:color="000000" w:fill="FFFFFF"/>
            <w:noWrap/>
            <w:vAlign w:val="center"/>
            <w:hideMark/>
          </w:tcPr>
          <w:p w14:paraId="7DC9F543" w14:textId="77777777" w:rsidR="00B11545" w:rsidRPr="00D618B7" w:rsidRDefault="00B11545" w:rsidP="004B11B7">
            <w:pPr>
              <w:jc w:val="right"/>
              <w:rPr>
                <w:color w:val="000000"/>
                <w:sz w:val="20"/>
                <w:szCs w:val="20"/>
              </w:rPr>
            </w:pPr>
            <w:r w:rsidRPr="00D618B7">
              <w:rPr>
                <w:color w:val="000000"/>
                <w:sz w:val="20"/>
                <w:szCs w:val="20"/>
              </w:rPr>
              <w:t>6955.31</w:t>
            </w:r>
          </w:p>
        </w:tc>
        <w:tc>
          <w:tcPr>
            <w:tcW w:w="1580" w:type="dxa"/>
            <w:tcBorders>
              <w:top w:val="nil"/>
              <w:left w:val="nil"/>
              <w:bottom w:val="nil"/>
              <w:right w:val="nil"/>
            </w:tcBorders>
            <w:shd w:val="clear" w:color="000000" w:fill="FFFFFF"/>
            <w:noWrap/>
            <w:vAlign w:val="center"/>
            <w:hideMark/>
          </w:tcPr>
          <w:p w14:paraId="47D303F9" w14:textId="77777777" w:rsidR="00B11545" w:rsidRPr="00D618B7" w:rsidRDefault="00B11545" w:rsidP="004B11B7">
            <w:pPr>
              <w:jc w:val="right"/>
              <w:rPr>
                <w:color w:val="000000"/>
                <w:sz w:val="20"/>
                <w:szCs w:val="20"/>
              </w:rPr>
            </w:pPr>
            <w:r w:rsidRPr="00D618B7">
              <w:rPr>
                <w:color w:val="000000"/>
                <w:sz w:val="20"/>
                <w:szCs w:val="20"/>
              </w:rPr>
              <w:t>-8221.39</w:t>
            </w:r>
          </w:p>
        </w:tc>
        <w:tc>
          <w:tcPr>
            <w:tcW w:w="1100" w:type="dxa"/>
            <w:tcBorders>
              <w:top w:val="nil"/>
              <w:left w:val="nil"/>
              <w:bottom w:val="nil"/>
              <w:right w:val="nil"/>
            </w:tcBorders>
            <w:shd w:val="clear" w:color="000000" w:fill="FFFFFF"/>
            <w:noWrap/>
            <w:vAlign w:val="center"/>
            <w:hideMark/>
          </w:tcPr>
          <w:p w14:paraId="054C5262" w14:textId="77777777" w:rsidR="00B11545" w:rsidRPr="00D618B7" w:rsidRDefault="00B11545" w:rsidP="004B11B7">
            <w:pPr>
              <w:jc w:val="right"/>
              <w:rPr>
                <w:color w:val="000000"/>
                <w:sz w:val="20"/>
                <w:szCs w:val="20"/>
              </w:rPr>
            </w:pPr>
            <w:r w:rsidRPr="00D618B7">
              <w:rPr>
                <w:color w:val="000000"/>
                <w:sz w:val="20"/>
                <w:szCs w:val="20"/>
              </w:rPr>
              <w:t>6957.00</w:t>
            </w:r>
          </w:p>
        </w:tc>
        <w:tc>
          <w:tcPr>
            <w:tcW w:w="1635" w:type="dxa"/>
            <w:tcBorders>
              <w:top w:val="nil"/>
              <w:left w:val="nil"/>
              <w:bottom w:val="nil"/>
              <w:right w:val="nil"/>
            </w:tcBorders>
            <w:shd w:val="clear" w:color="000000" w:fill="FFFFFF"/>
            <w:noWrap/>
            <w:vAlign w:val="center"/>
            <w:hideMark/>
          </w:tcPr>
          <w:p w14:paraId="5C0134CB" w14:textId="77777777" w:rsidR="00B11545" w:rsidRPr="00D618B7" w:rsidRDefault="00B11545" w:rsidP="004B11B7">
            <w:pPr>
              <w:jc w:val="right"/>
              <w:rPr>
                <w:color w:val="000000"/>
                <w:sz w:val="20"/>
                <w:szCs w:val="20"/>
              </w:rPr>
            </w:pPr>
            <w:r w:rsidRPr="00D618B7">
              <w:rPr>
                <w:color w:val="000000"/>
                <w:sz w:val="20"/>
                <w:szCs w:val="20"/>
              </w:rPr>
              <w:t>18179.74</w:t>
            </w:r>
          </w:p>
        </w:tc>
        <w:tc>
          <w:tcPr>
            <w:tcW w:w="1139" w:type="dxa"/>
            <w:tcBorders>
              <w:top w:val="nil"/>
              <w:left w:val="nil"/>
              <w:bottom w:val="nil"/>
              <w:right w:val="nil"/>
            </w:tcBorders>
            <w:shd w:val="clear" w:color="000000" w:fill="FFFFFF"/>
            <w:noWrap/>
            <w:vAlign w:val="center"/>
            <w:hideMark/>
          </w:tcPr>
          <w:p w14:paraId="35533C9E" w14:textId="77777777" w:rsidR="00B11545" w:rsidRPr="00D618B7" w:rsidRDefault="00B11545" w:rsidP="004B11B7">
            <w:pPr>
              <w:jc w:val="right"/>
              <w:rPr>
                <w:color w:val="000000"/>
                <w:sz w:val="20"/>
                <w:szCs w:val="20"/>
              </w:rPr>
            </w:pPr>
            <w:r w:rsidRPr="00D618B7">
              <w:rPr>
                <w:color w:val="000000"/>
                <w:sz w:val="20"/>
                <w:szCs w:val="20"/>
              </w:rPr>
              <w:t>7375.66</w:t>
            </w:r>
          </w:p>
        </w:tc>
      </w:tr>
      <w:tr w:rsidR="00B11545" w:rsidRPr="00D618B7" w14:paraId="006BC4A4" w14:textId="77777777" w:rsidTr="00B11545">
        <w:trPr>
          <w:trHeight w:val="242"/>
        </w:trPr>
        <w:tc>
          <w:tcPr>
            <w:tcW w:w="1355" w:type="dxa"/>
            <w:tcBorders>
              <w:top w:val="nil"/>
              <w:left w:val="nil"/>
              <w:bottom w:val="nil"/>
              <w:right w:val="nil"/>
            </w:tcBorders>
            <w:shd w:val="clear" w:color="000000" w:fill="FFFFFF"/>
            <w:vAlign w:val="center"/>
            <w:hideMark/>
          </w:tcPr>
          <w:p w14:paraId="789B01DF" w14:textId="77777777" w:rsidR="00B11545" w:rsidRPr="00D618B7" w:rsidRDefault="00B11545" w:rsidP="004B11B7">
            <w:pPr>
              <w:jc w:val="right"/>
              <w:rPr>
                <w:color w:val="000000"/>
                <w:sz w:val="20"/>
                <w:szCs w:val="20"/>
              </w:rPr>
            </w:pPr>
            <w:r w:rsidRPr="00D618B7">
              <w:rPr>
                <w:color w:val="000000"/>
                <w:sz w:val="20"/>
                <w:szCs w:val="20"/>
              </w:rPr>
              <w:t>3</w:t>
            </w:r>
          </w:p>
        </w:tc>
        <w:tc>
          <w:tcPr>
            <w:tcW w:w="1046" w:type="dxa"/>
            <w:tcBorders>
              <w:top w:val="nil"/>
              <w:left w:val="nil"/>
              <w:bottom w:val="nil"/>
              <w:right w:val="nil"/>
            </w:tcBorders>
            <w:shd w:val="clear" w:color="000000" w:fill="FFFFFF"/>
            <w:noWrap/>
            <w:vAlign w:val="center"/>
            <w:hideMark/>
          </w:tcPr>
          <w:p w14:paraId="6DA3CF08" w14:textId="77777777" w:rsidR="00B11545" w:rsidRPr="00D618B7" w:rsidRDefault="00B11545" w:rsidP="004B11B7">
            <w:pPr>
              <w:jc w:val="right"/>
              <w:rPr>
                <w:color w:val="000000"/>
                <w:sz w:val="20"/>
                <w:szCs w:val="20"/>
              </w:rPr>
            </w:pPr>
            <w:r w:rsidRPr="00D618B7">
              <w:rPr>
                <w:color w:val="000000"/>
                <w:sz w:val="20"/>
                <w:szCs w:val="20"/>
              </w:rPr>
              <w:t>-766.54</w:t>
            </w:r>
          </w:p>
        </w:tc>
        <w:tc>
          <w:tcPr>
            <w:tcW w:w="1111" w:type="dxa"/>
            <w:tcBorders>
              <w:top w:val="nil"/>
              <w:left w:val="nil"/>
              <w:bottom w:val="nil"/>
              <w:right w:val="nil"/>
            </w:tcBorders>
            <w:shd w:val="clear" w:color="000000" w:fill="FFFFFF"/>
            <w:noWrap/>
            <w:vAlign w:val="center"/>
            <w:hideMark/>
          </w:tcPr>
          <w:p w14:paraId="404A4C09" w14:textId="77777777" w:rsidR="00B11545" w:rsidRPr="00D618B7" w:rsidRDefault="00B11545" w:rsidP="004B11B7">
            <w:pPr>
              <w:jc w:val="right"/>
              <w:rPr>
                <w:color w:val="000000"/>
                <w:sz w:val="20"/>
                <w:szCs w:val="20"/>
              </w:rPr>
            </w:pPr>
            <w:r w:rsidRPr="00D618B7">
              <w:rPr>
                <w:color w:val="000000"/>
                <w:sz w:val="20"/>
                <w:szCs w:val="20"/>
              </w:rPr>
              <w:t>5690.66</w:t>
            </w:r>
          </w:p>
        </w:tc>
        <w:tc>
          <w:tcPr>
            <w:tcW w:w="1580" w:type="dxa"/>
            <w:tcBorders>
              <w:top w:val="nil"/>
              <w:left w:val="nil"/>
              <w:bottom w:val="nil"/>
              <w:right w:val="nil"/>
            </w:tcBorders>
            <w:shd w:val="clear" w:color="000000" w:fill="FFFFFF"/>
            <w:noWrap/>
            <w:vAlign w:val="center"/>
            <w:hideMark/>
          </w:tcPr>
          <w:p w14:paraId="7D53BEEC" w14:textId="77777777" w:rsidR="00B11545" w:rsidRPr="00D618B7" w:rsidRDefault="00B11545" w:rsidP="004B11B7">
            <w:pPr>
              <w:jc w:val="right"/>
              <w:rPr>
                <w:color w:val="000000"/>
                <w:sz w:val="20"/>
                <w:szCs w:val="20"/>
              </w:rPr>
            </w:pPr>
            <w:r w:rsidRPr="00D618B7">
              <w:rPr>
                <w:color w:val="000000"/>
                <w:sz w:val="20"/>
                <w:szCs w:val="20"/>
              </w:rPr>
              <w:t>-202.56</w:t>
            </w:r>
          </w:p>
        </w:tc>
        <w:tc>
          <w:tcPr>
            <w:tcW w:w="1100" w:type="dxa"/>
            <w:tcBorders>
              <w:top w:val="nil"/>
              <w:left w:val="nil"/>
              <w:bottom w:val="nil"/>
              <w:right w:val="nil"/>
            </w:tcBorders>
            <w:shd w:val="clear" w:color="000000" w:fill="FFFFFF"/>
            <w:noWrap/>
            <w:vAlign w:val="center"/>
            <w:hideMark/>
          </w:tcPr>
          <w:p w14:paraId="10D052C8" w14:textId="77777777" w:rsidR="00B11545" w:rsidRPr="00D618B7" w:rsidRDefault="00B11545" w:rsidP="004B11B7">
            <w:pPr>
              <w:jc w:val="right"/>
              <w:rPr>
                <w:color w:val="000000"/>
                <w:sz w:val="20"/>
                <w:szCs w:val="20"/>
              </w:rPr>
            </w:pPr>
            <w:r w:rsidRPr="00D618B7">
              <w:rPr>
                <w:color w:val="000000"/>
                <w:sz w:val="20"/>
                <w:szCs w:val="20"/>
              </w:rPr>
              <w:t>5683.06</w:t>
            </w:r>
          </w:p>
        </w:tc>
        <w:tc>
          <w:tcPr>
            <w:tcW w:w="1635" w:type="dxa"/>
            <w:tcBorders>
              <w:top w:val="nil"/>
              <w:left w:val="nil"/>
              <w:bottom w:val="nil"/>
              <w:right w:val="nil"/>
            </w:tcBorders>
            <w:shd w:val="clear" w:color="000000" w:fill="FFFFFF"/>
            <w:noWrap/>
            <w:vAlign w:val="center"/>
            <w:hideMark/>
          </w:tcPr>
          <w:p w14:paraId="23047DA0" w14:textId="77777777" w:rsidR="00B11545" w:rsidRPr="00D618B7" w:rsidRDefault="00B11545" w:rsidP="004B11B7">
            <w:pPr>
              <w:jc w:val="right"/>
              <w:rPr>
                <w:color w:val="000000"/>
                <w:sz w:val="20"/>
                <w:szCs w:val="20"/>
              </w:rPr>
            </w:pPr>
            <w:r w:rsidRPr="00D618B7">
              <w:rPr>
                <w:color w:val="000000"/>
                <w:sz w:val="20"/>
                <w:szCs w:val="20"/>
              </w:rPr>
              <w:t>19412.85</w:t>
            </w:r>
          </w:p>
        </w:tc>
        <w:tc>
          <w:tcPr>
            <w:tcW w:w="1139" w:type="dxa"/>
            <w:tcBorders>
              <w:top w:val="nil"/>
              <w:left w:val="nil"/>
              <w:bottom w:val="nil"/>
              <w:right w:val="nil"/>
            </w:tcBorders>
            <w:shd w:val="clear" w:color="000000" w:fill="FFFFFF"/>
            <w:noWrap/>
            <w:vAlign w:val="center"/>
            <w:hideMark/>
          </w:tcPr>
          <w:p w14:paraId="7E543B16" w14:textId="77777777" w:rsidR="00B11545" w:rsidRPr="00D618B7" w:rsidRDefault="00B11545" w:rsidP="004B11B7">
            <w:pPr>
              <w:jc w:val="right"/>
              <w:rPr>
                <w:color w:val="000000"/>
                <w:sz w:val="20"/>
                <w:szCs w:val="20"/>
              </w:rPr>
            </w:pPr>
            <w:r w:rsidRPr="00D618B7">
              <w:rPr>
                <w:color w:val="000000"/>
                <w:sz w:val="20"/>
                <w:szCs w:val="20"/>
              </w:rPr>
              <w:t>6048.86</w:t>
            </w:r>
          </w:p>
        </w:tc>
      </w:tr>
      <w:tr w:rsidR="00B11545" w:rsidRPr="00D618B7" w14:paraId="48067301" w14:textId="77777777" w:rsidTr="00B11545">
        <w:trPr>
          <w:trHeight w:val="242"/>
        </w:trPr>
        <w:tc>
          <w:tcPr>
            <w:tcW w:w="1355" w:type="dxa"/>
            <w:tcBorders>
              <w:top w:val="nil"/>
              <w:left w:val="nil"/>
              <w:right w:val="nil"/>
            </w:tcBorders>
            <w:shd w:val="clear" w:color="000000" w:fill="FFFFFF"/>
            <w:vAlign w:val="center"/>
            <w:hideMark/>
          </w:tcPr>
          <w:p w14:paraId="41636E9E" w14:textId="77777777" w:rsidR="00B11545" w:rsidRPr="00D618B7" w:rsidRDefault="00B11545" w:rsidP="004B11B7">
            <w:pPr>
              <w:jc w:val="right"/>
              <w:rPr>
                <w:color w:val="000000"/>
                <w:sz w:val="20"/>
                <w:szCs w:val="20"/>
              </w:rPr>
            </w:pPr>
            <w:r w:rsidRPr="00D618B7">
              <w:rPr>
                <w:color w:val="000000"/>
                <w:sz w:val="20"/>
                <w:szCs w:val="20"/>
              </w:rPr>
              <w:t>4</w:t>
            </w:r>
          </w:p>
        </w:tc>
        <w:tc>
          <w:tcPr>
            <w:tcW w:w="1046" w:type="dxa"/>
            <w:tcBorders>
              <w:top w:val="nil"/>
              <w:left w:val="nil"/>
              <w:right w:val="nil"/>
            </w:tcBorders>
            <w:shd w:val="clear" w:color="000000" w:fill="FFFFFF"/>
            <w:noWrap/>
            <w:vAlign w:val="center"/>
            <w:hideMark/>
          </w:tcPr>
          <w:p w14:paraId="1E976F3B" w14:textId="77777777" w:rsidR="00B11545" w:rsidRPr="00D618B7" w:rsidRDefault="00B11545" w:rsidP="004B11B7">
            <w:pPr>
              <w:jc w:val="right"/>
              <w:rPr>
                <w:color w:val="000000"/>
                <w:sz w:val="20"/>
                <w:szCs w:val="20"/>
              </w:rPr>
            </w:pPr>
            <w:r w:rsidRPr="00D618B7">
              <w:rPr>
                <w:color w:val="000000"/>
                <w:sz w:val="20"/>
                <w:szCs w:val="20"/>
              </w:rPr>
              <w:t>2380.18</w:t>
            </w:r>
          </w:p>
        </w:tc>
        <w:tc>
          <w:tcPr>
            <w:tcW w:w="1111" w:type="dxa"/>
            <w:tcBorders>
              <w:top w:val="nil"/>
              <w:left w:val="nil"/>
              <w:right w:val="nil"/>
            </w:tcBorders>
            <w:shd w:val="clear" w:color="000000" w:fill="FFFFFF"/>
            <w:noWrap/>
            <w:vAlign w:val="center"/>
            <w:hideMark/>
          </w:tcPr>
          <w:p w14:paraId="3292E27B" w14:textId="77777777" w:rsidR="00B11545" w:rsidRPr="00D618B7" w:rsidRDefault="00B11545" w:rsidP="004B11B7">
            <w:pPr>
              <w:jc w:val="right"/>
              <w:rPr>
                <w:color w:val="000000"/>
                <w:sz w:val="20"/>
                <w:szCs w:val="20"/>
              </w:rPr>
            </w:pPr>
            <w:r w:rsidRPr="00D618B7">
              <w:rPr>
                <w:color w:val="000000"/>
                <w:sz w:val="20"/>
                <w:szCs w:val="20"/>
              </w:rPr>
              <w:t>6138.53</w:t>
            </w:r>
          </w:p>
        </w:tc>
        <w:tc>
          <w:tcPr>
            <w:tcW w:w="1580" w:type="dxa"/>
            <w:tcBorders>
              <w:top w:val="nil"/>
              <w:left w:val="nil"/>
              <w:right w:val="nil"/>
            </w:tcBorders>
            <w:shd w:val="clear" w:color="000000" w:fill="FFFFFF"/>
            <w:noWrap/>
            <w:vAlign w:val="center"/>
            <w:hideMark/>
          </w:tcPr>
          <w:p w14:paraId="48075D6D" w14:textId="77777777" w:rsidR="00B11545" w:rsidRPr="00D618B7" w:rsidRDefault="00B11545" w:rsidP="004B11B7">
            <w:pPr>
              <w:jc w:val="right"/>
              <w:rPr>
                <w:color w:val="000000"/>
                <w:sz w:val="20"/>
                <w:szCs w:val="20"/>
              </w:rPr>
            </w:pPr>
            <w:r w:rsidRPr="00D618B7">
              <w:rPr>
                <w:color w:val="000000"/>
                <w:sz w:val="20"/>
                <w:szCs w:val="20"/>
              </w:rPr>
              <w:t>904.71</w:t>
            </w:r>
          </w:p>
        </w:tc>
        <w:tc>
          <w:tcPr>
            <w:tcW w:w="1100" w:type="dxa"/>
            <w:tcBorders>
              <w:top w:val="nil"/>
              <w:left w:val="nil"/>
              <w:right w:val="nil"/>
            </w:tcBorders>
            <w:shd w:val="clear" w:color="000000" w:fill="FFFFFF"/>
            <w:noWrap/>
            <w:vAlign w:val="center"/>
            <w:hideMark/>
          </w:tcPr>
          <w:p w14:paraId="5D980925" w14:textId="77777777" w:rsidR="00B11545" w:rsidRPr="00D618B7" w:rsidRDefault="00B11545" w:rsidP="004B11B7">
            <w:pPr>
              <w:jc w:val="right"/>
              <w:rPr>
                <w:color w:val="000000"/>
                <w:sz w:val="20"/>
                <w:szCs w:val="20"/>
              </w:rPr>
            </w:pPr>
            <w:r w:rsidRPr="00D618B7">
              <w:rPr>
                <w:color w:val="000000"/>
                <w:sz w:val="20"/>
                <w:szCs w:val="20"/>
              </w:rPr>
              <w:t>6143.90</w:t>
            </w:r>
          </w:p>
        </w:tc>
        <w:tc>
          <w:tcPr>
            <w:tcW w:w="1635" w:type="dxa"/>
            <w:tcBorders>
              <w:top w:val="nil"/>
              <w:left w:val="nil"/>
              <w:right w:val="nil"/>
            </w:tcBorders>
            <w:shd w:val="clear" w:color="000000" w:fill="FFFFFF"/>
            <w:noWrap/>
            <w:vAlign w:val="center"/>
            <w:hideMark/>
          </w:tcPr>
          <w:p w14:paraId="2CA3B585" w14:textId="77777777" w:rsidR="00B11545" w:rsidRPr="00D618B7" w:rsidRDefault="00B11545" w:rsidP="004B11B7">
            <w:pPr>
              <w:jc w:val="right"/>
              <w:rPr>
                <w:color w:val="000000"/>
                <w:sz w:val="20"/>
                <w:szCs w:val="20"/>
              </w:rPr>
            </w:pPr>
            <w:r w:rsidRPr="00D618B7">
              <w:rPr>
                <w:color w:val="000000"/>
                <w:sz w:val="20"/>
                <w:szCs w:val="20"/>
              </w:rPr>
              <w:t>51217.71</w:t>
            </w:r>
          </w:p>
        </w:tc>
        <w:tc>
          <w:tcPr>
            <w:tcW w:w="1139" w:type="dxa"/>
            <w:tcBorders>
              <w:top w:val="nil"/>
              <w:left w:val="nil"/>
              <w:right w:val="nil"/>
            </w:tcBorders>
            <w:shd w:val="clear" w:color="000000" w:fill="FFFFFF"/>
            <w:noWrap/>
            <w:vAlign w:val="center"/>
            <w:hideMark/>
          </w:tcPr>
          <w:p w14:paraId="1F778A6E" w14:textId="77777777" w:rsidR="00B11545" w:rsidRPr="00D618B7" w:rsidRDefault="00B11545" w:rsidP="004B11B7">
            <w:pPr>
              <w:jc w:val="right"/>
              <w:rPr>
                <w:color w:val="000000"/>
                <w:sz w:val="20"/>
                <w:szCs w:val="20"/>
              </w:rPr>
            </w:pPr>
            <w:r w:rsidRPr="00D618B7">
              <w:rPr>
                <w:color w:val="000000"/>
                <w:sz w:val="20"/>
                <w:szCs w:val="20"/>
              </w:rPr>
              <w:t>6620.67</w:t>
            </w:r>
          </w:p>
        </w:tc>
      </w:tr>
      <w:tr w:rsidR="00B11545" w:rsidRPr="00D618B7" w14:paraId="6DC97511" w14:textId="77777777" w:rsidTr="00B11545">
        <w:trPr>
          <w:trHeight w:val="254"/>
        </w:trPr>
        <w:tc>
          <w:tcPr>
            <w:tcW w:w="1355" w:type="dxa"/>
            <w:tcBorders>
              <w:top w:val="nil"/>
              <w:left w:val="nil"/>
              <w:bottom w:val="single" w:sz="18" w:space="0" w:color="auto"/>
              <w:right w:val="nil"/>
            </w:tcBorders>
            <w:shd w:val="clear" w:color="000000" w:fill="FFFFFF"/>
            <w:vAlign w:val="center"/>
            <w:hideMark/>
          </w:tcPr>
          <w:p w14:paraId="3A76CD6C" w14:textId="77777777" w:rsidR="00B11545" w:rsidRPr="00D618B7" w:rsidRDefault="00B11545" w:rsidP="004B11B7">
            <w:pPr>
              <w:jc w:val="right"/>
              <w:rPr>
                <w:color w:val="000000"/>
                <w:sz w:val="20"/>
                <w:szCs w:val="20"/>
              </w:rPr>
            </w:pPr>
            <w:r w:rsidRPr="00D618B7">
              <w:rPr>
                <w:color w:val="000000"/>
                <w:sz w:val="20"/>
                <w:szCs w:val="20"/>
              </w:rPr>
              <w:t>5</w:t>
            </w:r>
          </w:p>
        </w:tc>
        <w:tc>
          <w:tcPr>
            <w:tcW w:w="1046" w:type="dxa"/>
            <w:tcBorders>
              <w:top w:val="nil"/>
              <w:left w:val="nil"/>
              <w:bottom w:val="single" w:sz="18" w:space="0" w:color="auto"/>
              <w:right w:val="nil"/>
            </w:tcBorders>
            <w:shd w:val="clear" w:color="000000" w:fill="FFFFFF"/>
            <w:noWrap/>
            <w:vAlign w:val="center"/>
            <w:hideMark/>
          </w:tcPr>
          <w:p w14:paraId="7AB37CD3" w14:textId="77777777" w:rsidR="00B11545" w:rsidRPr="00D618B7" w:rsidRDefault="00B11545" w:rsidP="004B11B7">
            <w:pPr>
              <w:jc w:val="right"/>
              <w:rPr>
                <w:color w:val="000000"/>
                <w:sz w:val="20"/>
                <w:szCs w:val="20"/>
              </w:rPr>
            </w:pPr>
            <w:r w:rsidRPr="00D618B7">
              <w:rPr>
                <w:color w:val="000000"/>
                <w:sz w:val="20"/>
                <w:szCs w:val="20"/>
              </w:rPr>
              <w:t>-3195.82</w:t>
            </w:r>
          </w:p>
        </w:tc>
        <w:tc>
          <w:tcPr>
            <w:tcW w:w="1111" w:type="dxa"/>
            <w:tcBorders>
              <w:top w:val="nil"/>
              <w:left w:val="nil"/>
              <w:bottom w:val="single" w:sz="18" w:space="0" w:color="auto"/>
              <w:right w:val="nil"/>
            </w:tcBorders>
            <w:shd w:val="clear" w:color="000000" w:fill="FFFFFF"/>
            <w:noWrap/>
            <w:vAlign w:val="center"/>
            <w:hideMark/>
          </w:tcPr>
          <w:p w14:paraId="52C8ADA0" w14:textId="77777777" w:rsidR="00B11545" w:rsidRPr="00D618B7" w:rsidRDefault="00B11545" w:rsidP="004B11B7">
            <w:pPr>
              <w:jc w:val="right"/>
              <w:rPr>
                <w:color w:val="000000"/>
                <w:sz w:val="20"/>
                <w:szCs w:val="20"/>
              </w:rPr>
            </w:pPr>
            <w:r w:rsidRPr="00D618B7">
              <w:rPr>
                <w:color w:val="000000"/>
                <w:sz w:val="20"/>
                <w:szCs w:val="20"/>
              </w:rPr>
              <w:t>6612.99</w:t>
            </w:r>
          </w:p>
        </w:tc>
        <w:tc>
          <w:tcPr>
            <w:tcW w:w="1580" w:type="dxa"/>
            <w:tcBorders>
              <w:top w:val="nil"/>
              <w:left w:val="nil"/>
              <w:bottom w:val="single" w:sz="18" w:space="0" w:color="auto"/>
              <w:right w:val="nil"/>
            </w:tcBorders>
            <w:shd w:val="clear" w:color="000000" w:fill="FFFFFF"/>
            <w:noWrap/>
            <w:vAlign w:val="center"/>
            <w:hideMark/>
          </w:tcPr>
          <w:p w14:paraId="77B9C071" w14:textId="77777777" w:rsidR="00B11545" w:rsidRPr="00D618B7" w:rsidRDefault="00B11545" w:rsidP="004B11B7">
            <w:pPr>
              <w:jc w:val="right"/>
              <w:rPr>
                <w:color w:val="000000"/>
                <w:sz w:val="20"/>
                <w:szCs w:val="20"/>
              </w:rPr>
            </w:pPr>
            <w:r w:rsidRPr="00D618B7">
              <w:rPr>
                <w:color w:val="000000"/>
                <w:sz w:val="20"/>
                <w:szCs w:val="20"/>
              </w:rPr>
              <w:t>8327.66</w:t>
            </w:r>
          </w:p>
        </w:tc>
        <w:tc>
          <w:tcPr>
            <w:tcW w:w="1100" w:type="dxa"/>
            <w:tcBorders>
              <w:top w:val="nil"/>
              <w:left w:val="nil"/>
              <w:bottom w:val="single" w:sz="18" w:space="0" w:color="auto"/>
              <w:right w:val="nil"/>
            </w:tcBorders>
            <w:shd w:val="clear" w:color="000000" w:fill="FFFFFF"/>
            <w:noWrap/>
            <w:vAlign w:val="center"/>
            <w:hideMark/>
          </w:tcPr>
          <w:p w14:paraId="2C18AFC7" w14:textId="77777777" w:rsidR="00B11545" w:rsidRPr="00D618B7" w:rsidRDefault="00B11545" w:rsidP="004B11B7">
            <w:pPr>
              <w:jc w:val="right"/>
              <w:rPr>
                <w:color w:val="000000"/>
                <w:sz w:val="20"/>
                <w:szCs w:val="20"/>
              </w:rPr>
            </w:pPr>
            <w:r w:rsidRPr="00D618B7">
              <w:rPr>
                <w:color w:val="000000"/>
                <w:sz w:val="20"/>
                <w:szCs w:val="20"/>
              </w:rPr>
              <w:t>6606.70</w:t>
            </w:r>
          </w:p>
        </w:tc>
        <w:tc>
          <w:tcPr>
            <w:tcW w:w="1635" w:type="dxa"/>
            <w:tcBorders>
              <w:top w:val="nil"/>
              <w:left w:val="nil"/>
              <w:bottom w:val="single" w:sz="18" w:space="0" w:color="auto"/>
              <w:right w:val="nil"/>
            </w:tcBorders>
            <w:shd w:val="clear" w:color="000000" w:fill="FFFFFF"/>
            <w:noWrap/>
            <w:vAlign w:val="center"/>
            <w:hideMark/>
          </w:tcPr>
          <w:p w14:paraId="4A1C4188" w14:textId="77777777" w:rsidR="00B11545" w:rsidRPr="00D618B7" w:rsidRDefault="00B11545" w:rsidP="004B11B7">
            <w:pPr>
              <w:jc w:val="right"/>
              <w:rPr>
                <w:color w:val="000000"/>
                <w:sz w:val="20"/>
                <w:szCs w:val="20"/>
              </w:rPr>
            </w:pPr>
            <w:r w:rsidRPr="00D618B7">
              <w:rPr>
                <w:color w:val="000000"/>
                <w:sz w:val="20"/>
                <w:szCs w:val="20"/>
              </w:rPr>
              <w:t>-740.24</w:t>
            </w:r>
          </w:p>
        </w:tc>
        <w:tc>
          <w:tcPr>
            <w:tcW w:w="1139" w:type="dxa"/>
            <w:tcBorders>
              <w:top w:val="nil"/>
              <w:left w:val="nil"/>
              <w:bottom w:val="single" w:sz="18" w:space="0" w:color="auto"/>
              <w:right w:val="nil"/>
            </w:tcBorders>
            <w:shd w:val="clear" w:color="000000" w:fill="FFFFFF"/>
            <w:noWrap/>
            <w:vAlign w:val="center"/>
            <w:hideMark/>
          </w:tcPr>
          <w:p w14:paraId="390AC8E3" w14:textId="77777777" w:rsidR="00B11545" w:rsidRPr="00D618B7" w:rsidRDefault="00B11545" w:rsidP="004B11B7">
            <w:pPr>
              <w:jc w:val="right"/>
              <w:rPr>
                <w:color w:val="000000"/>
                <w:sz w:val="20"/>
                <w:szCs w:val="20"/>
              </w:rPr>
            </w:pPr>
            <w:r w:rsidRPr="00D618B7">
              <w:rPr>
                <w:color w:val="000000"/>
                <w:sz w:val="20"/>
                <w:szCs w:val="20"/>
              </w:rPr>
              <w:t>7279.07</w:t>
            </w:r>
          </w:p>
        </w:tc>
      </w:tr>
      <w:tr w:rsidR="00B11545" w:rsidRPr="00D618B7" w14:paraId="4FC3BC7D" w14:textId="77777777" w:rsidTr="00B11545">
        <w:trPr>
          <w:trHeight w:val="242"/>
        </w:trPr>
        <w:tc>
          <w:tcPr>
            <w:tcW w:w="1355" w:type="dxa"/>
            <w:tcBorders>
              <w:top w:val="single" w:sz="18" w:space="0" w:color="auto"/>
              <w:left w:val="nil"/>
              <w:bottom w:val="nil"/>
              <w:right w:val="nil"/>
            </w:tcBorders>
            <w:shd w:val="clear" w:color="000000" w:fill="FFFFFF"/>
            <w:noWrap/>
            <w:vAlign w:val="bottom"/>
            <w:hideMark/>
          </w:tcPr>
          <w:p w14:paraId="649D0DC0" w14:textId="77777777" w:rsidR="00B11545" w:rsidRPr="00D618B7" w:rsidRDefault="00B11545" w:rsidP="004B11B7">
            <w:pPr>
              <w:rPr>
                <w:color w:val="000000"/>
                <w:sz w:val="20"/>
                <w:szCs w:val="20"/>
              </w:rPr>
            </w:pPr>
            <w:r w:rsidRPr="00D618B7">
              <w:rPr>
                <w:color w:val="000000"/>
                <w:sz w:val="20"/>
                <w:szCs w:val="20"/>
              </w:rPr>
              <w:t> </w:t>
            </w:r>
          </w:p>
        </w:tc>
        <w:tc>
          <w:tcPr>
            <w:tcW w:w="7614" w:type="dxa"/>
            <w:gridSpan w:val="6"/>
            <w:tcBorders>
              <w:top w:val="single" w:sz="18" w:space="0" w:color="auto"/>
              <w:left w:val="nil"/>
              <w:bottom w:val="nil"/>
              <w:right w:val="nil"/>
            </w:tcBorders>
            <w:shd w:val="clear" w:color="000000" w:fill="FFFFFF"/>
            <w:noWrap/>
            <w:vAlign w:val="center"/>
            <w:hideMark/>
          </w:tcPr>
          <w:p w14:paraId="78257343" w14:textId="77777777" w:rsidR="00B11545" w:rsidRPr="00D618B7" w:rsidRDefault="00B11545" w:rsidP="004B11B7">
            <w:pPr>
              <w:jc w:val="center"/>
              <w:rPr>
                <w:color w:val="000000"/>
                <w:sz w:val="20"/>
                <w:szCs w:val="20"/>
              </w:rPr>
            </w:pPr>
            <w:r w:rsidRPr="00D618B7">
              <w:rPr>
                <w:color w:val="000000"/>
                <w:sz w:val="20"/>
                <w:szCs w:val="20"/>
              </w:rPr>
              <w:t>Toy-Moving-into-Reach</w:t>
            </w:r>
          </w:p>
        </w:tc>
      </w:tr>
      <w:tr w:rsidR="00B11545" w:rsidRPr="00D618B7" w14:paraId="5778F17F" w14:textId="77777777" w:rsidTr="00B11545">
        <w:trPr>
          <w:trHeight w:val="242"/>
        </w:trPr>
        <w:tc>
          <w:tcPr>
            <w:tcW w:w="1355" w:type="dxa"/>
            <w:tcBorders>
              <w:top w:val="nil"/>
              <w:left w:val="nil"/>
              <w:bottom w:val="nil"/>
              <w:right w:val="nil"/>
            </w:tcBorders>
            <w:shd w:val="clear" w:color="000000" w:fill="FFFFFF"/>
            <w:vAlign w:val="center"/>
            <w:hideMark/>
          </w:tcPr>
          <w:p w14:paraId="2322D7A9" w14:textId="77777777" w:rsidR="00B11545" w:rsidRPr="00D618B7" w:rsidRDefault="00B11545" w:rsidP="004B11B7">
            <w:pPr>
              <w:jc w:val="right"/>
              <w:rPr>
                <w:color w:val="000000"/>
                <w:sz w:val="20"/>
                <w:szCs w:val="20"/>
              </w:rPr>
            </w:pPr>
            <w:r w:rsidRPr="00D618B7">
              <w:rPr>
                <w:color w:val="000000"/>
                <w:sz w:val="20"/>
                <w:szCs w:val="20"/>
              </w:rPr>
              <w:t>-5</w:t>
            </w:r>
          </w:p>
        </w:tc>
        <w:tc>
          <w:tcPr>
            <w:tcW w:w="1046" w:type="dxa"/>
            <w:tcBorders>
              <w:top w:val="nil"/>
              <w:left w:val="nil"/>
              <w:bottom w:val="nil"/>
              <w:right w:val="nil"/>
            </w:tcBorders>
            <w:shd w:val="clear" w:color="000000" w:fill="FFFFFF"/>
            <w:noWrap/>
            <w:vAlign w:val="center"/>
            <w:hideMark/>
          </w:tcPr>
          <w:p w14:paraId="0AB8367B" w14:textId="77777777" w:rsidR="00B11545" w:rsidRPr="00D618B7" w:rsidRDefault="00B11545" w:rsidP="004B11B7">
            <w:pPr>
              <w:jc w:val="right"/>
              <w:rPr>
                <w:color w:val="000000"/>
                <w:sz w:val="20"/>
                <w:szCs w:val="20"/>
              </w:rPr>
            </w:pPr>
            <w:r w:rsidRPr="00D618B7">
              <w:rPr>
                <w:color w:val="000000"/>
                <w:sz w:val="20"/>
                <w:szCs w:val="20"/>
              </w:rPr>
              <w:t>1797.68</w:t>
            </w:r>
          </w:p>
        </w:tc>
        <w:tc>
          <w:tcPr>
            <w:tcW w:w="1111" w:type="dxa"/>
            <w:tcBorders>
              <w:top w:val="nil"/>
              <w:left w:val="nil"/>
              <w:bottom w:val="nil"/>
              <w:right w:val="nil"/>
            </w:tcBorders>
            <w:shd w:val="clear" w:color="000000" w:fill="FFFFFF"/>
            <w:noWrap/>
            <w:vAlign w:val="center"/>
            <w:hideMark/>
          </w:tcPr>
          <w:p w14:paraId="580EB61E" w14:textId="77777777" w:rsidR="00B11545" w:rsidRPr="00D618B7" w:rsidRDefault="00B11545" w:rsidP="004B11B7">
            <w:pPr>
              <w:jc w:val="right"/>
              <w:rPr>
                <w:color w:val="000000"/>
                <w:sz w:val="20"/>
                <w:szCs w:val="20"/>
              </w:rPr>
            </w:pPr>
            <w:r w:rsidRPr="00D618B7">
              <w:rPr>
                <w:color w:val="000000"/>
                <w:sz w:val="20"/>
                <w:szCs w:val="20"/>
              </w:rPr>
              <w:t>6915.72</w:t>
            </w:r>
          </w:p>
        </w:tc>
        <w:tc>
          <w:tcPr>
            <w:tcW w:w="1580" w:type="dxa"/>
            <w:tcBorders>
              <w:top w:val="nil"/>
              <w:left w:val="nil"/>
              <w:bottom w:val="nil"/>
              <w:right w:val="nil"/>
            </w:tcBorders>
            <w:shd w:val="clear" w:color="000000" w:fill="FFFFFF"/>
            <w:noWrap/>
            <w:vAlign w:val="center"/>
            <w:hideMark/>
          </w:tcPr>
          <w:p w14:paraId="476D87E5" w14:textId="77777777" w:rsidR="00B11545" w:rsidRPr="00D618B7" w:rsidRDefault="00B11545" w:rsidP="004B11B7">
            <w:pPr>
              <w:jc w:val="right"/>
              <w:rPr>
                <w:color w:val="000000"/>
                <w:sz w:val="20"/>
                <w:szCs w:val="20"/>
              </w:rPr>
            </w:pPr>
            <w:r w:rsidRPr="00D618B7">
              <w:rPr>
                <w:color w:val="000000"/>
                <w:sz w:val="20"/>
                <w:szCs w:val="20"/>
              </w:rPr>
              <w:t>-2452.65</w:t>
            </w:r>
          </w:p>
        </w:tc>
        <w:tc>
          <w:tcPr>
            <w:tcW w:w="1100" w:type="dxa"/>
            <w:tcBorders>
              <w:top w:val="nil"/>
              <w:left w:val="nil"/>
              <w:bottom w:val="nil"/>
              <w:right w:val="nil"/>
            </w:tcBorders>
            <w:shd w:val="clear" w:color="000000" w:fill="FFFFFF"/>
            <w:noWrap/>
            <w:vAlign w:val="center"/>
            <w:hideMark/>
          </w:tcPr>
          <w:p w14:paraId="500344B7" w14:textId="77777777" w:rsidR="00B11545" w:rsidRPr="00D618B7" w:rsidRDefault="00B11545" w:rsidP="004B11B7">
            <w:pPr>
              <w:jc w:val="right"/>
              <w:rPr>
                <w:color w:val="000000"/>
                <w:sz w:val="20"/>
                <w:szCs w:val="20"/>
              </w:rPr>
            </w:pPr>
            <w:r w:rsidRPr="00D618B7">
              <w:rPr>
                <w:color w:val="000000"/>
                <w:sz w:val="20"/>
                <w:szCs w:val="20"/>
              </w:rPr>
              <w:t>6551.40</w:t>
            </w:r>
          </w:p>
        </w:tc>
        <w:tc>
          <w:tcPr>
            <w:tcW w:w="1635" w:type="dxa"/>
            <w:tcBorders>
              <w:top w:val="nil"/>
              <w:left w:val="nil"/>
              <w:bottom w:val="nil"/>
              <w:right w:val="nil"/>
            </w:tcBorders>
            <w:shd w:val="clear" w:color="000000" w:fill="FFFFFF"/>
            <w:noWrap/>
            <w:vAlign w:val="center"/>
            <w:hideMark/>
          </w:tcPr>
          <w:p w14:paraId="2870093B" w14:textId="77777777" w:rsidR="00B11545" w:rsidRPr="00D618B7" w:rsidRDefault="00B11545" w:rsidP="004B11B7">
            <w:pPr>
              <w:jc w:val="right"/>
              <w:rPr>
                <w:color w:val="000000"/>
                <w:sz w:val="20"/>
                <w:szCs w:val="20"/>
              </w:rPr>
            </w:pPr>
            <w:r w:rsidRPr="00D618B7">
              <w:rPr>
                <w:color w:val="000000"/>
                <w:sz w:val="20"/>
                <w:szCs w:val="20"/>
              </w:rPr>
              <w:t>8517.64</w:t>
            </w:r>
          </w:p>
        </w:tc>
        <w:tc>
          <w:tcPr>
            <w:tcW w:w="1139" w:type="dxa"/>
            <w:tcBorders>
              <w:top w:val="nil"/>
              <w:left w:val="nil"/>
              <w:bottom w:val="nil"/>
              <w:right w:val="nil"/>
            </w:tcBorders>
            <w:shd w:val="clear" w:color="000000" w:fill="FFFFFF"/>
            <w:noWrap/>
            <w:vAlign w:val="center"/>
            <w:hideMark/>
          </w:tcPr>
          <w:p w14:paraId="6D1EF3B9" w14:textId="77777777" w:rsidR="00B11545" w:rsidRPr="00D618B7" w:rsidRDefault="00B11545" w:rsidP="004B11B7">
            <w:pPr>
              <w:jc w:val="right"/>
              <w:rPr>
                <w:color w:val="000000"/>
                <w:sz w:val="20"/>
                <w:szCs w:val="20"/>
              </w:rPr>
            </w:pPr>
            <w:r w:rsidRPr="00D618B7">
              <w:rPr>
                <w:color w:val="000000"/>
                <w:sz w:val="20"/>
                <w:szCs w:val="20"/>
              </w:rPr>
              <w:t>6650.80</w:t>
            </w:r>
          </w:p>
        </w:tc>
      </w:tr>
      <w:tr w:rsidR="00B11545" w:rsidRPr="00D618B7" w14:paraId="7B67D40F" w14:textId="77777777" w:rsidTr="00B11545">
        <w:trPr>
          <w:trHeight w:val="242"/>
        </w:trPr>
        <w:tc>
          <w:tcPr>
            <w:tcW w:w="1355" w:type="dxa"/>
            <w:tcBorders>
              <w:top w:val="nil"/>
              <w:left w:val="nil"/>
              <w:bottom w:val="nil"/>
              <w:right w:val="nil"/>
            </w:tcBorders>
            <w:shd w:val="clear" w:color="000000" w:fill="FFFFFF"/>
            <w:vAlign w:val="center"/>
            <w:hideMark/>
          </w:tcPr>
          <w:p w14:paraId="55D5878D" w14:textId="77777777" w:rsidR="00B11545" w:rsidRPr="00D618B7" w:rsidRDefault="00B11545" w:rsidP="004B11B7">
            <w:pPr>
              <w:jc w:val="right"/>
              <w:rPr>
                <w:color w:val="000000"/>
                <w:sz w:val="20"/>
                <w:szCs w:val="20"/>
              </w:rPr>
            </w:pPr>
            <w:r w:rsidRPr="00D618B7">
              <w:rPr>
                <w:color w:val="000000"/>
                <w:sz w:val="20"/>
                <w:szCs w:val="20"/>
              </w:rPr>
              <w:t>-4</w:t>
            </w:r>
          </w:p>
        </w:tc>
        <w:tc>
          <w:tcPr>
            <w:tcW w:w="1046" w:type="dxa"/>
            <w:tcBorders>
              <w:top w:val="nil"/>
              <w:left w:val="nil"/>
              <w:bottom w:val="nil"/>
              <w:right w:val="nil"/>
            </w:tcBorders>
            <w:shd w:val="clear" w:color="000000" w:fill="FFFFFF"/>
            <w:noWrap/>
            <w:vAlign w:val="center"/>
            <w:hideMark/>
          </w:tcPr>
          <w:p w14:paraId="7BBE1412" w14:textId="77777777" w:rsidR="00B11545" w:rsidRPr="00D618B7" w:rsidRDefault="00B11545" w:rsidP="004B11B7">
            <w:pPr>
              <w:jc w:val="right"/>
              <w:rPr>
                <w:color w:val="000000"/>
                <w:sz w:val="20"/>
                <w:szCs w:val="20"/>
              </w:rPr>
            </w:pPr>
            <w:r w:rsidRPr="00D618B7">
              <w:rPr>
                <w:color w:val="000000"/>
                <w:sz w:val="20"/>
                <w:szCs w:val="20"/>
              </w:rPr>
              <w:t>-2710.01</w:t>
            </w:r>
          </w:p>
        </w:tc>
        <w:tc>
          <w:tcPr>
            <w:tcW w:w="1111" w:type="dxa"/>
            <w:tcBorders>
              <w:top w:val="nil"/>
              <w:left w:val="nil"/>
              <w:bottom w:val="nil"/>
              <w:right w:val="nil"/>
            </w:tcBorders>
            <w:shd w:val="clear" w:color="000000" w:fill="FFFFFF"/>
            <w:noWrap/>
            <w:vAlign w:val="center"/>
            <w:hideMark/>
          </w:tcPr>
          <w:p w14:paraId="4614ED4D" w14:textId="77777777" w:rsidR="00B11545" w:rsidRPr="00D618B7" w:rsidRDefault="00B11545" w:rsidP="004B11B7">
            <w:pPr>
              <w:jc w:val="right"/>
              <w:rPr>
                <w:color w:val="000000"/>
                <w:sz w:val="20"/>
                <w:szCs w:val="20"/>
              </w:rPr>
            </w:pPr>
            <w:r w:rsidRPr="00D618B7">
              <w:rPr>
                <w:color w:val="000000"/>
                <w:sz w:val="20"/>
                <w:szCs w:val="20"/>
              </w:rPr>
              <w:t>7012.06</w:t>
            </w:r>
          </w:p>
        </w:tc>
        <w:tc>
          <w:tcPr>
            <w:tcW w:w="1580" w:type="dxa"/>
            <w:tcBorders>
              <w:top w:val="nil"/>
              <w:left w:val="nil"/>
              <w:bottom w:val="nil"/>
              <w:right w:val="nil"/>
            </w:tcBorders>
            <w:shd w:val="clear" w:color="000000" w:fill="FFFFFF"/>
            <w:noWrap/>
            <w:vAlign w:val="center"/>
            <w:hideMark/>
          </w:tcPr>
          <w:p w14:paraId="2BE07911" w14:textId="77777777" w:rsidR="00B11545" w:rsidRPr="00D618B7" w:rsidRDefault="00B11545" w:rsidP="004B11B7">
            <w:pPr>
              <w:jc w:val="right"/>
              <w:rPr>
                <w:color w:val="000000"/>
                <w:sz w:val="20"/>
                <w:szCs w:val="20"/>
              </w:rPr>
            </w:pPr>
            <w:r w:rsidRPr="00D618B7">
              <w:rPr>
                <w:color w:val="000000"/>
                <w:sz w:val="20"/>
                <w:szCs w:val="20"/>
              </w:rPr>
              <w:t>54.61</w:t>
            </w:r>
          </w:p>
        </w:tc>
        <w:tc>
          <w:tcPr>
            <w:tcW w:w="1100" w:type="dxa"/>
            <w:tcBorders>
              <w:top w:val="nil"/>
              <w:left w:val="nil"/>
              <w:bottom w:val="nil"/>
              <w:right w:val="nil"/>
            </w:tcBorders>
            <w:shd w:val="clear" w:color="000000" w:fill="FFFFFF"/>
            <w:noWrap/>
            <w:vAlign w:val="center"/>
            <w:hideMark/>
          </w:tcPr>
          <w:p w14:paraId="5D914FB3" w14:textId="77777777" w:rsidR="00B11545" w:rsidRPr="00D618B7" w:rsidRDefault="00B11545" w:rsidP="004B11B7">
            <w:pPr>
              <w:jc w:val="right"/>
              <w:rPr>
                <w:color w:val="000000"/>
                <w:sz w:val="20"/>
                <w:szCs w:val="20"/>
              </w:rPr>
            </w:pPr>
            <w:r w:rsidRPr="00D618B7">
              <w:rPr>
                <w:color w:val="000000"/>
                <w:sz w:val="20"/>
                <w:szCs w:val="20"/>
              </w:rPr>
              <w:t>6818.03</w:t>
            </w:r>
          </w:p>
        </w:tc>
        <w:tc>
          <w:tcPr>
            <w:tcW w:w="1635" w:type="dxa"/>
            <w:tcBorders>
              <w:top w:val="nil"/>
              <w:left w:val="nil"/>
              <w:bottom w:val="nil"/>
              <w:right w:val="nil"/>
            </w:tcBorders>
            <w:shd w:val="clear" w:color="000000" w:fill="FFFFFF"/>
            <w:noWrap/>
            <w:vAlign w:val="center"/>
            <w:hideMark/>
          </w:tcPr>
          <w:p w14:paraId="2AAB6DA8" w14:textId="77777777" w:rsidR="00B11545" w:rsidRPr="00D618B7" w:rsidRDefault="00B11545" w:rsidP="004B11B7">
            <w:pPr>
              <w:jc w:val="right"/>
              <w:rPr>
                <w:color w:val="000000"/>
                <w:sz w:val="20"/>
                <w:szCs w:val="20"/>
              </w:rPr>
            </w:pPr>
            <w:r w:rsidRPr="00D618B7">
              <w:rPr>
                <w:color w:val="000000"/>
                <w:sz w:val="20"/>
                <w:szCs w:val="20"/>
              </w:rPr>
              <w:t>-12257.50</w:t>
            </w:r>
          </w:p>
        </w:tc>
        <w:tc>
          <w:tcPr>
            <w:tcW w:w="1139" w:type="dxa"/>
            <w:tcBorders>
              <w:top w:val="nil"/>
              <w:left w:val="nil"/>
              <w:bottom w:val="nil"/>
              <w:right w:val="nil"/>
            </w:tcBorders>
            <w:shd w:val="clear" w:color="000000" w:fill="FFFFFF"/>
            <w:noWrap/>
            <w:vAlign w:val="center"/>
            <w:hideMark/>
          </w:tcPr>
          <w:p w14:paraId="0D9A8187" w14:textId="77777777" w:rsidR="00B11545" w:rsidRPr="00D618B7" w:rsidRDefault="00B11545" w:rsidP="004B11B7">
            <w:pPr>
              <w:jc w:val="right"/>
              <w:rPr>
                <w:color w:val="000000"/>
                <w:sz w:val="20"/>
                <w:szCs w:val="20"/>
              </w:rPr>
            </w:pPr>
            <w:r w:rsidRPr="00D618B7">
              <w:rPr>
                <w:color w:val="000000"/>
                <w:sz w:val="20"/>
                <w:szCs w:val="20"/>
              </w:rPr>
              <w:t>6873.12</w:t>
            </w:r>
          </w:p>
        </w:tc>
      </w:tr>
      <w:tr w:rsidR="00B11545" w:rsidRPr="00D618B7" w14:paraId="53A55005" w14:textId="77777777" w:rsidTr="00B11545">
        <w:trPr>
          <w:trHeight w:val="242"/>
        </w:trPr>
        <w:tc>
          <w:tcPr>
            <w:tcW w:w="1355" w:type="dxa"/>
            <w:tcBorders>
              <w:top w:val="nil"/>
              <w:left w:val="nil"/>
              <w:bottom w:val="nil"/>
              <w:right w:val="nil"/>
            </w:tcBorders>
            <w:shd w:val="clear" w:color="000000" w:fill="FFFFFF"/>
            <w:vAlign w:val="center"/>
            <w:hideMark/>
          </w:tcPr>
          <w:p w14:paraId="593F303E" w14:textId="77777777" w:rsidR="00B11545" w:rsidRPr="00D618B7" w:rsidRDefault="00B11545" w:rsidP="004B11B7">
            <w:pPr>
              <w:jc w:val="right"/>
              <w:rPr>
                <w:color w:val="000000"/>
                <w:sz w:val="20"/>
                <w:szCs w:val="20"/>
              </w:rPr>
            </w:pPr>
            <w:r w:rsidRPr="00D618B7">
              <w:rPr>
                <w:color w:val="000000"/>
                <w:sz w:val="20"/>
                <w:szCs w:val="20"/>
              </w:rPr>
              <w:t>-3</w:t>
            </w:r>
          </w:p>
        </w:tc>
        <w:tc>
          <w:tcPr>
            <w:tcW w:w="1046" w:type="dxa"/>
            <w:tcBorders>
              <w:top w:val="nil"/>
              <w:left w:val="nil"/>
              <w:bottom w:val="nil"/>
              <w:right w:val="nil"/>
            </w:tcBorders>
            <w:shd w:val="clear" w:color="000000" w:fill="FFFFFF"/>
            <w:noWrap/>
            <w:vAlign w:val="center"/>
            <w:hideMark/>
          </w:tcPr>
          <w:p w14:paraId="682AB0D5" w14:textId="77777777" w:rsidR="00B11545" w:rsidRPr="00D618B7" w:rsidRDefault="00B11545" w:rsidP="004B11B7">
            <w:pPr>
              <w:jc w:val="right"/>
              <w:rPr>
                <w:color w:val="000000"/>
                <w:sz w:val="20"/>
                <w:szCs w:val="20"/>
              </w:rPr>
            </w:pPr>
            <w:r w:rsidRPr="00D618B7">
              <w:rPr>
                <w:color w:val="000000"/>
                <w:sz w:val="20"/>
                <w:szCs w:val="20"/>
              </w:rPr>
              <w:t>2502.52</w:t>
            </w:r>
          </w:p>
        </w:tc>
        <w:tc>
          <w:tcPr>
            <w:tcW w:w="1111" w:type="dxa"/>
            <w:tcBorders>
              <w:top w:val="nil"/>
              <w:left w:val="nil"/>
              <w:bottom w:val="nil"/>
              <w:right w:val="nil"/>
            </w:tcBorders>
            <w:shd w:val="clear" w:color="000000" w:fill="FFFFFF"/>
            <w:noWrap/>
            <w:vAlign w:val="center"/>
            <w:hideMark/>
          </w:tcPr>
          <w:p w14:paraId="48CED450" w14:textId="77777777" w:rsidR="00B11545" w:rsidRPr="00D618B7" w:rsidRDefault="00B11545" w:rsidP="004B11B7">
            <w:pPr>
              <w:jc w:val="right"/>
              <w:rPr>
                <w:color w:val="000000"/>
                <w:sz w:val="20"/>
                <w:szCs w:val="20"/>
              </w:rPr>
            </w:pPr>
            <w:r w:rsidRPr="00D618B7">
              <w:rPr>
                <w:color w:val="000000"/>
                <w:sz w:val="20"/>
                <w:szCs w:val="20"/>
              </w:rPr>
              <w:t>7061.99</w:t>
            </w:r>
          </w:p>
        </w:tc>
        <w:tc>
          <w:tcPr>
            <w:tcW w:w="1580" w:type="dxa"/>
            <w:tcBorders>
              <w:top w:val="nil"/>
              <w:left w:val="nil"/>
              <w:bottom w:val="nil"/>
              <w:right w:val="nil"/>
            </w:tcBorders>
            <w:shd w:val="clear" w:color="000000" w:fill="FFFFFF"/>
            <w:noWrap/>
            <w:vAlign w:val="center"/>
            <w:hideMark/>
          </w:tcPr>
          <w:p w14:paraId="41B3E158" w14:textId="77777777" w:rsidR="00B11545" w:rsidRPr="00D618B7" w:rsidRDefault="00B11545" w:rsidP="004B11B7">
            <w:pPr>
              <w:jc w:val="right"/>
              <w:rPr>
                <w:color w:val="000000"/>
                <w:sz w:val="20"/>
                <w:szCs w:val="20"/>
              </w:rPr>
            </w:pPr>
            <w:r w:rsidRPr="00D618B7">
              <w:rPr>
                <w:color w:val="000000"/>
                <w:sz w:val="20"/>
                <w:szCs w:val="20"/>
              </w:rPr>
              <w:t>-1473.28</w:t>
            </w:r>
          </w:p>
        </w:tc>
        <w:tc>
          <w:tcPr>
            <w:tcW w:w="1100" w:type="dxa"/>
            <w:tcBorders>
              <w:top w:val="nil"/>
              <w:left w:val="nil"/>
              <w:bottom w:val="nil"/>
              <w:right w:val="nil"/>
            </w:tcBorders>
            <w:shd w:val="clear" w:color="000000" w:fill="FFFFFF"/>
            <w:noWrap/>
            <w:vAlign w:val="center"/>
            <w:hideMark/>
          </w:tcPr>
          <w:p w14:paraId="2CD8D678" w14:textId="77777777" w:rsidR="00B11545" w:rsidRPr="00D618B7" w:rsidRDefault="00B11545" w:rsidP="004B11B7">
            <w:pPr>
              <w:jc w:val="right"/>
              <w:rPr>
                <w:color w:val="000000"/>
                <w:sz w:val="20"/>
                <w:szCs w:val="20"/>
              </w:rPr>
            </w:pPr>
            <w:r w:rsidRPr="00D618B7">
              <w:rPr>
                <w:color w:val="000000"/>
                <w:sz w:val="20"/>
                <w:szCs w:val="20"/>
              </w:rPr>
              <w:t>6872.88</w:t>
            </w:r>
          </w:p>
        </w:tc>
        <w:tc>
          <w:tcPr>
            <w:tcW w:w="1635" w:type="dxa"/>
            <w:tcBorders>
              <w:top w:val="nil"/>
              <w:left w:val="nil"/>
              <w:bottom w:val="nil"/>
              <w:right w:val="nil"/>
            </w:tcBorders>
            <w:shd w:val="clear" w:color="000000" w:fill="FFFFFF"/>
            <w:noWrap/>
            <w:vAlign w:val="center"/>
            <w:hideMark/>
          </w:tcPr>
          <w:p w14:paraId="15A889D8" w14:textId="77777777" w:rsidR="00B11545" w:rsidRPr="00D618B7" w:rsidRDefault="00B11545" w:rsidP="004B11B7">
            <w:pPr>
              <w:jc w:val="right"/>
              <w:rPr>
                <w:color w:val="000000"/>
                <w:sz w:val="20"/>
                <w:szCs w:val="20"/>
              </w:rPr>
            </w:pPr>
            <w:r w:rsidRPr="00D618B7">
              <w:rPr>
                <w:color w:val="000000"/>
                <w:sz w:val="20"/>
                <w:szCs w:val="20"/>
              </w:rPr>
              <w:t>8399.31</w:t>
            </w:r>
          </w:p>
        </w:tc>
        <w:tc>
          <w:tcPr>
            <w:tcW w:w="1139" w:type="dxa"/>
            <w:tcBorders>
              <w:top w:val="nil"/>
              <w:left w:val="nil"/>
              <w:bottom w:val="nil"/>
              <w:right w:val="nil"/>
            </w:tcBorders>
            <w:shd w:val="clear" w:color="000000" w:fill="FFFFFF"/>
            <w:noWrap/>
            <w:vAlign w:val="center"/>
            <w:hideMark/>
          </w:tcPr>
          <w:p w14:paraId="7DBCEB8C" w14:textId="77777777" w:rsidR="00B11545" w:rsidRPr="00D618B7" w:rsidRDefault="00B11545" w:rsidP="004B11B7">
            <w:pPr>
              <w:jc w:val="right"/>
              <w:rPr>
                <w:color w:val="000000"/>
                <w:sz w:val="20"/>
                <w:szCs w:val="20"/>
              </w:rPr>
            </w:pPr>
            <w:r w:rsidRPr="00D618B7">
              <w:rPr>
                <w:color w:val="000000"/>
                <w:sz w:val="20"/>
                <w:szCs w:val="20"/>
              </w:rPr>
              <w:t>6910.14</w:t>
            </w:r>
          </w:p>
        </w:tc>
      </w:tr>
      <w:tr w:rsidR="00B11545" w:rsidRPr="00D618B7" w14:paraId="57054C80" w14:textId="77777777" w:rsidTr="00B11545">
        <w:trPr>
          <w:trHeight w:val="242"/>
        </w:trPr>
        <w:tc>
          <w:tcPr>
            <w:tcW w:w="1355" w:type="dxa"/>
            <w:tcBorders>
              <w:top w:val="nil"/>
              <w:left w:val="nil"/>
              <w:bottom w:val="nil"/>
              <w:right w:val="nil"/>
            </w:tcBorders>
            <w:shd w:val="clear" w:color="000000" w:fill="FFFFFF"/>
            <w:vAlign w:val="center"/>
            <w:hideMark/>
          </w:tcPr>
          <w:p w14:paraId="07FBBAE5" w14:textId="77777777" w:rsidR="00B11545" w:rsidRPr="00D618B7" w:rsidRDefault="00B11545" w:rsidP="004B11B7">
            <w:pPr>
              <w:jc w:val="right"/>
              <w:rPr>
                <w:color w:val="000000"/>
                <w:sz w:val="20"/>
                <w:szCs w:val="20"/>
              </w:rPr>
            </w:pPr>
            <w:r w:rsidRPr="00D618B7">
              <w:rPr>
                <w:color w:val="000000"/>
                <w:sz w:val="20"/>
                <w:szCs w:val="20"/>
              </w:rPr>
              <w:t>-2</w:t>
            </w:r>
          </w:p>
        </w:tc>
        <w:tc>
          <w:tcPr>
            <w:tcW w:w="1046" w:type="dxa"/>
            <w:tcBorders>
              <w:top w:val="nil"/>
              <w:left w:val="nil"/>
              <w:bottom w:val="nil"/>
              <w:right w:val="nil"/>
            </w:tcBorders>
            <w:shd w:val="clear" w:color="000000" w:fill="FFFFFF"/>
            <w:noWrap/>
            <w:vAlign w:val="center"/>
            <w:hideMark/>
          </w:tcPr>
          <w:p w14:paraId="5F3D85F5" w14:textId="77777777" w:rsidR="00B11545" w:rsidRPr="00D618B7" w:rsidRDefault="00B11545" w:rsidP="004B11B7">
            <w:pPr>
              <w:jc w:val="right"/>
              <w:rPr>
                <w:color w:val="000000"/>
                <w:sz w:val="20"/>
                <w:szCs w:val="20"/>
              </w:rPr>
            </w:pPr>
            <w:r w:rsidRPr="00D618B7">
              <w:rPr>
                <w:color w:val="000000"/>
                <w:sz w:val="20"/>
                <w:szCs w:val="20"/>
              </w:rPr>
              <w:t>-2770.86</w:t>
            </w:r>
          </w:p>
        </w:tc>
        <w:tc>
          <w:tcPr>
            <w:tcW w:w="1111" w:type="dxa"/>
            <w:tcBorders>
              <w:top w:val="nil"/>
              <w:left w:val="nil"/>
              <w:bottom w:val="nil"/>
              <w:right w:val="nil"/>
            </w:tcBorders>
            <w:shd w:val="clear" w:color="000000" w:fill="FFFFFF"/>
            <w:noWrap/>
            <w:vAlign w:val="center"/>
            <w:hideMark/>
          </w:tcPr>
          <w:p w14:paraId="5648ECA2" w14:textId="77777777" w:rsidR="00B11545" w:rsidRPr="00D618B7" w:rsidRDefault="00B11545" w:rsidP="004B11B7">
            <w:pPr>
              <w:jc w:val="right"/>
              <w:rPr>
                <w:color w:val="000000"/>
                <w:sz w:val="20"/>
                <w:szCs w:val="20"/>
              </w:rPr>
            </w:pPr>
            <w:r w:rsidRPr="00D618B7">
              <w:rPr>
                <w:color w:val="000000"/>
                <w:sz w:val="20"/>
                <w:szCs w:val="20"/>
              </w:rPr>
              <w:t>6213.06</w:t>
            </w:r>
          </w:p>
        </w:tc>
        <w:tc>
          <w:tcPr>
            <w:tcW w:w="1580" w:type="dxa"/>
            <w:tcBorders>
              <w:top w:val="nil"/>
              <w:left w:val="nil"/>
              <w:bottom w:val="nil"/>
              <w:right w:val="nil"/>
            </w:tcBorders>
            <w:shd w:val="clear" w:color="000000" w:fill="FFFFFF"/>
            <w:noWrap/>
            <w:vAlign w:val="center"/>
            <w:hideMark/>
          </w:tcPr>
          <w:p w14:paraId="46AADA85" w14:textId="77777777" w:rsidR="00B11545" w:rsidRPr="00D618B7" w:rsidRDefault="00B11545" w:rsidP="004B11B7">
            <w:pPr>
              <w:jc w:val="right"/>
              <w:rPr>
                <w:color w:val="000000"/>
                <w:sz w:val="20"/>
                <w:szCs w:val="20"/>
              </w:rPr>
            </w:pPr>
            <w:r w:rsidRPr="00D618B7">
              <w:rPr>
                <w:color w:val="000000"/>
                <w:sz w:val="20"/>
                <w:szCs w:val="20"/>
              </w:rPr>
              <w:t>-58.33</w:t>
            </w:r>
          </w:p>
        </w:tc>
        <w:tc>
          <w:tcPr>
            <w:tcW w:w="1100" w:type="dxa"/>
            <w:tcBorders>
              <w:top w:val="nil"/>
              <w:left w:val="nil"/>
              <w:bottom w:val="nil"/>
              <w:right w:val="nil"/>
            </w:tcBorders>
            <w:shd w:val="clear" w:color="000000" w:fill="FFFFFF"/>
            <w:noWrap/>
            <w:vAlign w:val="center"/>
            <w:hideMark/>
          </w:tcPr>
          <w:p w14:paraId="238DE7BA" w14:textId="77777777" w:rsidR="00B11545" w:rsidRPr="00D618B7" w:rsidRDefault="00B11545" w:rsidP="004B11B7">
            <w:pPr>
              <w:jc w:val="right"/>
              <w:rPr>
                <w:color w:val="000000"/>
                <w:sz w:val="20"/>
                <w:szCs w:val="20"/>
              </w:rPr>
            </w:pPr>
            <w:r w:rsidRPr="00D618B7">
              <w:rPr>
                <w:color w:val="000000"/>
                <w:sz w:val="20"/>
                <w:szCs w:val="20"/>
              </w:rPr>
              <w:t>6002.61</w:t>
            </w:r>
          </w:p>
        </w:tc>
        <w:tc>
          <w:tcPr>
            <w:tcW w:w="1635" w:type="dxa"/>
            <w:tcBorders>
              <w:top w:val="nil"/>
              <w:left w:val="nil"/>
              <w:bottom w:val="nil"/>
              <w:right w:val="nil"/>
            </w:tcBorders>
            <w:shd w:val="clear" w:color="000000" w:fill="FFFFFF"/>
            <w:noWrap/>
            <w:vAlign w:val="center"/>
            <w:hideMark/>
          </w:tcPr>
          <w:p w14:paraId="15FF8205" w14:textId="77777777" w:rsidR="00B11545" w:rsidRPr="00D618B7" w:rsidRDefault="00B11545" w:rsidP="004B11B7">
            <w:pPr>
              <w:jc w:val="right"/>
              <w:rPr>
                <w:color w:val="000000"/>
                <w:sz w:val="20"/>
                <w:szCs w:val="20"/>
              </w:rPr>
            </w:pPr>
            <w:r w:rsidRPr="00D618B7">
              <w:rPr>
                <w:color w:val="000000"/>
                <w:sz w:val="20"/>
                <w:szCs w:val="20"/>
              </w:rPr>
              <w:t>-8658.49</w:t>
            </w:r>
          </w:p>
        </w:tc>
        <w:tc>
          <w:tcPr>
            <w:tcW w:w="1139" w:type="dxa"/>
            <w:tcBorders>
              <w:top w:val="nil"/>
              <w:left w:val="nil"/>
              <w:bottom w:val="nil"/>
              <w:right w:val="nil"/>
            </w:tcBorders>
            <w:shd w:val="clear" w:color="000000" w:fill="FFFFFF"/>
            <w:noWrap/>
            <w:vAlign w:val="center"/>
            <w:hideMark/>
          </w:tcPr>
          <w:p w14:paraId="062BBD2E" w14:textId="77777777" w:rsidR="00B11545" w:rsidRPr="00D618B7" w:rsidRDefault="00B11545" w:rsidP="004B11B7">
            <w:pPr>
              <w:jc w:val="right"/>
              <w:rPr>
                <w:color w:val="000000"/>
                <w:sz w:val="20"/>
                <w:szCs w:val="20"/>
              </w:rPr>
            </w:pPr>
            <w:r w:rsidRPr="00D618B7">
              <w:rPr>
                <w:color w:val="000000"/>
                <w:sz w:val="20"/>
                <w:szCs w:val="20"/>
              </w:rPr>
              <w:t>6092.38</w:t>
            </w:r>
          </w:p>
        </w:tc>
      </w:tr>
      <w:tr w:rsidR="00B11545" w:rsidRPr="00D618B7" w14:paraId="0EB270EF" w14:textId="77777777" w:rsidTr="00B11545">
        <w:trPr>
          <w:trHeight w:val="242"/>
        </w:trPr>
        <w:tc>
          <w:tcPr>
            <w:tcW w:w="1355" w:type="dxa"/>
            <w:tcBorders>
              <w:top w:val="nil"/>
              <w:left w:val="nil"/>
              <w:bottom w:val="nil"/>
              <w:right w:val="nil"/>
            </w:tcBorders>
            <w:shd w:val="clear" w:color="000000" w:fill="FFFFFF"/>
            <w:vAlign w:val="center"/>
            <w:hideMark/>
          </w:tcPr>
          <w:p w14:paraId="0154AC96" w14:textId="77777777" w:rsidR="00B11545" w:rsidRPr="00D618B7" w:rsidRDefault="00B11545" w:rsidP="004B11B7">
            <w:pPr>
              <w:jc w:val="right"/>
              <w:rPr>
                <w:color w:val="000000"/>
                <w:sz w:val="20"/>
                <w:szCs w:val="20"/>
              </w:rPr>
            </w:pPr>
            <w:r w:rsidRPr="00D618B7">
              <w:rPr>
                <w:color w:val="000000"/>
                <w:sz w:val="20"/>
                <w:szCs w:val="20"/>
              </w:rPr>
              <w:t>-1</w:t>
            </w:r>
          </w:p>
        </w:tc>
        <w:tc>
          <w:tcPr>
            <w:tcW w:w="1046" w:type="dxa"/>
            <w:tcBorders>
              <w:top w:val="nil"/>
              <w:left w:val="nil"/>
              <w:bottom w:val="nil"/>
              <w:right w:val="nil"/>
            </w:tcBorders>
            <w:shd w:val="clear" w:color="000000" w:fill="FFFFFF"/>
            <w:noWrap/>
            <w:vAlign w:val="center"/>
            <w:hideMark/>
          </w:tcPr>
          <w:p w14:paraId="286DA10E" w14:textId="77777777" w:rsidR="00B11545" w:rsidRPr="00D618B7" w:rsidRDefault="00B11545" w:rsidP="004B11B7">
            <w:pPr>
              <w:jc w:val="right"/>
              <w:rPr>
                <w:color w:val="000000"/>
                <w:sz w:val="20"/>
                <w:szCs w:val="20"/>
              </w:rPr>
            </w:pPr>
            <w:r w:rsidRPr="00D618B7">
              <w:rPr>
                <w:color w:val="000000"/>
                <w:sz w:val="20"/>
                <w:szCs w:val="20"/>
              </w:rPr>
              <w:t>1344.61</w:t>
            </w:r>
          </w:p>
        </w:tc>
        <w:tc>
          <w:tcPr>
            <w:tcW w:w="1111" w:type="dxa"/>
            <w:tcBorders>
              <w:top w:val="nil"/>
              <w:left w:val="nil"/>
              <w:bottom w:val="nil"/>
              <w:right w:val="nil"/>
            </w:tcBorders>
            <w:shd w:val="clear" w:color="000000" w:fill="FFFFFF"/>
            <w:noWrap/>
            <w:vAlign w:val="center"/>
            <w:hideMark/>
          </w:tcPr>
          <w:p w14:paraId="10C85029" w14:textId="77777777" w:rsidR="00B11545" w:rsidRPr="00D618B7" w:rsidRDefault="00B11545" w:rsidP="004B11B7">
            <w:pPr>
              <w:jc w:val="right"/>
              <w:rPr>
                <w:color w:val="000000"/>
                <w:sz w:val="20"/>
                <w:szCs w:val="20"/>
              </w:rPr>
            </w:pPr>
            <w:r w:rsidRPr="00D618B7">
              <w:rPr>
                <w:color w:val="000000"/>
                <w:sz w:val="20"/>
                <w:szCs w:val="20"/>
              </w:rPr>
              <w:t>6257.14</w:t>
            </w:r>
          </w:p>
        </w:tc>
        <w:tc>
          <w:tcPr>
            <w:tcW w:w="1580" w:type="dxa"/>
            <w:tcBorders>
              <w:top w:val="nil"/>
              <w:left w:val="nil"/>
              <w:bottom w:val="nil"/>
              <w:right w:val="nil"/>
            </w:tcBorders>
            <w:shd w:val="clear" w:color="000000" w:fill="FFFFFF"/>
            <w:noWrap/>
            <w:vAlign w:val="center"/>
            <w:hideMark/>
          </w:tcPr>
          <w:p w14:paraId="6FB7EB1A" w14:textId="77777777" w:rsidR="00B11545" w:rsidRPr="00D618B7" w:rsidRDefault="00B11545" w:rsidP="004B11B7">
            <w:pPr>
              <w:jc w:val="right"/>
              <w:rPr>
                <w:color w:val="000000"/>
                <w:sz w:val="20"/>
                <w:szCs w:val="20"/>
              </w:rPr>
            </w:pPr>
            <w:r w:rsidRPr="00D618B7">
              <w:rPr>
                <w:color w:val="000000"/>
                <w:sz w:val="20"/>
                <w:szCs w:val="20"/>
              </w:rPr>
              <w:t>3181.10</w:t>
            </w:r>
          </w:p>
        </w:tc>
        <w:tc>
          <w:tcPr>
            <w:tcW w:w="1100" w:type="dxa"/>
            <w:tcBorders>
              <w:top w:val="nil"/>
              <w:left w:val="nil"/>
              <w:bottom w:val="nil"/>
              <w:right w:val="nil"/>
            </w:tcBorders>
            <w:shd w:val="clear" w:color="000000" w:fill="FFFFFF"/>
            <w:noWrap/>
            <w:vAlign w:val="center"/>
            <w:hideMark/>
          </w:tcPr>
          <w:p w14:paraId="7DC34176" w14:textId="77777777" w:rsidR="00B11545" w:rsidRPr="00D618B7" w:rsidRDefault="00B11545" w:rsidP="004B11B7">
            <w:pPr>
              <w:jc w:val="right"/>
              <w:rPr>
                <w:color w:val="000000"/>
                <w:sz w:val="20"/>
                <w:szCs w:val="20"/>
              </w:rPr>
            </w:pPr>
            <w:r w:rsidRPr="00D618B7">
              <w:rPr>
                <w:color w:val="000000"/>
                <w:sz w:val="20"/>
                <w:szCs w:val="20"/>
              </w:rPr>
              <w:t>6110.71</w:t>
            </w:r>
          </w:p>
        </w:tc>
        <w:tc>
          <w:tcPr>
            <w:tcW w:w="1635" w:type="dxa"/>
            <w:tcBorders>
              <w:top w:val="nil"/>
              <w:left w:val="nil"/>
              <w:bottom w:val="nil"/>
              <w:right w:val="nil"/>
            </w:tcBorders>
            <w:shd w:val="clear" w:color="000000" w:fill="FFFFFF"/>
            <w:noWrap/>
            <w:vAlign w:val="center"/>
            <w:hideMark/>
          </w:tcPr>
          <w:p w14:paraId="46B33B96" w14:textId="77777777" w:rsidR="00B11545" w:rsidRPr="00D618B7" w:rsidRDefault="00B11545" w:rsidP="004B11B7">
            <w:pPr>
              <w:jc w:val="right"/>
              <w:rPr>
                <w:color w:val="000000"/>
                <w:sz w:val="20"/>
                <w:szCs w:val="20"/>
              </w:rPr>
            </w:pPr>
            <w:r w:rsidRPr="00D618B7">
              <w:rPr>
                <w:color w:val="000000"/>
                <w:sz w:val="20"/>
                <w:szCs w:val="20"/>
              </w:rPr>
              <w:t>28622.18</w:t>
            </w:r>
          </w:p>
        </w:tc>
        <w:tc>
          <w:tcPr>
            <w:tcW w:w="1139" w:type="dxa"/>
            <w:tcBorders>
              <w:top w:val="nil"/>
              <w:left w:val="nil"/>
              <w:bottom w:val="nil"/>
              <w:right w:val="nil"/>
            </w:tcBorders>
            <w:shd w:val="clear" w:color="000000" w:fill="FFFFFF"/>
            <w:noWrap/>
            <w:vAlign w:val="center"/>
            <w:hideMark/>
          </w:tcPr>
          <w:p w14:paraId="6501BCBC" w14:textId="77777777" w:rsidR="00B11545" w:rsidRPr="00D618B7" w:rsidRDefault="00B11545" w:rsidP="004B11B7">
            <w:pPr>
              <w:jc w:val="right"/>
              <w:rPr>
                <w:color w:val="000000"/>
                <w:sz w:val="20"/>
                <w:szCs w:val="20"/>
              </w:rPr>
            </w:pPr>
            <w:r w:rsidRPr="00D618B7">
              <w:rPr>
                <w:color w:val="000000"/>
                <w:sz w:val="20"/>
                <w:szCs w:val="20"/>
              </w:rPr>
              <w:t>6199.66</w:t>
            </w:r>
          </w:p>
        </w:tc>
      </w:tr>
      <w:tr w:rsidR="00B11545" w:rsidRPr="00D618B7" w14:paraId="09CDE359" w14:textId="77777777" w:rsidTr="00B11545">
        <w:trPr>
          <w:trHeight w:val="242"/>
        </w:trPr>
        <w:tc>
          <w:tcPr>
            <w:tcW w:w="1355" w:type="dxa"/>
            <w:tcBorders>
              <w:top w:val="nil"/>
              <w:left w:val="nil"/>
              <w:bottom w:val="nil"/>
              <w:right w:val="nil"/>
            </w:tcBorders>
            <w:shd w:val="clear" w:color="000000" w:fill="FFFFFF"/>
            <w:vAlign w:val="center"/>
            <w:hideMark/>
          </w:tcPr>
          <w:p w14:paraId="6EA3453B" w14:textId="77777777" w:rsidR="00B11545" w:rsidRPr="00D618B7" w:rsidRDefault="00B11545" w:rsidP="004B11B7">
            <w:pPr>
              <w:jc w:val="right"/>
              <w:rPr>
                <w:color w:val="000000"/>
                <w:sz w:val="20"/>
                <w:szCs w:val="20"/>
              </w:rPr>
            </w:pPr>
            <w:r w:rsidRPr="00D618B7">
              <w:rPr>
                <w:color w:val="000000"/>
                <w:sz w:val="20"/>
                <w:szCs w:val="20"/>
              </w:rPr>
              <w:t>0</w:t>
            </w:r>
          </w:p>
        </w:tc>
        <w:tc>
          <w:tcPr>
            <w:tcW w:w="1046" w:type="dxa"/>
            <w:tcBorders>
              <w:top w:val="nil"/>
              <w:left w:val="nil"/>
              <w:bottom w:val="nil"/>
              <w:right w:val="nil"/>
            </w:tcBorders>
            <w:shd w:val="clear" w:color="000000" w:fill="FFFFFF"/>
            <w:noWrap/>
            <w:vAlign w:val="center"/>
            <w:hideMark/>
          </w:tcPr>
          <w:p w14:paraId="08A3E26C" w14:textId="77777777" w:rsidR="00B11545" w:rsidRPr="00D618B7" w:rsidRDefault="00B11545" w:rsidP="004B11B7">
            <w:pPr>
              <w:jc w:val="right"/>
              <w:rPr>
                <w:color w:val="000000"/>
                <w:sz w:val="20"/>
                <w:szCs w:val="20"/>
              </w:rPr>
            </w:pPr>
            <w:r w:rsidRPr="00D618B7">
              <w:rPr>
                <w:color w:val="000000"/>
                <w:sz w:val="20"/>
                <w:szCs w:val="20"/>
              </w:rPr>
              <w:t>-36.26</w:t>
            </w:r>
          </w:p>
        </w:tc>
        <w:tc>
          <w:tcPr>
            <w:tcW w:w="1111" w:type="dxa"/>
            <w:tcBorders>
              <w:top w:val="nil"/>
              <w:left w:val="nil"/>
              <w:bottom w:val="nil"/>
              <w:right w:val="nil"/>
            </w:tcBorders>
            <w:shd w:val="clear" w:color="000000" w:fill="FFFFFF"/>
            <w:noWrap/>
            <w:vAlign w:val="center"/>
            <w:hideMark/>
          </w:tcPr>
          <w:p w14:paraId="1231F1A0" w14:textId="77777777" w:rsidR="00B11545" w:rsidRPr="00D618B7" w:rsidRDefault="00B11545" w:rsidP="004B11B7">
            <w:pPr>
              <w:jc w:val="right"/>
              <w:rPr>
                <w:color w:val="000000"/>
                <w:sz w:val="20"/>
                <w:szCs w:val="20"/>
              </w:rPr>
            </w:pPr>
            <w:r w:rsidRPr="00D618B7">
              <w:rPr>
                <w:color w:val="000000"/>
                <w:sz w:val="20"/>
                <w:szCs w:val="20"/>
              </w:rPr>
              <w:t>5751.00</w:t>
            </w:r>
          </w:p>
        </w:tc>
        <w:tc>
          <w:tcPr>
            <w:tcW w:w="1580" w:type="dxa"/>
            <w:tcBorders>
              <w:top w:val="nil"/>
              <w:left w:val="nil"/>
              <w:bottom w:val="nil"/>
              <w:right w:val="nil"/>
            </w:tcBorders>
            <w:shd w:val="clear" w:color="000000" w:fill="FFFFFF"/>
            <w:noWrap/>
            <w:vAlign w:val="center"/>
            <w:hideMark/>
          </w:tcPr>
          <w:p w14:paraId="210F36EE" w14:textId="77777777" w:rsidR="00B11545" w:rsidRPr="00D618B7" w:rsidRDefault="00B11545" w:rsidP="004B11B7">
            <w:pPr>
              <w:jc w:val="right"/>
              <w:rPr>
                <w:color w:val="000000"/>
                <w:sz w:val="20"/>
                <w:szCs w:val="20"/>
              </w:rPr>
            </w:pPr>
            <w:r w:rsidRPr="00D618B7">
              <w:rPr>
                <w:color w:val="000000"/>
                <w:sz w:val="20"/>
                <w:szCs w:val="20"/>
              </w:rPr>
              <w:t>-3056.92</w:t>
            </w:r>
          </w:p>
        </w:tc>
        <w:tc>
          <w:tcPr>
            <w:tcW w:w="1100" w:type="dxa"/>
            <w:tcBorders>
              <w:top w:val="nil"/>
              <w:left w:val="nil"/>
              <w:bottom w:val="nil"/>
              <w:right w:val="nil"/>
            </w:tcBorders>
            <w:shd w:val="clear" w:color="000000" w:fill="FFFFFF"/>
            <w:noWrap/>
            <w:vAlign w:val="center"/>
            <w:hideMark/>
          </w:tcPr>
          <w:p w14:paraId="5FBB1DF4" w14:textId="77777777" w:rsidR="00B11545" w:rsidRPr="00D618B7" w:rsidRDefault="00B11545" w:rsidP="004B11B7">
            <w:pPr>
              <w:jc w:val="right"/>
              <w:rPr>
                <w:color w:val="000000"/>
                <w:sz w:val="20"/>
                <w:szCs w:val="20"/>
              </w:rPr>
            </w:pPr>
            <w:r w:rsidRPr="00D618B7">
              <w:rPr>
                <w:color w:val="000000"/>
                <w:sz w:val="20"/>
                <w:szCs w:val="20"/>
              </w:rPr>
              <w:t>5683.66</w:t>
            </w:r>
          </w:p>
        </w:tc>
        <w:tc>
          <w:tcPr>
            <w:tcW w:w="1635" w:type="dxa"/>
            <w:tcBorders>
              <w:top w:val="nil"/>
              <w:left w:val="nil"/>
              <w:bottom w:val="nil"/>
              <w:right w:val="nil"/>
            </w:tcBorders>
            <w:shd w:val="clear" w:color="000000" w:fill="FFFFFF"/>
            <w:noWrap/>
            <w:vAlign w:val="center"/>
            <w:hideMark/>
          </w:tcPr>
          <w:p w14:paraId="2878FD26" w14:textId="77777777" w:rsidR="00B11545" w:rsidRPr="00D618B7" w:rsidRDefault="00B11545" w:rsidP="004B11B7">
            <w:pPr>
              <w:jc w:val="right"/>
              <w:rPr>
                <w:color w:val="000000"/>
                <w:sz w:val="20"/>
                <w:szCs w:val="20"/>
              </w:rPr>
            </w:pPr>
            <w:r w:rsidRPr="00D618B7">
              <w:rPr>
                <w:color w:val="000000"/>
                <w:sz w:val="20"/>
                <w:szCs w:val="20"/>
              </w:rPr>
              <w:t>-5989.21</w:t>
            </w:r>
          </w:p>
        </w:tc>
        <w:tc>
          <w:tcPr>
            <w:tcW w:w="1139" w:type="dxa"/>
            <w:tcBorders>
              <w:top w:val="nil"/>
              <w:left w:val="nil"/>
              <w:bottom w:val="nil"/>
              <w:right w:val="nil"/>
            </w:tcBorders>
            <w:shd w:val="clear" w:color="000000" w:fill="FFFFFF"/>
            <w:noWrap/>
            <w:vAlign w:val="center"/>
            <w:hideMark/>
          </w:tcPr>
          <w:p w14:paraId="449456AC" w14:textId="77777777" w:rsidR="00B11545" w:rsidRPr="00D618B7" w:rsidRDefault="00B11545" w:rsidP="004B11B7">
            <w:pPr>
              <w:jc w:val="right"/>
              <w:rPr>
                <w:color w:val="000000"/>
                <w:sz w:val="20"/>
                <w:szCs w:val="20"/>
              </w:rPr>
            </w:pPr>
            <w:r w:rsidRPr="00D618B7">
              <w:rPr>
                <w:color w:val="000000"/>
                <w:sz w:val="20"/>
                <w:szCs w:val="20"/>
              </w:rPr>
              <w:t>5753.96</w:t>
            </w:r>
          </w:p>
        </w:tc>
      </w:tr>
      <w:tr w:rsidR="00B11545" w:rsidRPr="00D618B7" w14:paraId="728B2CF7" w14:textId="77777777" w:rsidTr="00B11545">
        <w:trPr>
          <w:trHeight w:val="242"/>
        </w:trPr>
        <w:tc>
          <w:tcPr>
            <w:tcW w:w="1355" w:type="dxa"/>
            <w:tcBorders>
              <w:top w:val="nil"/>
              <w:left w:val="nil"/>
              <w:bottom w:val="nil"/>
              <w:right w:val="nil"/>
            </w:tcBorders>
            <w:shd w:val="clear" w:color="000000" w:fill="FFFFFF"/>
            <w:vAlign w:val="center"/>
            <w:hideMark/>
          </w:tcPr>
          <w:p w14:paraId="3A977F29" w14:textId="77777777" w:rsidR="00B11545" w:rsidRPr="00D618B7" w:rsidRDefault="00B11545" w:rsidP="004B11B7">
            <w:pPr>
              <w:jc w:val="right"/>
              <w:rPr>
                <w:color w:val="000000"/>
                <w:sz w:val="20"/>
                <w:szCs w:val="20"/>
              </w:rPr>
            </w:pPr>
            <w:r w:rsidRPr="00D618B7">
              <w:rPr>
                <w:color w:val="000000"/>
                <w:sz w:val="20"/>
                <w:szCs w:val="20"/>
              </w:rPr>
              <w:t>1</w:t>
            </w:r>
          </w:p>
        </w:tc>
        <w:tc>
          <w:tcPr>
            <w:tcW w:w="1046" w:type="dxa"/>
            <w:tcBorders>
              <w:top w:val="nil"/>
              <w:left w:val="nil"/>
              <w:bottom w:val="nil"/>
              <w:right w:val="nil"/>
            </w:tcBorders>
            <w:shd w:val="clear" w:color="000000" w:fill="FFFFFF"/>
            <w:noWrap/>
            <w:vAlign w:val="center"/>
            <w:hideMark/>
          </w:tcPr>
          <w:p w14:paraId="60F619B7" w14:textId="77777777" w:rsidR="00B11545" w:rsidRPr="00D618B7" w:rsidRDefault="00B11545" w:rsidP="004B11B7">
            <w:pPr>
              <w:jc w:val="right"/>
              <w:rPr>
                <w:color w:val="000000"/>
                <w:sz w:val="20"/>
                <w:szCs w:val="20"/>
              </w:rPr>
            </w:pPr>
            <w:r w:rsidRPr="00D618B7">
              <w:rPr>
                <w:color w:val="000000"/>
                <w:sz w:val="20"/>
                <w:szCs w:val="20"/>
              </w:rPr>
              <w:t>-712.92</w:t>
            </w:r>
          </w:p>
        </w:tc>
        <w:tc>
          <w:tcPr>
            <w:tcW w:w="1111" w:type="dxa"/>
            <w:tcBorders>
              <w:top w:val="nil"/>
              <w:left w:val="nil"/>
              <w:bottom w:val="nil"/>
              <w:right w:val="nil"/>
            </w:tcBorders>
            <w:shd w:val="clear" w:color="000000" w:fill="FFFFFF"/>
            <w:noWrap/>
            <w:vAlign w:val="center"/>
            <w:hideMark/>
          </w:tcPr>
          <w:p w14:paraId="5C4568CE" w14:textId="77777777" w:rsidR="00B11545" w:rsidRPr="00D618B7" w:rsidRDefault="00B11545" w:rsidP="004B11B7">
            <w:pPr>
              <w:jc w:val="right"/>
              <w:rPr>
                <w:color w:val="000000"/>
                <w:sz w:val="20"/>
                <w:szCs w:val="20"/>
              </w:rPr>
            </w:pPr>
            <w:r w:rsidRPr="00D618B7">
              <w:rPr>
                <w:color w:val="000000"/>
                <w:sz w:val="20"/>
                <w:szCs w:val="20"/>
              </w:rPr>
              <w:t>5696.90</w:t>
            </w:r>
          </w:p>
        </w:tc>
        <w:tc>
          <w:tcPr>
            <w:tcW w:w="1580" w:type="dxa"/>
            <w:tcBorders>
              <w:top w:val="nil"/>
              <w:left w:val="nil"/>
              <w:bottom w:val="nil"/>
              <w:right w:val="nil"/>
            </w:tcBorders>
            <w:shd w:val="clear" w:color="000000" w:fill="FFFFFF"/>
            <w:noWrap/>
            <w:vAlign w:val="center"/>
            <w:hideMark/>
          </w:tcPr>
          <w:p w14:paraId="6DD2932E" w14:textId="77777777" w:rsidR="00B11545" w:rsidRPr="00D618B7" w:rsidRDefault="00B11545" w:rsidP="004B11B7">
            <w:pPr>
              <w:jc w:val="right"/>
              <w:rPr>
                <w:color w:val="000000"/>
                <w:sz w:val="20"/>
                <w:szCs w:val="20"/>
              </w:rPr>
            </w:pPr>
            <w:r w:rsidRPr="00D618B7">
              <w:rPr>
                <w:color w:val="000000"/>
                <w:sz w:val="20"/>
                <w:szCs w:val="20"/>
              </w:rPr>
              <w:t>6230.51</w:t>
            </w:r>
          </w:p>
        </w:tc>
        <w:tc>
          <w:tcPr>
            <w:tcW w:w="1100" w:type="dxa"/>
            <w:tcBorders>
              <w:top w:val="nil"/>
              <w:left w:val="nil"/>
              <w:bottom w:val="nil"/>
              <w:right w:val="nil"/>
            </w:tcBorders>
            <w:shd w:val="clear" w:color="000000" w:fill="FFFFFF"/>
            <w:noWrap/>
            <w:vAlign w:val="center"/>
            <w:hideMark/>
          </w:tcPr>
          <w:p w14:paraId="42653E94" w14:textId="77777777" w:rsidR="00B11545" w:rsidRPr="00D618B7" w:rsidRDefault="00B11545" w:rsidP="004B11B7">
            <w:pPr>
              <w:jc w:val="right"/>
              <w:rPr>
                <w:color w:val="000000"/>
                <w:sz w:val="20"/>
                <w:szCs w:val="20"/>
              </w:rPr>
            </w:pPr>
            <w:r w:rsidRPr="00D618B7">
              <w:rPr>
                <w:color w:val="000000"/>
                <w:sz w:val="20"/>
                <w:szCs w:val="20"/>
              </w:rPr>
              <w:t>5629.11</w:t>
            </w:r>
          </w:p>
        </w:tc>
        <w:tc>
          <w:tcPr>
            <w:tcW w:w="1635" w:type="dxa"/>
            <w:tcBorders>
              <w:top w:val="nil"/>
              <w:left w:val="nil"/>
              <w:bottom w:val="nil"/>
              <w:right w:val="nil"/>
            </w:tcBorders>
            <w:shd w:val="clear" w:color="000000" w:fill="FFFFFF"/>
            <w:noWrap/>
            <w:vAlign w:val="center"/>
            <w:hideMark/>
          </w:tcPr>
          <w:p w14:paraId="411E78C6" w14:textId="77777777" w:rsidR="00B11545" w:rsidRPr="00D618B7" w:rsidRDefault="00B11545" w:rsidP="004B11B7">
            <w:pPr>
              <w:jc w:val="right"/>
              <w:rPr>
                <w:color w:val="000000"/>
                <w:sz w:val="20"/>
                <w:szCs w:val="20"/>
              </w:rPr>
            </w:pPr>
            <w:r w:rsidRPr="00D618B7">
              <w:rPr>
                <w:color w:val="000000"/>
                <w:sz w:val="20"/>
                <w:szCs w:val="20"/>
              </w:rPr>
              <w:t>4148.99</w:t>
            </w:r>
          </w:p>
        </w:tc>
        <w:tc>
          <w:tcPr>
            <w:tcW w:w="1139" w:type="dxa"/>
            <w:tcBorders>
              <w:top w:val="nil"/>
              <w:left w:val="nil"/>
              <w:bottom w:val="nil"/>
              <w:right w:val="nil"/>
            </w:tcBorders>
            <w:shd w:val="clear" w:color="000000" w:fill="FFFFFF"/>
            <w:noWrap/>
            <w:vAlign w:val="center"/>
            <w:hideMark/>
          </w:tcPr>
          <w:p w14:paraId="490C28EF" w14:textId="77777777" w:rsidR="00B11545" w:rsidRPr="00D618B7" w:rsidRDefault="00B11545" w:rsidP="004B11B7">
            <w:pPr>
              <w:jc w:val="right"/>
              <w:rPr>
                <w:color w:val="000000"/>
                <w:sz w:val="20"/>
                <w:szCs w:val="20"/>
              </w:rPr>
            </w:pPr>
            <w:r w:rsidRPr="00D618B7">
              <w:rPr>
                <w:color w:val="000000"/>
                <w:sz w:val="20"/>
                <w:szCs w:val="20"/>
              </w:rPr>
              <w:t>5770.91</w:t>
            </w:r>
          </w:p>
        </w:tc>
      </w:tr>
      <w:tr w:rsidR="00B11545" w:rsidRPr="00D618B7" w14:paraId="654607C0" w14:textId="77777777" w:rsidTr="00B11545">
        <w:trPr>
          <w:trHeight w:val="242"/>
        </w:trPr>
        <w:tc>
          <w:tcPr>
            <w:tcW w:w="1355" w:type="dxa"/>
            <w:tcBorders>
              <w:top w:val="nil"/>
              <w:left w:val="nil"/>
              <w:bottom w:val="nil"/>
              <w:right w:val="nil"/>
            </w:tcBorders>
            <w:shd w:val="clear" w:color="000000" w:fill="FFFFFF"/>
            <w:vAlign w:val="center"/>
            <w:hideMark/>
          </w:tcPr>
          <w:p w14:paraId="6048FF42" w14:textId="77777777" w:rsidR="00B11545" w:rsidRPr="00D618B7" w:rsidRDefault="00B11545" w:rsidP="004B11B7">
            <w:pPr>
              <w:jc w:val="right"/>
              <w:rPr>
                <w:color w:val="000000"/>
                <w:sz w:val="20"/>
                <w:szCs w:val="20"/>
              </w:rPr>
            </w:pPr>
            <w:r w:rsidRPr="00D618B7">
              <w:rPr>
                <w:color w:val="000000"/>
                <w:sz w:val="20"/>
                <w:szCs w:val="20"/>
              </w:rPr>
              <w:t>2</w:t>
            </w:r>
          </w:p>
        </w:tc>
        <w:tc>
          <w:tcPr>
            <w:tcW w:w="1046" w:type="dxa"/>
            <w:tcBorders>
              <w:top w:val="nil"/>
              <w:left w:val="nil"/>
              <w:bottom w:val="nil"/>
              <w:right w:val="nil"/>
            </w:tcBorders>
            <w:shd w:val="clear" w:color="000000" w:fill="FFFFFF"/>
            <w:noWrap/>
            <w:vAlign w:val="center"/>
            <w:hideMark/>
          </w:tcPr>
          <w:p w14:paraId="6B7566CF" w14:textId="77777777" w:rsidR="00B11545" w:rsidRPr="00D618B7" w:rsidRDefault="00B11545" w:rsidP="004B11B7">
            <w:pPr>
              <w:jc w:val="right"/>
              <w:rPr>
                <w:color w:val="000000"/>
                <w:sz w:val="20"/>
                <w:szCs w:val="20"/>
              </w:rPr>
            </w:pPr>
            <w:r w:rsidRPr="00D618B7">
              <w:rPr>
                <w:color w:val="000000"/>
                <w:sz w:val="20"/>
                <w:szCs w:val="20"/>
              </w:rPr>
              <w:t>1228.38</w:t>
            </w:r>
          </w:p>
        </w:tc>
        <w:tc>
          <w:tcPr>
            <w:tcW w:w="1111" w:type="dxa"/>
            <w:tcBorders>
              <w:top w:val="nil"/>
              <w:left w:val="nil"/>
              <w:bottom w:val="nil"/>
              <w:right w:val="nil"/>
            </w:tcBorders>
            <w:shd w:val="clear" w:color="000000" w:fill="FFFFFF"/>
            <w:noWrap/>
            <w:vAlign w:val="center"/>
            <w:hideMark/>
          </w:tcPr>
          <w:p w14:paraId="11F5F941" w14:textId="77777777" w:rsidR="00B11545" w:rsidRPr="00D618B7" w:rsidRDefault="00B11545" w:rsidP="004B11B7">
            <w:pPr>
              <w:jc w:val="right"/>
              <w:rPr>
                <w:color w:val="000000"/>
                <w:sz w:val="20"/>
                <w:szCs w:val="20"/>
              </w:rPr>
            </w:pPr>
            <w:r w:rsidRPr="00D618B7">
              <w:rPr>
                <w:color w:val="000000"/>
                <w:sz w:val="20"/>
                <w:szCs w:val="20"/>
              </w:rPr>
              <w:t>6990.30</w:t>
            </w:r>
          </w:p>
        </w:tc>
        <w:tc>
          <w:tcPr>
            <w:tcW w:w="1580" w:type="dxa"/>
            <w:tcBorders>
              <w:top w:val="nil"/>
              <w:left w:val="nil"/>
              <w:bottom w:val="nil"/>
              <w:right w:val="nil"/>
            </w:tcBorders>
            <w:shd w:val="clear" w:color="000000" w:fill="FFFFFF"/>
            <w:noWrap/>
            <w:vAlign w:val="center"/>
            <w:hideMark/>
          </w:tcPr>
          <w:p w14:paraId="2467F560" w14:textId="77777777" w:rsidR="00B11545" w:rsidRPr="00D618B7" w:rsidRDefault="00B11545" w:rsidP="004B11B7">
            <w:pPr>
              <w:jc w:val="right"/>
              <w:rPr>
                <w:color w:val="000000"/>
                <w:sz w:val="20"/>
                <w:szCs w:val="20"/>
              </w:rPr>
            </w:pPr>
            <w:r w:rsidRPr="00D618B7">
              <w:rPr>
                <w:color w:val="000000"/>
                <w:sz w:val="20"/>
                <w:szCs w:val="20"/>
              </w:rPr>
              <w:t>-4325.76</w:t>
            </w:r>
          </w:p>
        </w:tc>
        <w:tc>
          <w:tcPr>
            <w:tcW w:w="1100" w:type="dxa"/>
            <w:tcBorders>
              <w:top w:val="nil"/>
              <w:left w:val="nil"/>
              <w:bottom w:val="nil"/>
              <w:right w:val="nil"/>
            </w:tcBorders>
            <w:shd w:val="clear" w:color="000000" w:fill="FFFFFF"/>
            <w:noWrap/>
            <w:vAlign w:val="center"/>
            <w:hideMark/>
          </w:tcPr>
          <w:p w14:paraId="433D37A5" w14:textId="77777777" w:rsidR="00B11545" w:rsidRPr="00D618B7" w:rsidRDefault="00B11545" w:rsidP="004B11B7">
            <w:pPr>
              <w:jc w:val="right"/>
              <w:rPr>
                <w:color w:val="000000"/>
                <w:sz w:val="20"/>
                <w:szCs w:val="20"/>
              </w:rPr>
            </w:pPr>
            <w:r w:rsidRPr="00D618B7">
              <w:rPr>
                <w:color w:val="000000"/>
                <w:sz w:val="20"/>
                <w:szCs w:val="20"/>
              </w:rPr>
              <w:t>6951.81</w:t>
            </w:r>
          </w:p>
        </w:tc>
        <w:tc>
          <w:tcPr>
            <w:tcW w:w="1635" w:type="dxa"/>
            <w:tcBorders>
              <w:top w:val="nil"/>
              <w:left w:val="nil"/>
              <w:bottom w:val="nil"/>
              <w:right w:val="nil"/>
            </w:tcBorders>
            <w:shd w:val="clear" w:color="000000" w:fill="FFFFFF"/>
            <w:noWrap/>
            <w:vAlign w:val="center"/>
            <w:hideMark/>
          </w:tcPr>
          <w:p w14:paraId="1E8C91A1" w14:textId="77777777" w:rsidR="00B11545" w:rsidRPr="00D618B7" w:rsidRDefault="00B11545" w:rsidP="004B11B7">
            <w:pPr>
              <w:jc w:val="right"/>
              <w:rPr>
                <w:color w:val="000000"/>
                <w:sz w:val="20"/>
                <w:szCs w:val="20"/>
              </w:rPr>
            </w:pPr>
            <w:r w:rsidRPr="00D618B7">
              <w:rPr>
                <w:color w:val="000000"/>
                <w:sz w:val="20"/>
                <w:szCs w:val="20"/>
              </w:rPr>
              <w:t>-5757.54</w:t>
            </w:r>
          </w:p>
        </w:tc>
        <w:tc>
          <w:tcPr>
            <w:tcW w:w="1139" w:type="dxa"/>
            <w:tcBorders>
              <w:top w:val="nil"/>
              <w:left w:val="nil"/>
              <w:bottom w:val="nil"/>
              <w:right w:val="nil"/>
            </w:tcBorders>
            <w:shd w:val="clear" w:color="000000" w:fill="FFFFFF"/>
            <w:noWrap/>
            <w:vAlign w:val="center"/>
            <w:hideMark/>
          </w:tcPr>
          <w:p w14:paraId="11BB9B6B" w14:textId="77777777" w:rsidR="00B11545" w:rsidRPr="00D618B7" w:rsidRDefault="00B11545" w:rsidP="004B11B7">
            <w:pPr>
              <w:jc w:val="right"/>
              <w:rPr>
                <w:color w:val="000000"/>
                <w:sz w:val="20"/>
                <w:szCs w:val="20"/>
              </w:rPr>
            </w:pPr>
            <w:r w:rsidRPr="00D618B7">
              <w:rPr>
                <w:color w:val="000000"/>
                <w:sz w:val="20"/>
                <w:szCs w:val="20"/>
              </w:rPr>
              <w:t>7032.71</w:t>
            </w:r>
          </w:p>
        </w:tc>
      </w:tr>
      <w:tr w:rsidR="00B11545" w:rsidRPr="00D618B7" w14:paraId="637D394D" w14:textId="77777777" w:rsidTr="00B11545">
        <w:trPr>
          <w:trHeight w:val="242"/>
        </w:trPr>
        <w:tc>
          <w:tcPr>
            <w:tcW w:w="1355" w:type="dxa"/>
            <w:tcBorders>
              <w:top w:val="nil"/>
              <w:left w:val="nil"/>
              <w:bottom w:val="nil"/>
              <w:right w:val="nil"/>
            </w:tcBorders>
            <w:shd w:val="clear" w:color="000000" w:fill="FFFFFF"/>
            <w:vAlign w:val="center"/>
            <w:hideMark/>
          </w:tcPr>
          <w:p w14:paraId="4AA42D36" w14:textId="77777777" w:rsidR="00B11545" w:rsidRPr="00D618B7" w:rsidRDefault="00B11545" w:rsidP="004B11B7">
            <w:pPr>
              <w:jc w:val="right"/>
              <w:rPr>
                <w:color w:val="000000"/>
                <w:sz w:val="20"/>
                <w:szCs w:val="20"/>
              </w:rPr>
            </w:pPr>
            <w:r w:rsidRPr="00D618B7">
              <w:rPr>
                <w:color w:val="000000"/>
                <w:sz w:val="20"/>
                <w:szCs w:val="20"/>
              </w:rPr>
              <w:t>3</w:t>
            </w:r>
          </w:p>
        </w:tc>
        <w:tc>
          <w:tcPr>
            <w:tcW w:w="1046" w:type="dxa"/>
            <w:tcBorders>
              <w:top w:val="nil"/>
              <w:left w:val="nil"/>
              <w:bottom w:val="nil"/>
              <w:right w:val="nil"/>
            </w:tcBorders>
            <w:shd w:val="clear" w:color="000000" w:fill="FFFFFF"/>
            <w:noWrap/>
            <w:vAlign w:val="center"/>
            <w:hideMark/>
          </w:tcPr>
          <w:p w14:paraId="17675001" w14:textId="77777777" w:rsidR="00B11545" w:rsidRPr="00D618B7" w:rsidRDefault="00B11545" w:rsidP="004B11B7">
            <w:pPr>
              <w:jc w:val="right"/>
              <w:rPr>
                <w:color w:val="000000"/>
                <w:sz w:val="20"/>
                <w:szCs w:val="20"/>
              </w:rPr>
            </w:pPr>
            <w:r w:rsidRPr="00D618B7">
              <w:rPr>
                <w:color w:val="000000"/>
                <w:sz w:val="20"/>
                <w:szCs w:val="20"/>
              </w:rPr>
              <w:t>104.61</w:t>
            </w:r>
          </w:p>
        </w:tc>
        <w:tc>
          <w:tcPr>
            <w:tcW w:w="1111" w:type="dxa"/>
            <w:tcBorders>
              <w:top w:val="nil"/>
              <w:left w:val="nil"/>
              <w:bottom w:val="nil"/>
              <w:right w:val="nil"/>
            </w:tcBorders>
            <w:shd w:val="clear" w:color="000000" w:fill="FFFFFF"/>
            <w:noWrap/>
            <w:vAlign w:val="center"/>
            <w:hideMark/>
          </w:tcPr>
          <w:p w14:paraId="7174F29A" w14:textId="77777777" w:rsidR="00B11545" w:rsidRPr="00D618B7" w:rsidRDefault="00B11545" w:rsidP="004B11B7">
            <w:pPr>
              <w:jc w:val="right"/>
              <w:rPr>
                <w:color w:val="000000"/>
                <w:sz w:val="20"/>
                <w:szCs w:val="20"/>
              </w:rPr>
            </w:pPr>
            <w:r w:rsidRPr="00D618B7">
              <w:rPr>
                <w:color w:val="000000"/>
                <w:sz w:val="20"/>
                <w:szCs w:val="20"/>
              </w:rPr>
              <w:t>5716.55</w:t>
            </w:r>
          </w:p>
        </w:tc>
        <w:tc>
          <w:tcPr>
            <w:tcW w:w="1580" w:type="dxa"/>
            <w:tcBorders>
              <w:top w:val="nil"/>
              <w:left w:val="nil"/>
              <w:bottom w:val="nil"/>
              <w:right w:val="nil"/>
            </w:tcBorders>
            <w:shd w:val="clear" w:color="000000" w:fill="FFFFFF"/>
            <w:noWrap/>
            <w:vAlign w:val="center"/>
            <w:hideMark/>
          </w:tcPr>
          <w:p w14:paraId="2E8BFFA6" w14:textId="77777777" w:rsidR="00B11545" w:rsidRPr="00D618B7" w:rsidRDefault="00B11545" w:rsidP="004B11B7">
            <w:pPr>
              <w:jc w:val="right"/>
              <w:rPr>
                <w:color w:val="000000"/>
                <w:sz w:val="20"/>
                <w:szCs w:val="20"/>
              </w:rPr>
            </w:pPr>
            <w:r w:rsidRPr="00D618B7">
              <w:rPr>
                <w:color w:val="000000"/>
                <w:sz w:val="20"/>
                <w:szCs w:val="20"/>
              </w:rPr>
              <w:t>-837.78</w:t>
            </w:r>
          </w:p>
        </w:tc>
        <w:tc>
          <w:tcPr>
            <w:tcW w:w="1100" w:type="dxa"/>
            <w:tcBorders>
              <w:top w:val="nil"/>
              <w:left w:val="nil"/>
              <w:bottom w:val="nil"/>
              <w:right w:val="nil"/>
            </w:tcBorders>
            <w:shd w:val="clear" w:color="000000" w:fill="FFFFFF"/>
            <w:noWrap/>
            <w:vAlign w:val="center"/>
            <w:hideMark/>
          </w:tcPr>
          <w:p w14:paraId="4BDB46F7" w14:textId="77777777" w:rsidR="00B11545" w:rsidRPr="00D618B7" w:rsidRDefault="00B11545" w:rsidP="004B11B7">
            <w:pPr>
              <w:jc w:val="right"/>
              <w:rPr>
                <w:color w:val="000000"/>
                <w:sz w:val="20"/>
                <w:szCs w:val="20"/>
              </w:rPr>
            </w:pPr>
            <w:r w:rsidRPr="00D618B7">
              <w:rPr>
                <w:color w:val="000000"/>
                <w:sz w:val="20"/>
                <w:szCs w:val="20"/>
              </w:rPr>
              <w:t>5676.44</w:t>
            </w:r>
          </w:p>
        </w:tc>
        <w:tc>
          <w:tcPr>
            <w:tcW w:w="1635" w:type="dxa"/>
            <w:tcBorders>
              <w:top w:val="nil"/>
              <w:left w:val="nil"/>
              <w:bottom w:val="nil"/>
              <w:right w:val="nil"/>
            </w:tcBorders>
            <w:shd w:val="clear" w:color="000000" w:fill="FFFFFF"/>
            <w:noWrap/>
            <w:vAlign w:val="center"/>
            <w:hideMark/>
          </w:tcPr>
          <w:p w14:paraId="363E4C65" w14:textId="77777777" w:rsidR="00B11545" w:rsidRPr="00D618B7" w:rsidRDefault="00B11545" w:rsidP="004B11B7">
            <w:pPr>
              <w:jc w:val="right"/>
              <w:rPr>
                <w:color w:val="000000"/>
                <w:sz w:val="20"/>
                <w:szCs w:val="20"/>
              </w:rPr>
            </w:pPr>
            <w:r w:rsidRPr="00D618B7">
              <w:rPr>
                <w:color w:val="000000"/>
                <w:sz w:val="20"/>
                <w:szCs w:val="20"/>
              </w:rPr>
              <w:t>10006.86</w:t>
            </w:r>
          </w:p>
        </w:tc>
        <w:tc>
          <w:tcPr>
            <w:tcW w:w="1139" w:type="dxa"/>
            <w:tcBorders>
              <w:top w:val="nil"/>
              <w:left w:val="nil"/>
              <w:bottom w:val="nil"/>
              <w:right w:val="nil"/>
            </w:tcBorders>
            <w:shd w:val="clear" w:color="000000" w:fill="FFFFFF"/>
            <w:noWrap/>
            <w:vAlign w:val="center"/>
            <w:hideMark/>
          </w:tcPr>
          <w:p w14:paraId="0F05904B" w14:textId="77777777" w:rsidR="00B11545" w:rsidRPr="00D618B7" w:rsidRDefault="00B11545" w:rsidP="004B11B7">
            <w:pPr>
              <w:jc w:val="right"/>
              <w:rPr>
                <w:color w:val="000000"/>
                <w:sz w:val="20"/>
                <w:szCs w:val="20"/>
              </w:rPr>
            </w:pPr>
            <w:r w:rsidRPr="00D618B7">
              <w:rPr>
                <w:color w:val="000000"/>
                <w:sz w:val="20"/>
                <w:szCs w:val="20"/>
              </w:rPr>
              <w:t>5811.39</w:t>
            </w:r>
          </w:p>
        </w:tc>
      </w:tr>
      <w:tr w:rsidR="00B11545" w:rsidRPr="00D618B7" w14:paraId="1819FC8D" w14:textId="77777777" w:rsidTr="00B11545">
        <w:trPr>
          <w:trHeight w:val="242"/>
        </w:trPr>
        <w:tc>
          <w:tcPr>
            <w:tcW w:w="1355" w:type="dxa"/>
            <w:tcBorders>
              <w:top w:val="nil"/>
              <w:left w:val="nil"/>
              <w:right w:val="nil"/>
            </w:tcBorders>
            <w:shd w:val="clear" w:color="000000" w:fill="FFFFFF"/>
            <w:vAlign w:val="center"/>
            <w:hideMark/>
          </w:tcPr>
          <w:p w14:paraId="560C37AE" w14:textId="77777777" w:rsidR="00B11545" w:rsidRPr="00D618B7" w:rsidRDefault="00B11545" w:rsidP="004B11B7">
            <w:pPr>
              <w:jc w:val="right"/>
              <w:rPr>
                <w:color w:val="000000"/>
                <w:sz w:val="20"/>
                <w:szCs w:val="20"/>
              </w:rPr>
            </w:pPr>
            <w:r w:rsidRPr="00D618B7">
              <w:rPr>
                <w:color w:val="000000"/>
                <w:sz w:val="20"/>
                <w:szCs w:val="20"/>
              </w:rPr>
              <w:t>4</w:t>
            </w:r>
          </w:p>
        </w:tc>
        <w:tc>
          <w:tcPr>
            <w:tcW w:w="1046" w:type="dxa"/>
            <w:tcBorders>
              <w:top w:val="nil"/>
              <w:left w:val="nil"/>
              <w:right w:val="nil"/>
            </w:tcBorders>
            <w:shd w:val="clear" w:color="000000" w:fill="FFFFFF"/>
            <w:noWrap/>
            <w:vAlign w:val="center"/>
            <w:hideMark/>
          </w:tcPr>
          <w:p w14:paraId="2DC0FFF4" w14:textId="77777777" w:rsidR="00B11545" w:rsidRPr="00D618B7" w:rsidRDefault="00B11545" w:rsidP="004B11B7">
            <w:pPr>
              <w:jc w:val="right"/>
              <w:rPr>
                <w:color w:val="000000"/>
                <w:sz w:val="20"/>
                <w:szCs w:val="20"/>
              </w:rPr>
            </w:pPr>
            <w:r w:rsidRPr="00D618B7">
              <w:rPr>
                <w:color w:val="000000"/>
                <w:sz w:val="20"/>
                <w:szCs w:val="20"/>
              </w:rPr>
              <w:t>950.33</w:t>
            </w:r>
          </w:p>
        </w:tc>
        <w:tc>
          <w:tcPr>
            <w:tcW w:w="1111" w:type="dxa"/>
            <w:tcBorders>
              <w:top w:val="nil"/>
              <w:left w:val="nil"/>
              <w:right w:val="nil"/>
            </w:tcBorders>
            <w:shd w:val="clear" w:color="000000" w:fill="FFFFFF"/>
            <w:noWrap/>
            <w:vAlign w:val="center"/>
            <w:hideMark/>
          </w:tcPr>
          <w:p w14:paraId="60280323" w14:textId="77777777" w:rsidR="00B11545" w:rsidRPr="00D618B7" w:rsidRDefault="00B11545" w:rsidP="004B11B7">
            <w:pPr>
              <w:jc w:val="right"/>
              <w:rPr>
                <w:color w:val="000000"/>
                <w:sz w:val="20"/>
                <w:szCs w:val="20"/>
              </w:rPr>
            </w:pPr>
            <w:r w:rsidRPr="00D618B7">
              <w:rPr>
                <w:color w:val="000000"/>
                <w:sz w:val="20"/>
                <w:szCs w:val="20"/>
              </w:rPr>
              <w:t>6179.13</w:t>
            </w:r>
          </w:p>
        </w:tc>
        <w:tc>
          <w:tcPr>
            <w:tcW w:w="1580" w:type="dxa"/>
            <w:tcBorders>
              <w:top w:val="nil"/>
              <w:left w:val="nil"/>
              <w:right w:val="nil"/>
            </w:tcBorders>
            <w:shd w:val="clear" w:color="000000" w:fill="FFFFFF"/>
            <w:noWrap/>
            <w:vAlign w:val="center"/>
            <w:hideMark/>
          </w:tcPr>
          <w:p w14:paraId="7A0D4B33" w14:textId="77777777" w:rsidR="00B11545" w:rsidRPr="00D618B7" w:rsidRDefault="00B11545" w:rsidP="004B11B7">
            <w:pPr>
              <w:jc w:val="right"/>
              <w:rPr>
                <w:color w:val="000000"/>
                <w:sz w:val="20"/>
                <w:szCs w:val="20"/>
              </w:rPr>
            </w:pPr>
            <w:r w:rsidRPr="00D618B7">
              <w:rPr>
                <w:color w:val="000000"/>
                <w:sz w:val="20"/>
                <w:szCs w:val="20"/>
              </w:rPr>
              <w:t>-333.87</w:t>
            </w:r>
          </w:p>
        </w:tc>
        <w:tc>
          <w:tcPr>
            <w:tcW w:w="1100" w:type="dxa"/>
            <w:tcBorders>
              <w:top w:val="nil"/>
              <w:left w:val="nil"/>
              <w:right w:val="nil"/>
            </w:tcBorders>
            <w:shd w:val="clear" w:color="000000" w:fill="FFFFFF"/>
            <w:noWrap/>
            <w:vAlign w:val="center"/>
            <w:hideMark/>
          </w:tcPr>
          <w:p w14:paraId="6B0ADC89" w14:textId="77777777" w:rsidR="00B11545" w:rsidRPr="00D618B7" w:rsidRDefault="00B11545" w:rsidP="004B11B7">
            <w:pPr>
              <w:jc w:val="right"/>
              <w:rPr>
                <w:color w:val="000000"/>
                <w:sz w:val="20"/>
                <w:szCs w:val="20"/>
              </w:rPr>
            </w:pPr>
            <w:r w:rsidRPr="00D618B7">
              <w:rPr>
                <w:color w:val="000000"/>
                <w:sz w:val="20"/>
                <w:szCs w:val="20"/>
              </w:rPr>
              <w:t>6129.76</w:t>
            </w:r>
          </w:p>
        </w:tc>
        <w:tc>
          <w:tcPr>
            <w:tcW w:w="1635" w:type="dxa"/>
            <w:tcBorders>
              <w:top w:val="nil"/>
              <w:left w:val="nil"/>
              <w:right w:val="nil"/>
            </w:tcBorders>
            <w:shd w:val="clear" w:color="000000" w:fill="FFFFFF"/>
            <w:noWrap/>
            <w:vAlign w:val="center"/>
            <w:hideMark/>
          </w:tcPr>
          <w:p w14:paraId="1ABB5B19" w14:textId="77777777" w:rsidR="00B11545" w:rsidRPr="00D618B7" w:rsidRDefault="00B11545" w:rsidP="004B11B7">
            <w:pPr>
              <w:jc w:val="right"/>
              <w:rPr>
                <w:color w:val="000000"/>
                <w:sz w:val="20"/>
                <w:szCs w:val="20"/>
              </w:rPr>
            </w:pPr>
            <w:r w:rsidRPr="00D618B7">
              <w:rPr>
                <w:color w:val="000000"/>
                <w:sz w:val="20"/>
                <w:szCs w:val="20"/>
              </w:rPr>
              <w:t>6757.20</w:t>
            </w:r>
          </w:p>
        </w:tc>
        <w:tc>
          <w:tcPr>
            <w:tcW w:w="1139" w:type="dxa"/>
            <w:tcBorders>
              <w:top w:val="nil"/>
              <w:left w:val="nil"/>
              <w:right w:val="nil"/>
            </w:tcBorders>
            <w:shd w:val="clear" w:color="000000" w:fill="FFFFFF"/>
            <w:noWrap/>
            <w:vAlign w:val="center"/>
            <w:hideMark/>
          </w:tcPr>
          <w:p w14:paraId="20A29424" w14:textId="77777777" w:rsidR="00B11545" w:rsidRPr="00D618B7" w:rsidRDefault="00B11545" w:rsidP="004B11B7">
            <w:pPr>
              <w:jc w:val="right"/>
              <w:rPr>
                <w:color w:val="000000"/>
                <w:sz w:val="20"/>
                <w:szCs w:val="20"/>
              </w:rPr>
            </w:pPr>
            <w:r w:rsidRPr="00D618B7">
              <w:rPr>
                <w:color w:val="000000"/>
                <w:sz w:val="20"/>
                <w:szCs w:val="20"/>
              </w:rPr>
              <w:t>6346.61</w:t>
            </w:r>
          </w:p>
        </w:tc>
      </w:tr>
      <w:tr w:rsidR="00B11545" w:rsidRPr="00D618B7" w14:paraId="5F969FB2" w14:textId="77777777" w:rsidTr="00B11545">
        <w:trPr>
          <w:trHeight w:val="254"/>
        </w:trPr>
        <w:tc>
          <w:tcPr>
            <w:tcW w:w="1355" w:type="dxa"/>
            <w:tcBorders>
              <w:top w:val="nil"/>
              <w:left w:val="nil"/>
              <w:bottom w:val="single" w:sz="18" w:space="0" w:color="auto"/>
              <w:right w:val="nil"/>
            </w:tcBorders>
            <w:shd w:val="clear" w:color="000000" w:fill="FFFFFF"/>
            <w:vAlign w:val="center"/>
            <w:hideMark/>
          </w:tcPr>
          <w:p w14:paraId="37FA6E09" w14:textId="77777777" w:rsidR="00B11545" w:rsidRPr="00D618B7" w:rsidRDefault="00B11545" w:rsidP="004B11B7">
            <w:pPr>
              <w:jc w:val="right"/>
              <w:rPr>
                <w:color w:val="000000"/>
                <w:sz w:val="20"/>
                <w:szCs w:val="20"/>
              </w:rPr>
            </w:pPr>
            <w:r w:rsidRPr="00D618B7">
              <w:rPr>
                <w:color w:val="000000"/>
                <w:sz w:val="20"/>
                <w:szCs w:val="20"/>
              </w:rPr>
              <w:t>5</w:t>
            </w:r>
          </w:p>
        </w:tc>
        <w:tc>
          <w:tcPr>
            <w:tcW w:w="1046" w:type="dxa"/>
            <w:tcBorders>
              <w:top w:val="nil"/>
              <w:left w:val="nil"/>
              <w:bottom w:val="single" w:sz="18" w:space="0" w:color="auto"/>
              <w:right w:val="nil"/>
            </w:tcBorders>
            <w:shd w:val="clear" w:color="000000" w:fill="FFFFFF"/>
            <w:noWrap/>
            <w:vAlign w:val="center"/>
            <w:hideMark/>
          </w:tcPr>
          <w:p w14:paraId="1D5C2DAE" w14:textId="77777777" w:rsidR="00B11545" w:rsidRPr="00D618B7" w:rsidRDefault="00B11545" w:rsidP="004B11B7">
            <w:pPr>
              <w:jc w:val="right"/>
              <w:rPr>
                <w:color w:val="000000"/>
                <w:sz w:val="20"/>
                <w:szCs w:val="20"/>
              </w:rPr>
            </w:pPr>
            <w:r w:rsidRPr="00D618B7">
              <w:rPr>
                <w:color w:val="000000"/>
                <w:sz w:val="20"/>
                <w:szCs w:val="20"/>
              </w:rPr>
              <w:t>-1314.47</w:t>
            </w:r>
          </w:p>
        </w:tc>
        <w:tc>
          <w:tcPr>
            <w:tcW w:w="1111" w:type="dxa"/>
            <w:tcBorders>
              <w:top w:val="nil"/>
              <w:left w:val="nil"/>
              <w:bottom w:val="single" w:sz="18" w:space="0" w:color="auto"/>
              <w:right w:val="nil"/>
            </w:tcBorders>
            <w:shd w:val="clear" w:color="000000" w:fill="FFFFFF"/>
            <w:noWrap/>
            <w:vAlign w:val="center"/>
            <w:hideMark/>
          </w:tcPr>
          <w:p w14:paraId="745140F4" w14:textId="77777777" w:rsidR="00B11545" w:rsidRPr="00D618B7" w:rsidRDefault="00B11545" w:rsidP="004B11B7">
            <w:pPr>
              <w:jc w:val="right"/>
              <w:rPr>
                <w:color w:val="000000"/>
                <w:sz w:val="20"/>
                <w:szCs w:val="20"/>
              </w:rPr>
            </w:pPr>
            <w:r w:rsidRPr="00D618B7">
              <w:rPr>
                <w:color w:val="000000"/>
                <w:sz w:val="20"/>
                <w:szCs w:val="20"/>
              </w:rPr>
              <w:t>6691.64</w:t>
            </w:r>
          </w:p>
        </w:tc>
        <w:tc>
          <w:tcPr>
            <w:tcW w:w="1580" w:type="dxa"/>
            <w:tcBorders>
              <w:top w:val="nil"/>
              <w:left w:val="nil"/>
              <w:bottom w:val="single" w:sz="18" w:space="0" w:color="auto"/>
              <w:right w:val="nil"/>
            </w:tcBorders>
            <w:shd w:val="clear" w:color="000000" w:fill="FFFFFF"/>
            <w:noWrap/>
            <w:vAlign w:val="center"/>
            <w:hideMark/>
          </w:tcPr>
          <w:p w14:paraId="6C35BB30" w14:textId="77777777" w:rsidR="00B11545" w:rsidRPr="00D618B7" w:rsidRDefault="00B11545" w:rsidP="004B11B7">
            <w:pPr>
              <w:jc w:val="right"/>
              <w:rPr>
                <w:color w:val="000000"/>
                <w:sz w:val="20"/>
                <w:szCs w:val="20"/>
              </w:rPr>
            </w:pPr>
            <w:r w:rsidRPr="00D618B7">
              <w:rPr>
                <w:color w:val="000000"/>
                <w:sz w:val="20"/>
                <w:szCs w:val="20"/>
              </w:rPr>
              <w:t>5669.57</w:t>
            </w:r>
          </w:p>
        </w:tc>
        <w:tc>
          <w:tcPr>
            <w:tcW w:w="1100" w:type="dxa"/>
            <w:tcBorders>
              <w:top w:val="nil"/>
              <w:left w:val="nil"/>
              <w:bottom w:val="single" w:sz="18" w:space="0" w:color="auto"/>
              <w:right w:val="nil"/>
            </w:tcBorders>
            <w:shd w:val="clear" w:color="000000" w:fill="FFFFFF"/>
            <w:noWrap/>
            <w:vAlign w:val="center"/>
            <w:hideMark/>
          </w:tcPr>
          <w:p w14:paraId="645B05AA" w14:textId="77777777" w:rsidR="00B11545" w:rsidRPr="00D618B7" w:rsidRDefault="00B11545" w:rsidP="004B11B7">
            <w:pPr>
              <w:jc w:val="right"/>
              <w:rPr>
                <w:color w:val="000000"/>
                <w:sz w:val="20"/>
                <w:szCs w:val="20"/>
              </w:rPr>
            </w:pPr>
            <w:r w:rsidRPr="00D618B7">
              <w:rPr>
                <w:color w:val="000000"/>
                <w:sz w:val="20"/>
                <w:szCs w:val="20"/>
              </w:rPr>
              <w:t>6586.73</w:t>
            </w:r>
          </w:p>
        </w:tc>
        <w:tc>
          <w:tcPr>
            <w:tcW w:w="1635" w:type="dxa"/>
            <w:tcBorders>
              <w:top w:val="nil"/>
              <w:left w:val="nil"/>
              <w:bottom w:val="single" w:sz="18" w:space="0" w:color="auto"/>
              <w:right w:val="nil"/>
            </w:tcBorders>
            <w:shd w:val="clear" w:color="000000" w:fill="FFFFFF"/>
            <w:noWrap/>
            <w:vAlign w:val="center"/>
            <w:hideMark/>
          </w:tcPr>
          <w:p w14:paraId="12F533E3" w14:textId="77777777" w:rsidR="00B11545" w:rsidRPr="00D618B7" w:rsidRDefault="00B11545" w:rsidP="004B11B7">
            <w:pPr>
              <w:jc w:val="right"/>
              <w:rPr>
                <w:color w:val="000000"/>
                <w:sz w:val="20"/>
                <w:szCs w:val="20"/>
              </w:rPr>
            </w:pPr>
            <w:r w:rsidRPr="00D618B7">
              <w:rPr>
                <w:color w:val="000000"/>
                <w:sz w:val="20"/>
                <w:szCs w:val="20"/>
              </w:rPr>
              <w:t>-9047.74</w:t>
            </w:r>
          </w:p>
        </w:tc>
        <w:tc>
          <w:tcPr>
            <w:tcW w:w="1139" w:type="dxa"/>
            <w:tcBorders>
              <w:top w:val="nil"/>
              <w:left w:val="nil"/>
              <w:bottom w:val="single" w:sz="18" w:space="0" w:color="auto"/>
              <w:right w:val="nil"/>
            </w:tcBorders>
            <w:shd w:val="clear" w:color="000000" w:fill="FFFFFF"/>
            <w:noWrap/>
            <w:vAlign w:val="center"/>
            <w:hideMark/>
          </w:tcPr>
          <w:p w14:paraId="63D438DF" w14:textId="77777777" w:rsidR="00B11545" w:rsidRPr="00D618B7" w:rsidRDefault="00B11545" w:rsidP="004B11B7">
            <w:pPr>
              <w:jc w:val="right"/>
              <w:rPr>
                <w:color w:val="000000"/>
                <w:sz w:val="20"/>
                <w:szCs w:val="20"/>
              </w:rPr>
            </w:pPr>
            <w:r w:rsidRPr="00D618B7">
              <w:rPr>
                <w:color w:val="000000"/>
                <w:sz w:val="20"/>
                <w:szCs w:val="20"/>
              </w:rPr>
              <w:t>6867.97</w:t>
            </w:r>
          </w:p>
        </w:tc>
      </w:tr>
      <w:tr w:rsidR="00B11545" w:rsidRPr="00D618B7" w14:paraId="5BAA8390" w14:textId="77777777" w:rsidTr="00B11545">
        <w:trPr>
          <w:trHeight w:val="242"/>
        </w:trPr>
        <w:tc>
          <w:tcPr>
            <w:tcW w:w="1355" w:type="dxa"/>
            <w:tcBorders>
              <w:top w:val="single" w:sz="18" w:space="0" w:color="auto"/>
              <w:left w:val="nil"/>
              <w:bottom w:val="nil"/>
              <w:right w:val="nil"/>
            </w:tcBorders>
            <w:shd w:val="clear" w:color="000000" w:fill="FFFFFF"/>
            <w:noWrap/>
            <w:vAlign w:val="bottom"/>
            <w:hideMark/>
          </w:tcPr>
          <w:p w14:paraId="307963F4" w14:textId="77777777" w:rsidR="00B11545" w:rsidRPr="00D618B7" w:rsidRDefault="00B11545" w:rsidP="004B11B7">
            <w:pPr>
              <w:rPr>
                <w:color w:val="000000"/>
                <w:sz w:val="20"/>
                <w:szCs w:val="20"/>
              </w:rPr>
            </w:pPr>
            <w:r w:rsidRPr="00D618B7">
              <w:rPr>
                <w:color w:val="000000"/>
                <w:sz w:val="20"/>
                <w:szCs w:val="20"/>
              </w:rPr>
              <w:t> </w:t>
            </w:r>
          </w:p>
        </w:tc>
        <w:tc>
          <w:tcPr>
            <w:tcW w:w="7614" w:type="dxa"/>
            <w:gridSpan w:val="6"/>
            <w:tcBorders>
              <w:top w:val="single" w:sz="18" w:space="0" w:color="auto"/>
              <w:left w:val="nil"/>
              <w:bottom w:val="nil"/>
              <w:right w:val="nil"/>
            </w:tcBorders>
            <w:shd w:val="clear" w:color="000000" w:fill="FFFFFF"/>
            <w:noWrap/>
            <w:vAlign w:val="center"/>
            <w:hideMark/>
          </w:tcPr>
          <w:p w14:paraId="3BFC5DE2" w14:textId="77777777" w:rsidR="00B11545" w:rsidRPr="00D618B7" w:rsidRDefault="00B11545" w:rsidP="004B11B7">
            <w:pPr>
              <w:jc w:val="center"/>
              <w:rPr>
                <w:color w:val="000000"/>
                <w:sz w:val="20"/>
                <w:szCs w:val="20"/>
              </w:rPr>
            </w:pPr>
            <w:r w:rsidRPr="00D618B7">
              <w:rPr>
                <w:color w:val="000000"/>
                <w:sz w:val="20"/>
                <w:szCs w:val="20"/>
              </w:rPr>
              <w:t>Toy-in-Reach</w:t>
            </w:r>
          </w:p>
        </w:tc>
      </w:tr>
      <w:tr w:rsidR="00B11545" w:rsidRPr="00D618B7" w14:paraId="488D9EEA" w14:textId="77777777" w:rsidTr="00B11545">
        <w:trPr>
          <w:trHeight w:val="242"/>
        </w:trPr>
        <w:tc>
          <w:tcPr>
            <w:tcW w:w="1355" w:type="dxa"/>
            <w:tcBorders>
              <w:top w:val="nil"/>
              <w:left w:val="nil"/>
              <w:bottom w:val="nil"/>
              <w:right w:val="nil"/>
            </w:tcBorders>
            <w:shd w:val="clear" w:color="000000" w:fill="FFFFFF"/>
            <w:vAlign w:val="center"/>
            <w:hideMark/>
          </w:tcPr>
          <w:p w14:paraId="37860AB2" w14:textId="77777777" w:rsidR="00B11545" w:rsidRPr="00D618B7" w:rsidRDefault="00B11545" w:rsidP="004B11B7">
            <w:pPr>
              <w:jc w:val="right"/>
              <w:rPr>
                <w:color w:val="000000"/>
                <w:sz w:val="20"/>
                <w:szCs w:val="20"/>
              </w:rPr>
            </w:pPr>
            <w:r w:rsidRPr="00D618B7">
              <w:rPr>
                <w:color w:val="000000"/>
                <w:sz w:val="20"/>
                <w:szCs w:val="20"/>
              </w:rPr>
              <w:t>-5</w:t>
            </w:r>
          </w:p>
        </w:tc>
        <w:tc>
          <w:tcPr>
            <w:tcW w:w="1046" w:type="dxa"/>
            <w:tcBorders>
              <w:top w:val="nil"/>
              <w:left w:val="nil"/>
              <w:bottom w:val="nil"/>
              <w:right w:val="nil"/>
            </w:tcBorders>
            <w:shd w:val="clear" w:color="000000" w:fill="FFFFFF"/>
            <w:noWrap/>
            <w:vAlign w:val="center"/>
            <w:hideMark/>
          </w:tcPr>
          <w:p w14:paraId="2C553145" w14:textId="77777777" w:rsidR="00B11545" w:rsidRPr="00D618B7" w:rsidRDefault="00B11545" w:rsidP="004B11B7">
            <w:pPr>
              <w:jc w:val="right"/>
              <w:rPr>
                <w:color w:val="000000"/>
                <w:sz w:val="20"/>
                <w:szCs w:val="20"/>
              </w:rPr>
            </w:pPr>
            <w:r w:rsidRPr="00D618B7">
              <w:rPr>
                <w:color w:val="000000"/>
                <w:sz w:val="20"/>
                <w:szCs w:val="20"/>
              </w:rPr>
              <w:t>2333.08</w:t>
            </w:r>
          </w:p>
        </w:tc>
        <w:tc>
          <w:tcPr>
            <w:tcW w:w="1111" w:type="dxa"/>
            <w:tcBorders>
              <w:top w:val="nil"/>
              <w:left w:val="nil"/>
              <w:bottom w:val="nil"/>
              <w:right w:val="nil"/>
            </w:tcBorders>
            <w:shd w:val="clear" w:color="000000" w:fill="FFFFFF"/>
            <w:noWrap/>
            <w:vAlign w:val="center"/>
            <w:hideMark/>
          </w:tcPr>
          <w:p w14:paraId="5B4FFF67" w14:textId="77777777" w:rsidR="00B11545" w:rsidRPr="00D618B7" w:rsidRDefault="00B11545" w:rsidP="004B11B7">
            <w:pPr>
              <w:jc w:val="right"/>
              <w:rPr>
                <w:color w:val="000000"/>
                <w:sz w:val="20"/>
                <w:szCs w:val="20"/>
              </w:rPr>
            </w:pPr>
            <w:r w:rsidRPr="00D618B7">
              <w:rPr>
                <w:color w:val="000000"/>
                <w:sz w:val="20"/>
                <w:szCs w:val="20"/>
              </w:rPr>
              <w:t>7290.38</w:t>
            </w:r>
          </w:p>
        </w:tc>
        <w:tc>
          <w:tcPr>
            <w:tcW w:w="1580" w:type="dxa"/>
            <w:tcBorders>
              <w:top w:val="nil"/>
              <w:left w:val="nil"/>
              <w:bottom w:val="nil"/>
              <w:right w:val="nil"/>
            </w:tcBorders>
            <w:shd w:val="clear" w:color="000000" w:fill="FFFFFF"/>
            <w:noWrap/>
            <w:vAlign w:val="center"/>
            <w:hideMark/>
          </w:tcPr>
          <w:p w14:paraId="2705FC5E" w14:textId="77777777" w:rsidR="00B11545" w:rsidRPr="00D618B7" w:rsidRDefault="00B11545" w:rsidP="004B11B7">
            <w:pPr>
              <w:jc w:val="right"/>
              <w:rPr>
                <w:color w:val="000000"/>
                <w:sz w:val="20"/>
                <w:szCs w:val="20"/>
              </w:rPr>
            </w:pPr>
            <w:r w:rsidRPr="00D618B7">
              <w:rPr>
                <w:color w:val="000000"/>
                <w:sz w:val="20"/>
                <w:szCs w:val="20"/>
              </w:rPr>
              <w:t>2355.08</w:t>
            </w:r>
          </w:p>
        </w:tc>
        <w:tc>
          <w:tcPr>
            <w:tcW w:w="1100" w:type="dxa"/>
            <w:tcBorders>
              <w:top w:val="nil"/>
              <w:left w:val="nil"/>
              <w:bottom w:val="nil"/>
              <w:right w:val="nil"/>
            </w:tcBorders>
            <w:shd w:val="clear" w:color="000000" w:fill="FFFFFF"/>
            <w:noWrap/>
            <w:vAlign w:val="center"/>
            <w:hideMark/>
          </w:tcPr>
          <w:p w14:paraId="2BAF75D8" w14:textId="77777777" w:rsidR="00B11545" w:rsidRPr="00D618B7" w:rsidRDefault="00B11545" w:rsidP="004B11B7">
            <w:pPr>
              <w:jc w:val="right"/>
              <w:rPr>
                <w:color w:val="000000"/>
                <w:sz w:val="20"/>
                <w:szCs w:val="20"/>
              </w:rPr>
            </w:pPr>
            <w:r w:rsidRPr="00D618B7">
              <w:rPr>
                <w:color w:val="000000"/>
                <w:sz w:val="20"/>
                <w:szCs w:val="20"/>
              </w:rPr>
              <w:t>6570.46</w:t>
            </w:r>
          </w:p>
        </w:tc>
        <w:tc>
          <w:tcPr>
            <w:tcW w:w="1635" w:type="dxa"/>
            <w:tcBorders>
              <w:top w:val="nil"/>
              <w:left w:val="nil"/>
              <w:bottom w:val="nil"/>
              <w:right w:val="nil"/>
            </w:tcBorders>
            <w:shd w:val="clear" w:color="000000" w:fill="FFFFFF"/>
            <w:noWrap/>
            <w:vAlign w:val="center"/>
            <w:hideMark/>
          </w:tcPr>
          <w:p w14:paraId="0548B531" w14:textId="77777777" w:rsidR="00B11545" w:rsidRPr="00D618B7" w:rsidRDefault="00B11545" w:rsidP="004B11B7">
            <w:pPr>
              <w:jc w:val="right"/>
              <w:rPr>
                <w:color w:val="000000"/>
                <w:sz w:val="20"/>
                <w:szCs w:val="20"/>
              </w:rPr>
            </w:pPr>
            <w:r w:rsidRPr="00D618B7">
              <w:rPr>
                <w:color w:val="000000"/>
                <w:sz w:val="20"/>
                <w:szCs w:val="20"/>
              </w:rPr>
              <w:t>5333.46</w:t>
            </w:r>
          </w:p>
        </w:tc>
        <w:tc>
          <w:tcPr>
            <w:tcW w:w="1139" w:type="dxa"/>
            <w:tcBorders>
              <w:top w:val="nil"/>
              <w:left w:val="nil"/>
              <w:bottom w:val="nil"/>
              <w:right w:val="nil"/>
            </w:tcBorders>
            <w:shd w:val="clear" w:color="000000" w:fill="FFFFFF"/>
            <w:noWrap/>
            <w:vAlign w:val="center"/>
            <w:hideMark/>
          </w:tcPr>
          <w:p w14:paraId="515BC47C" w14:textId="77777777" w:rsidR="00B11545" w:rsidRPr="00D618B7" w:rsidRDefault="00B11545" w:rsidP="004B11B7">
            <w:pPr>
              <w:jc w:val="right"/>
              <w:rPr>
                <w:color w:val="000000"/>
                <w:sz w:val="20"/>
                <w:szCs w:val="20"/>
              </w:rPr>
            </w:pPr>
            <w:r w:rsidRPr="00D618B7">
              <w:rPr>
                <w:color w:val="000000"/>
                <w:sz w:val="20"/>
                <w:szCs w:val="20"/>
              </w:rPr>
              <w:t>6569.69</w:t>
            </w:r>
          </w:p>
        </w:tc>
      </w:tr>
      <w:tr w:rsidR="00B11545" w:rsidRPr="00D618B7" w14:paraId="7B7E2ECD" w14:textId="77777777" w:rsidTr="00B11545">
        <w:trPr>
          <w:trHeight w:val="242"/>
        </w:trPr>
        <w:tc>
          <w:tcPr>
            <w:tcW w:w="1355" w:type="dxa"/>
            <w:tcBorders>
              <w:top w:val="nil"/>
              <w:left w:val="nil"/>
              <w:bottom w:val="nil"/>
              <w:right w:val="nil"/>
            </w:tcBorders>
            <w:shd w:val="clear" w:color="000000" w:fill="FFFFFF"/>
            <w:vAlign w:val="center"/>
            <w:hideMark/>
          </w:tcPr>
          <w:p w14:paraId="7C1656FD" w14:textId="77777777" w:rsidR="00B11545" w:rsidRPr="00D618B7" w:rsidRDefault="00B11545" w:rsidP="004B11B7">
            <w:pPr>
              <w:jc w:val="right"/>
              <w:rPr>
                <w:color w:val="000000"/>
                <w:sz w:val="20"/>
                <w:szCs w:val="20"/>
              </w:rPr>
            </w:pPr>
            <w:r w:rsidRPr="00D618B7">
              <w:rPr>
                <w:color w:val="000000"/>
                <w:sz w:val="20"/>
                <w:szCs w:val="20"/>
              </w:rPr>
              <w:t>-4</w:t>
            </w:r>
          </w:p>
        </w:tc>
        <w:tc>
          <w:tcPr>
            <w:tcW w:w="1046" w:type="dxa"/>
            <w:tcBorders>
              <w:top w:val="nil"/>
              <w:left w:val="nil"/>
              <w:bottom w:val="nil"/>
              <w:right w:val="nil"/>
            </w:tcBorders>
            <w:shd w:val="clear" w:color="000000" w:fill="FFFFFF"/>
            <w:noWrap/>
            <w:vAlign w:val="center"/>
            <w:hideMark/>
          </w:tcPr>
          <w:p w14:paraId="00141BE7" w14:textId="77777777" w:rsidR="00B11545" w:rsidRPr="00D618B7" w:rsidRDefault="00B11545" w:rsidP="004B11B7">
            <w:pPr>
              <w:jc w:val="right"/>
              <w:rPr>
                <w:color w:val="000000"/>
                <w:sz w:val="20"/>
                <w:szCs w:val="20"/>
              </w:rPr>
            </w:pPr>
            <w:r w:rsidRPr="00D618B7">
              <w:rPr>
                <w:color w:val="000000"/>
                <w:sz w:val="20"/>
                <w:szCs w:val="20"/>
              </w:rPr>
              <w:t>-292.54</w:t>
            </w:r>
          </w:p>
        </w:tc>
        <w:tc>
          <w:tcPr>
            <w:tcW w:w="1111" w:type="dxa"/>
            <w:tcBorders>
              <w:top w:val="nil"/>
              <w:left w:val="nil"/>
              <w:bottom w:val="nil"/>
              <w:right w:val="nil"/>
            </w:tcBorders>
            <w:shd w:val="clear" w:color="000000" w:fill="FFFFFF"/>
            <w:noWrap/>
            <w:vAlign w:val="center"/>
            <w:hideMark/>
          </w:tcPr>
          <w:p w14:paraId="1E7F274A" w14:textId="77777777" w:rsidR="00B11545" w:rsidRPr="00D618B7" w:rsidRDefault="00B11545" w:rsidP="004B11B7">
            <w:pPr>
              <w:jc w:val="right"/>
              <w:rPr>
                <w:color w:val="000000"/>
                <w:sz w:val="20"/>
                <w:szCs w:val="20"/>
              </w:rPr>
            </w:pPr>
            <w:r w:rsidRPr="00D618B7">
              <w:rPr>
                <w:color w:val="000000"/>
                <w:sz w:val="20"/>
                <w:szCs w:val="20"/>
              </w:rPr>
              <w:t>7374.46</w:t>
            </w:r>
          </w:p>
        </w:tc>
        <w:tc>
          <w:tcPr>
            <w:tcW w:w="1580" w:type="dxa"/>
            <w:tcBorders>
              <w:top w:val="nil"/>
              <w:left w:val="nil"/>
              <w:bottom w:val="nil"/>
              <w:right w:val="nil"/>
            </w:tcBorders>
            <w:shd w:val="clear" w:color="000000" w:fill="FFFFFF"/>
            <w:noWrap/>
            <w:vAlign w:val="center"/>
            <w:hideMark/>
          </w:tcPr>
          <w:p w14:paraId="0F130878" w14:textId="77777777" w:rsidR="00B11545" w:rsidRPr="00D618B7" w:rsidRDefault="00B11545" w:rsidP="004B11B7">
            <w:pPr>
              <w:jc w:val="right"/>
              <w:rPr>
                <w:color w:val="000000"/>
                <w:sz w:val="20"/>
                <w:szCs w:val="20"/>
              </w:rPr>
            </w:pPr>
            <w:r w:rsidRPr="00D618B7">
              <w:rPr>
                <w:color w:val="000000"/>
                <w:sz w:val="20"/>
                <w:szCs w:val="20"/>
              </w:rPr>
              <w:t>-316.66</w:t>
            </w:r>
          </w:p>
        </w:tc>
        <w:tc>
          <w:tcPr>
            <w:tcW w:w="1100" w:type="dxa"/>
            <w:tcBorders>
              <w:top w:val="nil"/>
              <w:left w:val="nil"/>
              <w:bottom w:val="nil"/>
              <w:right w:val="nil"/>
            </w:tcBorders>
            <w:shd w:val="clear" w:color="000000" w:fill="FFFFFF"/>
            <w:noWrap/>
            <w:vAlign w:val="center"/>
            <w:hideMark/>
          </w:tcPr>
          <w:p w14:paraId="6838A8C0" w14:textId="77777777" w:rsidR="00B11545" w:rsidRPr="00D618B7" w:rsidRDefault="00B11545" w:rsidP="004B11B7">
            <w:pPr>
              <w:jc w:val="right"/>
              <w:rPr>
                <w:color w:val="000000"/>
                <w:sz w:val="20"/>
                <w:szCs w:val="20"/>
              </w:rPr>
            </w:pPr>
            <w:r w:rsidRPr="00D618B7">
              <w:rPr>
                <w:color w:val="000000"/>
                <w:sz w:val="20"/>
                <w:szCs w:val="20"/>
              </w:rPr>
              <w:t>6825.64</w:t>
            </w:r>
          </w:p>
        </w:tc>
        <w:tc>
          <w:tcPr>
            <w:tcW w:w="1635" w:type="dxa"/>
            <w:tcBorders>
              <w:top w:val="nil"/>
              <w:left w:val="nil"/>
              <w:bottom w:val="nil"/>
              <w:right w:val="nil"/>
            </w:tcBorders>
            <w:shd w:val="clear" w:color="000000" w:fill="FFFFFF"/>
            <w:noWrap/>
            <w:vAlign w:val="center"/>
            <w:hideMark/>
          </w:tcPr>
          <w:p w14:paraId="60AEC0B0" w14:textId="77777777" w:rsidR="00B11545" w:rsidRPr="00D618B7" w:rsidRDefault="00B11545" w:rsidP="004B11B7">
            <w:pPr>
              <w:jc w:val="right"/>
              <w:rPr>
                <w:color w:val="000000"/>
                <w:sz w:val="20"/>
                <w:szCs w:val="20"/>
              </w:rPr>
            </w:pPr>
            <w:r w:rsidRPr="00D618B7">
              <w:rPr>
                <w:color w:val="000000"/>
                <w:sz w:val="20"/>
                <w:szCs w:val="20"/>
              </w:rPr>
              <w:t>-426.02</w:t>
            </w:r>
          </w:p>
        </w:tc>
        <w:tc>
          <w:tcPr>
            <w:tcW w:w="1139" w:type="dxa"/>
            <w:tcBorders>
              <w:top w:val="nil"/>
              <w:left w:val="nil"/>
              <w:bottom w:val="nil"/>
              <w:right w:val="nil"/>
            </w:tcBorders>
            <w:shd w:val="clear" w:color="000000" w:fill="FFFFFF"/>
            <w:noWrap/>
            <w:vAlign w:val="center"/>
            <w:hideMark/>
          </w:tcPr>
          <w:p w14:paraId="2B231234" w14:textId="77777777" w:rsidR="00B11545" w:rsidRPr="00D618B7" w:rsidRDefault="00B11545" w:rsidP="004B11B7">
            <w:pPr>
              <w:jc w:val="right"/>
              <w:rPr>
                <w:color w:val="000000"/>
                <w:sz w:val="20"/>
                <w:szCs w:val="20"/>
              </w:rPr>
            </w:pPr>
            <w:r w:rsidRPr="00D618B7">
              <w:rPr>
                <w:color w:val="000000"/>
                <w:sz w:val="20"/>
                <w:szCs w:val="20"/>
              </w:rPr>
              <w:t>6834.50</w:t>
            </w:r>
          </w:p>
        </w:tc>
      </w:tr>
      <w:tr w:rsidR="00B11545" w:rsidRPr="00D618B7" w14:paraId="074895FC" w14:textId="77777777" w:rsidTr="00B11545">
        <w:trPr>
          <w:trHeight w:val="242"/>
        </w:trPr>
        <w:tc>
          <w:tcPr>
            <w:tcW w:w="1355" w:type="dxa"/>
            <w:tcBorders>
              <w:top w:val="nil"/>
              <w:left w:val="nil"/>
              <w:bottom w:val="nil"/>
              <w:right w:val="nil"/>
            </w:tcBorders>
            <w:shd w:val="clear" w:color="000000" w:fill="FFFFFF"/>
            <w:vAlign w:val="center"/>
            <w:hideMark/>
          </w:tcPr>
          <w:p w14:paraId="32D66D7A" w14:textId="77777777" w:rsidR="00B11545" w:rsidRPr="00D618B7" w:rsidRDefault="00B11545" w:rsidP="004B11B7">
            <w:pPr>
              <w:jc w:val="right"/>
              <w:rPr>
                <w:color w:val="000000"/>
                <w:sz w:val="20"/>
                <w:szCs w:val="20"/>
              </w:rPr>
            </w:pPr>
            <w:r w:rsidRPr="00D618B7">
              <w:rPr>
                <w:color w:val="000000"/>
                <w:sz w:val="20"/>
                <w:szCs w:val="20"/>
              </w:rPr>
              <w:t>-3</w:t>
            </w:r>
          </w:p>
        </w:tc>
        <w:tc>
          <w:tcPr>
            <w:tcW w:w="1046" w:type="dxa"/>
            <w:tcBorders>
              <w:top w:val="nil"/>
              <w:left w:val="nil"/>
              <w:bottom w:val="nil"/>
              <w:right w:val="nil"/>
            </w:tcBorders>
            <w:shd w:val="clear" w:color="000000" w:fill="FFFFFF"/>
            <w:noWrap/>
            <w:vAlign w:val="center"/>
            <w:hideMark/>
          </w:tcPr>
          <w:p w14:paraId="6732B6A9" w14:textId="77777777" w:rsidR="00B11545" w:rsidRPr="00D618B7" w:rsidRDefault="00B11545" w:rsidP="004B11B7">
            <w:pPr>
              <w:jc w:val="right"/>
              <w:rPr>
                <w:color w:val="000000"/>
                <w:sz w:val="20"/>
                <w:szCs w:val="20"/>
              </w:rPr>
            </w:pPr>
            <w:r w:rsidRPr="00D618B7">
              <w:rPr>
                <w:color w:val="000000"/>
                <w:sz w:val="20"/>
                <w:szCs w:val="20"/>
              </w:rPr>
              <w:t>585.70</w:t>
            </w:r>
          </w:p>
        </w:tc>
        <w:tc>
          <w:tcPr>
            <w:tcW w:w="1111" w:type="dxa"/>
            <w:tcBorders>
              <w:top w:val="nil"/>
              <w:left w:val="nil"/>
              <w:bottom w:val="nil"/>
              <w:right w:val="nil"/>
            </w:tcBorders>
            <w:shd w:val="clear" w:color="000000" w:fill="FFFFFF"/>
            <w:noWrap/>
            <w:vAlign w:val="center"/>
            <w:hideMark/>
          </w:tcPr>
          <w:p w14:paraId="1F966D54" w14:textId="77777777" w:rsidR="00B11545" w:rsidRPr="00D618B7" w:rsidRDefault="00B11545" w:rsidP="004B11B7">
            <w:pPr>
              <w:jc w:val="right"/>
              <w:rPr>
                <w:color w:val="000000"/>
                <w:sz w:val="20"/>
                <w:szCs w:val="20"/>
              </w:rPr>
            </w:pPr>
            <w:r w:rsidRPr="00D618B7">
              <w:rPr>
                <w:color w:val="000000"/>
                <w:sz w:val="20"/>
                <w:szCs w:val="20"/>
              </w:rPr>
              <w:t>7389.24</w:t>
            </w:r>
          </w:p>
        </w:tc>
        <w:tc>
          <w:tcPr>
            <w:tcW w:w="1580" w:type="dxa"/>
            <w:tcBorders>
              <w:top w:val="nil"/>
              <w:left w:val="nil"/>
              <w:bottom w:val="nil"/>
              <w:right w:val="nil"/>
            </w:tcBorders>
            <w:shd w:val="clear" w:color="000000" w:fill="FFFFFF"/>
            <w:noWrap/>
            <w:vAlign w:val="center"/>
            <w:hideMark/>
          </w:tcPr>
          <w:p w14:paraId="68ECF3A0" w14:textId="77777777" w:rsidR="00B11545" w:rsidRPr="00D618B7" w:rsidRDefault="00B11545" w:rsidP="004B11B7">
            <w:pPr>
              <w:jc w:val="right"/>
              <w:rPr>
                <w:color w:val="000000"/>
                <w:sz w:val="20"/>
                <w:szCs w:val="20"/>
              </w:rPr>
            </w:pPr>
            <w:r w:rsidRPr="00D618B7">
              <w:rPr>
                <w:color w:val="000000"/>
                <w:sz w:val="20"/>
                <w:szCs w:val="20"/>
              </w:rPr>
              <w:t>1319.70</w:t>
            </w:r>
          </w:p>
        </w:tc>
        <w:tc>
          <w:tcPr>
            <w:tcW w:w="1100" w:type="dxa"/>
            <w:tcBorders>
              <w:top w:val="nil"/>
              <w:left w:val="nil"/>
              <w:bottom w:val="nil"/>
              <w:right w:val="nil"/>
            </w:tcBorders>
            <w:shd w:val="clear" w:color="000000" w:fill="FFFFFF"/>
            <w:noWrap/>
            <w:vAlign w:val="center"/>
            <w:hideMark/>
          </w:tcPr>
          <w:p w14:paraId="654B1F3C" w14:textId="77777777" w:rsidR="00B11545" w:rsidRPr="00D618B7" w:rsidRDefault="00B11545" w:rsidP="004B11B7">
            <w:pPr>
              <w:jc w:val="right"/>
              <w:rPr>
                <w:color w:val="000000"/>
                <w:sz w:val="20"/>
                <w:szCs w:val="20"/>
              </w:rPr>
            </w:pPr>
            <w:r w:rsidRPr="00D618B7">
              <w:rPr>
                <w:color w:val="000000"/>
                <w:sz w:val="20"/>
                <w:szCs w:val="20"/>
              </w:rPr>
              <w:t>6884.46</w:t>
            </w:r>
          </w:p>
        </w:tc>
        <w:tc>
          <w:tcPr>
            <w:tcW w:w="1635" w:type="dxa"/>
            <w:tcBorders>
              <w:top w:val="nil"/>
              <w:left w:val="nil"/>
              <w:bottom w:val="nil"/>
              <w:right w:val="nil"/>
            </w:tcBorders>
            <w:shd w:val="clear" w:color="000000" w:fill="FFFFFF"/>
            <w:noWrap/>
            <w:vAlign w:val="center"/>
            <w:hideMark/>
          </w:tcPr>
          <w:p w14:paraId="0DFA2009" w14:textId="77777777" w:rsidR="00B11545" w:rsidRPr="00D618B7" w:rsidRDefault="00B11545" w:rsidP="004B11B7">
            <w:pPr>
              <w:jc w:val="right"/>
              <w:rPr>
                <w:color w:val="000000"/>
                <w:sz w:val="20"/>
                <w:szCs w:val="20"/>
              </w:rPr>
            </w:pPr>
            <w:r w:rsidRPr="00D618B7">
              <w:rPr>
                <w:color w:val="000000"/>
                <w:sz w:val="20"/>
                <w:szCs w:val="20"/>
              </w:rPr>
              <w:t>29891.22</w:t>
            </w:r>
          </w:p>
        </w:tc>
        <w:tc>
          <w:tcPr>
            <w:tcW w:w="1139" w:type="dxa"/>
            <w:tcBorders>
              <w:top w:val="nil"/>
              <w:left w:val="nil"/>
              <w:bottom w:val="nil"/>
              <w:right w:val="nil"/>
            </w:tcBorders>
            <w:shd w:val="clear" w:color="000000" w:fill="FFFFFF"/>
            <w:noWrap/>
            <w:vAlign w:val="center"/>
            <w:hideMark/>
          </w:tcPr>
          <w:p w14:paraId="4FABA793" w14:textId="77777777" w:rsidR="00B11545" w:rsidRPr="00D618B7" w:rsidRDefault="00B11545" w:rsidP="004B11B7">
            <w:pPr>
              <w:jc w:val="right"/>
              <w:rPr>
                <w:color w:val="000000"/>
                <w:sz w:val="20"/>
                <w:szCs w:val="20"/>
              </w:rPr>
            </w:pPr>
            <w:r w:rsidRPr="00D618B7">
              <w:rPr>
                <w:color w:val="000000"/>
                <w:sz w:val="20"/>
                <w:szCs w:val="20"/>
              </w:rPr>
              <w:t>6874.63</w:t>
            </w:r>
          </w:p>
        </w:tc>
      </w:tr>
      <w:tr w:rsidR="00B11545" w:rsidRPr="00D618B7" w14:paraId="68FBA7DF" w14:textId="77777777" w:rsidTr="00B11545">
        <w:trPr>
          <w:trHeight w:val="242"/>
        </w:trPr>
        <w:tc>
          <w:tcPr>
            <w:tcW w:w="1355" w:type="dxa"/>
            <w:tcBorders>
              <w:top w:val="nil"/>
              <w:left w:val="nil"/>
              <w:bottom w:val="nil"/>
              <w:right w:val="nil"/>
            </w:tcBorders>
            <w:shd w:val="clear" w:color="000000" w:fill="FFFFFF"/>
            <w:vAlign w:val="center"/>
            <w:hideMark/>
          </w:tcPr>
          <w:p w14:paraId="06AEA763" w14:textId="77777777" w:rsidR="00B11545" w:rsidRPr="00D618B7" w:rsidRDefault="00B11545" w:rsidP="004B11B7">
            <w:pPr>
              <w:jc w:val="right"/>
              <w:rPr>
                <w:color w:val="000000"/>
                <w:sz w:val="20"/>
                <w:szCs w:val="20"/>
              </w:rPr>
            </w:pPr>
            <w:r w:rsidRPr="00D618B7">
              <w:rPr>
                <w:color w:val="000000"/>
                <w:sz w:val="20"/>
                <w:szCs w:val="20"/>
              </w:rPr>
              <w:t>-2</w:t>
            </w:r>
          </w:p>
        </w:tc>
        <w:tc>
          <w:tcPr>
            <w:tcW w:w="1046" w:type="dxa"/>
            <w:tcBorders>
              <w:top w:val="nil"/>
              <w:left w:val="nil"/>
              <w:bottom w:val="nil"/>
              <w:right w:val="nil"/>
            </w:tcBorders>
            <w:shd w:val="clear" w:color="000000" w:fill="FFFFFF"/>
            <w:noWrap/>
            <w:vAlign w:val="center"/>
            <w:hideMark/>
          </w:tcPr>
          <w:p w14:paraId="75583556" w14:textId="77777777" w:rsidR="00B11545" w:rsidRPr="00D618B7" w:rsidRDefault="00B11545" w:rsidP="004B11B7">
            <w:pPr>
              <w:jc w:val="right"/>
              <w:rPr>
                <w:color w:val="000000"/>
                <w:sz w:val="20"/>
                <w:szCs w:val="20"/>
              </w:rPr>
            </w:pPr>
            <w:r w:rsidRPr="00D618B7">
              <w:rPr>
                <w:color w:val="000000"/>
                <w:sz w:val="20"/>
                <w:szCs w:val="20"/>
              </w:rPr>
              <w:t>4307.56</w:t>
            </w:r>
          </w:p>
        </w:tc>
        <w:tc>
          <w:tcPr>
            <w:tcW w:w="1111" w:type="dxa"/>
            <w:tcBorders>
              <w:top w:val="nil"/>
              <w:left w:val="nil"/>
              <w:bottom w:val="nil"/>
              <w:right w:val="nil"/>
            </w:tcBorders>
            <w:shd w:val="clear" w:color="000000" w:fill="FFFFFF"/>
            <w:noWrap/>
            <w:vAlign w:val="center"/>
            <w:hideMark/>
          </w:tcPr>
          <w:p w14:paraId="5403232B" w14:textId="77777777" w:rsidR="00B11545" w:rsidRPr="00D618B7" w:rsidRDefault="00B11545" w:rsidP="004B11B7">
            <w:pPr>
              <w:jc w:val="right"/>
              <w:rPr>
                <w:color w:val="000000"/>
                <w:sz w:val="20"/>
                <w:szCs w:val="20"/>
              </w:rPr>
            </w:pPr>
            <w:r w:rsidRPr="00D618B7">
              <w:rPr>
                <w:color w:val="000000"/>
                <w:sz w:val="20"/>
                <w:szCs w:val="20"/>
              </w:rPr>
              <w:t>6524.88</w:t>
            </w:r>
          </w:p>
        </w:tc>
        <w:tc>
          <w:tcPr>
            <w:tcW w:w="1580" w:type="dxa"/>
            <w:tcBorders>
              <w:top w:val="nil"/>
              <w:left w:val="nil"/>
              <w:bottom w:val="nil"/>
              <w:right w:val="nil"/>
            </w:tcBorders>
            <w:shd w:val="clear" w:color="000000" w:fill="FFFFFF"/>
            <w:noWrap/>
            <w:vAlign w:val="center"/>
            <w:hideMark/>
          </w:tcPr>
          <w:p w14:paraId="17691D70" w14:textId="77777777" w:rsidR="00B11545" w:rsidRPr="00D618B7" w:rsidRDefault="00B11545" w:rsidP="004B11B7">
            <w:pPr>
              <w:jc w:val="right"/>
              <w:rPr>
                <w:color w:val="000000"/>
                <w:sz w:val="20"/>
                <w:szCs w:val="20"/>
              </w:rPr>
            </w:pPr>
            <w:r w:rsidRPr="00D618B7">
              <w:rPr>
                <w:color w:val="000000"/>
                <w:sz w:val="20"/>
                <w:szCs w:val="20"/>
              </w:rPr>
              <w:t>-1706.68</w:t>
            </w:r>
          </w:p>
        </w:tc>
        <w:tc>
          <w:tcPr>
            <w:tcW w:w="1100" w:type="dxa"/>
            <w:tcBorders>
              <w:top w:val="nil"/>
              <w:left w:val="nil"/>
              <w:bottom w:val="nil"/>
              <w:right w:val="nil"/>
            </w:tcBorders>
            <w:shd w:val="clear" w:color="000000" w:fill="FFFFFF"/>
            <w:noWrap/>
            <w:vAlign w:val="center"/>
            <w:hideMark/>
          </w:tcPr>
          <w:p w14:paraId="369B0BFC" w14:textId="77777777" w:rsidR="00B11545" w:rsidRPr="00D618B7" w:rsidRDefault="00B11545" w:rsidP="004B11B7">
            <w:pPr>
              <w:jc w:val="right"/>
              <w:rPr>
                <w:color w:val="000000"/>
                <w:sz w:val="20"/>
                <w:szCs w:val="20"/>
              </w:rPr>
            </w:pPr>
            <w:r w:rsidRPr="00D618B7">
              <w:rPr>
                <w:color w:val="000000"/>
                <w:sz w:val="20"/>
                <w:szCs w:val="20"/>
              </w:rPr>
              <w:t>6013.48</w:t>
            </w:r>
          </w:p>
        </w:tc>
        <w:tc>
          <w:tcPr>
            <w:tcW w:w="1635" w:type="dxa"/>
            <w:tcBorders>
              <w:top w:val="nil"/>
              <w:left w:val="nil"/>
              <w:bottom w:val="nil"/>
              <w:right w:val="nil"/>
            </w:tcBorders>
            <w:shd w:val="clear" w:color="000000" w:fill="FFFFFF"/>
            <w:noWrap/>
            <w:vAlign w:val="center"/>
            <w:hideMark/>
          </w:tcPr>
          <w:p w14:paraId="75278228" w14:textId="77777777" w:rsidR="00B11545" w:rsidRPr="00D618B7" w:rsidRDefault="00B11545" w:rsidP="004B11B7">
            <w:pPr>
              <w:jc w:val="right"/>
              <w:rPr>
                <w:color w:val="000000"/>
                <w:sz w:val="20"/>
                <w:szCs w:val="20"/>
              </w:rPr>
            </w:pPr>
            <w:r w:rsidRPr="00D618B7">
              <w:rPr>
                <w:color w:val="000000"/>
                <w:sz w:val="20"/>
                <w:szCs w:val="20"/>
              </w:rPr>
              <w:t>14747.68</w:t>
            </w:r>
          </w:p>
        </w:tc>
        <w:tc>
          <w:tcPr>
            <w:tcW w:w="1139" w:type="dxa"/>
            <w:tcBorders>
              <w:top w:val="nil"/>
              <w:left w:val="nil"/>
              <w:bottom w:val="nil"/>
              <w:right w:val="nil"/>
            </w:tcBorders>
            <w:shd w:val="clear" w:color="000000" w:fill="FFFFFF"/>
            <w:noWrap/>
            <w:vAlign w:val="center"/>
            <w:hideMark/>
          </w:tcPr>
          <w:p w14:paraId="07B940E8" w14:textId="77777777" w:rsidR="00B11545" w:rsidRPr="00D618B7" w:rsidRDefault="00B11545" w:rsidP="004B11B7">
            <w:pPr>
              <w:jc w:val="right"/>
              <w:rPr>
                <w:color w:val="000000"/>
                <w:sz w:val="20"/>
                <w:szCs w:val="20"/>
              </w:rPr>
            </w:pPr>
            <w:r w:rsidRPr="00D618B7">
              <w:rPr>
                <w:color w:val="000000"/>
                <w:sz w:val="20"/>
                <w:szCs w:val="20"/>
              </w:rPr>
              <w:t>6029.27</w:t>
            </w:r>
          </w:p>
        </w:tc>
      </w:tr>
      <w:tr w:rsidR="00B11545" w:rsidRPr="00D618B7" w14:paraId="0AE8B84C" w14:textId="77777777" w:rsidTr="00B11545">
        <w:trPr>
          <w:trHeight w:val="242"/>
        </w:trPr>
        <w:tc>
          <w:tcPr>
            <w:tcW w:w="1355" w:type="dxa"/>
            <w:tcBorders>
              <w:top w:val="nil"/>
              <w:left w:val="nil"/>
              <w:bottom w:val="nil"/>
              <w:right w:val="nil"/>
            </w:tcBorders>
            <w:shd w:val="clear" w:color="000000" w:fill="FFFFFF"/>
            <w:vAlign w:val="center"/>
            <w:hideMark/>
          </w:tcPr>
          <w:p w14:paraId="1963FA91" w14:textId="77777777" w:rsidR="00B11545" w:rsidRPr="00D618B7" w:rsidRDefault="00B11545" w:rsidP="004B11B7">
            <w:pPr>
              <w:jc w:val="right"/>
              <w:rPr>
                <w:color w:val="000000"/>
                <w:sz w:val="20"/>
                <w:szCs w:val="20"/>
              </w:rPr>
            </w:pPr>
            <w:r w:rsidRPr="00D618B7">
              <w:rPr>
                <w:color w:val="000000"/>
                <w:sz w:val="20"/>
                <w:szCs w:val="20"/>
              </w:rPr>
              <w:t>-1</w:t>
            </w:r>
          </w:p>
        </w:tc>
        <w:tc>
          <w:tcPr>
            <w:tcW w:w="1046" w:type="dxa"/>
            <w:tcBorders>
              <w:top w:val="nil"/>
              <w:left w:val="nil"/>
              <w:bottom w:val="nil"/>
              <w:right w:val="nil"/>
            </w:tcBorders>
            <w:shd w:val="clear" w:color="000000" w:fill="FFFFFF"/>
            <w:noWrap/>
            <w:vAlign w:val="center"/>
            <w:hideMark/>
          </w:tcPr>
          <w:p w14:paraId="2B905D60" w14:textId="77777777" w:rsidR="00B11545" w:rsidRPr="00D618B7" w:rsidRDefault="00B11545" w:rsidP="004B11B7">
            <w:pPr>
              <w:jc w:val="right"/>
              <w:rPr>
                <w:color w:val="000000"/>
                <w:sz w:val="20"/>
                <w:szCs w:val="20"/>
              </w:rPr>
            </w:pPr>
            <w:r w:rsidRPr="00D618B7">
              <w:rPr>
                <w:color w:val="000000"/>
                <w:sz w:val="20"/>
                <w:szCs w:val="20"/>
              </w:rPr>
              <w:t>458.89</w:t>
            </w:r>
          </w:p>
        </w:tc>
        <w:tc>
          <w:tcPr>
            <w:tcW w:w="1111" w:type="dxa"/>
            <w:tcBorders>
              <w:top w:val="nil"/>
              <w:left w:val="nil"/>
              <w:bottom w:val="nil"/>
              <w:right w:val="nil"/>
            </w:tcBorders>
            <w:shd w:val="clear" w:color="000000" w:fill="FFFFFF"/>
            <w:noWrap/>
            <w:vAlign w:val="center"/>
            <w:hideMark/>
          </w:tcPr>
          <w:p w14:paraId="5C5AF767" w14:textId="77777777" w:rsidR="00B11545" w:rsidRPr="00D618B7" w:rsidRDefault="00B11545" w:rsidP="004B11B7">
            <w:pPr>
              <w:jc w:val="right"/>
              <w:rPr>
                <w:color w:val="000000"/>
                <w:sz w:val="20"/>
                <w:szCs w:val="20"/>
              </w:rPr>
            </w:pPr>
            <w:r w:rsidRPr="00D618B7">
              <w:rPr>
                <w:color w:val="000000"/>
                <w:sz w:val="20"/>
                <w:szCs w:val="20"/>
              </w:rPr>
              <w:t>6506.87</w:t>
            </w:r>
          </w:p>
        </w:tc>
        <w:tc>
          <w:tcPr>
            <w:tcW w:w="1580" w:type="dxa"/>
            <w:tcBorders>
              <w:top w:val="nil"/>
              <w:left w:val="nil"/>
              <w:bottom w:val="nil"/>
              <w:right w:val="nil"/>
            </w:tcBorders>
            <w:shd w:val="clear" w:color="000000" w:fill="FFFFFF"/>
            <w:noWrap/>
            <w:vAlign w:val="center"/>
            <w:hideMark/>
          </w:tcPr>
          <w:p w14:paraId="28D207DB" w14:textId="77777777" w:rsidR="00B11545" w:rsidRPr="00D618B7" w:rsidRDefault="00B11545" w:rsidP="004B11B7">
            <w:pPr>
              <w:jc w:val="right"/>
              <w:rPr>
                <w:color w:val="000000"/>
                <w:sz w:val="20"/>
                <w:szCs w:val="20"/>
              </w:rPr>
            </w:pPr>
            <w:r w:rsidRPr="00D618B7">
              <w:rPr>
                <w:color w:val="000000"/>
                <w:sz w:val="20"/>
                <w:szCs w:val="20"/>
              </w:rPr>
              <w:t>1653.01</w:t>
            </w:r>
          </w:p>
        </w:tc>
        <w:tc>
          <w:tcPr>
            <w:tcW w:w="1100" w:type="dxa"/>
            <w:tcBorders>
              <w:top w:val="nil"/>
              <w:left w:val="nil"/>
              <w:bottom w:val="nil"/>
              <w:right w:val="nil"/>
            </w:tcBorders>
            <w:shd w:val="clear" w:color="000000" w:fill="FFFFFF"/>
            <w:noWrap/>
            <w:vAlign w:val="center"/>
            <w:hideMark/>
          </w:tcPr>
          <w:p w14:paraId="1C842371" w14:textId="77777777" w:rsidR="00B11545" w:rsidRPr="00D618B7" w:rsidRDefault="00B11545" w:rsidP="004B11B7">
            <w:pPr>
              <w:jc w:val="right"/>
              <w:rPr>
                <w:color w:val="000000"/>
                <w:sz w:val="20"/>
                <w:szCs w:val="20"/>
              </w:rPr>
            </w:pPr>
            <w:r w:rsidRPr="00D618B7">
              <w:rPr>
                <w:color w:val="000000"/>
                <w:sz w:val="20"/>
                <w:szCs w:val="20"/>
              </w:rPr>
              <w:t>6123.04</w:t>
            </w:r>
          </w:p>
        </w:tc>
        <w:tc>
          <w:tcPr>
            <w:tcW w:w="1635" w:type="dxa"/>
            <w:tcBorders>
              <w:top w:val="nil"/>
              <w:left w:val="nil"/>
              <w:bottom w:val="nil"/>
              <w:right w:val="nil"/>
            </w:tcBorders>
            <w:shd w:val="clear" w:color="000000" w:fill="FFFFFF"/>
            <w:noWrap/>
            <w:vAlign w:val="center"/>
            <w:hideMark/>
          </w:tcPr>
          <w:p w14:paraId="14507973" w14:textId="77777777" w:rsidR="00B11545" w:rsidRPr="00D618B7" w:rsidRDefault="00B11545" w:rsidP="004B11B7">
            <w:pPr>
              <w:jc w:val="right"/>
              <w:rPr>
                <w:color w:val="000000"/>
                <w:sz w:val="20"/>
                <w:szCs w:val="20"/>
              </w:rPr>
            </w:pPr>
            <w:r w:rsidRPr="00D618B7">
              <w:rPr>
                <w:color w:val="000000"/>
                <w:sz w:val="20"/>
                <w:szCs w:val="20"/>
              </w:rPr>
              <w:t>39206.82</w:t>
            </w:r>
          </w:p>
        </w:tc>
        <w:tc>
          <w:tcPr>
            <w:tcW w:w="1139" w:type="dxa"/>
            <w:tcBorders>
              <w:top w:val="nil"/>
              <w:left w:val="nil"/>
              <w:bottom w:val="nil"/>
              <w:right w:val="nil"/>
            </w:tcBorders>
            <w:shd w:val="clear" w:color="000000" w:fill="FFFFFF"/>
            <w:noWrap/>
            <w:vAlign w:val="center"/>
            <w:hideMark/>
          </w:tcPr>
          <w:p w14:paraId="6E4FEA9F" w14:textId="77777777" w:rsidR="00B11545" w:rsidRPr="00D618B7" w:rsidRDefault="00B11545" w:rsidP="004B11B7">
            <w:pPr>
              <w:jc w:val="right"/>
              <w:rPr>
                <w:color w:val="000000"/>
                <w:sz w:val="20"/>
                <w:szCs w:val="20"/>
              </w:rPr>
            </w:pPr>
            <w:r w:rsidRPr="00D618B7">
              <w:rPr>
                <w:color w:val="000000"/>
                <w:sz w:val="20"/>
                <w:szCs w:val="20"/>
              </w:rPr>
              <w:t>6140.83</w:t>
            </w:r>
          </w:p>
        </w:tc>
      </w:tr>
      <w:tr w:rsidR="00B11545" w:rsidRPr="00D618B7" w14:paraId="263CF1C0" w14:textId="77777777" w:rsidTr="00B11545">
        <w:trPr>
          <w:trHeight w:val="242"/>
        </w:trPr>
        <w:tc>
          <w:tcPr>
            <w:tcW w:w="1355" w:type="dxa"/>
            <w:tcBorders>
              <w:top w:val="nil"/>
              <w:left w:val="nil"/>
              <w:bottom w:val="nil"/>
              <w:right w:val="nil"/>
            </w:tcBorders>
            <w:shd w:val="clear" w:color="000000" w:fill="FFFFFF"/>
            <w:vAlign w:val="center"/>
            <w:hideMark/>
          </w:tcPr>
          <w:p w14:paraId="1CF2E9B1" w14:textId="77777777" w:rsidR="00B11545" w:rsidRPr="00D618B7" w:rsidRDefault="00B11545" w:rsidP="004B11B7">
            <w:pPr>
              <w:jc w:val="right"/>
              <w:rPr>
                <w:color w:val="000000"/>
                <w:sz w:val="20"/>
                <w:szCs w:val="20"/>
              </w:rPr>
            </w:pPr>
            <w:r w:rsidRPr="00D618B7">
              <w:rPr>
                <w:color w:val="000000"/>
                <w:sz w:val="20"/>
                <w:szCs w:val="20"/>
              </w:rPr>
              <w:t>0</w:t>
            </w:r>
          </w:p>
        </w:tc>
        <w:tc>
          <w:tcPr>
            <w:tcW w:w="1046" w:type="dxa"/>
            <w:tcBorders>
              <w:top w:val="nil"/>
              <w:left w:val="nil"/>
              <w:bottom w:val="nil"/>
              <w:right w:val="nil"/>
            </w:tcBorders>
            <w:shd w:val="clear" w:color="000000" w:fill="FFFFFF"/>
            <w:noWrap/>
            <w:vAlign w:val="center"/>
            <w:hideMark/>
          </w:tcPr>
          <w:p w14:paraId="2DFBF9FA" w14:textId="77777777" w:rsidR="00B11545" w:rsidRPr="00D618B7" w:rsidRDefault="00B11545" w:rsidP="004B11B7">
            <w:pPr>
              <w:jc w:val="right"/>
              <w:rPr>
                <w:color w:val="000000"/>
                <w:sz w:val="20"/>
                <w:szCs w:val="20"/>
              </w:rPr>
            </w:pPr>
            <w:r w:rsidRPr="00D618B7">
              <w:rPr>
                <w:color w:val="000000"/>
                <w:sz w:val="20"/>
                <w:szCs w:val="20"/>
              </w:rPr>
              <w:t>-286.60</w:t>
            </w:r>
          </w:p>
        </w:tc>
        <w:tc>
          <w:tcPr>
            <w:tcW w:w="1111" w:type="dxa"/>
            <w:tcBorders>
              <w:top w:val="nil"/>
              <w:left w:val="nil"/>
              <w:bottom w:val="nil"/>
              <w:right w:val="nil"/>
            </w:tcBorders>
            <w:shd w:val="clear" w:color="000000" w:fill="FFFFFF"/>
            <w:noWrap/>
            <w:vAlign w:val="center"/>
            <w:hideMark/>
          </w:tcPr>
          <w:p w14:paraId="36B1BB05" w14:textId="77777777" w:rsidR="00B11545" w:rsidRPr="00D618B7" w:rsidRDefault="00B11545" w:rsidP="004B11B7">
            <w:pPr>
              <w:jc w:val="right"/>
              <w:rPr>
                <w:color w:val="000000"/>
                <w:sz w:val="20"/>
                <w:szCs w:val="20"/>
              </w:rPr>
            </w:pPr>
            <w:r w:rsidRPr="00D618B7">
              <w:rPr>
                <w:color w:val="000000"/>
                <w:sz w:val="20"/>
                <w:szCs w:val="20"/>
              </w:rPr>
              <w:t>6000.14</w:t>
            </w:r>
          </w:p>
        </w:tc>
        <w:tc>
          <w:tcPr>
            <w:tcW w:w="1580" w:type="dxa"/>
            <w:tcBorders>
              <w:top w:val="nil"/>
              <w:left w:val="nil"/>
              <w:bottom w:val="nil"/>
              <w:right w:val="nil"/>
            </w:tcBorders>
            <w:shd w:val="clear" w:color="000000" w:fill="FFFFFF"/>
            <w:noWrap/>
            <w:vAlign w:val="center"/>
            <w:hideMark/>
          </w:tcPr>
          <w:p w14:paraId="5B60886E" w14:textId="77777777" w:rsidR="00B11545" w:rsidRPr="00D618B7" w:rsidRDefault="00B11545" w:rsidP="004B11B7">
            <w:pPr>
              <w:jc w:val="right"/>
              <w:rPr>
                <w:color w:val="000000"/>
                <w:sz w:val="20"/>
                <w:szCs w:val="20"/>
              </w:rPr>
            </w:pPr>
            <w:r w:rsidRPr="00D618B7">
              <w:rPr>
                <w:color w:val="000000"/>
                <w:sz w:val="20"/>
                <w:szCs w:val="20"/>
              </w:rPr>
              <w:t>-534.41</w:t>
            </w:r>
          </w:p>
        </w:tc>
        <w:tc>
          <w:tcPr>
            <w:tcW w:w="1100" w:type="dxa"/>
            <w:tcBorders>
              <w:top w:val="nil"/>
              <w:left w:val="nil"/>
              <w:bottom w:val="nil"/>
              <w:right w:val="nil"/>
            </w:tcBorders>
            <w:shd w:val="clear" w:color="000000" w:fill="FFFFFF"/>
            <w:noWrap/>
            <w:vAlign w:val="center"/>
            <w:hideMark/>
          </w:tcPr>
          <w:p w14:paraId="215EC718" w14:textId="77777777" w:rsidR="00B11545" w:rsidRPr="00D618B7" w:rsidRDefault="00B11545" w:rsidP="004B11B7">
            <w:pPr>
              <w:jc w:val="right"/>
              <w:rPr>
                <w:color w:val="000000"/>
                <w:sz w:val="20"/>
                <w:szCs w:val="20"/>
              </w:rPr>
            </w:pPr>
            <w:r w:rsidRPr="00D618B7">
              <w:rPr>
                <w:color w:val="000000"/>
                <w:sz w:val="20"/>
                <w:szCs w:val="20"/>
              </w:rPr>
              <w:t>5689.30</w:t>
            </w:r>
          </w:p>
        </w:tc>
        <w:tc>
          <w:tcPr>
            <w:tcW w:w="1635" w:type="dxa"/>
            <w:tcBorders>
              <w:top w:val="nil"/>
              <w:left w:val="nil"/>
              <w:bottom w:val="nil"/>
              <w:right w:val="nil"/>
            </w:tcBorders>
            <w:shd w:val="clear" w:color="000000" w:fill="FFFFFF"/>
            <w:noWrap/>
            <w:vAlign w:val="center"/>
            <w:hideMark/>
          </w:tcPr>
          <w:p w14:paraId="4C08A31C" w14:textId="77777777" w:rsidR="00B11545" w:rsidRPr="00D618B7" w:rsidRDefault="00B11545" w:rsidP="004B11B7">
            <w:pPr>
              <w:jc w:val="right"/>
              <w:rPr>
                <w:color w:val="000000"/>
                <w:sz w:val="20"/>
                <w:szCs w:val="20"/>
              </w:rPr>
            </w:pPr>
            <w:r w:rsidRPr="00D618B7">
              <w:rPr>
                <w:color w:val="000000"/>
                <w:sz w:val="20"/>
                <w:szCs w:val="20"/>
              </w:rPr>
              <w:t>4812.27</w:t>
            </w:r>
          </w:p>
        </w:tc>
        <w:tc>
          <w:tcPr>
            <w:tcW w:w="1139" w:type="dxa"/>
            <w:tcBorders>
              <w:top w:val="nil"/>
              <w:left w:val="nil"/>
              <w:bottom w:val="nil"/>
              <w:right w:val="nil"/>
            </w:tcBorders>
            <w:shd w:val="clear" w:color="000000" w:fill="FFFFFF"/>
            <w:noWrap/>
            <w:vAlign w:val="center"/>
            <w:hideMark/>
          </w:tcPr>
          <w:p w14:paraId="02663647" w14:textId="77777777" w:rsidR="00B11545" w:rsidRPr="00D618B7" w:rsidRDefault="00B11545" w:rsidP="004B11B7">
            <w:pPr>
              <w:jc w:val="right"/>
              <w:rPr>
                <w:color w:val="000000"/>
                <w:sz w:val="20"/>
                <w:szCs w:val="20"/>
              </w:rPr>
            </w:pPr>
            <w:r w:rsidRPr="00D618B7">
              <w:rPr>
                <w:color w:val="000000"/>
                <w:sz w:val="20"/>
                <w:szCs w:val="20"/>
              </w:rPr>
              <w:t>5708.80</w:t>
            </w:r>
          </w:p>
        </w:tc>
      </w:tr>
      <w:tr w:rsidR="00B11545" w:rsidRPr="00D618B7" w14:paraId="496149C3" w14:textId="77777777" w:rsidTr="00B11545">
        <w:trPr>
          <w:trHeight w:val="242"/>
        </w:trPr>
        <w:tc>
          <w:tcPr>
            <w:tcW w:w="1355" w:type="dxa"/>
            <w:tcBorders>
              <w:top w:val="nil"/>
              <w:left w:val="nil"/>
              <w:bottom w:val="nil"/>
              <w:right w:val="nil"/>
            </w:tcBorders>
            <w:shd w:val="clear" w:color="000000" w:fill="FFFFFF"/>
            <w:vAlign w:val="center"/>
            <w:hideMark/>
          </w:tcPr>
          <w:p w14:paraId="0B130FD3" w14:textId="77777777" w:rsidR="00B11545" w:rsidRPr="00D618B7" w:rsidRDefault="00B11545" w:rsidP="004B11B7">
            <w:pPr>
              <w:jc w:val="right"/>
              <w:rPr>
                <w:color w:val="000000"/>
                <w:sz w:val="20"/>
                <w:szCs w:val="20"/>
              </w:rPr>
            </w:pPr>
            <w:r w:rsidRPr="00D618B7">
              <w:rPr>
                <w:color w:val="000000"/>
                <w:sz w:val="20"/>
                <w:szCs w:val="20"/>
              </w:rPr>
              <w:t>1</w:t>
            </w:r>
          </w:p>
        </w:tc>
        <w:tc>
          <w:tcPr>
            <w:tcW w:w="1046" w:type="dxa"/>
            <w:tcBorders>
              <w:top w:val="nil"/>
              <w:left w:val="nil"/>
              <w:bottom w:val="nil"/>
              <w:right w:val="nil"/>
            </w:tcBorders>
            <w:shd w:val="clear" w:color="000000" w:fill="FFFFFF"/>
            <w:noWrap/>
            <w:vAlign w:val="center"/>
            <w:hideMark/>
          </w:tcPr>
          <w:p w14:paraId="7552B730" w14:textId="77777777" w:rsidR="00B11545" w:rsidRPr="00D618B7" w:rsidRDefault="00B11545" w:rsidP="004B11B7">
            <w:pPr>
              <w:jc w:val="right"/>
              <w:rPr>
                <w:color w:val="000000"/>
                <w:sz w:val="20"/>
                <w:szCs w:val="20"/>
              </w:rPr>
            </w:pPr>
            <w:r w:rsidRPr="00D618B7">
              <w:rPr>
                <w:color w:val="000000"/>
                <w:sz w:val="20"/>
                <w:szCs w:val="20"/>
              </w:rPr>
              <w:t>402.69</w:t>
            </w:r>
          </w:p>
        </w:tc>
        <w:tc>
          <w:tcPr>
            <w:tcW w:w="1111" w:type="dxa"/>
            <w:tcBorders>
              <w:top w:val="nil"/>
              <w:left w:val="nil"/>
              <w:bottom w:val="nil"/>
              <w:right w:val="nil"/>
            </w:tcBorders>
            <w:shd w:val="clear" w:color="000000" w:fill="FFFFFF"/>
            <w:noWrap/>
            <w:vAlign w:val="center"/>
            <w:hideMark/>
          </w:tcPr>
          <w:p w14:paraId="014AACB8" w14:textId="77777777" w:rsidR="00B11545" w:rsidRPr="00D618B7" w:rsidRDefault="00B11545" w:rsidP="004B11B7">
            <w:pPr>
              <w:jc w:val="right"/>
              <w:rPr>
                <w:color w:val="000000"/>
                <w:sz w:val="20"/>
                <w:szCs w:val="20"/>
              </w:rPr>
            </w:pPr>
            <w:r w:rsidRPr="00D618B7">
              <w:rPr>
                <w:color w:val="000000"/>
                <w:sz w:val="20"/>
                <w:szCs w:val="20"/>
              </w:rPr>
              <w:t>5976.17</w:t>
            </w:r>
          </w:p>
        </w:tc>
        <w:tc>
          <w:tcPr>
            <w:tcW w:w="1580" w:type="dxa"/>
            <w:tcBorders>
              <w:top w:val="nil"/>
              <w:left w:val="nil"/>
              <w:bottom w:val="nil"/>
              <w:right w:val="nil"/>
            </w:tcBorders>
            <w:shd w:val="clear" w:color="000000" w:fill="FFFFFF"/>
            <w:noWrap/>
            <w:vAlign w:val="center"/>
            <w:hideMark/>
          </w:tcPr>
          <w:p w14:paraId="28D0C11F" w14:textId="77777777" w:rsidR="00B11545" w:rsidRPr="00D618B7" w:rsidRDefault="00B11545" w:rsidP="004B11B7">
            <w:pPr>
              <w:jc w:val="right"/>
              <w:rPr>
                <w:color w:val="000000"/>
                <w:sz w:val="20"/>
                <w:szCs w:val="20"/>
              </w:rPr>
            </w:pPr>
            <w:r w:rsidRPr="00D618B7">
              <w:rPr>
                <w:color w:val="000000"/>
                <w:sz w:val="20"/>
                <w:szCs w:val="20"/>
              </w:rPr>
              <w:t>1314.67</w:t>
            </w:r>
          </w:p>
        </w:tc>
        <w:tc>
          <w:tcPr>
            <w:tcW w:w="1100" w:type="dxa"/>
            <w:tcBorders>
              <w:top w:val="nil"/>
              <w:left w:val="nil"/>
              <w:bottom w:val="nil"/>
              <w:right w:val="nil"/>
            </w:tcBorders>
            <w:shd w:val="clear" w:color="000000" w:fill="FFFFFF"/>
            <w:noWrap/>
            <w:vAlign w:val="center"/>
            <w:hideMark/>
          </w:tcPr>
          <w:p w14:paraId="6B8D9787" w14:textId="77777777" w:rsidR="00B11545" w:rsidRPr="00D618B7" w:rsidRDefault="00B11545" w:rsidP="004B11B7">
            <w:pPr>
              <w:jc w:val="right"/>
              <w:rPr>
                <w:color w:val="000000"/>
                <w:sz w:val="20"/>
                <w:szCs w:val="20"/>
              </w:rPr>
            </w:pPr>
            <w:r w:rsidRPr="00D618B7">
              <w:rPr>
                <w:color w:val="000000"/>
                <w:sz w:val="20"/>
                <w:szCs w:val="20"/>
              </w:rPr>
              <w:t>5635.56</w:t>
            </w:r>
          </w:p>
        </w:tc>
        <w:tc>
          <w:tcPr>
            <w:tcW w:w="1635" w:type="dxa"/>
            <w:tcBorders>
              <w:top w:val="nil"/>
              <w:left w:val="nil"/>
              <w:bottom w:val="nil"/>
              <w:right w:val="nil"/>
            </w:tcBorders>
            <w:shd w:val="clear" w:color="000000" w:fill="FFFFFF"/>
            <w:noWrap/>
            <w:vAlign w:val="center"/>
            <w:hideMark/>
          </w:tcPr>
          <w:p w14:paraId="31FB1682" w14:textId="77777777" w:rsidR="00B11545" w:rsidRPr="00D618B7" w:rsidRDefault="00B11545" w:rsidP="004B11B7">
            <w:pPr>
              <w:jc w:val="right"/>
              <w:rPr>
                <w:color w:val="000000"/>
                <w:sz w:val="20"/>
                <w:szCs w:val="20"/>
              </w:rPr>
            </w:pPr>
            <w:r w:rsidRPr="00D618B7">
              <w:rPr>
                <w:color w:val="000000"/>
                <w:sz w:val="20"/>
                <w:szCs w:val="20"/>
              </w:rPr>
              <w:t>10542.75</w:t>
            </w:r>
          </w:p>
        </w:tc>
        <w:tc>
          <w:tcPr>
            <w:tcW w:w="1139" w:type="dxa"/>
            <w:tcBorders>
              <w:top w:val="nil"/>
              <w:left w:val="nil"/>
              <w:bottom w:val="nil"/>
              <w:right w:val="nil"/>
            </w:tcBorders>
            <w:shd w:val="clear" w:color="000000" w:fill="FFFFFF"/>
            <w:noWrap/>
            <w:vAlign w:val="center"/>
            <w:hideMark/>
          </w:tcPr>
          <w:p w14:paraId="089B5039" w14:textId="77777777" w:rsidR="00B11545" w:rsidRPr="00D618B7" w:rsidRDefault="00B11545" w:rsidP="004B11B7">
            <w:pPr>
              <w:jc w:val="right"/>
              <w:rPr>
                <w:color w:val="000000"/>
                <w:sz w:val="20"/>
                <w:szCs w:val="20"/>
              </w:rPr>
            </w:pPr>
            <w:r w:rsidRPr="00D618B7">
              <w:rPr>
                <w:color w:val="000000"/>
                <w:sz w:val="20"/>
                <w:szCs w:val="20"/>
              </w:rPr>
              <w:t>5667.21</w:t>
            </w:r>
          </w:p>
        </w:tc>
      </w:tr>
      <w:tr w:rsidR="00B11545" w:rsidRPr="00D618B7" w14:paraId="5E690BCD" w14:textId="77777777" w:rsidTr="00B11545">
        <w:trPr>
          <w:trHeight w:val="242"/>
        </w:trPr>
        <w:tc>
          <w:tcPr>
            <w:tcW w:w="1355" w:type="dxa"/>
            <w:tcBorders>
              <w:top w:val="nil"/>
              <w:left w:val="nil"/>
              <w:bottom w:val="nil"/>
              <w:right w:val="nil"/>
            </w:tcBorders>
            <w:shd w:val="clear" w:color="000000" w:fill="FFFFFF"/>
            <w:vAlign w:val="center"/>
            <w:hideMark/>
          </w:tcPr>
          <w:p w14:paraId="34579A61" w14:textId="77777777" w:rsidR="00B11545" w:rsidRPr="00D618B7" w:rsidRDefault="00B11545" w:rsidP="004B11B7">
            <w:pPr>
              <w:jc w:val="right"/>
              <w:rPr>
                <w:color w:val="000000"/>
                <w:sz w:val="20"/>
                <w:szCs w:val="20"/>
              </w:rPr>
            </w:pPr>
            <w:r w:rsidRPr="00D618B7">
              <w:rPr>
                <w:color w:val="000000"/>
                <w:sz w:val="20"/>
                <w:szCs w:val="20"/>
              </w:rPr>
              <w:t>2</w:t>
            </w:r>
          </w:p>
        </w:tc>
        <w:tc>
          <w:tcPr>
            <w:tcW w:w="1046" w:type="dxa"/>
            <w:tcBorders>
              <w:top w:val="nil"/>
              <w:left w:val="nil"/>
              <w:bottom w:val="nil"/>
              <w:right w:val="nil"/>
            </w:tcBorders>
            <w:shd w:val="clear" w:color="000000" w:fill="FFFFFF"/>
            <w:noWrap/>
            <w:vAlign w:val="center"/>
            <w:hideMark/>
          </w:tcPr>
          <w:p w14:paraId="1FCA3B3B" w14:textId="77777777" w:rsidR="00B11545" w:rsidRPr="00D618B7" w:rsidRDefault="00B11545" w:rsidP="004B11B7">
            <w:pPr>
              <w:jc w:val="right"/>
              <w:rPr>
                <w:color w:val="000000"/>
                <w:sz w:val="20"/>
                <w:szCs w:val="20"/>
              </w:rPr>
            </w:pPr>
            <w:r w:rsidRPr="00D618B7">
              <w:rPr>
                <w:color w:val="000000"/>
                <w:sz w:val="20"/>
                <w:szCs w:val="20"/>
              </w:rPr>
              <w:t>1116.12</w:t>
            </w:r>
          </w:p>
        </w:tc>
        <w:tc>
          <w:tcPr>
            <w:tcW w:w="1111" w:type="dxa"/>
            <w:tcBorders>
              <w:top w:val="nil"/>
              <w:left w:val="nil"/>
              <w:bottom w:val="nil"/>
              <w:right w:val="nil"/>
            </w:tcBorders>
            <w:shd w:val="clear" w:color="000000" w:fill="FFFFFF"/>
            <w:noWrap/>
            <w:vAlign w:val="center"/>
            <w:hideMark/>
          </w:tcPr>
          <w:p w14:paraId="2C4EFE8E" w14:textId="77777777" w:rsidR="00B11545" w:rsidRPr="00D618B7" w:rsidRDefault="00B11545" w:rsidP="004B11B7">
            <w:pPr>
              <w:jc w:val="right"/>
              <w:rPr>
                <w:color w:val="000000"/>
                <w:sz w:val="20"/>
                <w:szCs w:val="20"/>
              </w:rPr>
            </w:pPr>
            <w:r w:rsidRPr="00D618B7">
              <w:rPr>
                <w:color w:val="000000"/>
                <w:sz w:val="20"/>
                <w:szCs w:val="20"/>
              </w:rPr>
              <w:t>7275.95</w:t>
            </w:r>
          </w:p>
        </w:tc>
        <w:tc>
          <w:tcPr>
            <w:tcW w:w="1580" w:type="dxa"/>
            <w:tcBorders>
              <w:top w:val="nil"/>
              <w:left w:val="nil"/>
              <w:bottom w:val="nil"/>
              <w:right w:val="nil"/>
            </w:tcBorders>
            <w:shd w:val="clear" w:color="000000" w:fill="FFFFFF"/>
            <w:noWrap/>
            <w:vAlign w:val="center"/>
            <w:hideMark/>
          </w:tcPr>
          <w:p w14:paraId="6D88694C" w14:textId="77777777" w:rsidR="00B11545" w:rsidRPr="00D618B7" w:rsidRDefault="00B11545" w:rsidP="004B11B7">
            <w:pPr>
              <w:jc w:val="right"/>
              <w:rPr>
                <w:color w:val="000000"/>
                <w:sz w:val="20"/>
                <w:szCs w:val="20"/>
              </w:rPr>
            </w:pPr>
            <w:r w:rsidRPr="00D618B7">
              <w:rPr>
                <w:color w:val="000000"/>
                <w:sz w:val="20"/>
                <w:szCs w:val="20"/>
              </w:rPr>
              <w:t>-928.63</w:t>
            </w:r>
          </w:p>
        </w:tc>
        <w:tc>
          <w:tcPr>
            <w:tcW w:w="1100" w:type="dxa"/>
            <w:tcBorders>
              <w:top w:val="nil"/>
              <w:left w:val="nil"/>
              <w:bottom w:val="nil"/>
              <w:right w:val="nil"/>
            </w:tcBorders>
            <w:shd w:val="clear" w:color="000000" w:fill="FFFFFF"/>
            <w:noWrap/>
            <w:vAlign w:val="center"/>
            <w:hideMark/>
          </w:tcPr>
          <w:p w14:paraId="253C6F0A" w14:textId="77777777" w:rsidR="00B11545" w:rsidRPr="00D618B7" w:rsidRDefault="00B11545" w:rsidP="004B11B7">
            <w:pPr>
              <w:jc w:val="right"/>
              <w:rPr>
                <w:color w:val="000000"/>
                <w:sz w:val="20"/>
                <w:szCs w:val="20"/>
              </w:rPr>
            </w:pPr>
            <w:r w:rsidRPr="00D618B7">
              <w:rPr>
                <w:color w:val="000000"/>
                <w:sz w:val="20"/>
                <w:szCs w:val="20"/>
              </w:rPr>
              <w:t>6950.50</w:t>
            </w:r>
          </w:p>
        </w:tc>
        <w:tc>
          <w:tcPr>
            <w:tcW w:w="1635" w:type="dxa"/>
            <w:tcBorders>
              <w:top w:val="nil"/>
              <w:left w:val="nil"/>
              <w:bottom w:val="nil"/>
              <w:right w:val="nil"/>
            </w:tcBorders>
            <w:shd w:val="clear" w:color="000000" w:fill="FFFFFF"/>
            <w:noWrap/>
            <w:vAlign w:val="center"/>
            <w:hideMark/>
          </w:tcPr>
          <w:p w14:paraId="1A7C91CD" w14:textId="77777777" w:rsidR="00B11545" w:rsidRPr="00D618B7" w:rsidRDefault="00B11545" w:rsidP="004B11B7">
            <w:pPr>
              <w:jc w:val="right"/>
              <w:rPr>
                <w:color w:val="000000"/>
                <w:sz w:val="20"/>
                <w:szCs w:val="20"/>
              </w:rPr>
            </w:pPr>
            <w:r w:rsidRPr="00D618B7">
              <w:rPr>
                <w:color w:val="000000"/>
                <w:sz w:val="20"/>
                <w:szCs w:val="20"/>
              </w:rPr>
              <w:t>-4709.63</w:t>
            </w:r>
          </w:p>
        </w:tc>
        <w:tc>
          <w:tcPr>
            <w:tcW w:w="1139" w:type="dxa"/>
            <w:tcBorders>
              <w:top w:val="nil"/>
              <w:left w:val="nil"/>
              <w:bottom w:val="nil"/>
              <w:right w:val="nil"/>
            </w:tcBorders>
            <w:shd w:val="clear" w:color="000000" w:fill="FFFFFF"/>
            <w:noWrap/>
            <w:vAlign w:val="center"/>
            <w:hideMark/>
          </w:tcPr>
          <w:p w14:paraId="37F21DAB" w14:textId="77777777" w:rsidR="00B11545" w:rsidRPr="00D618B7" w:rsidRDefault="00B11545" w:rsidP="004B11B7">
            <w:pPr>
              <w:jc w:val="right"/>
              <w:rPr>
                <w:color w:val="000000"/>
                <w:sz w:val="20"/>
                <w:szCs w:val="20"/>
              </w:rPr>
            </w:pPr>
            <w:r w:rsidRPr="00D618B7">
              <w:rPr>
                <w:color w:val="000000"/>
                <w:sz w:val="20"/>
                <w:szCs w:val="20"/>
              </w:rPr>
              <w:t>6976.92</w:t>
            </w:r>
          </w:p>
        </w:tc>
      </w:tr>
      <w:tr w:rsidR="00B11545" w:rsidRPr="00D618B7" w14:paraId="2B99CA14" w14:textId="77777777" w:rsidTr="00B11545">
        <w:trPr>
          <w:trHeight w:val="242"/>
        </w:trPr>
        <w:tc>
          <w:tcPr>
            <w:tcW w:w="1355" w:type="dxa"/>
            <w:tcBorders>
              <w:top w:val="nil"/>
              <w:left w:val="nil"/>
              <w:bottom w:val="nil"/>
              <w:right w:val="nil"/>
            </w:tcBorders>
            <w:shd w:val="clear" w:color="000000" w:fill="FFFFFF"/>
            <w:vAlign w:val="center"/>
            <w:hideMark/>
          </w:tcPr>
          <w:p w14:paraId="7EF699C6" w14:textId="77777777" w:rsidR="00B11545" w:rsidRPr="00D618B7" w:rsidRDefault="00B11545" w:rsidP="004B11B7">
            <w:pPr>
              <w:jc w:val="right"/>
              <w:rPr>
                <w:color w:val="000000"/>
                <w:sz w:val="20"/>
                <w:szCs w:val="20"/>
              </w:rPr>
            </w:pPr>
            <w:r w:rsidRPr="00D618B7">
              <w:rPr>
                <w:color w:val="000000"/>
                <w:sz w:val="20"/>
                <w:szCs w:val="20"/>
              </w:rPr>
              <w:t>3</w:t>
            </w:r>
          </w:p>
        </w:tc>
        <w:tc>
          <w:tcPr>
            <w:tcW w:w="1046" w:type="dxa"/>
            <w:tcBorders>
              <w:top w:val="nil"/>
              <w:left w:val="nil"/>
              <w:bottom w:val="nil"/>
              <w:right w:val="nil"/>
            </w:tcBorders>
            <w:shd w:val="clear" w:color="000000" w:fill="FFFFFF"/>
            <w:noWrap/>
            <w:vAlign w:val="center"/>
            <w:hideMark/>
          </w:tcPr>
          <w:p w14:paraId="55764D1F" w14:textId="77777777" w:rsidR="00B11545" w:rsidRPr="00D618B7" w:rsidRDefault="00B11545" w:rsidP="004B11B7">
            <w:pPr>
              <w:jc w:val="right"/>
              <w:rPr>
                <w:color w:val="000000"/>
                <w:sz w:val="20"/>
                <w:szCs w:val="20"/>
              </w:rPr>
            </w:pPr>
            <w:r w:rsidRPr="00D618B7">
              <w:rPr>
                <w:color w:val="000000"/>
                <w:sz w:val="20"/>
                <w:szCs w:val="20"/>
              </w:rPr>
              <w:t>-955.95</w:t>
            </w:r>
          </w:p>
        </w:tc>
        <w:tc>
          <w:tcPr>
            <w:tcW w:w="1111" w:type="dxa"/>
            <w:tcBorders>
              <w:top w:val="nil"/>
              <w:left w:val="nil"/>
              <w:bottom w:val="nil"/>
              <w:right w:val="nil"/>
            </w:tcBorders>
            <w:shd w:val="clear" w:color="000000" w:fill="FFFFFF"/>
            <w:noWrap/>
            <w:vAlign w:val="center"/>
            <w:hideMark/>
          </w:tcPr>
          <w:p w14:paraId="36797268" w14:textId="77777777" w:rsidR="00B11545" w:rsidRPr="00D618B7" w:rsidRDefault="00B11545" w:rsidP="004B11B7">
            <w:pPr>
              <w:jc w:val="right"/>
              <w:rPr>
                <w:color w:val="000000"/>
                <w:sz w:val="20"/>
                <w:szCs w:val="20"/>
              </w:rPr>
            </w:pPr>
            <w:r w:rsidRPr="00D618B7">
              <w:rPr>
                <w:color w:val="000000"/>
                <w:sz w:val="20"/>
                <w:szCs w:val="20"/>
              </w:rPr>
              <w:t>5945.74</w:t>
            </w:r>
          </w:p>
        </w:tc>
        <w:tc>
          <w:tcPr>
            <w:tcW w:w="1580" w:type="dxa"/>
            <w:tcBorders>
              <w:top w:val="nil"/>
              <w:left w:val="nil"/>
              <w:bottom w:val="nil"/>
              <w:right w:val="nil"/>
            </w:tcBorders>
            <w:shd w:val="clear" w:color="000000" w:fill="FFFFFF"/>
            <w:noWrap/>
            <w:vAlign w:val="center"/>
            <w:hideMark/>
          </w:tcPr>
          <w:p w14:paraId="6C26D8F2" w14:textId="77777777" w:rsidR="00B11545" w:rsidRPr="00D618B7" w:rsidRDefault="00B11545" w:rsidP="004B11B7">
            <w:pPr>
              <w:jc w:val="right"/>
              <w:rPr>
                <w:color w:val="000000"/>
                <w:sz w:val="20"/>
                <w:szCs w:val="20"/>
              </w:rPr>
            </w:pPr>
            <w:r w:rsidRPr="00D618B7">
              <w:rPr>
                <w:color w:val="000000"/>
                <w:sz w:val="20"/>
                <w:szCs w:val="20"/>
              </w:rPr>
              <w:t>-455.74</w:t>
            </w:r>
          </w:p>
        </w:tc>
        <w:tc>
          <w:tcPr>
            <w:tcW w:w="1100" w:type="dxa"/>
            <w:tcBorders>
              <w:top w:val="nil"/>
              <w:left w:val="nil"/>
              <w:bottom w:val="nil"/>
              <w:right w:val="nil"/>
            </w:tcBorders>
            <w:shd w:val="clear" w:color="000000" w:fill="FFFFFF"/>
            <w:noWrap/>
            <w:vAlign w:val="center"/>
            <w:hideMark/>
          </w:tcPr>
          <w:p w14:paraId="295D9B99" w14:textId="77777777" w:rsidR="00B11545" w:rsidRPr="00D618B7" w:rsidRDefault="00B11545" w:rsidP="004B11B7">
            <w:pPr>
              <w:jc w:val="right"/>
              <w:rPr>
                <w:color w:val="000000"/>
                <w:sz w:val="20"/>
                <w:szCs w:val="20"/>
              </w:rPr>
            </w:pPr>
            <w:r w:rsidRPr="00D618B7">
              <w:rPr>
                <w:color w:val="000000"/>
                <w:sz w:val="20"/>
                <w:szCs w:val="20"/>
              </w:rPr>
              <w:t>5677.42</w:t>
            </w:r>
          </w:p>
        </w:tc>
        <w:tc>
          <w:tcPr>
            <w:tcW w:w="1635" w:type="dxa"/>
            <w:tcBorders>
              <w:top w:val="nil"/>
              <w:left w:val="nil"/>
              <w:bottom w:val="nil"/>
              <w:right w:val="nil"/>
            </w:tcBorders>
            <w:shd w:val="clear" w:color="000000" w:fill="FFFFFF"/>
            <w:noWrap/>
            <w:vAlign w:val="center"/>
            <w:hideMark/>
          </w:tcPr>
          <w:p w14:paraId="072714C7" w14:textId="77777777" w:rsidR="00B11545" w:rsidRPr="00D618B7" w:rsidRDefault="00B11545" w:rsidP="004B11B7">
            <w:pPr>
              <w:jc w:val="right"/>
              <w:rPr>
                <w:color w:val="000000"/>
                <w:sz w:val="20"/>
                <w:szCs w:val="20"/>
              </w:rPr>
            </w:pPr>
            <w:r w:rsidRPr="00D618B7">
              <w:rPr>
                <w:color w:val="000000"/>
                <w:sz w:val="20"/>
                <w:szCs w:val="20"/>
              </w:rPr>
              <w:t>928.72</w:t>
            </w:r>
          </w:p>
        </w:tc>
        <w:tc>
          <w:tcPr>
            <w:tcW w:w="1139" w:type="dxa"/>
            <w:tcBorders>
              <w:top w:val="nil"/>
              <w:left w:val="nil"/>
              <w:bottom w:val="nil"/>
              <w:right w:val="nil"/>
            </w:tcBorders>
            <w:shd w:val="clear" w:color="000000" w:fill="FFFFFF"/>
            <w:noWrap/>
            <w:vAlign w:val="center"/>
            <w:hideMark/>
          </w:tcPr>
          <w:p w14:paraId="0154C1C1" w14:textId="77777777" w:rsidR="00B11545" w:rsidRPr="00D618B7" w:rsidRDefault="00B11545" w:rsidP="004B11B7">
            <w:pPr>
              <w:jc w:val="right"/>
              <w:rPr>
                <w:color w:val="000000"/>
                <w:sz w:val="20"/>
                <w:szCs w:val="20"/>
              </w:rPr>
            </w:pPr>
            <w:r w:rsidRPr="00D618B7">
              <w:rPr>
                <w:color w:val="000000"/>
                <w:sz w:val="20"/>
                <w:szCs w:val="20"/>
              </w:rPr>
              <w:t>5712.59</w:t>
            </w:r>
          </w:p>
        </w:tc>
      </w:tr>
      <w:tr w:rsidR="00B11545" w:rsidRPr="00D618B7" w14:paraId="7CCEC28B" w14:textId="77777777" w:rsidTr="00B11545">
        <w:trPr>
          <w:trHeight w:val="242"/>
        </w:trPr>
        <w:tc>
          <w:tcPr>
            <w:tcW w:w="1355" w:type="dxa"/>
            <w:tcBorders>
              <w:top w:val="nil"/>
              <w:left w:val="nil"/>
              <w:right w:val="nil"/>
            </w:tcBorders>
            <w:shd w:val="clear" w:color="000000" w:fill="FFFFFF"/>
            <w:vAlign w:val="center"/>
            <w:hideMark/>
          </w:tcPr>
          <w:p w14:paraId="45EA2740" w14:textId="77777777" w:rsidR="00B11545" w:rsidRPr="00D618B7" w:rsidRDefault="00B11545" w:rsidP="004B11B7">
            <w:pPr>
              <w:jc w:val="right"/>
              <w:rPr>
                <w:color w:val="000000"/>
                <w:sz w:val="20"/>
                <w:szCs w:val="20"/>
              </w:rPr>
            </w:pPr>
            <w:r w:rsidRPr="00D618B7">
              <w:rPr>
                <w:color w:val="000000"/>
                <w:sz w:val="20"/>
                <w:szCs w:val="20"/>
              </w:rPr>
              <w:t>4</w:t>
            </w:r>
          </w:p>
        </w:tc>
        <w:tc>
          <w:tcPr>
            <w:tcW w:w="1046" w:type="dxa"/>
            <w:tcBorders>
              <w:top w:val="nil"/>
              <w:left w:val="nil"/>
              <w:right w:val="nil"/>
            </w:tcBorders>
            <w:shd w:val="clear" w:color="000000" w:fill="FFFFFF"/>
            <w:noWrap/>
            <w:vAlign w:val="center"/>
            <w:hideMark/>
          </w:tcPr>
          <w:p w14:paraId="42F09A41" w14:textId="77777777" w:rsidR="00B11545" w:rsidRPr="00D618B7" w:rsidRDefault="00B11545" w:rsidP="004B11B7">
            <w:pPr>
              <w:jc w:val="right"/>
              <w:rPr>
                <w:color w:val="000000"/>
                <w:sz w:val="20"/>
                <w:szCs w:val="20"/>
              </w:rPr>
            </w:pPr>
            <w:r w:rsidRPr="00D618B7">
              <w:rPr>
                <w:color w:val="000000"/>
                <w:sz w:val="20"/>
                <w:szCs w:val="20"/>
              </w:rPr>
              <w:t>1200.45</w:t>
            </w:r>
          </w:p>
        </w:tc>
        <w:tc>
          <w:tcPr>
            <w:tcW w:w="1111" w:type="dxa"/>
            <w:tcBorders>
              <w:top w:val="nil"/>
              <w:left w:val="nil"/>
              <w:right w:val="nil"/>
            </w:tcBorders>
            <w:shd w:val="clear" w:color="000000" w:fill="FFFFFF"/>
            <w:noWrap/>
            <w:vAlign w:val="center"/>
            <w:hideMark/>
          </w:tcPr>
          <w:p w14:paraId="235A833C" w14:textId="77777777" w:rsidR="00B11545" w:rsidRPr="00D618B7" w:rsidRDefault="00B11545" w:rsidP="004B11B7">
            <w:pPr>
              <w:jc w:val="right"/>
              <w:rPr>
                <w:color w:val="000000"/>
                <w:sz w:val="20"/>
                <w:szCs w:val="20"/>
              </w:rPr>
            </w:pPr>
            <w:r w:rsidRPr="00D618B7">
              <w:rPr>
                <w:color w:val="000000"/>
                <w:sz w:val="20"/>
                <w:szCs w:val="20"/>
              </w:rPr>
              <w:t>6447.17</w:t>
            </w:r>
          </w:p>
        </w:tc>
        <w:tc>
          <w:tcPr>
            <w:tcW w:w="1580" w:type="dxa"/>
            <w:tcBorders>
              <w:top w:val="nil"/>
              <w:left w:val="nil"/>
              <w:right w:val="nil"/>
            </w:tcBorders>
            <w:shd w:val="clear" w:color="000000" w:fill="FFFFFF"/>
            <w:noWrap/>
            <w:vAlign w:val="center"/>
            <w:hideMark/>
          </w:tcPr>
          <w:p w14:paraId="6269638B" w14:textId="77777777" w:rsidR="00B11545" w:rsidRPr="00D618B7" w:rsidRDefault="00B11545" w:rsidP="004B11B7">
            <w:pPr>
              <w:jc w:val="right"/>
              <w:rPr>
                <w:color w:val="000000"/>
                <w:sz w:val="20"/>
                <w:szCs w:val="20"/>
              </w:rPr>
            </w:pPr>
            <w:r w:rsidRPr="00D618B7">
              <w:rPr>
                <w:color w:val="000000"/>
                <w:sz w:val="20"/>
                <w:szCs w:val="20"/>
              </w:rPr>
              <w:t>-1103.23</w:t>
            </w:r>
          </w:p>
        </w:tc>
        <w:tc>
          <w:tcPr>
            <w:tcW w:w="1100" w:type="dxa"/>
            <w:tcBorders>
              <w:top w:val="nil"/>
              <w:left w:val="nil"/>
              <w:right w:val="nil"/>
            </w:tcBorders>
            <w:shd w:val="clear" w:color="000000" w:fill="FFFFFF"/>
            <w:noWrap/>
            <w:vAlign w:val="center"/>
            <w:hideMark/>
          </w:tcPr>
          <w:p w14:paraId="001CC808" w14:textId="77777777" w:rsidR="00B11545" w:rsidRPr="00D618B7" w:rsidRDefault="00B11545" w:rsidP="004B11B7">
            <w:pPr>
              <w:jc w:val="right"/>
              <w:rPr>
                <w:color w:val="000000"/>
                <w:sz w:val="20"/>
                <w:szCs w:val="20"/>
              </w:rPr>
            </w:pPr>
            <w:r w:rsidRPr="00D618B7">
              <w:rPr>
                <w:color w:val="000000"/>
                <w:sz w:val="20"/>
                <w:szCs w:val="20"/>
              </w:rPr>
              <w:t>6127.10</w:t>
            </w:r>
          </w:p>
        </w:tc>
        <w:tc>
          <w:tcPr>
            <w:tcW w:w="1635" w:type="dxa"/>
            <w:tcBorders>
              <w:top w:val="nil"/>
              <w:left w:val="nil"/>
              <w:right w:val="nil"/>
            </w:tcBorders>
            <w:shd w:val="clear" w:color="000000" w:fill="FFFFFF"/>
            <w:noWrap/>
            <w:vAlign w:val="center"/>
            <w:hideMark/>
          </w:tcPr>
          <w:p w14:paraId="6B328A09" w14:textId="77777777" w:rsidR="00B11545" w:rsidRPr="00D618B7" w:rsidRDefault="00B11545" w:rsidP="004B11B7">
            <w:pPr>
              <w:jc w:val="right"/>
              <w:rPr>
                <w:color w:val="000000"/>
                <w:sz w:val="20"/>
                <w:szCs w:val="20"/>
              </w:rPr>
            </w:pPr>
            <w:r w:rsidRPr="00D618B7">
              <w:rPr>
                <w:color w:val="000000"/>
                <w:sz w:val="20"/>
                <w:szCs w:val="20"/>
              </w:rPr>
              <w:t>4938.20</w:t>
            </w:r>
          </w:p>
        </w:tc>
        <w:tc>
          <w:tcPr>
            <w:tcW w:w="1139" w:type="dxa"/>
            <w:tcBorders>
              <w:top w:val="nil"/>
              <w:left w:val="nil"/>
              <w:right w:val="nil"/>
            </w:tcBorders>
            <w:shd w:val="clear" w:color="000000" w:fill="FFFFFF"/>
            <w:noWrap/>
            <w:vAlign w:val="center"/>
            <w:hideMark/>
          </w:tcPr>
          <w:p w14:paraId="0CE65EC7" w14:textId="77777777" w:rsidR="00B11545" w:rsidRPr="00D618B7" w:rsidRDefault="00B11545" w:rsidP="004B11B7">
            <w:pPr>
              <w:jc w:val="right"/>
              <w:rPr>
                <w:color w:val="000000"/>
                <w:sz w:val="20"/>
                <w:szCs w:val="20"/>
              </w:rPr>
            </w:pPr>
            <w:r w:rsidRPr="00D618B7">
              <w:rPr>
                <w:color w:val="000000"/>
                <w:sz w:val="20"/>
                <w:szCs w:val="20"/>
              </w:rPr>
              <w:t>6192.34</w:t>
            </w:r>
          </w:p>
        </w:tc>
      </w:tr>
      <w:tr w:rsidR="00B11545" w:rsidRPr="00D618B7" w14:paraId="4736B65F" w14:textId="77777777" w:rsidTr="00B11545">
        <w:trPr>
          <w:trHeight w:val="254"/>
        </w:trPr>
        <w:tc>
          <w:tcPr>
            <w:tcW w:w="1355" w:type="dxa"/>
            <w:tcBorders>
              <w:top w:val="nil"/>
              <w:left w:val="nil"/>
              <w:bottom w:val="single" w:sz="18" w:space="0" w:color="auto"/>
              <w:right w:val="nil"/>
            </w:tcBorders>
            <w:shd w:val="clear" w:color="000000" w:fill="FFFFFF"/>
            <w:vAlign w:val="center"/>
            <w:hideMark/>
          </w:tcPr>
          <w:p w14:paraId="230A4EED" w14:textId="77777777" w:rsidR="00B11545" w:rsidRPr="00D618B7" w:rsidRDefault="00B11545" w:rsidP="004B11B7">
            <w:pPr>
              <w:jc w:val="right"/>
              <w:rPr>
                <w:color w:val="000000"/>
                <w:sz w:val="20"/>
                <w:szCs w:val="20"/>
              </w:rPr>
            </w:pPr>
            <w:r w:rsidRPr="00D618B7">
              <w:rPr>
                <w:color w:val="000000"/>
                <w:sz w:val="20"/>
                <w:szCs w:val="20"/>
              </w:rPr>
              <w:t>5</w:t>
            </w:r>
          </w:p>
        </w:tc>
        <w:tc>
          <w:tcPr>
            <w:tcW w:w="1046" w:type="dxa"/>
            <w:tcBorders>
              <w:top w:val="nil"/>
              <w:left w:val="nil"/>
              <w:bottom w:val="single" w:sz="18" w:space="0" w:color="auto"/>
              <w:right w:val="nil"/>
            </w:tcBorders>
            <w:shd w:val="clear" w:color="000000" w:fill="FFFFFF"/>
            <w:noWrap/>
            <w:vAlign w:val="center"/>
            <w:hideMark/>
          </w:tcPr>
          <w:p w14:paraId="5D829A76" w14:textId="77777777" w:rsidR="00B11545" w:rsidRPr="00D618B7" w:rsidRDefault="00B11545" w:rsidP="004B11B7">
            <w:pPr>
              <w:jc w:val="right"/>
              <w:rPr>
                <w:color w:val="000000"/>
                <w:sz w:val="20"/>
                <w:szCs w:val="20"/>
              </w:rPr>
            </w:pPr>
            <w:r w:rsidRPr="00D618B7">
              <w:rPr>
                <w:color w:val="000000"/>
                <w:sz w:val="20"/>
                <w:szCs w:val="20"/>
              </w:rPr>
              <w:t>-1372.03</w:t>
            </w:r>
          </w:p>
        </w:tc>
        <w:tc>
          <w:tcPr>
            <w:tcW w:w="1111" w:type="dxa"/>
            <w:tcBorders>
              <w:top w:val="nil"/>
              <w:left w:val="nil"/>
              <w:bottom w:val="single" w:sz="18" w:space="0" w:color="auto"/>
              <w:right w:val="nil"/>
            </w:tcBorders>
            <w:shd w:val="clear" w:color="000000" w:fill="FFFFFF"/>
            <w:noWrap/>
            <w:vAlign w:val="center"/>
            <w:hideMark/>
          </w:tcPr>
          <w:p w14:paraId="766C7BD4" w14:textId="77777777" w:rsidR="00B11545" w:rsidRPr="00D618B7" w:rsidRDefault="00B11545" w:rsidP="004B11B7">
            <w:pPr>
              <w:jc w:val="right"/>
              <w:rPr>
                <w:color w:val="000000"/>
                <w:sz w:val="20"/>
                <w:szCs w:val="20"/>
              </w:rPr>
            </w:pPr>
            <w:r w:rsidRPr="00D618B7">
              <w:rPr>
                <w:color w:val="000000"/>
                <w:sz w:val="20"/>
                <w:szCs w:val="20"/>
              </w:rPr>
              <w:t>6983.45</w:t>
            </w:r>
          </w:p>
        </w:tc>
        <w:tc>
          <w:tcPr>
            <w:tcW w:w="1580" w:type="dxa"/>
            <w:tcBorders>
              <w:top w:val="nil"/>
              <w:left w:val="nil"/>
              <w:bottom w:val="single" w:sz="18" w:space="0" w:color="auto"/>
              <w:right w:val="nil"/>
            </w:tcBorders>
            <w:shd w:val="clear" w:color="000000" w:fill="FFFFFF"/>
            <w:noWrap/>
            <w:vAlign w:val="center"/>
            <w:hideMark/>
          </w:tcPr>
          <w:p w14:paraId="3AD7617D" w14:textId="77777777" w:rsidR="00B11545" w:rsidRPr="00D618B7" w:rsidRDefault="00B11545" w:rsidP="004B11B7">
            <w:pPr>
              <w:jc w:val="right"/>
              <w:rPr>
                <w:color w:val="000000"/>
                <w:sz w:val="20"/>
                <w:szCs w:val="20"/>
              </w:rPr>
            </w:pPr>
            <w:r w:rsidRPr="00D618B7">
              <w:rPr>
                <w:color w:val="000000"/>
                <w:sz w:val="20"/>
                <w:szCs w:val="20"/>
              </w:rPr>
              <w:t>3856.92</w:t>
            </w:r>
          </w:p>
        </w:tc>
        <w:tc>
          <w:tcPr>
            <w:tcW w:w="1100" w:type="dxa"/>
            <w:tcBorders>
              <w:top w:val="nil"/>
              <w:left w:val="nil"/>
              <w:bottom w:val="single" w:sz="18" w:space="0" w:color="auto"/>
              <w:right w:val="nil"/>
            </w:tcBorders>
            <w:shd w:val="clear" w:color="000000" w:fill="FFFFFF"/>
            <w:noWrap/>
            <w:vAlign w:val="center"/>
            <w:hideMark/>
          </w:tcPr>
          <w:p w14:paraId="73C3BA6B" w14:textId="77777777" w:rsidR="00B11545" w:rsidRPr="00D618B7" w:rsidRDefault="00B11545" w:rsidP="004B11B7">
            <w:pPr>
              <w:jc w:val="right"/>
              <w:rPr>
                <w:color w:val="000000"/>
                <w:sz w:val="20"/>
                <w:szCs w:val="20"/>
              </w:rPr>
            </w:pPr>
            <w:r w:rsidRPr="00D618B7">
              <w:rPr>
                <w:color w:val="000000"/>
                <w:sz w:val="20"/>
                <w:szCs w:val="20"/>
              </w:rPr>
              <w:t>6588.24</w:t>
            </w:r>
          </w:p>
        </w:tc>
        <w:tc>
          <w:tcPr>
            <w:tcW w:w="1635" w:type="dxa"/>
            <w:tcBorders>
              <w:top w:val="nil"/>
              <w:left w:val="nil"/>
              <w:bottom w:val="single" w:sz="18" w:space="0" w:color="auto"/>
              <w:right w:val="nil"/>
            </w:tcBorders>
            <w:shd w:val="clear" w:color="000000" w:fill="FFFFFF"/>
            <w:noWrap/>
            <w:vAlign w:val="center"/>
            <w:hideMark/>
          </w:tcPr>
          <w:p w14:paraId="36D39C0C" w14:textId="77777777" w:rsidR="00B11545" w:rsidRPr="00D618B7" w:rsidRDefault="00B11545" w:rsidP="004B11B7">
            <w:pPr>
              <w:jc w:val="right"/>
              <w:rPr>
                <w:color w:val="000000"/>
                <w:sz w:val="20"/>
                <w:szCs w:val="20"/>
              </w:rPr>
            </w:pPr>
            <w:r w:rsidRPr="00D618B7">
              <w:rPr>
                <w:color w:val="000000"/>
                <w:sz w:val="20"/>
                <w:szCs w:val="20"/>
              </w:rPr>
              <w:t>-3737.20</w:t>
            </w:r>
          </w:p>
        </w:tc>
        <w:tc>
          <w:tcPr>
            <w:tcW w:w="1139" w:type="dxa"/>
            <w:tcBorders>
              <w:top w:val="nil"/>
              <w:left w:val="nil"/>
              <w:bottom w:val="single" w:sz="18" w:space="0" w:color="auto"/>
              <w:right w:val="nil"/>
            </w:tcBorders>
            <w:shd w:val="clear" w:color="000000" w:fill="FFFFFF"/>
            <w:noWrap/>
            <w:vAlign w:val="center"/>
            <w:hideMark/>
          </w:tcPr>
          <w:p w14:paraId="6F1657E4" w14:textId="77777777" w:rsidR="00B11545" w:rsidRPr="00D618B7" w:rsidRDefault="00B11545" w:rsidP="004B11B7">
            <w:pPr>
              <w:jc w:val="right"/>
              <w:rPr>
                <w:color w:val="000000"/>
                <w:sz w:val="20"/>
                <w:szCs w:val="20"/>
              </w:rPr>
            </w:pPr>
            <w:r w:rsidRPr="00D618B7">
              <w:rPr>
                <w:color w:val="000000"/>
                <w:sz w:val="20"/>
                <w:szCs w:val="20"/>
              </w:rPr>
              <w:t>6679.92</w:t>
            </w:r>
          </w:p>
        </w:tc>
      </w:tr>
    </w:tbl>
    <w:p w14:paraId="18FF2DC2" w14:textId="77777777" w:rsidR="00B11545" w:rsidRPr="00D618B7" w:rsidRDefault="00B11545" w:rsidP="00B11545">
      <w:pPr>
        <w:rPr>
          <w:i/>
          <w:iCs/>
        </w:rPr>
      </w:pPr>
    </w:p>
    <w:p w14:paraId="108B3DC0" w14:textId="12016473" w:rsidR="00B11545" w:rsidRPr="00D618B7" w:rsidRDefault="00B11545" w:rsidP="00B11545">
      <w:r w:rsidRPr="00D618B7">
        <w:rPr>
          <w:i/>
          <w:iCs/>
        </w:rPr>
        <w:t>Note</w:t>
      </w:r>
      <w:r w:rsidRPr="00D618B7">
        <w:t>: This table lists the estimated mean summed duration and standard error in milliseconds for face, hand, and mouth events for toy-out-of-reach, toy-moving-into-reach, and toy-in-reach for each week of observation around reach-onset.</w:t>
      </w:r>
    </w:p>
    <w:p w14:paraId="5A7740B4" w14:textId="77777777" w:rsidR="00B11545" w:rsidRPr="00D618B7" w:rsidRDefault="00B11545">
      <w:r w:rsidRPr="00D618B7">
        <w:br w:type="page"/>
      </w:r>
    </w:p>
    <w:p w14:paraId="1EF098B2" w14:textId="15BA684B" w:rsidR="00C57515" w:rsidRPr="00D618B7" w:rsidRDefault="00C57515" w:rsidP="007C5074">
      <w:pPr>
        <w:pStyle w:val="Caption"/>
      </w:pPr>
      <w:bookmarkStart w:id="158" w:name="_Toc172716855"/>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27</w:t>
      </w:r>
      <w:r w:rsidR="00000000">
        <w:rPr>
          <w:noProof/>
        </w:rPr>
        <w:fldChar w:fldCharType="end"/>
      </w:r>
      <w:r w:rsidRPr="00D618B7">
        <w:t>: Event average duration by week</w:t>
      </w:r>
      <w:bookmarkEnd w:id="158"/>
    </w:p>
    <w:p w14:paraId="686E76F5" w14:textId="4B29D581" w:rsidR="00C57515" w:rsidRPr="00D618B7" w:rsidRDefault="00C57515" w:rsidP="00C57515">
      <w:r w:rsidRPr="00D618B7">
        <w:t>Estimated Mean Average Duration of Events by Week</w:t>
      </w:r>
    </w:p>
    <w:tbl>
      <w:tblPr>
        <w:tblW w:w="5000" w:type="pct"/>
        <w:tblLook w:val="04A0" w:firstRow="1" w:lastRow="0" w:firstColumn="1" w:lastColumn="0" w:noHBand="0" w:noVBand="1"/>
      </w:tblPr>
      <w:tblGrid>
        <w:gridCol w:w="3846"/>
        <w:gridCol w:w="2397"/>
        <w:gridCol w:w="2397"/>
      </w:tblGrid>
      <w:tr w:rsidR="00C57515" w:rsidRPr="00D618B7" w14:paraId="1099FC6C" w14:textId="77777777" w:rsidTr="004B11B7">
        <w:trPr>
          <w:trHeight w:val="307"/>
        </w:trPr>
        <w:tc>
          <w:tcPr>
            <w:tcW w:w="2226" w:type="pct"/>
            <w:tcBorders>
              <w:top w:val="single" w:sz="4" w:space="0" w:color="auto"/>
              <w:left w:val="nil"/>
              <w:bottom w:val="single" w:sz="8" w:space="0" w:color="auto"/>
              <w:right w:val="nil"/>
            </w:tcBorders>
            <w:shd w:val="clear" w:color="000000" w:fill="FFFFFF"/>
            <w:vAlign w:val="center"/>
            <w:hideMark/>
          </w:tcPr>
          <w:p w14:paraId="70D68EE9" w14:textId="77777777" w:rsidR="00C57515" w:rsidRPr="00D618B7" w:rsidRDefault="00C57515" w:rsidP="004B11B7">
            <w:pPr>
              <w:rPr>
                <w:color w:val="000000"/>
              </w:rPr>
            </w:pPr>
            <w:r w:rsidRPr="00D618B7">
              <w:rPr>
                <w:color w:val="000000"/>
              </w:rPr>
              <w:t>Week</w:t>
            </w:r>
          </w:p>
        </w:tc>
        <w:tc>
          <w:tcPr>
            <w:tcW w:w="1387" w:type="pct"/>
            <w:tcBorders>
              <w:top w:val="single" w:sz="4" w:space="0" w:color="auto"/>
              <w:left w:val="nil"/>
              <w:bottom w:val="single" w:sz="8" w:space="0" w:color="auto"/>
              <w:right w:val="nil"/>
            </w:tcBorders>
            <w:shd w:val="clear" w:color="000000" w:fill="FFFFFF"/>
            <w:noWrap/>
            <w:vAlign w:val="center"/>
            <w:hideMark/>
          </w:tcPr>
          <w:p w14:paraId="72356EC9" w14:textId="77777777" w:rsidR="00C57515" w:rsidRPr="00D618B7" w:rsidRDefault="00C57515" w:rsidP="004B11B7">
            <w:pPr>
              <w:jc w:val="right"/>
              <w:rPr>
                <w:color w:val="000000"/>
              </w:rPr>
            </w:pPr>
            <w:r w:rsidRPr="00D618B7">
              <w:rPr>
                <w:color w:val="000000"/>
              </w:rPr>
              <w:t>Mean</w:t>
            </w:r>
          </w:p>
        </w:tc>
        <w:tc>
          <w:tcPr>
            <w:tcW w:w="1387" w:type="pct"/>
            <w:tcBorders>
              <w:top w:val="single" w:sz="4" w:space="0" w:color="auto"/>
              <w:left w:val="nil"/>
              <w:bottom w:val="single" w:sz="8" w:space="0" w:color="auto"/>
              <w:right w:val="nil"/>
            </w:tcBorders>
            <w:shd w:val="clear" w:color="000000" w:fill="FFFFFF"/>
            <w:noWrap/>
            <w:vAlign w:val="center"/>
            <w:hideMark/>
          </w:tcPr>
          <w:p w14:paraId="06E815D3" w14:textId="77777777" w:rsidR="00C57515" w:rsidRPr="00D618B7" w:rsidRDefault="00C57515" w:rsidP="004B11B7">
            <w:pPr>
              <w:jc w:val="right"/>
              <w:rPr>
                <w:color w:val="000000"/>
              </w:rPr>
            </w:pPr>
            <w:r w:rsidRPr="00D618B7">
              <w:rPr>
                <w:color w:val="000000"/>
              </w:rPr>
              <w:t>Std. Error</w:t>
            </w:r>
          </w:p>
        </w:tc>
      </w:tr>
      <w:tr w:rsidR="001572CA" w:rsidRPr="00D618B7" w14:paraId="61614557" w14:textId="77777777" w:rsidTr="00011DED">
        <w:trPr>
          <w:trHeight w:val="307"/>
        </w:trPr>
        <w:tc>
          <w:tcPr>
            <w:tcW w:w="2226" w:type="pct"/>
            <w:tcBorders>
              <w:top w:val="nil"/>
              <w:left w:val="nil"/>
              <w:bottom w:val="nil"/>
              <w:right w:val="nil"/>
            </w:tcBorders>
            <w:shd w:val="clear" w:color="000000" w:fill="FFFFFF"/>
            <w:vAlign w:val="center"/>
            <w:hideMark/>
          </w:tcPr>
          <w:p w14:paraId="7E757A9F" w14:textId="77777777" w:rsidR="001572CA" w:rsidRPr="00D618B7" w:rsidRDefault="001572CA" w:rsidP="001572CA">
            <w:pPr>
              <w:jc w:val="center"/>
              <w:rPr>
                <w:color w:val="000000"/>
              </w:rPr>
            </w:pPr>
            <w:r w:rsidRPr="00D618B7">
              <w:rPr>
                <w:color w:val="000000"/>
              </w:rPr>
              <w:t>-5</w:t>
            </w:r>
          </w:p>
        </w:tc>
        <w:tc>
          <w:tcPr>
            <w:tcW w:w="1387" w:type="pct"/>
            <w:tcBorders>
              <w:top w:val="nil"/>
              <w:left w:val="nil"/>
              <w:bottom w:val="nil"/>
              <w:right w:val="nil"/>
            </w:tcBorders>
            <w:shd w:val="clear" w:color="000000" w:fill="FFFFFF"/>
            <w:noWrap/>
            <w:vAlign w:val="center"/>
            <w:hideMark/>
          </w:tcPr>
          <w:p w14:paraId="7BEE1939" w14:textId="77814FDE" w:rsidR="001572CA" w:rsidRPr="00D618B7" w:rsidRDefault="001572CA" w:rsidP="001572CA">
            <w:pPr>
              <w:jc w:val="right"/>
              <w:rPr>
                <w:color w:val="000000"/>
              </w:rPr>
            </w:pPr>
            <w:r w:rsidRPr="00D618B7">
              <w:rPr>
                <w:color w:val="000000"/>
              </w:rPr>
              <w:t>165.45</w:t>
            </w:r>
          </w:p>
        </w:tc>
        <w:tc>
          <w:tcPr>
            <w:tcW w:w="1387" w:type="pct"/>
            <w:tcBorders>
              <w:top w:val="nil"/>
              <w:left w:val="nil"/>
              <w:bottom w:val="nil"/>
              <w:right w:val="nil"/>
            </w:tcBorders>
            <w:shd w:val="clear" w:color="000000" w:fill="FFFFFF"/>
            <w:noWrap/>
            <w:vAlign w:val="center"/>
            <w:hideMark/>
          </w:tcPr>
          <w:p w14:paraId="784A9C76" w14:textId="1597FBD3" w:rsidR="001572CA" w:rsidRPr="00D618B7" w:rsidRDefault="001572CA" w:rsidP="001572CA">
            <w:pPr>
              <w:jc w:val="right"/>
              <w:rPr>
                <w:color w:val="000000"/>
              </w:rPr>
            </w:pPr>
            <w:r w:rsidRPr="00D618B7">
              <w:rPr>
                <w:color w:val="000000"/>
              </w:rPr>
              <w:t>154.71</w:t>
            </w:r>
          </w:p>
        </w:tc>
      </w:tr>
      <w:tr w:rsidR="001572CA" w:rsidRPr="00D618B7" w14:paraId="68CC3D96" w14:textId="77777777" w:rsidTr="00011DED">
        <w:trPr>
          <w:trHeight w:val="307"/>
        </w:trPr>
        <w:tc>
          <w:tcPr>
            <w:tcW w:w="2226" w:type="pct"/>
            <w:tcBorders>
              <w:top w:val="nil"/>
              <w:left w:val="nil"/>
              <w:bottom w:val="nil"/>
              <w:right w:val="nil"/>
            </w:tcBorders>
            <w:shd w:val="clear" w:color="000000" w:fill="FFFFFF"/>
            <w:vAlign w:val="center"/>
            <w:hideMark/>
          </w:tcPr>
          <w:p w14:paraId="6BADF8CA" w14:textId="77777777" w:rsidR="001572CA" w:rsidRPr="00D618B7" w:rsidRDefault="001572CA" w:rsidP="001572CA">
            <w:pPr>
              <w:jc w:val="center"/>
              <w:rPr>
                <w:color w:val="000000"/>
              </w:rPr>
            </w:pPr>
            <w:r w:rsidRPr="00D618B7">
              <w:rPr>
                <w:color w:val="000000"/>
              </w:rPr>
              <w:t>-4</w:t>
            </w:r>
          </w:p>
        </w:tc>
        <w:tc>
          <w:tcPr>
            <w:tcW w:w="1387" w:type="pct"/>
            <w:tcBorders>
              <w:top w:val="nil"/>
              <w:left w:val="nil"/>
              <w:bottom w:val="nil"/>
              <w:right w:val="nil"/>
            </w:tcBorders>
            <w:shd w:val="clear" w:color="000000" w:fill="FFFFFF"/>
            <w:noWrap/>
            <w:vAlign w:val="center"/>
            <w:hideMark/>
          </w:tcPr>
          <w:p w14:paraId="0C2E4397" w14:textId="7E3C66AA" w:rsidR="001572CA" w:rsidRPr="00D618B7" w:rsidRDefault="001572CA" w:rsidP="001572CA">
            <w:pPr>
              <w:jc w:val="right"/>
              <w:rPr>
                <w:color w:val="000000"/>
              </w:rPr>
            </w:pPr>
            <w:r w:rsidRPr="00D618B7">
              <w:rPr>
                <w:color w:val="000000"/>
              </w:rPr>
              <w:t>-22.17</w:t>
            </w:r>
          </w:p>
        </w:tc>
        <w:tc>
          <w:tcPr>
            <w:tcW w:w="1387" w:type="pct"/>
            <w:tcBorders>
              <w:top w:val="nil"/>
              <w:left w:val="nil"/>
              <w:bottom w:val="nil"/>
              <w:right w:val="nil"/>
            </w:tcBorders>
            <w:shd w:val="clear" w:color="000000" w:fill="FFFFFF"/>
            <w:noWrap/>
            <w:vAlign w:val="center"/>
            <w:hideMark/>
          </w:tcPr>
          <w:p w14:paraId="65E3A20A" w14:textId="79639913" w:rsidR="001572CA" w:rsidRPr="00D618B7" w:rsidRDefault="001572CA" w:rsidP="001572CA">
            <w:pPr>
              <w:jc w:val="right"/>
              <w:rPr>
                <w:color w:val="000000"/>
              </w:rPr>
            </w:pPr>
            <w:r w:rsidRPr="00D618B7">
              <w:rPr>
                <w:color w:val="000000"/>
              </w:rPr>
              <w:t>157.37</w:t>
            </w:r>
          </w:p>
        </w:tc>
      </w:tr>
      <w:tr w:rsidR="001572CA" w:rsidRPr="00D618B7" w14:paraId="5A31964C" w14:textId="77777777" w:rsidTr="00011DED">
        <w:trPr>
          <w:trHeight w:val="307"/>
        </w:trPr>
        <w:tc>
          <w:tcPr>
            <w:tcW w:w="2226" w:type="pct"/>
            <w:tcBorders>
              <w:top w:val="nil"/>
              <w:left w:val="nil"/>
              <w:bottom w:val="nil"/>
              <w:right w:val="nil"/>
            </w:tcBorders>
            <w:shd w:val="clear" w:color="000000" w:fill="FFFFFF"/>
            <w:vAlign w:val="center"/>
            <w:hideMark/>
          </w:tcPr>
          <w:p w14:paraId="7E63892B" w14:textId="77777777" w:rsidR="001572CA" w:rsidRPr="00D618B7" w:rsidRDefault="001572CA" w:rsidP="001572CA">
            <w:pPr>
              <w:jc w:val="center"/>
              <w:rPr>
                <w:color w:val="000000"/>
              </w:rPr>
            </w:pPr>
            <w:r w:rsidRPr="00D618B7">
              <w:rPr>
                <w:color w:val="000000"/>
              </w:rPr>
              <w:t>-3</w:t>
            </w:r>
          </w:p>
        </w:tc>
        <w:tc>
          <w:tcPr>
            <w:tcW w:w="1387" w:type="pct"/>
            <w:tcBorders>
              <w:top w:val="nil"/>
              <w:left w:val="nil"/>
              <w:bottom w:val="nil"/>
              <w:right w:val="nil"/>
            </w:tcBorders>
            <w:shd w:val="clear" w:color="000000" w:fill="FFFFFF"/>
            <w:noWrap/>
            <w:vAlign w:val="center"/>
            <w:hideMark/>
          </w:tcPr>
          <w:p w14:paraId="4B92231E" w14:textId="48EE8B05" w:rsidR="001572CA" w:rsidRPr="00D618B7" w:rsidRDefault="001572CA" w:rsidP="001572CA">
            <w:pPr>
              <w:jc w:val="right"/>
              <w:rPr>
                <w:color w:val="000000"/>
              </w:rPr>
            </w:pPr>
            <w:r w:rsidRPr="00D618B7">
              <w:rPr>
                <w:color w:val="000000"/>
              </w:rPr>
              <w:t>618.92</w:t>
            </w:r>
          </w:p>
        </w:tc>
        <w:tc>
          <w:tcPr>
            <w:tcW w:w="1387" w:type="pct"/>
            <w:tcBorders>
              <w:top w:val="nil"/>
              <w:left w:val="nil"/>
              <w:bottom w:val="nil"/>
              <w:right w:val="nil"/>
            </w:tcBorders>
            <w:shd w:val="clear" w:color="000000" w:fill="FFFFFF"/>
            <w:noWrap/>
            <w:vAlign w:val="center"/>
            <w:hideMark/>
          </w:tcPr>
          <w:p w14:paraId="405A1056" w14:textId="092F7146" w:rsidR="001572CA" w:rsidRPr="00D618B7" w:rsidRDefault="001572CA" w:rsidP="001572CA">
            <w:pPr>
              <w:jc w:val="right"/>
              <w:rPr>
                <w:color w:val="000000"/>
              </w:rPr>
            </w:pPr>
            <w:r w:rsidRPr="00D618B7">
              <w:rPr>
                <w:color w:val="000000"/>
              </w:rPr>
              <w:t>159.07</w:t>
            </w:r>
          </w:p>
        </w:tc>
      </w:tr>
      <w:tr w:rsidR="001572CA" w:rsidRPr="00D618B7" w14:paraId="06F36A3C" w14:textId="77777777" w:rsidTr="00011DED">
        <w:trPr>
          <w:trHeight w:val="307"/>
        </w:trPr>
        <w:tc>
          <w:tcPr>
            <w:tcW w:w="2226" w:type="pct"/>
            <w:tcBorders>
              <w:top w:val="nil"/>
              <w:left w:val="nil"/>
              <w:bottom w:val="nil"/>
              <w:right w:val="nil"/>
            </w:tcBorders>
            <w:shd w:val="clear" w:color="000000" w:fill="FFFFFF"/>
            <w:vAlign w:val="center"/>
            <w:hideMark/>
          </w:tcPr>
          <w:p w14:paraId="3B5FC065" w14:textId="77777777" w:rsidR="001572CA" w:rsidRPr="00D618B7" w:rsidRDefault="001572CA" w:rsidP="001572CA">
            <w:pPr>
              <w:jc w:val="center"/>
              <w:rPr>
                <w:color w:val="000000"/>
              </w:rPr>
            </w:pPr>
            <w:r w:rsidRPr="00D618B7">
              <w:rPr>
                <w:color w:val="000000"/>
              </w:rPr>
              <w:t>-2</w:t>
            </w:r>
          </w:p>
        </w:tc>
        <w:tc>
          <w:tcPr>
            <w:tcW w:w="1387" w:type="pct"/>
            <w:tcBorders>
              <w:top w:val="nil"/>
              <w:left w:val="nil"/>
              <w:bottom w:val="nil"/>
              <w:right w:val="nil"/>
            </w:tcBorders>
            <w:shd w:val="clear" w:color="000000" w:fill="FFFFFF"/>
            <w:noWrap/>
            <w:vAlign w:val="center"/>
            <w:hideMark/>
          </w:tcPr>
          <w:p w14:paraId="6364B3E9" w14:textId="72263663" w:rsidR="001572CA" w:rsidRPr="00D618B7" w:rsidRDefault="001572CA" w:rsidP="001572CA">
            <w:pPr>
              <w:jc w:val="right"/>
              <w:rPr>
                <w:color w:val="000000"/>
              </w:rPr>
            </w:pPr>
            <w:r w:rsidRPr="00D618B7">
              <w:rPr>
                <w:color w:val="000000"/>
              </w:rPr>
              <w:t>126.93</w:t>
            </w:r>
          </w:p>
        </w:tc>
        <w:tc>
          <w:tcPr>
            <w:tcW w:w="1387" w:type="pct"/>
            <w:tcBorders>
              <w:top w:val="nil"/>
              <w:left w:val="nil"/>
              <w:bottom w:val="nil"/>
              <w:right w:val="nil"/>
            </w:tcBorders>
            <w:shd w:val="clear" w:color="000000" w:fill="FFFFFF"/>
            <w:noWrap/>
            <w:vAlign w:val="center"/>
            <w:hideMark/>
          </w:tcPr>
          <w:p w14:paraId="2956EDF4" w14:textId="36A71DCC" w:rsidR="001572CA" w:rsidRPr="00D618B7" w:rsidRDefault="001572CA" w:rsidP="001572CA">
            <w:pPr>
              <w:jc w:val="right"/>
              <w:rPr>
                <w:color w:val="000000"/>
              </w:rPr>
            </w:pPr>
            <w:r w:rsidRPr="00D618B7">
              <w:rPr>
                <w:color w:val="000000"/>
              </w:rPr>
              <w:t>136.72</w:t>
            </w:r>
          </w:p>
        </w:tc>
      </w:tr>
      <w:tr w:rsidR="001572CA" w:rsidRPr="00D618B7" w14:paraId="422D9FC4" w14:textId="77777777" w:rsidTr="00011DED">
        <w:trPr>
          <w:trHeight w:val="307"/>
        </w:trPr>
        <w:tc>
          <w:tcPr>
            <w:tcW w:w="2226" w:type="pct"/>
            <w:tcBorders>
              <w:top w:val="nil"/>
              <w:left w:val="nil"/>
              <w:bottom w:val="nil"/>
              <w:right w:val="nil"/>
            </w:tcBorders>
            <w:shd w:val="clear" w:color="000000" w:fill="FFFFFF"/>
            <w:vAlign w:val="center"/>
            <w:hideMark/>
          </w:tcPr>
          <w:p w14:paraId="433F22F0" w14:textId="77777777" w:rsidR="001572CA" w:rsidRPr="00D618B7" w:rsidRDefault="001572CA" w:rsidP="001572CA">
            <w:pPr>
              <w:jc w:val="center"/>
              <w:rPr>
                <w:color w:val="000000"/>
              </w:rPr>
            </w:pPr>
            <w:r w:rsidRPr="00D618B7">
              <w:rPr>
                <w:color w:val="000000"/>
              </w:rPr>
              <w:t>-1</w:t>
            </w:r>
          </w:p>
        </w:tc>
        <w:tc>
          <w:tcPr>
            <w:tcW w:w="1387" w:type="pct"/>
            <w:tcBorders>
              <w:top w:val="nil"/>
              <w:left w:val="nil"/>
              <w:bottom w:val="nil"/>
              <w:right w:val="nil"/>
            </w:tcBorders>
            <w:shd w:val="clear" w:color="000000" w:fill="FFFFFF"/>
            <w:noWrap/>
            <w:vAlign w:val="center"/>
            <w:hideMark/>
          </w:tcPr>
          <w:p w14:paraId="682C324B" w14:textId="59BCB156" w:rsidR="001572CA" w:rsidRPr="00D618B7" w:rsidRDefault="001572CA" w:rsidP="001572CA">
            <w:pPr>
              <w:jc w:val="right"/>
              <w:rPr>
                <w:color w:val="000000"/>
              </w:rPr>
            </w:pPr>
            <w:r w:rsidRPr="00D618B7">
              <w:rPr>
                <w:color w:val="000000"/>
              </w:rPr>
              <w:t>1023.02</w:t>
            </w:r>
          </w:p>
        </w:tc>
        <w:tc>
          <w:tcPr>
            <w:tcW w:w="1387" w:type="pct"/>
            <w:tcBorders>
              <w:top w:val="nil"/>
              <w:left w:val="nil"/>
              <w:bottom w:val="nil"/>
              <w:right w:val="nil"/>
            </w:tcBorders>
            <w:shd w:val="clear" w:color="000000" w:fill="FFFFFF"/>
            <w:noWrap/>
            <w:vAlign w:val="center"/>
            <w:hideMark/>
          </w:tcPr>
          <w:p w14:paraId="029250AD" w14:textId="176E4343" w:rsidR="001572CA" w:rsidRPr="00D618B7" w:rsidRDefault="001572CA" w:rsidP="001572CA">
            <w:pPr>
              <w:jc w:val="right"/>
              <w:rPr>
                <w:color w:val="000000"/>
              </w:rPr>
            </w:pPr>
            <w:r w:rsidRPr="00D618B7">
              <w:rPr>
                <w:color w:val="000000"/>
              </w:rPr>
              <w:t>143.79</w:t>
            </w:r>
          </w:p>
        </w:tc>
      </w:tr>
      <w:tr w:rsidR="001572CA" w:rsidRPr="00D618B7" w14:paraId="0B0C9738" w14:textId="77777777" w:rsidTr="00011DED">
        <w:trPr>
          <w:trHeight w:val="307"/>
        </w:trPr>
        <w:tc>
          <w:tcPr>
            <w:tcW w:w="2226" w:type="pct"/>
            <w:tcBorders>
              <w:top w:val="nil"/>
              <w:left w:val="nil"/>
              <w:bottom w:val="nil"/>
              <w:right w:val="nil"/>
            </w:tcBorders>
            <w:shd w:val="clear" w:color="000000" w:fill="FFFFFF"/>
            <w:vAlign w:val="center"/>
            <w:hideMark/>
          </w:tcPr>
          <w:p w14:paraId="6B56EE68" w14:textId="77777777" w:rsidR="001572CA" w:rsidRPr="00D618B7" w:rsidRDefault="001572CA" w:rsidP="001572CA">
            <w:pPr>
              <w:jc w:val="center"/>
              <w:rPr>
                <w:color w:val="000000"/>
              </w:rPr>
            </w:pPr>
            <w:r w:rsidRPr="00D618B7">
              <w:rPr>
                <w:color w:val="000000"/>
              </w:rPr>
              <w:t>0</w:t>
            </w:r>
          </w:p>
        </w:tc>
        <w:tc>
          <w:tcPr>
            <w:tcW w:w="1387" w:type="pct"/>
            <w:tcBorders>
              <w:top w:val="nil"/>
              <w:left w:val="nil"/>
              <w:bottom w:val="nil"/>
              <w:right w:val="nil"/>
            </w:tcBorders>
            <w:shd w:val="clear" w:color="000000" w:fill="FFFFFF"/>
            <w:noWrap/>
            <w:vAlign w:val="center"/>
            <w:hideMark/>
          </w:tcPr>
          <w:p w14:paraId="0104F236" w14:textId="1E04B666" w:rsidR="001572CA" w:rsidRPr="00D618B7" w:rsidRDefault="001572CA" w:rsidP="001572CA">
            <w:pPr>
              <w:jc w:val="right"/>
              <w:rPr>
                <w:color w:val="000000"/>
              </w:rPr>
            </w:pPr>
            <w:r w:rsidRPr="00D618B7">
              <w:rPr>
                <w:color w:val="000000"/>
              </w:rPr>
              <w:t>143.76</w:t>
            </w:r>
          </w:p>
        </w:tc>
        <w:tc>
          <w:tcPr>
            <w:tcW w:w="1387" w:type="pct"/>
            <w:tcBorders>
              <w:top w:val="nil"/>
              <w:left w:val="nil"/>
              <w:bottom w:val="nil"/>
              <w:right w:val="nil"/>
            </w:tcBorders>
            <w:shd w:val="clear" w:color="000000" w:fill="FFFFFF"/>
            <w:noWrap/>
            <w:vAlign w:val="center"/>
            <w:hideMark/>
          </w:tcPr>
          <w:p w14:paraId="35CCC0C8" w14:textId="75CF7685" w:rsidR="001572CA" w:rsidRPr="00D618B7" w:rsidRDefault="001572CA" w:rsidP="001572CA">
            <w:pPr>
              <w:jc w:val="right"/>
              <w:rPr>
                <w:color w:val="000000"/>
              </w:rPr>
            </w:pPr>
            <w:r w:rsidRPr="00D618B7">
              <w:rPr>
                <w:color w:val="000000"/>
              </w:rPr>
              <w:t>127.63</w:t>
            </w:r>
          </w:p>
        </w:tc>
      </w:tr>
      <w:tr w:rsidR="001572CA" w:rsidRPr="00D618B7" w14:paraId="461CD086" w14:textId="77777777" w:rsidTr="00011DED">
        <w:trPr>
          <w:trHeight w:val="307"/>
        </w:trPr>
        <w:tc>
          <w:tcPr>
            <w:tcW w:w="2226" w:type="pct"/>
            <w:tcBorders>
              <w:top w:val="nil"/>
              <w:left w:val="nil"/>
              <w:bottom w:val="nil"/>
              <w:right w:val="nil"/>
            </w:tcBorders>
            <w:shd w:val="clear" w:color="000000" w:fill="FFFFFF"/>
            <w:vAlign w:val="center"/>
            <w:hideMark/>
          </w:tcPr>
          <w:p w14:paraId="7D12071F" w14:textId="77777777" w:rsidR="001572CA" w:rsidRPr="00D618B7" w:rsidRDefault="001572CA" w:rsidP="001572CA">
            <w:pPr>
              <w:jc w:val="center"/>
              <w:rPr>
                <w:color w:val="000000"/>
              </w:rPr>
            </w:pPr>
            <w:r w:rsidRPr="00D618B7">
              <w:rPr>
                <w:color w:val="000000"/>
              </w:rPr>
              <w:t>1</w:t>
            </w:r>
          </w:p>
        </w:tc>
        <w:tc>
          <w:tcPr>
            <w:tcW w:w="1387" w:type="pct"/>
            <w:tcBorders>
              <w:top w:val="nil"/>
              <w:left w:val="nil"/>
              <w:bottom w:val="nil"/>
              <w:right w:val="nil"/>
            </w:tcBorders>
            <w:shd w:val="clear" w:color="000000" w:fill="FFFFFF"/>
            <w:noWrap/>
            <w:vAlign w:val="center"/>
            <w:hideMark/>
          </w:tcPr>
          <w:p w14:paraId="37A830EA" w14:textId="097EC955" w:rsidR="001572CA" w:rsidRPr="00D618B7" w:rsidRDefault="001572CA" w:rsidP="001572CA">
            <w:pPr>
              <w:jc w:val="right"/>
              <w:rPr>
                <w:color w:val="000000"/>
              </w:rPr>
            </w:pPr>
            <w:r w:rsidRPr="00D618B7">
              <w:rPr>
                <w:color w:val="000000"/>
              </w:rPr>
              <w:t>415.48</w:t>
            </w:r>
          </w:p>
        </w:tc>
        <w:tc>
          <w:tcPr>
            <w:tcW w:w="1387" w:type="pct"/>
            <w:tcBorders>
              <w:top w:val="nil"/>
              <w:left w:val="nil"/>
              <w:bottom w:val="nil"/>
              <w:right w:val="nil"/>
            </w:tcBorders>
            <w:shd w:val="clear" w:color="000000" w:fill="FFFFFF"/>
            <w:noWrap/>
            <w:vAlign w:val="center"/>
            <w:hideMark/>
          </w:tcPr>
          <w:p w14:paraId="4A695633" w14:textId="3E92E51F" w:rsidR="001572CA" w:rsidRPr="00D618B7" w:rsidRDefault="001572CA" w:rsidP="001572CA">
            <w:pPr>
              <w:jc w:val="right"/>
              <w:rPr>
                <w:color w:val="000000"/>
              </w:rPr>
            </w:pPr>
            <w:r w:rsidRPr="00D618B7">
              <w:rPr>
                <w:color w:val="000000"/>
              </w:rPr>
              <w:t>127.13</w:t>
            </w:r>
          </w:p>
        </w:tc>
      </w:tr>
      <w:tr w:rsidR="001572CA" w:rsidRPr="00D618B7" w14:paraId="6F5637B3" w14:textId="77777777" w:rsidTr="00011DED">
        <w:trPr>
          <w:trHeight w:val="307"/>
        </w:trPr>
        <w:tc>
          <w:tcPr>
            <w:tcW w:w="2226" w:type="pct"/>
            <w:tcBorders>
              <w:top w:val="nil"/>
              <w:left w:val="nil"/>
              <w:bottom w:val="nil"/>
              <w:right w:val="nil"/>
            </w:tcBorders>
            <w:shd w:val="clear" w:color="000000" w:fill="FFFFFF"/>
            <w:vAlign w:val="center"/>
            <w:hideMark/>
          </w:tcPr>
          <w:p w14:paraId="5A787108" w14:textId="77777777" w:rsidR="001572CA" w:rsidRPr="00D618B7" w:rsidRDefault="001572CA" w:rsidP="001572CA">
            <w:pPr>
              <w:jc w:val="center"/>
              <w:rPr>
                <w:color w:val="000000"/>
              </w:rPr>
            </w:pPr>
            <w:r w:rsidRPr="00D618B7">
              <w:rPr>
                <w:color w:val="000000"/>
              </w:rPr>
              <w:t>2</w:t>
            </w:r>
          </w:p>
        </w:tc>
        <w:tc>
          <w:tcPr>
            <w:tcW w:w="1387" w:type="pct"/>
            <w:tcBorders>
              <w:top w:val="nil"/>
              <w:left w:val="nil"/>
              <w:bottom w:val="nil"/>
              <w:right w:val="nil"/>
            </w:tcBorders>
            <w:shd w:val="clear" w:color="000000" w:fill="FFFFFF"/>
            <w:noWrap/>
            <w:vAlign w:val="center"/>
            <w:hideMark/>
          </w:tcPr>
          <w:p w14:paraId="59951D44" w14:textId="775C563F" w:rsidR="001572CA" w:rsidRPr="00D618B7" w:rsidRDefault="001572CA" w:rsidP="001572CA">
            <w:pPr>
              <w:jc w:val="right"/>
              <w:rPr>
                <w:color w:val="000000"/>
              </w:rPr>
            </w:pPr>
            <w:r w:rsidRPr="00D618B7">
              <w:rPr>
                <w:color w:val="000000"/>
              </w:rPr>
              <w:t>-35.92</w:t>
            </w:r>
          </w:p>
        </w:tc>
        <w:tc>
          <w:tcPr>
            <w:tcW w:w="1387" w:type="pct"/>
            <w:tcBorders>
              <w:top w:val="nil"/>
              <w:left w:val="nil"/>
              <w:bottom w:val="nil"/>
              <w:right w:val="nil"/>
            </w:tcBorders>
            <w:shd w:val="clear" w:color="000000" w:fill="FFFFFF"/>
            <w:noWrap/>
            <w:vAlign w:val="center"/>
            <w:hideMark/>
          </w:tcPr>
          <w:p w14:paraId="48909FFB" w14:textId="516E5462" w:rsidR="001572CA" w:rsidRPr="00D618B7" w:rsidRDefault="001572CA" w:rsidP="001572CA">
            <w:pPr>
              <w:jc w:val="right"/>
              <w:rPr>
                <w:color w:val="000000"/>
              </w:rPr>
            </w:pPr>
            <w:r w:rsidRPr="00D618B7">
              <w:rPr>
                <w:color w:val="000000"/>
              </w:rPr>
              <w:t>164.78</w:t>
            </w:r>
          </w:p>
        </w:tc>
      </w:tr>
      <w:tr w:rsidR="001572CA" w:rsidRPr="00D618B7" w14:paraId="2B9E6D33" w14:textId="77777777" w:rsidTr="00011DED">
        <w:trPr>
          <w:trHeight w:val="307"/>
        </w:trPr>
        <w:tc>
          <w:tcPr>
            <w:tcW w:w="2226" w:type="pct"/>
            <w:tcBorders>
              <w:top w:val="nil"/>
              <w:left w:val="nil"/>
              <w:bottom w:val="nil"/>
              <w:right w:val="nil"/>
            </w:tcBorders>
            <w:shd w:val="clear" w:color="000000" w:fill="FFFFFF"/>
            <w:vAlign w:val="center"/>
            <w:hideMark/>
          </w:tcPr>
          <w:p w14:paraId="59A3ADDC" w14:textId="77777777" w:rsidR="001572CA" w:rsidRPr="00D618B7" w:rsidRDefault="001572CA" w:rsidP="001572CA">
            <w:pPr>
              <w:jc w:val="center"/>
              <w:rPr>
                <w:color w:val="000000"/>
              </w:rPr>
            </w:pPr>
            <w:r w:rsidRPr="00D618B7">
              <w:rPr>
                <w:color w:val="000000"/>
              </w:rPr>
              <w:t>3</w:t>
            </w:r>
          </w:p>
        </w:tc>
        <w:tc>
          <w:tcPr>
            <w:tcW w:w="1387" w:type="pct"/>
            <w:tcBorders>
              <w:top w:val="nil"/>
              <w:left w:val="nil"/>
              <w:bottom w:val="nil"/>
              <w:right w:val="nil"/>
            </w:tcBorders>
            <w:shd w:val="clear" w:color="000000" w:fill="FFFFFF"/>
            <w:noWrap/>
            <w:vAlign w:val="center"/>
            <w:hideMark/>
          </w:tcPr>
          <w:p w14:paraId="7751B70C" w14:textId="1C3D8106" w:rsidR="001572CA" w:rsidRPr="00D618B7" w:rsidRDefault="001572CA" w:rsidP="001572CA">
            <w:pPr>
              <w:jc w:val="right"/>
              <w:rPr>
                <w:color w:val="000000"/>
              </w:rPr>
            </w:pPr>
            <w:r w:rsidRPr="00D618B7">
              <w:rPr>
                <w:color w:val="000000"/>
              </w:rPr>
              <w:t>156.72</w:t>
            </w:r>
          </w:p>
        </w:tc>
        <w:tc>
          <w:tcPr>
            <w:tcW w:w="1387" w:type="pct"/>
            <w:tcBorders>
              <w:top w:val="nil"/>
              <w:left w:val="nil"/>
              <w:bottom w:val="nil"/>
              <w:right w:val="nil"/>
            </w:tcBorders>
            <w:shd w:val="clear" w:color="000000" w:fill="FFFFFF"/>
            <w:noWrap/>
            <w:vAlign w:val="center"/>
            <w:hideMark/>
          </w:tcPr>
          <w:p w14:paraId="14E8374E" w14:textId="4A089D89" w:rsidR="001572CA" w:rsidRPr="00D618B7" w:rsidRDefault="001572CA" w:rsidP="001572CA">
            <w:pPr>
              <w:jc w:val="right"/>
              <w:rPr>
                <w:color w:val="000000"/>
              </w:rPr>
            </w:pPr>
            <w:r w:rsidRPr="00D618B7">
              <w:rPr>
                <w:color w:val="000000"/>
              </w:rPr>
              <w:t>125.43</w:t>
            </w:r>
          </w:p>
        </w:tc>
      </w:tr>
      <w:tr w:rsidR="001572CA" w:rsidRPr="00D618B7" w14:paraId="2F69CD3B" w14:textId="77777777" w:rsidTr="00011DED">
        <w:trPr>
          <w:trHeight w:val="307"/>
        </w:trPr>
        <w:tc>
          <w:tcPr>
            <w:tcW w:w="2226" w:type="pct"/>
            <w:tcBorders>
              <w:top w:val="nil"/>
              <w:left w:val="nil"/>
              <w:bottom w:val="nil"/>
              <w:right w:val="nil"/>
            </w:tcBorders>
            <w:shd w:val="clear" w:color="000000" w:fill="FFFFFF"/>
            <w:vAlign w:val="center"/>
            <w:hideMark/>
          </w:tcPr>
          <w:p w14:paraId="77D00A67" w14:textId="77777777" w:rsidR="001572CA" w:rsidRPr="00D618B7" w:rsidRDefault="001572CA" w:rsidP="001572CA">
            <w:pPr>
              <w:jc w:val="center"/>
              <w:rPr>
                <w:color w:val="000000"/>
              </w:rPr>
            </w:pPr>
            <w:r w:rsidRPr="00D618B7">
              <w:rPr>
                <w:color w:val="000000"/>
              </w:rPr>
              <w:t>4</w:t>
            </w:r>
          </w:p>
        </w:tc>
        <w:tc>
          <w:tcPr>
            <w:tcW w:w="1387" w:type="pct"/>
            <w:tcBorders>
              <w:top w:val="nil"/>
              <w:left w:val="nil"/>
              <w:bottom w:val="nil"/>
              <w:right w:val="nil"/>
            </w:tcBorders>
            <w:shd w:val="clear" w:color="000000" w:fill="FFFFFF"/>
            <w:noWrap/>
            <w:vAlign w:val="center"/>
            <w:hideMark/>
          </w:tcPr>
          <w:p w14:paraId="032BF933" w14:textId="0AEC2D9F" w:rsidR="001572CA" w:rsidRPr="00D618B7" w:rsidRDefault="001572CA" w:rsidP="001572CA">
            <w:pPr>
              <w:jc w:val="right"/>
              <w:rPr>
                <w:color w:val="000000"/>
              </w:rPr>
            </w:pPr>
            <w:r w:rsidRPr="00D618B7">
              <w:rPr>
                <w:color w:val="000000"/>
              </w:rPr>
              <w:t>233.04</w:t>
            </w:r>
          </w:p>
        </w:tc>
        <w:tc>
          <w:tcPr>
            <w:tcW w:w="1387" w:type="pct"/>
            <w:tcBorders>
              <w:top w:val="nil"/>
              <w:left w:val="nil"/>
              <w:bottom w:val="nil"/>
              <w:right w:val="nil"/>
            </w:tcBorders>
            <w:shd w:val="clear" w:color="000000" w:fill="FFFFFF"/>
            <w:noWrap/>
            <w:vAlign w:val="center"/>
            <w:hideMark/>
          </w:tcPr>
          <w:p w14:paraId="4903BCAB" w14:textId="695D7B30" w:rsidR="001572CA" w:rsidRPr="00D618B7" w:rsidRDefault="001572CA" w:rsidP="001572CA">
            <w:pPr>
              <w:jc w:val="right"/>
              <w:rPr>
                <w:color w:val="000000"/>
              </w:rPr>
            </w:pPr>
            <w:r w:rsidRPr="00D618B7">
              <w:rPr>
                <w:color w:val="000000"/>
              </w:rPr>
              <w:t>141.25</w:t>
            </w:r>
          </w:p>
        </w:tc>
      </w:tr>
      <w:tr w:rsidR="001572CA" w:rsidRPr="00D618B7" w14:paraId="258AAF94" w14:textId="77777777" w:rsidTr="00011DED">
        <w:trPr>
          <w:trHeight w:val="307"/>
        </w:trPr>
        <w:tc>
          <w:tcPr>
            <w:tcW w:w="2226" w:type="pct"/>
            <w:tcBorders>
              <w:top w:val="nil"/>
              <w:left w:val="nil"/>
              <w:bottom w:val="single" w:sz="8" w:space="0" w:color="auto"/>
              <w:right w:val="nil"/>
            </w:tcBorders>
            <w:shd w:val="clear" w:color="000000" w:fill="FFFFFF"/>
            <w:vAlign w:val="center"/>
            <w:hideMark/>
          </w:tcPr>
          <w:p w14:paraId="08F32A80" w14:textId="77777777" w:rsidR="001572CA" w:rsidRPr="00D618B7" w:rsidRDefault="001572CA" w:rsidP="001572CA">
            <w:pPr>
              <w:jc w:val="center"/>
              <w:rPr>
                <w:color w:val="000000"/>
              </w:rPr>
            </w:pPr>
            <w:r w:rsidRPr="00D618B7">
              <w:rPr>
                <w:color w:val="000000"/>
              </w:rPr>
              <w:t>5</w:t>
            </w:r>
          </w:p>
        </w:tc>
        <w:tc>
          <w:tcPr>
            <w:tcW w:w="1387" w:type="pct"/>
            <w:tcBorders>
              <w:top w:val="nil"/>
              <w:left w:val="nil"/>
              <w:bottom w:val="single" w:sz="8" w:space="0" w:color="auto"/>
              <w:right w:val="nil"/>
            </w:tcBorders>
            <w:shd w:val="clear" w:color="000000" w:fill="FFFFFF"/>
            <w:noWrap/>
            <w:vAlign w:val="center"/>
            <w:hideMark/>
          </w:tcPr>
          <w:p w14:paraId="73B230B6" w14:textId="7326CE8F" w:rsidR="001572CA" w:rsidRPr="00D618B7" w:rsidRDefault="001572CA" w:rsidP="001572CA">
            <w:pPr>
              <w:jc w:val="right"/>
              <w:rPr>
                <w:color w:val="000000"/>
              </w:rPr>
            </w:pPr>
            <w:r w:rsidRPr="00D618B7">
              <w:rPr>
                <w:color w:val="000000"/>
              </w:rPr>
              <w:t>51.93</w:t>
            </w:r>
          </w:p>
        </w:tc>
        <w:tc>
          <w:tcPr>
            <w:tcW w:w="1387" w:type="pct"/>
            <w:tcBorders>
              <w:top w:val="nil"/>
              <w:left w:val="nil"/>
              <w:bottom w:val="single" w:sz="8" w:space="0" w:color="auto"/>
              <w:right w:val="nil"/>
            </w:tcBorders>
            <w:shd w:val="clear" w:color="000000" w:fill="FFFFFF"/>
            <w:noWrap/>
            <w:vAlign w:val="center"/>
            <w:hideMark/>
          </w:tcPr>
          <w:p w14:paraId="1603A982" w14:textId="52DE3047" w:rsidR="001572CA" w:rsidRPr="00D618B7" w:rsidRDefault="001572CA" w:rsidP="001572CA">
            <w:pPr>
              <w:jc w:val="right"/>
              <w:rPr>
                <w:color w:val="000000"/>
              </w:rPr>
            </w:pPr>
            <w:r w:rsidRPr="00D618B7">
              <w:rPr>
                <w:color w:val="000000"/>
              </w:rPr>
              <w:t>156.45</w:t>
            </w:r>
          </w:p>
        </w:tc>
      </w:tr>
    </w:tbl>
    <w:p w14:paraId="547E81F4" w14:textId="77777777" w:rsidR="00C57515" w:rsidRPr="00D618B7" w:rsidRDefault="00C57515" w:rsidP="00C57515">
      <w:pPr>
        <w:rPr>
          <w:i/>
          <w:iCs/>
        </w:rPr>
      </w:pPr>
    </w:p>
    <w:p w14:paraId="144C4888" w14:textId="77777777" w:rsidR="00C57515" w:rsidRPr="00D618B7" w:rsidRDefault="00C57515" w:rsidP="00C57515">
      <w:r w:rsidRPr="00D618B7">
        <w:rPr>
          <w:i/>
          <w:iCs/>
        </w:rPr>
        <w:t>Note</w:t>
      </w:r>
      <w:r w:rsidRPr="00D618B7">
        <w:t>: This table lists the estimated mean event Average Duration and standard errors for each week of observation around reach-onset.</w:t>
      </w:r>
    </w:p>
    <w:p w14:paraId="54350B5A" w14:textId="77777777" w:rsidR="00B11545" w:rsidRPr="00D618B7" w:rsidRDefault="00B11545" w:rsidP="00B11545"/>
    <w:p w14:paraId="271AE815" w14:textId="5FA8A29A" w:rsidR="00C57515" w:rsidRPr="00D618B7" w:rsidRDefault="00C57515" w:rsidP="007C5074">
      <w:pPr>
        <w:pStyle w:val="Caption"/>
      </w:pPr>
      <w:bookmarkStart w:id="159" w:name="_Toc172716856"/>
      <w:r w:rsidRPr="00D618B7">
        <w:t xml:space="preserve">Table </w:t>
      </w:r>
      <w:r w:rsidR="00000000">
        <w:fldChar w:fldCharType="begin"/>
      </w:r>
      <w:r w:rsidR="00000000">
        <w:instrText xml:space="preserve"> SEQ Table \* ARABIC </w:instrText>
      </w:r>
      <w:r w:rsidR="00000000">
        <w:fldChar w:fldCharType="separate"/>
      </w:r>
      <w:r w:rsidR="000C6E43">
        <w:rPr>
          <w:noProof/>
        </w:rPr>
        <w:t>28</w:t>
      </w:r>
      <w:r w:rsidR="00000000">
        <w:rPr>
          <w:noProof/>
        </w:rPr>
        <w:fldChar w:fldCharType="end"/>
      </w:r>
      <w:r w:rsidRPr="00D618B7">
        <w:t>: Event average duration by type</w:t>
      </w:r>
      <w:bookmarkEnd w:id="159"/>
    </w:p>
    <w:p w14:paraId="46662EEC" w14:textId="0F1EAE8C" w:rsidR="00C57515" w:rsidRPr="00D618B7" w:rsidRDefault="00C57515" w:rsidP="00C57515">
      <w:r w:rsidRPr="00D618B7">
        <w:t>Estimated Mean Average Duration of Events by Type</w:t>
      </w:r>
    </w:p>
    <w:p w14:paraId="5922DEE3" w14:textId="77777777" w:rsidR="00C57515" w:rsidRPr="00D618B7" w:rsidRDefault="00C57515" w:rsidP="00C57515">
      <w:pPr>
        <w:rPr>
          <w:b/>
          <w:bCs/>
        </w:rPr>
      </w:pPr>
    </w:p>
    <w:tbl>
      <w:tblPr>
        <w:tblW w:w="5000" w:type="pct"/>
        <w:tblLook w:val="04A0" w:firstRow="1" w:lastRow="0" w:firstColumn="1" w:lastColumn="0" w:noHBand="0" w:noVBand="1"/>
      </w:tblPr>
      <w:tblGrid>
        <w:gridCol w:w="3961"/>
        <w:gridCol w:w="1559"/>
        <w:gridCol w:w="1560"/>
        <w:gridCol w:w="1560"/>
      </w:tblGrid>
      <w:tr w:rsidR="00C57515" w:rsidRPr="00D618B7" w14:paraId="67C8A06E" w14:textId="77777777" w:rsidTr="004B11B7">
        <w:trPr>
          <w:trHeight w:val="345"/>
        </w:trPr>
        <w:tc>
          <w:tcPr>
            <w:tcW w:w="2292" w:type="pct"/>
            <w:tcBorders>
              <w:top w:val="single" w:sz="4" w:space="0" w:color="auto"/>
              <w:left w:val="nil"/>
              <w:bottom w:val="single" w:sz="8" w:space="0" w:color="auto"/>
              <w:right w:val="nil"/>
            </w:tcBorders>
            <w:shd w:val="clear" w:color="000000" w:fill="FFFFFF"/>
            <w:vAlign w:val="center"/>
            <w:hideMark/>
          </w:tcPr>
          <w:p w14:paraId="29CD8B6C" w14:textId="77777777" w:rsidR="00C57515" w:rsidRPr="00D618B7" w:rsidRDefault="00C57515" w:rsidP="004B11B7">
            <w:pPr>
              <w:rPr>
                <w:color w:val="000000"/>
              </w:rPr>
            </w:pPr>
            <w:r w:rsidRPr="00D618B7">
              <w:rPr>
                <w:color w:val="000000"/>
              </w:rPr>
              <w:t>Week</w:t>
            </w:r>
          </w:p>
        </w:tc>
        <w:tc>
          <w:tcPr>
            <w:tcW w:w="902" w:type="pct"/>
            <w:tcBorders>
              <w:top w:val="single" w:sz="4" w:space="0" w:color="auto"/>
              <w:left w:val="nil"/>
              <w:bottom w:val="single" w:sz="8" w:space="0" w:color="auto"/>
              <w:right w:val="nil"/>
            </w:tcBorders>
            <w:shd w:val="clear" w:color="000000" w:fill="FFFFFF"/>
            <w:noWrap/>
            <w:vAlign w:val="center"/>
            <w:hideMark/>
          </w:tcPr>
          <w:p w14:paraId="4D6A89B9" w14:textId="77777777" w:rsidR="00C57515" w:rsidRPr="00D618B7" w:rsidRDefault="00C57515" w:rsidP="004B11B7">
            <w:pPr>
              <w:jc w:val="right"/>
              <w:rPr>
                <w:color w:val="000000"/>
              </w:rPr>
            </w:pPr>
            <w:r w:rsidRPr="00D618B7">
              <w:rPr>
                <w:color w:val="000000"/>
              </w:rPr>
              <w:t>Mean</w:t>
            </w:r>
          </w:p>
        </w:tc>
        <w:tc>
          <w:tcPr>
            <w:tcW w:w="903" w:type="pct"/>
            <w:tcBorders>
              <w:top w:val="single" w:sz="4" w:space="0" w:color="auto"/>
              <w:left w:val="nil"/>
              <w:bottom w:val="single" w:sz="8" w:space="0" w:color="auto"/>
              <w:right w:val="nil"/>
            </w:tcBorders>
            <w:shd w:val="clear" w:color="000000" w:fill="FFFFFF"/>
          </w:tcPr>
          <w:p w14:paraId="0B324FBC" w14:textId="77777777" w:rsidR="00C57515" w:rsidRPr="00D618B7" w:rsidRDefault="00C57515" w:rsidP="004B11B7">
            <w:pPr>
              <w:jc w:val="right"/>
              <w:rPr>
                <w:color w:val="000000"/>
              </w:rPr>
            </w:pPr>
          </w:p>
        </w:tc>
        <w:tc>
          <w:tcPr>
            <w:tcW w:w="903" w:type="pct"/>
            <w:tcBorders>
              <w:top w:val="single" w:sz="4" w:space="0" w:color="auto"/>
              <w:left w:val="nil"/>
              <w:bottom w:val="single" w:sz="8" w:space="0" w:color="auto"/>
              <w:right w:val="nil"/>
            </w:tcBorders>
            <w:shd w:val="clear" w:color="000000" w:fill="FFFFFF"/>
            <w:noWrap/>
            <w:vAlign w:val="center"/>
            <w:hideMark/>
          </w:tcPr>
          <w:p w14:paraId="24298463" w14:textId="77777777" w:rsidR="00C57515" w:rsidRPr="00D618B7" w:rsidRDefault="00C57515" w:rsidP="004B11B7">
            <w:pPr>
              <w:jc w:val="right"/>
              <w:rPr>
                <w:color w:val="000000"/>
              </w:rPr>
            </w:pPr>
            <w:r w:rsidRPr="00D618B7">
              <w:rPr>
                <w:color w:val="000000"/>
              </w:rPr>
              <w:t>Std. Error</w:t>
            </w:r>
          </w:p>
        </w:tc>
      </w:tr>
      <w:tr w:rsidR="001572CA" w:rsidRPr="00D618B7" w14:paraId="34711FED" w14:textId="77777777" w:rsidTr="004B11B7">
        <w:trPr>
          <w:trHeight w:val="345"/>
        </w:trPr>
        <w:tc>
          <w:tcPr>
            <w:tcW w:w="2292" w:type="pct"/>
            <w:tcBorders>
              <w:top w:val="nil"/>
              <w:left w:val="nil"/>
              <w:bottom w:val="nil"/>
              <w:right w:val="nil"/>
            </w:tcBorders>
            <w:shd w:val="clear" w:color="000000" w:fill="FFFFFF"/>
            <w:vAlign w:val="center"/>
            <w:hideMark/>
          </w:tcPr>
          <w:p w14:paraId="16BF8D55" w14:textId="77777777" w:rsidR="001572CA" w:rsidRPr="00D618B7" w:rsidRDefault="001572CA" w:rsidP="001572CA">
            <w:pPr>
              <w:rPr>
                <w:color w:val="000000"/>
              </w:rPr>
            </w:pPr>
            <w:r w:rsidRPr="00D618B7">
              <w:rPr>
                <w:color w:val="000000"/>
              </w:rPr>
              <w:t>Face</w:t>
            </w:r>
          </w:p>
        </w:tc>
        <w:tc>
          <w:tcPr>
            <w:tcW w:w="902" w:type="pct"/>
            <w:tcBorders>
              <w:top w:val="nil"/>
              <w:left w:val="nil"/>
              <w:bottom w:val="nil"/>
              <w:right w:val="nil"/>
            </w:tcBorders>
            <w:shd w:val="clear" w:color="000000" w:fill="FFFFFF"/>
            <w:noWrap/>
            <w:vAlign w:val="center"/>
            <w:hideMark/>
          </w:tcPr>
          <w:p w14:paraId="4D9DA289" w14:textId="11A57271" w:rsidR="001572CA" w:rsidRPr="00D618B7" w:rsidRDefault="001572CA" w:rsidP="001572CA">
            <w:pPr>
              <w:jc w:val="right"/>
              <w:rPr>
                <w:color w:val="000000"/>
              </w:rPr>
            </w:pPr>
            <w:r w:rsidRPr="00D618B7">
              <w:rPr>
                <w:color w:val="000000"/>
              </w:rPr>
              <w:t>91.26</w:t>
            </w:r>
          </w:p>
        </w:tc>
        <w:tc>
          <w:tcPr>
            <w:tcW w:w="903" w:type="pct"/>
            <w:tcBorders>
              <w:top w:val="nil"/>
              <w:left w:val="nil"/>
              <w:bottom w:val="nil"/>
              <w:right w:val="nil"/>
            </w:tcBorders>
            <w:shd w:val="clear" w:color="000000" w:fill="FFFFFF"/>
          </w:tcPr>
          <w:p w14:paraId="33714580" w14:textId="77777777" w:rsidR="001572CA" w:rsidRPr="00D618B7" w:rsidRDefault="001572CA" w:rsidP="001572CA">
            <w:pPr>
              <w:jc w:val="right"/>
              <w:rPr>
                <w:color w:val="000000"/>
              </w:rPr>
            </w:pPr>
          </w:p>
        </w:tc>
        <w:tc>
          <w:tcPr>
            <w:tcW w:w="903" w:type="pct"/>
            <w:tcBorders>
              <w:top w:val="nil"/>
              <w:left w:val="nil"/>
              <w:bottom w:val="nil"/>
              <w:right w:val="nil"/>
            </w:tcBorders>
            <w:shd w:val="clear" w:color="000000" w:fill="FFFFFF"/>
            <w:noWrap/>
            <w:vAlign w:val="center"/>
            <w:hideMark/>
          </w:tcPr>
          <w:p w14:paraId="1B841046" w14:textId="3C8FDC8F" w:rsidR="001572CA" w:rsidRPr="00D618B7" w:rsidRDefault="001572CA" w:rsidP="001572CA">
            <w:pPr>
              <w:jc w:val="right"/>
              <w:rPr>
                <w:color w:val="000000"/>
              </w:rPr>
            </w:pPr>
            <w:r w:rsidRPr="00D618B7">
              <w:rPr>
                <w:color w:val="000000"/>
              </w:rPr>
              <w:t>77.32</w:t>
            </w:r>
          </w:p>
        </w:tc>
      </w:tr>
      <w:tr w:rsidR="001572CA" w:rsidRPr="00D618B7" w14:paraId="6FFDA8D0" w14:textId="77777777" w:rsidTr="004B11B7">
        <w:trPr>
          <w:trHeight w:val="345"/>
        </w:trPr>
        <w:tc>
          <w:tcPr>
            <w:tcW w:w="2292" w:type="pct"/>
            <w:tcBorders>
              <w:top w:val="nil"/>
              <w:left w:val="nil"/>
              <w:bottom w:val="nil"/>
              <w:right w:val="nil"/>
            </w:tcBorders>
            <w:shd w:val="clear" w:color="000000" w:fill="FFFFFF"/>
            <w:vAlign w:val="center"/>
            <w:hideMark/>
          </w:tcPr>
          <w:p w14:paraId="72E2A069" w14:textId="77777777" w:rsidR="001572CA" w:rsidRPr="00D618B7" w:rsidRDefault="001572CA" w:rsidP="001572CA">
            <w:pPr>
              <w:rPr>
                <w:color w:val="000000"/>
              </w:rPr>
            </w:pPr>
            <w:r w:rsidRPr="00D618B7">
              <w:rPr>
                <w:color w:val="000000"/>
              </w:rPr>
              <w:t>Hand</w:t>
            </w:r>
          </w:p>
        </w:tc>
        <w:tc>
          <w:tcPr>
            <w:tcW w:w="902" w:type="pct"/>
            <w:tcBorders>
              <w:top w:val="nil"/>
              <w:left w:val="nil"/>
              <w:bottom w:val="nil"/>
              <w:right w:val="nil"/>
            </w:tcBorders>
            <w:shd w:val="clear" w:color="000000" w:fill="FFFFFF"/>
            <w:noWrap/>
            <w:vAlign w:val="center"/>
            <w:hideMark/>
          </w:tcPr>
          <w:p w14:paraId="7B30C9C3" w14:textId="6C9EFF12" w:rsidR="001572CA" w:rsidRPr="00D618B7" w:rsidRDefault="001572CA" w:rsidP="001572CA">
            <w:pPr>
              <w:jc w:val="right"/>
              <w:rPr>
                <w:color w:val="000000"/>
              </w:rPr>
            </w:pPr>
            <w:r w:rsidRPr="00D618B7">
              <w:rPr>
                <w:color w:val="000000"/>
              </w:rPr>
              <w:t>18.09</w:t>
            </w:r>
          </w:p>
        </w:tc>
        <w:tc>
          <w:tcPr>
            <w:tcW w:w="903" w:type="pct"/>
            <w:tcBorders>
              <w:top w:val="nil"/>
              <w:left w:val="nil"/>
              <w:bottom w:val="nil"/>
              <w:right w:val="nil"/>
            </w:tcBorders>
            <w:shd w:val="clear" w:color="000000" w:fill="FFFFFF"/>
          </w:tcPr>
          <w:p w14:paraId="19B93427" w14:textId="77777777" w:rsidR="001572CA" w:rsidRPr="00D618B7" w:rsidRDefault="001572CA" w:rsidP="001572CA">
            <w:pPr>
              <w:jc w:val="right"/>
              <w:rPr>
                <w:color w:val="000000"/>
              </w:rPr>
            </w:pPr>
          </w:p>
        </w:tc>
        <w:tc>
          <w:tcPr>
            <w:tcW w:w="903" w:type="pct"/>
            <w:tcBorders>
              <w:top w:val="nil"/>
              <w:left w:val="nil"/>
              <w:bottom w:val="nil"/>
              <w:right w:val="nil"/>
            </w:tcBorders>
            <w:shd w:val="clear" w:color="000000" w:fill="FFFFFF"/>
            <w:noWrap/>
            <w:vAlign w:val="center"/>
            <w:hideMark/>
          </w:tcPr>
          <w:p w14:paraId="71128ED0" w14:textId="73C7DB35" w:rsidR="001572CA" w:rsidRPr="00D618B7" w:rsidRDefault="001572CA" w:rsidP="001572CA">
            <w:pPr>
              <w:jc w:val="right"/>
              <w:rPr>
                <w:color w:val="000000"/>
              </w:rPr>
            </w:pPr>
            <w:r w:rsidRPr="00D618B7">
              <w:rPr>
                <w:color w:val="000000"/>
              </w:rPr>
              <w:t>77.03</w:t>
            </w:r>
          </w:p>
        </w:tc>
      </w:tr>
      <w:tr w:rsidR="001572CA" w:rsidRPr="00D618B7" w14:paraId="2E9BA872" w14:textId="77777777" w:rsidTr="004B11B7">
        <w:trPr>
          <w:trHeight w:val="345"/>
        </w:trPr>
        <w:tc>
          <w:tcPr>
            <w:tcW w:w="2292" w:type="pct"/>
            <w:tcBorders>
              <w:top w:val="nil"/>
              <w:left w:val="nil"/>
              <w:bottom w:val="single" w:sz="8" w:space="0" w:color="auto"/>
              <w:right w:val="nil"/>
            </w:tcBorders>
            <w:shd w:val="clear" w:color="000000" w:fill="FFFFFF"/>
            <w:vAlign w:val="center"/>
            <w:hideMark/>
          </w:tcPr>
          <w:p w14:paraId="71421916" w14:textId="77777777" w:rsidR="001572CA" w:rsidRPr="00D618B7" w:rsidRDefault="001572CA" w:rsidP="001572CA">
            <w:pPr>
              <w:rPr>
                <w:color w:val="000000"/>
              </w:rPr>
            </w:pPr>
            <w:r w:rsidRPr="00D618B7">
              <w:rPr>
                <w:color w:val="000000"/>
              </w:rPr>
              <w:t>Mouth</w:t>
            </w:r>
          </w:p>
        </w:tc>
        <w:tc>
          <w:tcPr>
            <w:tcW w:w="902" w:type="pct"/>
            <w:tcBorders>
              <w:top w:val="nil"/>
              <w:left w:val="nil"/>
              <w:bottom w:val="single" w:sz="8" w:space="0" w:color="auto"/>
              <w:right w:val="nil"/>
            </w:tcBorders>
            <w:shd w:val="clear" w:color="000000" w:fill="FFFFFF"/>
            <w:noWrap/>
            <w:vAlign w:val="center"/>
            <w:hideMark/>
          </w:tcPr>
          <w:p w14:paraId="0FC965FE" w14:textId="2CECD39B" w:rsidR="001572CA" w:rsidRPr="00D618B7" w:rsidRDefault="001572CA" w:rsidP="001572CA">
            <w:pPr>
              <w:jc w:val="right"/>
              <w:rPr>
                <w:color w:val="000000"/>
              </w:rPr>
            </w:pPr>
            <w:r w:rsidRPr="00D618B7">
              <w:rPr>
                <w:color w:val="000000"/>
              </w:rPr>
              <w:t>675.34</w:t>
            </w:r>
          </w:p>
        </w:tc>
        <w:tc>
          <w:tcPr>
            <w:tcW w:w="903" w:type="pct"/>
            <w:tcBorders>
              <w:top w:val="nil"/>
              <w:left w:val="nil"/>
              <w:bottom w:val="single" w:sz="8" w:space="0" w:color="auto"/>
              <w:right w:val="nil"/>
            </w:tcBorders>
            <w:shd w:val="clear" w:color="000000" w:fill="FFFFFF"/>
          </w:tcPr>
          <w:p w14:paraId="3C5A84A2" w14:textId="77777777" w:rsidR="001572CA" w:rsidRPr="00D618B7" w:rsidRDefault="001572CA" w:rsidP="001572CA">
            <w:pPr>
              <w:jc w:val="right"/>
              <w:rPr>
                <w:color w:val="000000"/>
              </w:rPr>
            </w:pPr>
          </w:p>
        </w:tc>
        <w:tc>
          <w:tcPr>
            <w:tcW w:w="903" w:type="pct"/>
            <w:tcBorders>
              <w:top w:val="nil"/>
              <w:left w:val="nil"/>
              <w:bottom w:val="single" w:sz="8" w:space="0" w:color="auto"/>
              <w:right w:val="nil"/>
            </w:tcBorders>
            <w:shd w:val="clear" w:color="000000" w:fill="FFFFFF"/>
            <w:noWrap/>
            <w:vAlign w:val="center"/>
            <w:hideMark/>
          </w:tcPr>
          <w:p w14:paraId="779F2000" w14:textId="64F1F314" w:rsidR="001572CA" w:rsidRPr="00D618B7" w:rsidRDefault="001572CA" w:rsidP="001572CA">
            <w:pPr>
              <w:jc w:val="right"/>
              <w:rPr>
                <w:color w:val="000000"/>
              </w:rPr>
            </w:pPr>
            <w:r w:rsidRPr="00D618B7">
              <w:rPr>
                <w:color w:val="000000"/>
              </w:rPr>
              <w:t>77.29</w:t>
            </w:r>
          </w:p>
        </w:tc>
      </w:tr>
      <w:tr w:rsidR="00C57515" w:rsidRPr="00D618B7" w14:paraId="06FF0C3A" w14:textId="77777777" w:rsidTr="004B11B7">
        <w:trPr>
          <w:trHeight w:val="345"/>
        </w:trPr>
        <w:tc>
          <w:tcPr>
            <w:tcW w:w="2292" w:type="pct"/>
            <w:tcBorders>
              <w:top w:val="nil"/>
              <w:left w:val="nil"/>
              <w:bottom w:val="nil"/>
              <w:right w:val="nil"/>
            </w:tcBorders>
            <w:shd w:val="clear" w:color="auto" w:fill="auto"/>
            <w:noWrap/>
            <w:vAlign w:val="bottom"/>
            <w:hideMark/>
          </w:tcPr>
          <w:p w14:paraId="2499EE6A" w14:textId="77777777" w:rsidR="00C57515" w:rsidRPr="00D618B7" w:rsidRDefault="00C57515" w:rsidP="004B11B7">
            <w:pPr>
              <w:jc w:val="right"/>
              <w:rPr>
                <w:color w:val="000000"/>
              </w:rPr>
            </w:pPr>
          </w:p>
        </w:tc>
        <w:tc>
          <w:tcPr>
            <w:tcW w:w="902" w:type="pct"/>
            <w:tcBorders>
              <w:top w:val="nil"/>
              <w:left w:val="nil"/>
              <w:bottom w:val="nil"/>
              <w:right w:val="nil"/>
            </w:tcBorders>
            <w:shd w:val="clear" w:color="auto" w:fill="auto"/>
            <w:noWrap/>
            <w:vAlign w:val="bottom"/>
            <w:hideMark/>
          </w:tcPr>
          <w:p w14:paraId="405C198C" w14:textId="77777777" w:rsidR="00C57515" w:rsidRPr="00D618B7" w:rsidRDefault="00C57515" w:rsidP="004B11B7">
            <w:pPr>
              <w:rPr>
                <w:sz w:val="20"/>
                <w:szCs w:val="20"/>
              </w:rPr>
            </w:pPr>
          </w:p>
        </w:tc>
        <w:tc>
          <w:tcPr>
            <w:tcW w:w="903" w:type="pct"/>
            <w:tcBorders>
              <w:top w:val="nil"/>
              <w:left w:val="nil"/>
              <w:bottom w:val="nil"/>
              <w:right w:val="nil"/>
            </w:tcBorders>
          </w:tcPr>
          <w:p w14:paraId="284CDCD0" w14:textId="77777777" w:rsidR="00C57515" w:rsidRPr="00D618B7" w:rsidRDefault="00C57515" w:rsidP="004B11B7">
            <w:pPr>
              <w:rPr>
                <w:sz w:val="20"/>
                <w:szCs w:val="20"/>
              </w:rPr>
            </w:pPr>
          </w:p>
        </w:tc>
        <w:tc>
          <w:tcPr>
            <w:tcW w:w="903" w:type="pct"/>
            <w:tcBorders>
              <w:top w:val="nil"/>
              <w:left w:val="nil"/>
              <w:bottom w:val="nil"/>
              <w:right w:val="nil"/>
            </w:tcBorders>
            <w:shd w:val="clear" w:color="auto" w:fill="auto"/>
            <w:noWrap/>
            <w:vAlign w:val="bottom"/>
            <w:hideMark/>
          </w:tcPr>
          <w:p w14:paraId="27BFDFF2" w14:textId="77777777" w:rsidR="00C57515" w:rsidRPr="00D618B7" w:rsidRDefault="00C57515" w:rsidP="004B11B7">
            <w:pPr>
              <w:rPr>
                <w:sz w:val="20"/>
                <w:szCs w:val="20"/>
              </w:rPr>
            </w:pPr>
          </w:p>
        </w:tc>
      </w:tr>
    </w:tbl>
    <w:p w14:paraId="0184C139" w14:textId="77777777" w:rsidR="00C57515" w:rsidRPr="00D618B7" w:rsidRDefault="00C57515" w:rsidP="00C57515">
      <w:r w:rsidRPr="00D618B7">
        <w:rPr>
          <w:i/>
          <w:iCs/>
        </w:rPr>
        <w:t>Note</w:t>
      </w:r>
      <w:r w:rsidRPr="00D618B7">
        <w:t>: This table lists the estimated mean Average Duration and standard errors for face, hand, and mouth events.</w:t>
      </w:r>
    </w:p>
    <w:p w14:paraId="2DBC51A8" w14:textId="77777777" w:rsidR="00C57515" w:rsidRPr="00D618B7" w:rsidRDefault="00C57515" w:rsidP="00C57515">
      <w:pPr>
        <w:rPr>
          <w:b/>
          <w:bCs/>
        </w:rPr>
      </w:pPr>
    </w:p>
    <w:p w14:paraId="787000ED" w14:textId="19A6EEC7" w:rsidR="00C57515" w:rsidRPr="00D618B7" w:rsidRDefault="00C57515" w:rsidP="007C5074">
      <w:pPr>
        <w:pStyle w:val="Caption"/>
      </w:pPr>
      <w:bookmarkStart w:id="160" w:name="_Toc172716857"/>
      <w:r w:rsidRPr="00D618B7">
        <w:t xml:space="preserve">Table </w:t>
      </w:r>
      <w:r w:rsidR="00000000">
        <w:fldChar w:fldCharType="begin"/>
      </w:r>
      <w:r w:rsidR="00000000">
        <w:instrText xml:space="preserve"> SEQ Table \* ARABIC </w:instrText>
      </w:r>
      <w:r w:rsidR="00000000">
        <w:fldChar w:fldCharType="separate"/>
      </w:r>
      <w:r w:rsidR="000C6E43">
        <w:rPr>
          <w:noProof/>
        </w:rPr>
        <w:t>29</w:t>
      </w:r>
      <w:r w:rsidR="00000000">
        <w:rPr>
          <w:noProof/>
        </w:rPr>
        <w:fldChar w:fldCharType="end"/>
      </w:r>
      <w:r w:rsidRPr="00D618B7">
        <w:t>: Event average duration by proximity</w:t>
      </w:r>
      <w:bookmarkEnd w:id="160"/>
    </w:p>
    <w:p w14:paraId="7C0D3387" w14:textId="4E464272" w:rsidR="00C57515" w:rsidRPr="00D618B7" w:rsidRDefault="00C57515" w:rsidP="00C57515">
      <w:r w:rsidRPr="00D618B7">
        <w:t>Estimated Mean Average Duration of Events by Proximity</w:t>
      </w:r>
    </w:p>
    <w:tbl>
      <w:tblPr>
        <w:tblW w:w="5000" w:type="pct"/>
        <w:tblLook w:val="04A0" w:firstRow="1" w:lastRow="0" w:firstColumn="1" w:lastColumn="0" w:noHBand="0" w:noVBand="1"/>
      </w:tblPr>
      <w:tblGrid>
        <w:gridCol w:w="3074"/>
        <w:gridCol w:w="2409"/>
        <w:gridCol w:w="3157"/>
      </w:tblGrid>
      <w:tr w:rsidR="00C57515" w:rsidRPr="00D618B7" w14:paraId="5B9EC76E" w14:textId="77777777" w:rsidTr="004B11B7">
        <w:trPr>
          <w:trHeight w:val="386"/>
        </w:trPr>
        <w:tc>
          <w:tcPr>
            <w:tcW w:w="1779" w:type="pct"/>
            <w:tcBorders>
              <w:top w:val="single" w:sz="4" w:space="0" w:color="auto"/>
              <w:left w:val="nil"/>
              <w:bottom w:val="single" w:sz="8" w:space="0" w:color="auto"/>
              <w:right w:val="nil"/>
            </w:tcBorders>
            <w:shd w:val="clear" w:color="000000" w:fill="FFFFFF"/>
            <w:vAlign w:val="center"/>
            <w:hideMark/>
          </w:tcPr>
          <w:p w14:paraId="217EAA1F" w14:textId="77777777" w:rsidR="00C57515" w:rsidRPr="00D618B7" w:rsidRDefault="00C57515" w:rsidP="004B11B7">
            <w:pPr>
              <w:rPr>
                <w:color w:val="000000"/>
              </w:rPr>
            </w:pPr>
            <w:r w:rsidRPr="00D618B7">
              <w:rPr>
                <w:color w:val="000000"/>
              </w:rPr>
              <w:t>Week</w:t>
            </w:r>
          </w:p>
        </w:tc>
        <w:tc>
          <w:tcPr>
            <w:tcW w:w="1394" w:type="pct"/>
            <w:tcBorders>
              <w:top w:val="single" w:sz="4" w:space="0" w:color="auto"/>
              <w:left w:val="nil"/>
              <w:bottom w:val="single" w:sz="8" w:space="0" w:color="auto"/>
              <w:right w:val="nil"/>
            </w:tcBorders>
            <w:shd w:val="clear" w:color="000000" w:fill="FFFFFF"/>
            <w:noWrap/>
            <w:vAlign w:val="center"/>
            <w:hideMark/>
          </w:tcPr>
          <w:p w14:paraId="13512648" w14:textId="77777777" w:rsidR="00C57515" w:rsidRPr="00D618B7" w:rsidRDefault="00C57515" w:rsidP="004B11B7">
            <w:pPr>
              <w:jc w:val="right"/>
              <w:rPr>
                <w:color w:val="000000"/>
              </w:rPr>
            </w:pPr>
            <w:r w:rsidRPr="00D618B7">
              <w:rPr>
                <w:color w:val="000000"/>
              </w:rPr>
              <w:t>Mean</w:t>
            </w:r>
          </w:p>
        </w:tc>
        <w:tc>
          <w:tcPr>
            <w:tcW w:w="1827" w:type="pct"/>
            <w:tcBorders>
              <w:top w:val="single" w:sz="4" w:space="0" w:color="auto"/>
              <w:left w:val="nil"/>
              <w:bottom w:val="single" w:sz="8" w:space="0" w:color="auto"/>
              <w:right w:val="nil"/>
            </w:tcBorders>
            <w:shd w:val="clear" w:color="000000" w:fill="FFFFFF"/>
            <w:noWrap/>
            <w:vAlign w:val="center"/>
            <w:hideMark/>
          </w:tcPr>
          <w:p w14:paraId="2B36426B" w14:textId="77777777" w:rsidR="00C57515" w:rsidRPr="00D618B7" w:rsidRDefault="00C57515" w:rsidP="004B11B7">
            <w:pPr>
              <w:jc w:val="right"/>
              <w:rPr>
                <w:color w:val="000000"/>
              </w:rPr>
            </w:pPr>
            <w:r w:rsidRPr="00D618B7">
              <w:rPr>
                <w:color w:val="000000"/>
              </w:rPr>
              <w:t>Std. Error</w:t>
            </w:r>
          </w:p>
        </w:tc>
      </w:tr>
      <w:tr w:rsidR="00272B0D" w:rsidRPr="00D618B7" w14:paraId="7F27AC6E" w14:textId="77777777" w:rsidTr="00617B89">
        <w:trPr>
          <w:trHeight w:val="386"/>
        </w:trPr>
        <w:tc>
          <w:tcPr>
            <w:tcW w:w="1779" w:type="pct"/>
            <w:tcBorders>
              <w:top w:val="nil"/>
              <w:left w:val="nil"/>
              <w:bottom w:val="nil"/>
              <w:right w:val="nil"/>
            </w:tcBorders>
            <w:shd w:val="clear" w:color="000000" w:fill="FFFFFF"/>
            <w:vAlign w:val="center"/>
            <w:hideMark/>
          </w:tcPr>
          <w:p w14:paraId="7555A884" w14:textId="77777777" w:rsidR="00272B0D" w:rsidRPr="00D618B7" w:rsidRDefault="00272B0D" w:rsidP="00272B0D">
            <w:pPr>
              <w:rPr>
                <w:color w:val="000000"/>
              </w:rPr>
            </w:pPr>
            <w:r w:rsidRPr="00D618B7">
              <w:rPr>
                <w:color w:val="000000"/>
              </w:rPr>
              <w:t>Toy-out-of-Reach</w:t>
            </w:r>
          </w:p>
        </w:tc>
        <w:tc>
          <w:tcPr>
            <w:tcW w:w="1394" w:type="pct"/>
            <w:tcBorders>
              <w:top w:val="nil"/>
              <w:left w:val="nil"/>
              <w:bottom w:val="nil"/>
              <w:right w:val="nil"/>
            </w:tcBorders>
            <w:shd w:val="clear" w:color="000000" w:fill="FFFFFF"/>
            <w:noWrap/>
            <w:hideMark/>
          </w:tcPr>
          <w:p w14:paraId="722EBCD2" w14:textId="0460BE8D" w:rsidR="00272B0D" w:rsidRPr="00D618B7" w:rsidRDefault="00272B0D" w:rsidP="00272B0D">
            <w:pPr>
              <w:jc w:val="right"/>
              <w:rPr>
                <w:color w:val="000000"/>
              </w:rPr>
            </w:pPr>
            <w:r w:rsidRPr="00D618B7">
              <w:t>507.10</w:t>
            </w:r>
          </w:p>
        </w:tc>
        <w:tc>
          <w:tcPr>
            <w:tcW w:w="1827" w:type="pct"/>
            <w:tcBorders>
              <w:top w:val="nil"/>
              <w:left w:val="nil"/>
              <w:bottom w:val="nil"/>
              <w:right w:val="nil"/>
            </w:tcBorders>
            <w:shd w:val="clear" w:color="000000" w:fill="FFFFFF"/>
            <w:noWrap/>
            <w:hideMark/>
          </w:tcPr>
          <w:p w14:paraId="060EC1A6" w14:textId="0D8BC89B" w:rsidR="00272B0D" w:rsidRPr="00D618B7" w:rsidRDefault="00272B0D" w:rsidP="00272B0D">
            <w:pPr>
              <w:jc w:val="right"/>
              <w:rPr>
                <w:color w:val="000000"/>
              </w:rPr>
            </w:pPr>
            <w:r w:rsidRPr="00D618B7">
              <w:t>70.80</w:t>
            </w:r>
          </w:p>
        </w:tc>
      </w:tr>
      <w:tr w:rsidR="00272B0D" w:rsidRPr="00D618B7" w14:paraId="246B4E94" w14:textId="77777777" w:rsidTr="00617B89">
        <w:trPr>
          <w:trHeight w:val="386"/>
        </w:trPr>
        <w:tc>
          <w:tcPr>
            <w:tcW w:w="1779" w:type="pct"/>
            <w:tcBorders>
              <w:top w:val="nil"/>
              <w:left w:val="nil"/>
              <w:bottom w:val="nil"/>
              <w:right w:val="nil"/>
            </w:tcBorders>
            <w:shd w:val="clear" w:color="000000" w:fill="FFFFFF"/>
            <w:vAlign w:val="center"/>
            <w:hideMark/>
          </w:tcPr>
          <w:p w14:paraId="300F01D5" w14:textId="77777777" w:rsidR="00272B0D" w:rsidRPr="00D618B7" w:rsidRDefault="00272B0D" w:rsidP="00272B0D">
            <w:pPr>
              <w:rPr>
                <w:color w:val="000000"/>
              </w:rPr>
            </w:pPr>
            <w:r w:rsidRPr="00D618B7">
              <w:rPr>
                <w:color w:val="000000"/>
              </w:rPr>
              <w:t>Toy-Moving-into-Reach</w:t>
            </w:r>
          </w:p>
        </w:tc>
        <w:tc>
          <w:tcPr>
            <w:tcW w:w="1394" w:type="pct"/>
            <w:tcBorders>
              <w:top w:val="nil"/>
              <w:left w:val="nil"/>
              <w:bottom w:val="nil"/>
              <w:right w:val="nil"/>
            </w:tcBorders>
            <w:shd w:val="clear" w:color="000000" w:fill="FFFFFF"/>
            <w:noWrap/>
            <w:hideMark/>
          </w:tcPr>
          <w:p w14:paraId="4AC6043F" w14:textId="0E7AE4E4" w:rsidR="00272B0D" w:rsidRPr="00D618B7" w:rsidRDefault="00272B0D" w:rsidP="00272B0D">
            <w:pPr>
              <w:jc w:val="right"/>
              <w:rPr>
                <w:color w:val="000000"/>
              </w:rPr>
            </w:pPr>
            <w:r w:rsidRPr="00D618B7">
              <w:t>75.79</w:t>
            </w:r>
          </w:p>
        </w:tc>
        <w:tc>
          <w:tcPr>
            <w:tcW w:w="1827" w:type="pct"/>
            <w:tcBorders>
              <w:top w:val="nil"/>
              <w:left w:val="nil"/>
              <w:bottom w:val="nil"/>
              <w:right w:val="nil"/>
            </w:tcBorders>
            <w:shd w:val="clear" w:color="000000" w:fill="FFFFFF"/>
            <w:noWrap/>
            <w:hideMark/>
          </w:tcPr>
          <w:p w14:paraId="299DC3BF" w14:textId="0CB16C13" w:rsidR="00272B0D" w:rsidRPr="00D618B7" w:rsidRDefault="00272B0D" w:rsidP="00272B0D">
            <w:pPr>
              <w:jc w:val="right"/>
              <w:rPr>
                <w:color w:val="000000"/>
              </w:rPr>
            </w:pPr>
            <w:r w:rsidRPr="00D618B7">
              <w:t>70.78</w:t>
            </w:r>
          </w:p>
        </w:tc>
      </w:tr>
      <w:tr w:rsidR="00272B0D" w:rsidRPr="00D618B7" w14:paraId="0BA5A1EF" w14:textId="77777777" w:rsidTr="00617B89">
        <w:trPr>
          <w:trHeight w:val="386"/>
        </w:trPr>
        <w:tc>
          <w:tcPr>
            <w:tcW w:w="1779" w:type="pct"/>
            <w:tcBorders>
              <w:top w:val="nil"/>
              <w:left w:val="nil"/>
              <w:bottom w:val="single" w:sz="8" w:space="0" w:color="auto"/>
              <w:right w:val="nil"/>
            </w:tcBorders>
            <w:shd w:val="clear" w:color="000000" w:fill="FFFFFF"/>
            <w:vAlign w:val="center"/>
            <w:hideMark/>
          </w:tcPr>
          <w:p w14:paraId="43B25596" w14:textId="77777777" w:rsidR="00272B0D" w:rsidRPr="00D618B7" w:rsidRDefault="00272B0D" w:rsidP="00272B0D">
            <w:pPr>
              <w:rPr>
                <w:color w:val="000000"/>
              </w:rPr>
            </w:pPr>
            <w:r w:rsidRPr="00D618B7">
              <w:rPr>
                <w:color w:val="000000"/>
              </w:rPr>
              <w:t>Toy-in-Reach</w:t>
            </w:r>
          </w:p>
        </w:tc>
        <w:tc>
          <w:tcPr>
            <w:tcW w:w="1394" w:type="pct"/>
            <w:tcBorders>
              <w:top w:val="nil"/>
              <w:left w:val="nil"/>
              <w:bottom w:val="single" w:sz="8" w:space="0" w:color="auto"/>
              <w:right w:val="nil"/>
            </w:tcBorders>
            <w:shd w:val="clear" w:color="000000" w:fill="FFFFFF"/>
            <w:noWrap/>
            <w:hideMark/>
          </w:tcPr>
          <w:p w14:paraId="2B8A42D2" w14:textId="27B5AB8C" w:rsidR="00272B0D" w:rsidRPr="00D618B7" w:rsidRDefault="00272B0D" w:rsidP="00272B0D">
            <w:pPr>
              <w:jc w:val="right"/>
              <w:rPr>
                <w:color w:val="000000"/>
              </w:rPr>
            </w:pPr>
            <w:r w:rsidRPr="00D618B7">
              <w:t>201.79</w:t>
            </w:r>
          </w:p>
        </w:tc>
        <w:tc>
          <w:tcPr>
            <w:tcW w:w="1827" w:type="pct"/>
            <w:tcBorders>
              <w:top w:val="nil"/>
              <w:left w:val="nil"/>
              <w:bottom w:val="single" w:sz="8" w:space="0" w:color="auto"/>
              <w:right w:val="nil"/>
            </w:tcBorders>
            <w:shd w:val="clear" w:color="000000" w:fill="FFFFFF"/>
            <w:noWrap/>
            <w:hideMark/>
          </w:tcPr>
          <w:p w14:paraId="72323845" w14:textId="5DF14A04" w:rsidR="00272B0D" w:rsidRPr="00D618B7" w:rsidRDefault="00272B0D" w:rsidP="00272B0D">
            <w:pPr>
              <w:jc w:val="right"/>
              <w:rPr>
                <w:color w:val="000000"/>
              </w:rPr>
            </w:pPr>
            <w:r w:rsidRPr="00D618B7">
              <w:t>70.82</w:t>
            </w:r>
          </w:p>
        </w:tc>
      </w:tr>
    </w:tbl>
    <w:p w14:paraId="6C4212D5" w14:textId="77777777" w:rsidR="00C57515" w:rsidRPr="00D618B7" w:rsidRDefault="00C57515" w:rsidP="00C57515">
      <w:pPr>
        <w:rPr>
          <w:i/>
          <w:iCs/>
        </w:rPr>
      </w:pPr>
    </w:p>
    <w:p w14:paraId="3DD95A62" w14:textId="77777777" w:rsidR="00C57515" w:rsidRPr="00D618B7" w:rsidRDefault="00C57515" w:rsidP="00C57515">
      <w:r w:rsidRPr="00D618B7">
        <w:rPr>
          <w:i/>
          <w:iCs/>
        </w:rPr>
        <w:t>Note</w:t>
      </w:r>
      <w:r w:rsidRPr="00D618B7">
        <w:t>: This table lists the estimated mean Average Duration and standard errors for toy-out-of-reach, toy-moving-into-reach, and toy-in-reach.</w:t>
      </w:r>
    </w:p>
    <w:p w14:paraId="58EC6DF5" w14:textId="77777777" w:rsidR="00C57515" w:rsidRPr="00D618B7" w:rsidRDefault="00C57515">
      <w:pPr>
        <w:rPr>
          <w:rFonts w:eastAsia="Aptos"/>
          <w:kern w:val="2"/>
          <w:sz w:val="22"/>
          <w:szCs w:val="22"/>
        </w:rPr>
      </w:pPr>
    </w:p>
    <w:p w14:paraId="7FD9B7F2" w14:textId="3F995929" w:rsidR="00C57515" w:rsidRPr="00D618B7" w:rsidRDefault="00C57515" w:rsidP="007C5074">
      <w:pPr>
        <w:pStyle w:val="Caption"/>
        <w:rPr>
          <w:rFonts w:eastAsia="Aptos"/>
          <w:kern w:val="2"/>
          <w:sz w:val="22"/>
          <w:szCs w:val="22"/>
        </w:rPr>
      </w:pPr>
      <w:bookmarkStart w:id="161" w:name="_Toc172716858"/>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30</w:t>
      </w:r>
      <w:r w:rsidR="00000000">
        <w:rPr>
          <w:noProof/>
        </w:rPr>
        <w:fldChar w:fldCharType="end"/>
      </w:r>
      <w:r w:rsidRPr="00D618B7">
        <w:t>: Event average duration</w:t>
      </w:r>
      <w:r w:rsidR="001572CA" w:rsidRPr="00D618B7">
        <w:t xml:space="preserve"> by</w:t>
      </w:r>
      <w:r w:rsidRPr="00D618B7">
        <w:t xml:space="preserve"> week</w:t>
      </w:r>
      <w:r w:rsidR="006C7206" w:rsidRPr="00D618B7">
        <w:t xml:space="preserve"> and</w:t>
      </w:r>
      <w:r w:rsidRPr="00D618B7">
        <w:t xml:space="preserve"> type</w:t>
      </w:r>
      <w:bookmarkEnd w:id="161"/>
    </w:p>
    <w:p w14:paraId="5E72C1E3" w14:textId="77777777" w:rsidR="00C57515" w:rsidRPr="00D618B7" w:rsidRDefault="00C57515" w:rsidP="00C57515">
      <w:r w:rsidRPr="00D618B7">
        <w:t>Estimated Mean Average Duration of Events by Type and Week</w:t>
      </w:r>
    </w:p>
    <w:tbl>
      <w:tblPr>
        <w:tblW w:w="5000" w:type="pct"/>
        <w:tblLook w:val="04A0" w:firstRow="1" w:lastRow="0" w:firstColumn="1" w:lastColumn="0" w:noHBand="0" w:noVBand="1"/>
      </w:tblPr>
      <w:tblGrid>
        <w:gridCol w:w="1630"/>
        <w:gridCol w:w="1094"/>
        <w:gridCol w:w="1559"/>
        <w:gridCol w:w="982"/>
        <w:gridCol w:w="1187"/>
        <w:gridCol w:w="1001"/>
        <w:gridCol w:w="1187"/>
      </w:tblGrid>
      <w:tr w:rsidR="00C57515" w:rsidRPr="00D618B7" w14:paraId="4F1E02A0" w14:textId="77777777" w:rsidTr="001572CA">
        <w:trPr>
          <w:trHeight w:val="278"/>
        </w:trPr>
        <w:tc>
          <w:tcPr>
            <w:tcW w:w="943" w:type="pct"/>
            <w:tcBorders>
              <w:top w:val="nil"/>
              <w:left w:val="nil"/>
              <w:bottom w:val="single" w:sz="8" w:space="0" w:color="auto"/>
              <w:right w:val="nil"/>
            </w:tcBorders>
            <w:shd w:val="clear" w:color="auto" w:fill="auto"/>
            <w:noWrap/>
            <w:vAlign w:val="bottom"/>
            <w:hideMark/>
          </w:tcPr>
          <w:p w14:paraId="73850EC8" w14:textId="77777777" w:rsidR="00C57515" w:rsidRPr="00D618B7" w:rsidRDefault="00C57515" w:rsidP="004B11B7">
            <w:pPr>
              <w:rPr>
                <w:color w:val="000000"/>
              </w:rPr>
            </w:pPr>
            <w:r w:rsidRPr="00D618B7">
              <w:rPr>
                <w:color w:val="000000"/>
              </w:rPr>
              <w:t> </w:t>
            </w:r>
          </w:p>
        </w:tc>
        <w:tc>
          <w:tcPr>
            <w:tcW w:w="633" w:type="pct"/>
            <w:tcBorders>
              <w:top w:val="nil"/>
              <w:left w:val="nil"/>
              <w:bottom w:val="single" w:sz="8" w:space="0" w:color="auto"/>
              <w:right w:val="nil"/>
            </w:tcBorders>
            <w:shd w:val="clear" w:color="auto" w:fill="auto"/>
            <w:noWrap/>
            <w:vAlign w:val="bottom"/>
            <w:hideMark/>
          </w:tcPr>
          <w:p w14:paraId="52950F62" w14:textId="77777777" w:rsidR="00C57515" w:rsidRPr="00D618B7" w:rsidRDefault="00C57515" w:rsidP="004B11B7">
            <w:pPr>
              <w:rPr>
                <w:color w:val="000000"/>
              </w:rPr>
            </w:pPr>
            <w:r w:rsidRPr="00D618B7">
              <w:rPr>
                <w:color w:val="000000"/>
              </w:rPr>
              <w:t> </w:t>
            </w:r>
          </w:p>
        </w:tc>
        <w:tc>
          <w:tcPr>
            <w:tcW w:w="902" w:type="pct"/>
            <w:tcBorders>
              <w:top w:val="nil"/>
              <w:left w:val="nil"/>
              <w:bottom w:val="single" w:sz="8" w:space="0" w:color="auto"/>
              <w:right w:val="nil"/>
            </w:tcBorders>
            <w:shd w:val="clear" w:color="auto" w:fill="auto"/>
            <w:noWrap/>
            <w:vAlign w:val="bottom"/>
            <w:hideMark/>
          </w:tcPr>
          <w:p w14:paraId="3B7BFED7" w14:textId="77777777" w:rsidR="00C57515" w:rsidRPr="00D618B7" w:rsidRDefault="00C57515" w:rsidP="004B11B7">
            <w:pPr>
              <w:rPr>
                <w:color w:val="000000"/>
              </w:rPr>
            </w:pPr>
            <w:r w:rsidRPr="00D618B7">
              <w:rPr>
                <w:color w:val="000000"/>
              </w:rPr>
              <w:t> </w:t>
            </w:r>
          </w:p>
        </w:tc>
        <w:tc>
          <w:tcPr>
            <w:tcW w:w="568" w:type="pct"/>
            <w:tcBorders>
              <w:top w:val="nil"/>
              <w:left w:val="nil"/>
              <w:bottom w:val="single" w:sz="8" w:space="0" w:color="auto"/>
              <w:right w:val="nil"/>
            </w:tcBorders>
            <w:shd w:val="clear" w:color="auto" w:fill="auto"/>
            <w:noWrap/>
            <w:vAlign w:val="bottom"/>
            <w:hideMark/>
          </w:tcPr>
          <w:p w14:paraId="1EEC4896" w14:textId="77777777" w:rsidR="00C57515" w:rsidRPr="00D618B7" w:rsidRDefault="00C57515" w:rsidP="004B11B7">
            <w:pPr>
              <w:rPr>
                <w:color w:val="000000"/>
              </w:rPr>
            </w:pPr>
            <w:r w:rsidRPr="00D618B7">
              <w:rPr>
                <w:color w:val="000000"/>
              </w:rPr>
              <w:t> </w:t>
            </w:r>
          </w:p>
        </w:tc>
        <w:tc>
          <w:tcPr>
            <w:tcW w:w="687" w:type="pct"/>
            <w:tcBorders>
              <w:top w:val="nil"/>
              <w:left w:val="nil"/>
              <w:bottom w:val="single" w:sz="8" w:space="0" w:color="auto"/>
              <w:right w:val="nil"/>
            </w:tcBorders>
            <w:shd w:val="clear" w:color="auto" w:fill="auto"/>
            <w:noWrap/>
            <w:vAlign w:val="bottom"/>
            <w:hideMark/>
          </w:tcPr>
          <w:p w14:paraId="69A96B18" w14:textId="77777777" w:rsidR="00C57515" w:rsidRPr="00D618B7" w:rsidRDefault="00C57515" w:rsidP="004B11B7">
            <w:pPr>
              <w:rPr>
                <w:color w:val="000000"/>
              </w:rPr>
            </w:pPr>
            <w:r w:rsidRPr="00D618B7">
              <w:rPr>
                <w:color w:val="000000"/>
              </w:rPr>
              <w:t> </w:t>
            </w:r>
          </w:p>
        </w:tc>
        <w:tc>
          <w:tcPr>
            <w:tcW w:w="579" w:type="pct"/>
            <w:tcBorders>
              <w:top w:val="nil"/>
              <w:left w:val="nil"/>
              <w:bottom w:val="single" w:sz="8" w:space="0" w:color="auto"/>
              <w:right w:val="nil"/>
            </w:tcBorders>
            <w:shd w:val="clear" w:color="auto" w:fill="auto"/>
            <w:noWrap/>
            <w:vAlign w:val="bottom"/>
            <w:hideMark/>
          </w:tcPr>
          <w:p w14:paraId="237E784C" w14:textId="77777777" w:rsidR="00C57515" w:rsidRPr="00D618B7" w:rsidRDefault="00C57515" w:rsidP="004B11B7">
            <w:pPr>
              <w:rPr>
                <w:color w:val="000000"/>
              </w:rPr>
            </w:pPr>
            <w:r w:rsidRPr="00D618B7">
              <w:rPr>
                <w:color w:val="000000"/>
              </w:rPr>
              <w:t> </w:t>
            </w:r>
          </w:p>
        </w:tc>
        <w:tc>
          <w:tcPr>
            <w:tcW w:w="687" w:type="pct"/>
            <w:tcBorders>
              <w:top w:val="nil"/>
              <w:left w:val="nil"/>
              <w:bottom w:val="single" w:sz="8" w:space="0" w:color="auto"/>
              <w:right w:val="nil"/>
            </w:tcBorders>
            <w:shd w:val="clear" w:color="auto" w:fill="auto"/>
            <w:noWrap/>
            <w:vAlign w:val="bottom"/>
            <w:hideMark/>
          </w:tcPr>
          <w:p w14:paraId="45D9C9C2" w14:textId="77777777" w:rsidR="00C57515" w:rsidRPr="00D618B7" w:rsidRDefault="00C57515" w:rsidP="004B11B7">
            <w:pPr>
              <w:rPr>
                <w:color w:val="000000"/>
              </w:rPr>
            </w:pPr>
            <w:r w:rsidRPr="00D618B7">
              <w:rPr>
                <w:color w:val="000000"/>
              </w:rPr>
              <w:t> </w:t>
            </w:r>
          </w:p>
        </w:tc>
      </w:tr>
      <w:tr w:rsidR="00C57515" w:rsidRPr="00D618B7" w14:paraId="03A03889" w14:textId="77777777" w:rsidTr="001572CA">
        <w:trPr>
          <w:trHeight w:val="278"/>
        </w:trPr>
        <w:tc>
          <w:tcPr>
            <w:tcW w:w="943" w:type="pct"/>
            <w:tcBorders>
              <w:top w:val="nil"/>
              <w:left w:val="nil"/>
              <w:bottom w:val="nil"/>
              <w:right w:val="nil"/>
            </w:tcBorders>
            <w:shd w:val="clear" w:color="000000" w:fill="FFFFFF"/>
            <w:vAlign w:val="center"/>
            <w:hideMark/>
          </w:tcPr>
          <w:p w14:paraId="4D578439" w14:textId="77777777" w:rsidR="00C57515" w:rsidRPr="00D618B7" w:rsidRDefault="00C57515" w:rsidP="004B11B7">
            <w:pPr>
              <w:rPr>
                <w:color w:val="000000"/>
              </w:rPr>
            </w:pPr>
            <w:r w:rsidRPr="00D618B7">
              <w:rPr>
                <w:color w:val="000000"/>
              </w:rPr>
              <w:t>Week</w:t>
            </w:r>
          </w:p>
        </w:tc>
        <w:tc>
          <w:tcPr>
            <w:tcW w:w="1535" w:type="pct"/>
            <w:gridSpan w:val="2"/>
            <w:tcBorders>
              <w:top w:val="nil"/>
              <w:left w:val="nil"/>
              <w:bottom w:val="single" w:sz="8" w:space="0" w:color="auto"/>
              <w:right w:val="nil"/>
            </w:tcBorders>
            <w:shd w:val="clear" w:color="000000" w:fill="FFFFFF"/>
            <w:vAlign w:val="center"/>
            <w:hideMark/>
          </w:tcPr>
          <w:p w14:paraId="31785F37" w14:textId="77777777" w:rsidR="00C57515" w:rsidRPr="00D618B7" w:rsidRDefault="00C57515" w:rsidP="004B11B7">
            <w:pPr>
              <w:jc w:val="center"/>
              <w:rPr>
                <w:color w:val="000000"/>
              </w:rPr>
            </w:pPr>
            <w:r w:rsidRPr="00D618B7">
              <w:rPr>
                <w:color w:val="000000"/>
              </w:rPr>
              <w:t>Face</w:t>
            </w:r>
          </w:p>
        </w:tc>
        <w:tc>
          <w:tcPr>
            <w:tcW w:w="1255" w:type="pct"/>
            <w:gridSpan w:val="2"/>
            <w:tcBorders>
              <w:top w:val="nil"/>
              <w:left w:val="nil"/>
              <w:bottom w:val="single" w:sz="8" w:space="0" w:color="auto"/>
              <w:right w:val="nil"/>
            </w:tcBorders>
            <w:shd w:val="clear" w:color="000000" w:fill="FFFFFF"/>
            <w:vAlign w:val="center"/>
            <w:hideMark/>
          </w:tcPr>
          <w:p w14:paraId="71E99905" w14:textId="77777777" w:rsidR="00C57515" w:rsidRPr="00D618B7" w:rsidRDefault="00C57515" w:rsidP="004B11B7">
            <w:pPr>
              <w:jc w:val="center"/>
              <w:rPr>
                <w:color w:val="000000"/>
              </w:rPr>
            </w:pPr>
            <w:r w:rsidRPr="00D618B7">
              <w:rPr>
                <w:color w:val="000000"/>
              </w:rPr>
              <w:t>Hand</w:t>
            </w:r>
          </w:p>
        </w:tc>
        <w:tc>
          <w:tcPr>
            <w:tcW w:w="1266" w:type="pct"/>
            <w:gridSpan w:val="2"/>
            <w:tcBorders>
              <w:top w:val="nil"/>
              <w:left w:val="nil"/>
              <w:bottom w:val="single" w:sz="8" w:space="0" w:color="auto"/>
              <w:right w:val="nil"/>
            </w:tcBorders>
            <w:shd w:val="clear" w:color="000000" w:fill="FFFFFF"/>
            <w:vAlign w:val="center"/>
            <w:hideMark/>
          </w:tcPr>
          <w:p w14:paraId="29A03F11" w14:textId="77777777" w:rsidR="00C57515" w:rsidRPr="00D618B7" w:rsidRDefault="00C57515" w:rsidP="004B11B7">
            <w:pPr>
              <w:jc w:val="center"/>
              <w:rPr>
                <w:color w:val="000000"/>
              </w:rPr>
            </w:pPr>
            <w:r w:rsidRPr="00D618B7">
              <w:rPr>
                <w:color w:val="000000"/>
              </w:rPr>
              <w:t>Mouth</w:t>
            </w:r>
          </w:p>
        </w:tc>
      </w:tr>
      <w:tr w:rsidR="00C57515" w:rsidRPr="00D618B7" w14:paraId="6202946A" w14:textId="77777777" w:rsidTr="001572CA">
        <w:trPr>
          <w:trHeight w:val="278"/>
        </w:trPr>
        <w:tc>
          <w:tcPr>
            <w:tcW w:w="943" w:type="pct"/>
            <w:tcBorders>
              <w:top w:val="nil"/>
              <w:left w:val="nil"/>
              <w:bottom w:val="single" w:sz="8" w:space="0" w:color="auto"/>
              <w:right w:val="nil"/>
            </w:tcBorders>
            <w:shd w:val="clear" w:color="000000" w:fill="FFFFFF"/>
            <w:noWrap/>
            <w:vAlign w:val="bottom"/>
            <w:hideMark/>
          </w:tcPr>
          <w:p w14:paraId="34A58C94" w14:textId="77777777" w:rsidR="00C57515" w:rsidRPr="00D618B7" w:rsidRDefault="00C57515" w:rsidP="004B11B7">
            <w:pPr>
              <w:rPr>
                <w:color w:val="000000"/>
              </w:rPr>
            </w:pPr>
            <w:r w:rsidRPr="00D618B7">
              <w:rPr>
                <w:color w:val="000000"/>
              </w:rPr>
              <w:t> </w:t>
            </w:r>
          </w:p>
        </w:tc>
        <w:tc>
          <w:tcPr>
            <w:tcW w:w="633" w:type="pct"/>
            <w:tcBorders>
              <w:top w:val="nil"/>
              <w:left w:val="nil"/>
              <w:bottom w:val="single" w:sz="8" w:space="0" w:color="auto"/>
              <w:right w:val="nil"/>
            </w:tcBorders>
            <w:shd w:val="clear" w:color="000000" w:fill="FFFFFF"/>
            <w:noWrap/>
            <w:vAlign w:val="center"/>
            <w:hideMark/>
          </w:tcPr>
          <w:p w14:paraId="4E0ED511" w14:textId="77777777" w:rsidR="00C57515" w:rsidRPr="00D618B7" w:rsidRDefault="00C57515" w:rsidP="004B11B7">
            <w:pPr>
              <w:jc w:val="right"/>
              <w:rPr>
                <w:color w:val="000000"/>
              </w:rPr>
            </w:pPr>
            <w:r w:rsidRPr="00D618B7">
              <w:rPr>
                <w:color w:val="000000"/>
              </w:rPr>
              <w:t>Mean</w:t>
            </w:r>
          </w:p>
        </w:tc>
        <w:tc>
          <w:tcPr>
            <w:tcW w:w="902" w:type="pct"/>
            <w:tcBorders>
              <w:top w:val="nil"/>
              <w:left w:val="nil"/>
              <w:bottom w:val="single" w:sz="8" w:space="0" w:color="auto"/>
              <w:right w:val="nil"/>
            </w:tcBorders>
            <w:shd w:val="clear" w:color="000000" w:fill="FFFFFF"/>
            <w:noWrap/>
            <w:vAlign w:val="center"/>
            <w:hideMark/>
          </w:tcPr>
          <w:p w14:paraId="2A10DC12" w14:textId="77777777" w:rsidR="00C57515" w:rsidRPr="00D618B7" w:rsidRDefault="00C57515" w:rsidP="004B11B7">
            <w:pPr>
              <w:jc w:val="right"/>
              <w:rPr>
                <w:color w:val="000000"/>
              </w:rPr>
            </w:pPr>
            <w:r w:rsidRPr="00D618B7">
              <w:rPr>
                <w:color w:val="000000"/>
              </w:rPr>
              <w:t>Std. Error</w:t>
            </w:r>
          </w:p>
        </w:tc>
        <w:tc>
          <w:tcPr>
            <w:tcW w:w="568" w:type="pct"/>
            <w:tcBorders>
              <w:top w:val="nil"/>
              <w:left w:val="nil"/>
              <w:bottom w:val="single" w:sz="8" w:space="0" w:color="auto"/>
              <w:right w:val="nil"/>
            </w:tcBorders>
            <w:shd w:val="clear" w:color="000000" w:fill="FFFFFF"/>
            <w:noWrap/>
            <w:vAlign w:val="center"/>
            <w:hideMark/>
          </w:tcPr>
          <w:p w14:paraId="63D771C8" w14:textId="77777777" w:rsidR="00C57515" w:rsidRPr="00D618B7" w:rsidRDefault="00C57515" w:rsidP="004B11B7">
            <w:pPr>
              <w:jc w:val="right"/>
              <w:rPr>
                <w:color w:val="000000"/>
              </w:rPr>
            </w:pPr>
            <w:r w:rsidRPr="00D618B7">
              <w:rPr>
                <w:color w:val="000000"/>
              </w:rPr>
              <w:t>Mean</w:t>
            </w:r>
          </w:p>
        </w:tc>
        <w:tc>
          <w:tcPr>
            <w:tcW w:w="687" w:type="pct"/>
            <w:tcBorders>
              <w:top w:val="nil"/>
              <w:left w:val="nil"/>
              <w:bottom w:val="single" w:sz="8" w:space="0" w:color="auto"/>
              <w:right w:val="nil"/>
            </w:tcBorders>
            <w:shd w:val="clear" w:color="000000" w:fill="FFFFFF"/>
            <w:noWrap/>
            <w:vAlign w:val="center"/>
            <w:hideMark/>
          </w:tcPr>
          <w:p w14:paraId="5B34FE4A" w14:textId="77777777" w:rsidR="00C57515" w:rsidRPr="00D618B7" w:rsidRDefault="00C57515" w:rsidP="004B11B7">
            <w:pPr>
              <w:jc w:val="right"/>
              <w:rPr>
                <w:color w:val="000000"/>
              </w:rPr>
            </w:pPr>
            <w:r w:rsidRPr="00D618B7">
              <w:rPr>
                <w:color w:val="000000"/>
              </w:rPr>
              <w:t>Std. Error</w:t>
            </w:r>
          </w:p>
        </w:tc>
        <w:tc>
          <w:tcPr>
            <w:tcW w:w="579" w:type="pct"/>
            <w:tcBorders>
              <w:top w:val="nil"/>
              <w:left w:val="nil"/>
              <w:bottom w:val="single" w:sz="8" w:space="0" w:color="auto"/>
              <w:right w:val="nil"/>
            </w:tcBorders>
            <w:shd w:val="clear" w:color="000000" w:fill="FFFFFF"/>
            <w:noWrap/>
            <w:vAlign w:val="center"/>
            <w:hideMark/>
          </w:tcPr>
          <w:p w14:paraId="1B0C47A9" w14:textId="77777777" w:rsidR="00C57515" w:rsidRPr="00D618B7" w:rsidRDefault="00C57515" w:rsidP="004B11B7">
            <w:pPr>
              <w:jc w:val="right"/>
              <w:rPr>
                <w:color w:val="000000"/>
              </w:rPr>
            </w:pPr>
            <w:r w:rsidRPr="00D618B7">
              <w:rPr>
                <w:color w:val="000000"/>
              </w:rPr>
              <w:t>Mean</w:t>
            </w:r>
          </w:p>
        </w:tc>
        <w:tc>
          <w:tcPr>
            <w:tcW w:w="687" w:type="pct"/>
            <w:tcBorders>
              <w:top w:val="nil"/>
              <w:left w:val="nil"/>
              <w:bottom w:val="single" w:sz="8" w:space="0" w:color="auto"/>
              <w:right w:val="nil"/>
            </w:tcBorders>
            <w:shd w:val="clear" w:color="000000" w:fill="FFFFFF"/>
            <w:noWrap/>
            <w:vAlign w:val="center"/>
            <w:hideMark/>
          </w:tcPr>
          <w:p w14:paraId="4125CBA7" w14:textId="77777777" w:rsidR="00C57515" w:rsidRPr="00D618B7" w:rsidRDefault="00C57515" w:rsidP="004B11B7">
            <w:pPr>
              <w:jc w:val="right"/>
              <w:rPr>
                <w:color w:val="000000"/>
              </w:rPr>
            </w:pPr>
            <w:r w:rsidRPr="00D618B7">
              <w:rPr>
                <w:color w:val="000000"/>
              </w:rPr>
              <w:t>Std. Error</w:t>
            </w:r>
          </w:p>
        </w:tc>
      </w:tr>
      <w:tr w:rsidR="001572CA" w:rsidRPr="00D618B7" w14:paraId="68103B4E" w14:textId="77777777" w:rsidTr="001572CA">
        <w:trPr>
          <w:trHeight w:val="278"/>
        </w:trPr>
        <w:tc>
          <w:tcPr>
            <w:tcW w:w="943" w:type="pct"/>
            <w:tcBorders>
              <w:top w:val="nil"/>
              <w:left w:val="nil"/>
              <w:bottom w:val="nil"/>
              <w:right w:val="nil"/>
            </w:tcBorders>
            <w:shd w:val="clear" w:color="000000" w:fill="FFFFFF"/>
            <w:vAlign w:val="center"/>
            <w:hideMark/>
          </w:tcPr>
          <w:p w14:paraId="1804A30B" w14:textId="77777777" w:rsidR="001572CA" w:rsidRPr="00D618B7" w:rsidRDefault="001572CA" w:rsidP="001572CA">
            <w:pPr>
              <w:jc w:val="right"/>
              <w:rPr>
                <w:color w:val="000000"/>
              </w:rPr>
            </w:pPr>
            <w:r w:rsidRPr="00D618B7">
              <w:rPr>
                <w:color w:val="000000"/>
              </w:rPr>
              <w:t>-5</w:t>
            </w:r>
          </w:p>
        </w:tc>
        <w:tc>
          <w:tcPr>
            <w:tcW w:w="633" w:type="pct"/>
            <w:tcBorders>
              <w:top w:val="nil"/>
              <w:left w:val="nil"/>
              <w:bottom w:val="nil"/>
              <w:right w:val="nil"/>
            </w:tcBorders>
            <w:shd w:val="clear" w:color="000000" w:fill="FFFFFF"/>
            <w:noWrap/>
            <w:vAlign w:val="center"/>
            <w:hideMark/>
          </w:tcPr>
          <w:p w14:paraId="04EF8C21" w14:textId="757624AB" w:rsidR="001572CA" w:rsidRPr="00D618B7" w:rsidRDefault="001572CA" w:rsidP="001572CA">
            <w:pPr>
              <w:jc w:val="right"/>
              <w:rPr>
                <w:color w:val="000000"/>
              </w:rPr>
            </w:pPr>
            <w:r w:rsidRPr="00D618B7">
              <w:rPr>
                <w:color w:val="000000"/>
              </w:rPr>
              <w:t>243.96</w:t>
            </w:r>
          </w:p>
        </w:tc>
        <w:tc>
          <w:tcPr>
            <w:tcW w:w="902" w:type="pct"/>
            <w:tcBorders>
              <w:top w:val="nil"/>
              <w:left w:val="nil"/>
              <w:bottom w:val="nil"/>
              <w:right w:val="nil"/>
            </w:tcBorders>
            <w:shd w:val="clear" w:color="000000" w:fill="FFFFFF"/>
            <w:noWrap/>
            <w:vAlign w:val="center"/>
            <w:hideMark/>
          </w:tcPr>
          <w:p w14:paraId="74DF8B20" w14:textId="7EF04BA9" w:rsidR="001572CA" w:rsidRPr="00D618B7" w:rsidRDefault="001572CA" w:rsidP="001572CA">
            <w:pPr>
              <w:jc w:val="right"/>
              <w:rPr>
                <w:color w:val="000000"/>
              </w:rPr>
            </w:pPr>
            <w:r w:rsidRPr="00D618B7">
              <w:rPr>
                <w:color w:val="000000"/>
              </w:rPr>
              <w:t>268.92</w:t>
            </w:r>
          </w:p>
        </w:tc>
        <w:tc>
          <w:tcPr>
            <w:tcW w:w="568" w:type="pct"/>
            <w:tcBorders>
              <w:top w:val="nil"/>
              <w:left w:val="nil"/>
              <w:bottom w:val="nil"/>
              <w:right w:val="nil"/>
            </w:tcBorders>
            <w:shd w:val="clear" w:color="000000" w:fill="FFFFFF"/>
            <w:noWrap/>
            <w:vAlign w:val="center"/>
            <w:hideMark/>
          </w:tcPr>
          <w:p w14:paraId="3EE95338" w14:textId="2CC2880E" w:rsidR="001572CA" w:rsidRPr="00D618B7" w:rsidRDefault="001572CA" w:rsidP="001572CA">
            <w:pPr>
              <w:jc w:val="right"/>
              <w:rPr>
                <w:color w:val="000000"/>
              </w:rPr>
            </w:pPr>
            <w:r w:rsidRPr="00D618B7">
              <w:rPr>
                <w:color w:val="000000"/>
              </w:rPr>
              <w:t>-60.45</w:t>
            </w:r>
          </w:p>
        </w:tc>
        <w:tc>
          <w:tcPr>
            <w:tcW w:w="687" w:type="pct"/>
            <w:tcBorders>
              <w:top w:val="nil"/>
              <w:left w:val="nil"/>
              <w:bottom w:val="nil"/>
              <w:right w:val="nil"/>
            </w:tcBorders>
            <w:shd w:val="clear" w:color="000000" w:fill="FFFFFF"/>
            <w:noWrap/>
            <w:vAlign w:val="center"/>
            <w:hideMark/>
          </w:tcPr>
          <w:p w14:paraId="182A6A48" w14:textId="61983450" w:rsidR="001572CA" w:rsidRPr="00D618B7" w:rsidRDefault="001572CA" w:rsidP="001572CA">
            <w:pPr>
              <w:jc w:val="right"/>
              <w:rPr>
                <w:color w:val="000000"/>
              </w:rPr>
            </w:pPr>
            <w:r w:rsidRPr="00D618B7">
              <w:rPr>
                <w:color w:val="000000"/>
              </w:rPr>
              <w:t>252.15</w:t>
            </w:r>
          </w:p>
        </w:tc>
        <w:tc>
          <w:tcPr>
            <w:tcW w:w="579" w:type="pct"/>
            <w:tcBorders>
              <w:top w:val="nil"/>
              <w:left w:val="nil"/>
              <w:bottom w:val="nil"/>
              <w:right w:val="nil"/>
            </w:tcBorders>
            <w:shd w:val="clear" w:color="000000" w:fill="FFFFFF"/>
            <w:noWrap/>
            <w:vAlign w:val="center"/>
            <w:hideMark/>
          </w:tcPr>
          <w:p w14:paraId="2E3C04F4" w14:textId="7036C68F" w:rsidR="001572CA" w:rsidRPr="00D618B7" w:rsidRDefault="001572CA" w:rsidP="001572CA">
            <w:pPr>
              <w:jc w:val="right"/>
              <w:rPr>
                <w:color w:val="000000"/>
              </w:rPr>
            </w:pPr>
            <w:r w:rsidRPr="00D618B7">
              <w:rPr>
                <w:color w:val="000000"/>
              </w:rPr>
              <w:t>312.84</w:t>
            </w:r>
          </w:p>
        </w:tc>
        <w:tc>
          <w:tcPr>
            <w:tcW w:w="687" w:type="pct"/>
            <w:tcBorders>
              <w:top w:val="nil"/>
              <w:left w:val="nil"/>
              <w:bottom w:val="nil"/>
              <w:right w:val="nil"/>
            </w:tcBorders>
            <w:shd w:val="clear" w:color="000000" w:fill="FFFFFF"/>
            <w:noWrap/>
            <w:vAlign w:val="center"/>
            <w:hideMark/>
          </w:tcPr>
          <w:p w14:paraId="4F96D257" w14:textId="556ED4A4" w:rsidR="001572CA" w:rsidRPr="00D618B7" w:rsidRDefault="001572CA" w:rsidP="001572CA">
            <w:pPr>
              <w:jc w:val="right"/>
              <w:rPr>
                <w:color w:val="000000"/>
              </w:rPr>
            </w:pPr>
            <w:r w:rsidRPr="00D618B7">
              <w:rPr>
                <w:color w:val="000000"/>
              </w:rPr>
              <w:t>258.30</w:t>
            </w:r>
          </w:p>
        </w:tc>
      </w:tr>
      <w:tr w:rsidR="001572CA" w:rsidRPr="00D618B7" w14:paraId="2A9A039C" w14:textId="77777777" w:rsidTr="001572CA">
        <w:trPr>
          <w:trHeight w:val="278"/>
        </w:trPr>
        <w:tc>
          <w:tcPr>
            <w:tcW w:w="943" w:type="pct"/>
            <w:tcBorders>
              <w:top w:val="nil"/>
              <w:left w:val="nil"/>
              <w:bottom w:val="nil"/>
              <w:right w:val="nil"/>
            </w:tcBorders>
            <w:shd w:val="clear" w:color="000000" w:fill="FFFFFF"/>
            <w:vAlign w:val="center"/>
            <w:hideMark/>
          </w:tcPr>
          <w:p w14:paraId="51C00829" w14:textId="77777777" w:rsidR="001572CA" w:rsidRPr="00D618B7" w:rsidRDefault="001572CA" w:rsidP="001572CA">
            <w:pPr>
              <w:jc w:val="right"/>
              <w:rPr>
                <w:color w:val="000000"/>
              </w:rPr>
            </w:pPr>
            <w:r w:rsidRPr="00D618B7">
              <w:rPr>
                <w:color w:val="000000"/>
              </w:rPr>
              <w:t>-4</w:t>
            </w:r>
          </w:p>
        </w:tc>
        <w:tc>
          <w:tcPr>
            <w:tcW w:w="633" w:type="pct"/>
            <w:tcBorders>
              <w:top w:val="nil"/>
              <w:left w:val="nil"/>
              <w:bottom w:val="nil"/>
              <w:right w:val="nil"/>
            </w:tcBorders>
            <w:shd w:val="clear" w:color="000000" w:fill="FFFFFF"/>
            <w:noWrap/>
            <w:vAlign w:val="center"/>
            <w:hideMark/>
          </w:tcPr>
          <w:p w14:paraId="4F05EB27" w14:textId="17551F8E" w:rsidR="001572CA" w:rsidRPr="00D618B7" w:rsidRDefault="001572CA" w:rsidP="001572CA">
            <w:pPr>
              <w:jc w:val="right"/>
              <w:rPr>
                <w:color w:val="000000"/>
              </w:rPr>
            </w:pPr>
            <w:r w:rsidRPr="00D618B7">
              <w:rPr>
                <w:color w:val="000000"/>
              </w:rPr>
              <w:t>-44.96</w:t>
            </w:r>
          </w:p>
        </w:tc>
        <w:tc>
          <w:tcPr>
            <w:tcW w:w="902" w:type="pct"/>
            <w:tcBorders>
              <w:top w:val="nil"/>
              <w:left w:val="nil"/>
              <w:bottom w:val="nil"/>
              <w:right w:val="nil"/>
            </w:tcBorders>
            <w:shd w:val="clear" w:color="000000" w:fill="FFFFFF"/>
            <w:noWrap/>
            <w:vAlign w:val="center"/>
            <w:hideMark/>
          </w:tcPr>
          <w:p w14:paraId="311B2457" w14:textId="4D86F04B" w:rsidR="001572CA" w:rsidRPr="00D618B7" w:rsidRDefault="001572CA" w:rsidP="001572CA">
            <w:pPr>
              <w:jc w:val="right"/>
              <w:rPr>
                <w:color w:val="000000"/>
              </w:rPr>
            </w:pPr>
            <w:r w:rsidRPr="00D618B7">
              <w:rPr>
                <w:color w:val="000000"/>
              </w:rPr>
              <w:t>273.24</w:t>
            </w:r>
          </w:p>
        </w:tc>
        <w:tc>
          <w:tcPr>
            <w:tcW w:w="568" w:type="pct"/>
            <w:tcBorders>
              <w:top w:val="nil"/>
              <w:left w:val="nil"/>
              <w:bottom w:val="nil"/>
              <w:right w:val="nil"/>
            </w:tcBorders>
            <w:shd w:val="clear" w:color="000000" w:fill="FFFFFF"/>
            <w:noWrap/>
            <w:vAlign w:val="center"/>
            <w:hideMark/>
          </w:tcPr>
          <w:p w14:paraId="794DEA07" w14:textId="148AE699" w:rsidR="001572CA" w:rsidRPr="00D618B7" w:rsidRDefault="001572CA" w:rsidP="001572CA">
            <w:pPr>
              <w:jc w:val="right"/>
              <w:rPr>
                <w:color w:val="000000"/>
              </w:rPr>
            </w:pPr>
            <w:r w:rsidRPr="00D618B7">
              <w:rPr>
                <w:color w:val="000000"/>
              </w:rPr>
              <w:t>123.91</w:t>
            </w:r>
          </w:p>
        </w:tc>
        <w:tc>
          <w:tcPr>
            <w:tcW w:w="687" w:type="pct"/>
            <w:tcBorders>
              <w:top w:val="nil"/>
              <w:left w:val="nil"/>
              <w:bottom w:val="nil"/>
              <w:right w:val="nil"/>
            </w:tcBorders>
            <w:shd w:val="clear" w:color="000000" w:fill="FFFFFF"/>
            <w:noWrap/>
            <w:vAlign w:val="center"/>
            <w:hideMark/>
          </w:tcPr>
          <w:p w14:paraId="3D18193C" w14:textId="094FD247" w:rsidR="001572CA" w:rsidRPr="00D618B7" w:rsidRDefault="001572CA" w:rsidP="001572CA">
            <w:pPr>
              <w:jc w:val="right"/>
              <w:rPr>
                <w:color w:val="000000"/>
              </w:rPr>
            </w:pPr>
            <w:r w:rsidRPr="00D618B7">
              <w:rPr>
                <w:color w:val="000000"/>
              </w:rPr>
              <w:t>258.28</w:t>
            </w:r>
          </w:p>
        </w:tc>
        <w:tc>
          <w:tcPr>
            <w:tcW w:w="579" w:type="pct"/>
            <w:tcBorders>
              <w:top w:val="nil"/>
              <w:left w:val="nil"/>
              <w:bottom w:val="nil"/>
              <w:right w:val="nil"/>
            </w:tcBorders>
            <w:shd w:val="clear" w:color="000000" w:fill="FFFFFF"/>
            <w:noWrap/>
            <w:vAlign w:val="center"/>
            <w:hideMark/>
          </w:tcPr>
          <w:p w14:paraId="608CF507" w14:textId="56231AE0" w:rsidR="001572CA" w:rsidRPr="00D618B7" w:rsidRDefault="001572CA" w:rsidP="001572CA">
            <w:pPr>
              <w:jc w:val="right"/>
              <w:rPr>
                <w:color w:val="000000"/>
              </w:rPr>
            </w:pPr>
            <w:r w:rsidRPr="00D618B7">
              <w:rPr>
                <w:color w:val="000000"/>
              </w:rPr>
              <w:t>-145.45</w:t>
            </w:r>
          </w:p>
        </w:tc>
        <w:tc>
          <w:tcPr>
            <w:tcW w:w="687" w:type="pct"/>
            <w:tcBorders>
              <w:top w:val="nil"/>
              <w:left w:val="nil"/>
              <w:bottom w:val="nil"/>
              <w:right w:val="nil"/>
            </w:tcBorders>
            <w:shd w:val="clear" w:color="000000" w:fill="FFFFFF"/>
            <w:noWrap/>
            <w:vAlign w:val="center"/>
            <w:hideMark/>
          </w:tcPr>
          <w:p w14:paraId="1AA0EC68" w14:textId="50619AFB" w:rsidR="001572CA" w:rsidRPr="00D618B7" w:rsidRDefault="001572CA" w:rsidP="001572CA">
            <w:pPr>
              <w:jc w:val="right"/>
              <w:rPr>
                <w:color w:val="000000"/>
              </w:rPr>
            </w:pPr>
            <w:r w:rsidRPr="00D618B7">
              <w:rPr>
                <w:color w:val="000000"/>
              </w:rPr>
              <w:t>265.51</w:t>
            </w:r>
          </w:p>
        </w:tc>
      </w:tr>
      <w:tr w:rsidR="001572CA" w:rsidRPr="00D618B7" w14:paraId="2FB4464A" w14:textId="77777777" w:rsidTr="001572CA">
        <w:trPr>
          <w:trHeight w:val="278"/>
        </w:trPr>
        <w:tc>
          <w:tcPr>
            <w:tcW w:w="943" w:type="pct"/>
            <w:tcBorders>
              <w:top w:val="nil"/>
              <w:left w:val="nil"/>
              <w:bottom w:val="nil"/>
              <w:right w:val="nil"/>
            </w:tcBorders>
            <w:shd w:val="clear" w:color="000000" w:fill="FFFFFF"/>
            <w:vAlign w:val="center"/>
            <w:hideMark/>
          </w:tcPr>
          <w:p w14:paraId="7189497E" w14:textId="77777777" w:rsidR="001572CA" w:rsidRPr="00D618B7" w:rsidRDefault="001572CA" w:rsidP="001572CA">
            <w:pPr>
              <w:jc w:val="right"/>
              <w:rPr>
                <w:color w:val="000000"/>
              </w:rPr>
            </w:pPr>
            <w:r w:rsidRPr="00D618B7">
              <w:rPr>
                <w:color w:val="000000"/>
              </w:rPr>
              <w:t>-3</w:t>
            </w:r>
          </w:p>
        </w:tc>
        <w:tc>
          <w:tcPr>
            <w:tcW w:w="633" w:type="pct"/>
            <w:tcBorders>
              <w:top w:val="nil"/>
              <w:left w:val="nil"/>
              <w:bottom w:val="nil"/>
              <w:right w:val="nil"/>
            </w:tcBorders>
            <w:shd w:val="clear" w:color="000000" w:fill="FFFFFF"/>
            <w:noWrap/>
            <w:vAlign w:val="center"/>
            <w:hideMark/>
          </w:tcPr>
          <w:p w14:paraId="3AD54E1A" w14:textId="0AEDE207" w:rsidR="001572CA" w:rsidRPr="00D618B7" w:rsidRDefault="001572CA" w:rsidP="001572CA">
            <w:pPr>
              <w:jc w:val="right"/>
              <w:rPr>
                <w:color w:val="000000"/>
              </w:rPr>
            </w:pPr>
            <w:r w:rsidRPr="00D618B7">
              <w:rPr>
                <w:color w:val="000000"/>
              </w:rPr>
              <w:t>464.53</w:t>
            </w:r>
          </w:p>
        </w:tc>
        <w:tc>
          <w:tcPr>
            <w:tcW w:w="902" w:type="pct"/>
            <w:tcBorders>
              <w:top w:val="nil"/>
              <w:left w:val="nil"/>
              <w:bottom w:val="nil"/>
              <w:right w:val="nil"/>
            </w:tcBorders>
            <w:shd w:val="clear" w:color="000000" w:fill="FFFFFF"/>
            <w:noWrap/>
            <w:vAlign w:val="center"/>
            <w:hideMark/>
          </w:tcPr>
          <w:p w14:paraId="24220181" w14:textId="4DD0709B" w:rsidR="001572CA" w:rsidRPr="00D618B7" w:rsidRDefault="001572CA" w:rsidP="001572CA">
            <w:pPr>
              <w:jc w:val="right"/>
              <w:rPr>
                <w:color w:val="000000"/>
              </w:rPr>
            </w:pPr>
            <w:r w:rsidRPr="00D618B7">
              <w:rPr>
                <w:color w:val="000000"/>
              </w:rPr>
              <w:t>275.73</w:t>
            </w:r>
          </w:p>
        </w:tc>
        <w:tc>
          <w:tcPr>
            <w:tcW w:w="568" w:type="pct"/>
            <w:tcBorders>
              <w:top w:val="nil"/>
              <w:left w:val="nil"/>
              <w:bottom w:val="nil"/>
              <w:right w:val="nil"/>
            </w:tcBorders>
            <w:shd w:val="clear" w:color="000000" w:fill="FFFFFF"/>
            <w:noWrap/>
            <w:vAlign w:val="center"/>
            <w:hideMark/>
          </w:tcPr>
          <w:p w14:paraId="47A08555" w14:textId="5F3E234D" w:rsidR="001572CA" w:rsidRPr="00D618B7" w:rsidRDefault="001572CA" w:rsidP="001572CA">
            <w:pPr>
              <w:jc w:val="right"/>
              <w:rPr>
                <w:color w:val="000000"/>
              </w:rPr>
            </w:pPr>
            <w:r w:rsidRPr="00D618B7">
              <w:rPr>
                <w:color w:val="000000"/>
              </w:rPr>
              <w:t>-16.17</w:t>
            </w:r>
          </w:p>
        </w:tc>
        <w:tc>
          <w:tcPr>
            <w:tcW w:w="687" w:type="pct"/>
            <w:tcBorders>
              <w:top w:val="nil"/>
              <w:left w:val="nil"/>
              <w:bottom w:val="nil"/>
              <w:right w:val="nil"/>
            </w:tcBorders>
            <w:shd w:val="clear" w:color="000000" w:fill="FFFFFF"/>
            <w:noWrap/>
            <w:vAlign w:val="center"/>
            <w:hideMark/>
          </w:tcPr>
          <w:p w14:paraId="7427F50D" w14:textId="57AD9FF9" w:rsidR="001572CA" w:rsidRPr="00D618B7" w:rsidRDefault="001572CA" w:rsidP="001572CA">
            <w:pPr>
              <w:jc w:val="right"/>
              <w:rPr>
                <w:color w:val="000000"/>
              </w:rPr>
            </w:pPr>
            <w:r w:rsidRPr="00D618B7">
              <w:rPr>
                <w:color w:val="000000"/>
              </w:rPr>
              <w:t>261.43</w:t>
            </w:r>
          </w:p>
        </w:tc>
        <w:tc>
          <w:tcPr>
            <w:tcW w:w="579" w:type="pct"/>
            <w:tcBorders>
              <w:top w:val="nil"/>
              <w:left w:val="nil"/>
              <w:bottom w:val="nil"/>
              <w:right w:val="nil"/>
            </w:tcBorders>
            <w:shd w:val="clear" w:color="000000" w:fill="FFFFFF"/>
            <w:noWrap/>
            <w:vAlign w:val="center"/>
            <w:hideMark/>
          </w:tcPr>
          <w:p w14:paraId="3BF0F87F" w14:textId="170E3998" w:rsidR="001572CA" w:rsidRPr="00D618B7" w:rsidRDefault="001572CA" w:rsidP="001572CA">
            <w:pPr>
              <w:jc w:val="right"/>
              <w:rPr>
                <w:color w:val="000000"/>
              </w:rPr>
            </w:pPr>
            <w:r w:rsidRPr="00D618B7">
              <w:rPr>
                <w:color w:val="000000"/>
              </w:rPr>
              <w:t>1408.42</w:t>
            </w:r>
          </w:p>
        </w:tc>
        <w:tc>
          <w:tcPr>
            <w:tcW w:w="687" w:type="pct"/>
            <w:tcBorders>
              <w:top w:val="nil"/>
              <w:left w:val="nil"/>
              <w:bottom w:val="nil"/>
              <w:right w:val="nil"/>
            </w:tcBorders>
            <w:shd w:val="clear" w:color="000000" w:fill="FFFFFF"/>
            <w:noWrap/>
            <w:vAlign w:val="center"/>
            <w:hideMark/>
          </w:tcPr>
          <w:p w14:paraId="2679F4E2" w14:textId="5B415E87" w:rsidR="001572CA" w:rsidRPr="00D618B7" w:rsidRDefault="001572CA" w:rsidP="001572CA">
            <w:pPr>
              <w:jc w:val="right"/>
              <w:rPr>
                <w:color w:val="000000"/>
              </w:rPr>
            </w:pPr>
            <w:r w:rsidRPr="00D618B7">
              <w:rPr>
                <w:color w:val="000000"/>
              </w:rPr>
              <w:t>267.16</w:t>
            </w:r>
          </w:p>
        </w:tc>
      </w:tr>
      <w:tr w:rsidR="001572CA" w:rsidRPr="00D618B7" w14:paraId="40F5836B" w14:textId="77777777" w:rsidTr="001572CA">
        <w:trPr>
          <w:trHeight w:val="278"/>
        </w:trPr>
        <w:tc>
          <w:tcPr>
            <w:tcW w:w="943" w:type="pct"/>
            <w:tcBorders>
              <w:top w:val="nil"/>
              <w:left w:val="nil"/>
              <w:bottom w:val="nil"/>
              <w:right w:val="nil"/>
            </w:tcBorders>
            <w:shd w:val="clear" w:color="000000" w:fill="FFFFFF"/>
            <w:vAlign w:val="center"/>
            <w:hideMark/>
          </w:tcPr>
          <w:p w14:paraId="31F94399" w14:textId="77777777" w:rsidR="001572CA" w:rsidRPr="00D618B7" w:rsidRDefault="001572CA" w:rsidP="001572CA">
            <w:pPr>
              <w:jc w:val="right"/>
              <w:rPr>
                <w:color w:val="000000"/>
              </w:rPr>
            </w:pPr>
            <w:r w:rsidRPr="00D618B7">
              <w:rPr>
                <w:color w:val="000000"/>
              </w:rPr>
              <w:t>-2</w:t>
            </w:r>
          </w:p>
        </w:tc>
        <w:tc>
          <w:tcPr>
            <w:tcW w:w="633" w:type="pct"/>
            <w:tcBorders>
              <w:top w:val="nil"/>
              <w:left w:val="nil"/>
              <w:bottom w:val="nil"/>
              <w:right w:val="nil"/>
            </w:tcBorders>
            <w:shd w:val="clear" w:color="000000" w:fill="FFFFFF"/>
            <w:noWrap/>
            <w:vAlign w:val="center"/>
            <w:hideMark/>
          </w:tcPr>
          <w:p w14:paraId="42A31FB2" w14:textId="69934564" w:rsidR="001572CA" w:rsidRPr="00D618B7" w:rsidRDefault="001572CA" w:rsidP="001572CA">
            <w:pPr>
              <w:jc w:val="right"/>
              <w:rPr>
                <w:color w:val="000000"/>
              </w:rPr>
            </w:pPr>
            <w:r w:rsidRPr="00D618B7">
              <w:rPr>
                <w:color w:val="000000"/>
              </w:rPr>
              <w:t>215.46</w:t>
            </w:r>
          </w:p>
        </w:tc>
        <w:tc>
          <w:tcPr>
            <w:tcW w:w="902" w:type="pct"/>
            <w:tcBorders>
              <w:top w:val="nil"/>
              <w:left w:val="nil"/>
              <w:bottom w:val="nil"/>
              <w:right w:val="nil"/>
            </w:tcBorders>
            <w:shd w:val="clear" w:color="000000" w:fill="FFFFFF"/>
            <w:noWrap/>
            <w:vAlign w:val="center"/>
            <w:hideMark/>
          </w:tcPr>
          <w:p w14:paraId="0703C4B6" w14:textId="3545EC14" w:rsidR="001572CA" w:rsidRPr="00D618B7" w:rsidRDefault="001572CA" w:rsidP="001572CA">
            <w:pPr>
              <w:jc w:val="right"/>
              <w:rPr>
                <w:color w:val="000000"/>
              </w:rPr>
            </w:pPr>
            <w:r w:rsidRPr="00D618B7">
              <w:rPr>
                <w:color w:val="000000"/>
              </w:rPr>
              <w:t>233.35</w:t>
            </w:r>
          </w:p>
        </w:tc>
        <w:tc>
          <w:tcPr>
            <w:tcW w:w="568" w:type="pct"/>
            <w:tcBorders>
              <w:top w:val="nil"/>
              <w:left w:val="nil"/>
              <w:bottom w:val="nil"/>
              <w:right w:val="nil"/>
            </w:tcBorders>
            <w:shd w:val="clear" w:color="000000" w:fill="FFFFFF"/>
            <w:noWrap/>
            <w:vAlign w:val="center"/>
            <w:hideMark/>
          </w:tcPr>
          <w:p w14:paraId="369E33D0" w14:textId="5119BF41" w:rsidR="001572CA" w:rsidRPr="00D618B7" w:rsidRDefault="001572CA" w:rsidP="001572CA">
            <w:pPr>
              <w:jc w:val="right"/>
              <w:rPr>
                <w:color w:val="000000"/>
              </w:rPr>
            </w:pPr>
            <w:r w:rsidRPr="00D618B7">
              <w:rPr>
                <w:color w:val="000000"/>
              </w:rPr>
              <w:t>-40.22</w:t>
            </w:r>
          </w:p>
        </w:tc>
        <w:tc>
          <w:tcPr>
            <w:tcW w:w="687" w:type="pct"/>
            <w:tcBorders>
              <w:top w:val="nil"/>
              <w:left w:val="nil"/>
              <w:bottom w:val="nil"/>
              <w:right w:val="nil"/>
            </w:tcBorders>
            <w:shd w:val="clear" w:color="000000" w:fill="FFFFFF"/>
            <w:noWrap/>
            <w:vAlign w:val="center"/>
            <w:hideMark/>
          </w:tcPr>
          <w:p w14:paraId="6E368727" w14:textId="009A5BEA" w:rsidR="001572CA" w:rsidRPr="00D618B7" w:rsidRDefault="001572CA" w:rsidP="001572CA">
            <w:pPr>
              <w:jc w:val="right"/>
              <w:rPr>
                <w:color w:val="000000"/>
              </w:rPr>
            </w:pPr>
            <w:r w:rsidRPr="00D618B7">
              <w:rPr>
                <w:color w:val="000000"/>
              </w:rPr>
              <w:t>217.71</w:t>
            </w:r>
          </w:p>
        </w:tc>
        <w:tc>
          <w:tcPr>
            <w:tcW w:w="579" w:type="pct"/>
            <w:tcBorders>
              <w:top w:val="nil"/>
              <w:left w:val="nil"/>
              <w:bottom w:val="nil"/>
              <w:right w:val="nil"/>
            </w:tcBorders>
            <w:shd w:val="clear" w:color="000000" w:fill="FFFFFF"/>
            <w:noWrap/>
            <w:vAlign w:val="center"/>
            <w:hideMark/>
          </w:tcPr>
          <w:p w14:paraId="3CEBE625" w14:textId="67004190" w:rsidR="001572CA" w:rsidRPr="00D618B7" w:rsidRDefault="001572CA" w:rsidP="001572CA">
            <w:pPr>
              <w:jc w:val="right"/>
              <w:rPr>
                <w:color w:val="000000"/>
              </w:rPr>
            </w:pPr>
            <w:r w:rsidRPr="00D618B7">
              <w:rPr>
                <w:color w:val="000000"/>
              </w:rPr>
              <w:t>205.56</w:t>
            </w:r>
          </w:p>
        </w:tc>
        <w:tc>
          <w:tcPr>
            <w:tcW w:w="687" w:type="pct"/>
            <w:tcBorders>
              <w:top w:val="nil"/>
              <w:left w:val="nil"/>
              <w:bottom w:val="nil"/>
              <w:right w:val="nil"/>
            </w:tcBorders>
            <w:shd w:val="clear" w:color="000000" w:fill="FFFFFF"/>
            <w:noWrap/>
            <w:vAlign w:val="center"/>
            <w:hideMark/>
          </w:tcPr>
          <w:p w14:paraId="40E8E066" w14:textId="222F7C4C" w:rsidR="001572CA" w:rsidRPr="00D618B7" w:rsidRDefault="001572CA" w:rsidP="001572CA">
            <w:pPr>
              <w:jc w:val="right"/>
              <w:rPr>
                <w:color w:val="000000"/>
              </w:rPr>
            </w:pPr>
            <w:r w:rsidRPr="00D618B7">
              <w:rPr>
                <w:color w:val="000000"/>
              </w:rPr>
              <w:t>227.94</w:t>
            </w:r>
          </w:p>
        </w:tc>
      </w:tr>
      <w:tr w:rsidR="001572CA" w:rsidRPr="00D618B7" w14:paraId="560A9707" w14:textId="77777777" w:rsidTr="001572CA">
        <w:trPr>
          <w:trHeight w:val="278"/>
        </w:trPr>
        <w:tc>
          <w:tcPr>
            <w:tcW w:w="943" w:type="pct"/>
            <w:tcBorders>
              <w:top w:val="nil"/>
              <w:left w:val="nil"/>
              <w:bottom w:val="nil"/>
              <w:right w:val="nil"/>
            </w:tcBorders>
            <w:shd w:val="clear" w:color="000000" w:fill="FFFFFF"/>
            <w:vAlign w:val="center"/>
            <w:hideMark/>
          </w:tcPr>
          <w:p w14:paraId="25BF7BF6" w14:textId="77777777" w:rsidR="001572CA" w:rsidRPr="00D618B7" w:rsidRDefault="001572CA" w:rsidP="001572CA">
            <w:pPr>
              <w:jc w:val="right"/>
              <w:rPr>
                <w:color w:val="000000"/>
              </w:rPr>
            </w:pPr>
            <w:r w:rsidRPr="00D618B7">
              <w:rPr>
                <w:color w:val="000000"/>
              </w:rPr>
              <w:t>-1</w:t>
            </w:r>
          </w:p>
        </w:tc>
        <w:tc>
          <w:tcPr>
            <w:tcW w:w="633" w:type="pct"/>
            <w:tcBorders>
              <w:top w:val="nil"/>
              <w:left w:val="nil"/>
              <w:bottom w:val="nil"/>
              <w:right w:val="nil"/>
            </w:tcBorders>
            <w:shd w:val="clear" w:color="000000" w:fill="FFFFFF"/>
            <w:noWrap/>
            <w:vAlign w:val="center"/>
            <w:hideMark/>
          </w:tcPr>
          <w:p w14:paraId="3E0348E9" w14:textId="73534F07" w:rsidR="001572CA" w:rsidRPr="00D618B7" w:rsidRDefault="001572CA" w:rsidP="001572CA">
            <w:pPr>
              <w:jc w:val="right"/>
              <w:rPr>
                <w:color w:val="000000"/>
              </w:rPr>
            </w:pPr>
            <w:r w:rsidRPr="00D618B7">
              <w:rPr>
                <w:color w:val="000000"/>
              </w:rPr>
              <w:t>52.23</w:t>
            </w:r>
          </w:p>
        </w:tc>
        <w:tc>
          <w:tcPr>
            <w:tcW w:w="902" w:type="pct"/>
            <w:tcBorders>
              <w:top w:val="nil"/>
              <w:left w:val="nil"/>
              <w:bottom w:val="nil"/>
              <w:right w:val="nil"/>
            </w:tcBorders>
            <w:shd w:val="clear" w:color="000000" w:fill="FFFFFF"/>
            <w:noWrap/>
            <w:vAlign w:val="center"/>
            <w:hideMark/>
          </w:tcPr>
          <w:p w14:paraId="1F10E37F" w14:textId="0238460A" w:rsidR="001572CA" w:rsidRPr="00D618B7" w:rsidRDefault="001572CA" w:rsidP="001572CA">
            <w:pPr>
              <w:jc w:val="right"/>
              <w:rPr>
                <w:color w:val="000000"/>
              </w:rPr>
            </w:pPr>
            <w:r w:rsidRPr="00D618B7">
              <w:rPr>
                <w:color w:val="000000"/>
              </w:rPr>
              <w:t>246.09</w:t>
            </w:r>
          </w:p>
        </w:tc>
        <w:tc>
          <w:tcPr>
            <w:tcW w:w="568" w:type="pct"/>
            <w:tcBorders>
              <w:top w:val="nil"/>
              <w:left w:val="nil"/>
              <w:bottom w:val="nil"/>
              <w:right w:val="nil"/>
            </w:tcBorders>
            <w:shd w:val="clear" w:color="000000" w:fill="FFFFFF"/>
            <w:noWrap/>
            <w:vAlign w:val="center"/>
            <w:hideMark/>
          </w:tcPr>
          <w:p w14:paraId="65F4323C" w14:textId="0E32A627" w:rsidR="001572CA" w:rsidRPr="00D618B7" w:rsidRDefault="001572CA" w:rsidP="001572CA">
            <w:pPr>
              <w:jc w:val="right"/>
              <w:rPr>
                <w:color w:val="000000"/>
              </w:rPr>
            </w:pPr>
            <w:r w:rsidRPr="00D618B7">
              <w:rPr>
                <w:color w:val="000000"/>
              </w:rPr>
              <w:t>120.47</w:t>
            </w:r>
          </w:p>
        </w:tc>
        <w:tc>
          <w:tcPr>
            <w:tcW w:w="687" w:type="pct"/>
            <w:tcBorders>
              <w:top w:val="nil"/>
              <w:left w:val="nil"/>
              <w:bottom w:val="nil"/>
              <w:right w:val="nil"/>
            </w:tcBorders>
            <w:shd w:val="clear" w:color="000000" w:fill="FFFFFF"/>
            <w:noWrap/>
            <w:vAlign w:val="center"/>
            <w:hideMark/>
          </w:tcPr>
          <w:p w14:paraId="6438235A" w14:textId="15CAE122" w:rsidR="001572CA" w:rsidRPr="00D618B7" w:rsidRDefault="001572CA" w:rsidP="001572CA">
            <w:pPr>
              <w:jc w:val="right"/>
              <w:rPr>
                <w:color w:val="000000"/>
              </w:rPr>
            </w:pPr>
            <w:r w:rsidRPr="00D618B7">
              <w:rPr>
                <w:color w:val="000000"/>
              </w:rPr>
              <w:t>238.25</w:t>
            </w:r>
          </w:p>
        </w:tc>
        <w:tc>
          <w:tcPr>
            <w:tcW w:w="579" w:type="pct"/>
            <w:tcBorders>
              <w:top w:val="nil"/>
              <w:left w:val="nil"/>
              <w:bottom w:val="nil"/>
              <w:right w:val="nil"/>
            </w:tcBorders>
            <w:shd w:val="clear" w:color="000000" w:fill="FFFFFF"/>
            <w:noWrap/>
            <w:vAlign w:val="center"/>
            <w:hideMark/>
          </w:tcPr>
          <w:p w14:paraId="58B121B0" w14:textId="5A942303" w:rsidR="001572CA" w:rsidRPr="00D618B7" w:rsidRDefault="001572CA" w:rsidP="001572CA">
            <w:pPr>
              <w:jc w:val="right"/>
              <w:rPr>
                <w:color w:val="000000"/>
              </w:rPr>
            </w:pPr>
            <w:r w:rsidRPr="00D618B7">
              <w:rPr>
                <w:color w:val="000000"/>
              </w:rPr>
              <w:t>2896.36</w:t>
            </w:r>
          </w:p>
        </w:tc>
        <w:tc>
          <w:tcPr>
            <w:tcW w:w="687" w:type="pct"/>
            <w:tcBorders>
              <w:top w:val="nil"/>
              <w:left w:val="nil"/>
              <w:bottom w:val="nil"/>
              <w:right w:val="nil"/>
            </w:tcBorders>
            <w:shd w:val="clear" w:color="000000" w:fill="FFFFFF"/>
            <w:noWrap/>
            <w:vAlign w:val="center"/>
            <w:hideMark/>
          </w:tcPr>
          <w:p w14:paraId="1E664FA8" w14:textId="01739323" w:rsidR="001572CA" w:rsidRPr="00D618B7" w:rsidRDefault="001572CA" w:rsidP="001572CA">
            <w:pPr>
              <w:jc w:val="right"/>
              <w:rPr>
                <w:color w:val="000000"/>
              </w:rPr>
            </w:pPr>
            <w:r w:rsidRPr="00D618B7">
              <w:rPr>
                <w:color w:val="000000"/>
              </w:rPr>
              <w:t>245.17</w:t>
            </w:r>
          </w:p>
        </w:tc>
      </w:tr>
      <w:tr w:rsidR="001572CA" w:rsidRPr="00D618B7" w14:paraId="766769C1" w14:textId="77777777" w:rsidTr="001572CA">
        <w:trPr>
          <w:trHeight w:val="278"/>
        </w:trPr>
        <w:tc>
          <w:tcPr>
            <w:tcW w:w="943" w:type="pct"/>
            <w:tcBorders>
              <w:top w:val="nil"/>
              <w:left w:val="nil"/>
              <w:bottom w:val="nil"/>
              <w:right w:val="nil"/>
            </w:tcBorders>
            <w:shd w:val="clear" w:color="000000" w:fill="FFFFFF"/>
            <w:vAlign w:val="center"/>
            <w:hideMark/>
          </w:tcPr>
          <w:p w14:paraId="6F50CDD1" w14:textId="77777777" w:rsidR="001572CA" w:rsidRPr="00D618B7" w:rsidRDefault="001572CA" w:rsidP="001572CA">
            <w:pPr>
              <w:jc w:val="right"/>
              <w:rPr>
                <w:color w:val="000000"/>
              </w:rPr>
            </w:pPr>
            <w:r w:rsidRPr="00D618B7">
              <w:rPr>
                <w:color w:val="000000"/>
              </w:rPr>
              <w:t>0</w:t>
            </w:r>
          </w:p>
        </w:tc>
        <w:tc>
          <w:tcPr>
            <w:tcW w:w="633" w:type="pct"/>
            <w:tcBorders>
              <w:top w:val="nil"/>
              <w:left w:val="nil"/>
              <w:bottom w:val="nil"/>
              <w:right w:val="nil"/>
            </w:tcBorders>
            <w:shd w:val="clear" w:color="000000" w:fill="FFFFFF"/>
            <w:noWrap/>
            <w:vAlign w:val="center"/>
            <w:hideMark/>
          </w:tcPr>
          <w:p w14:paraId="09F4C8CF" w14:textId="3EB94CE7" w:rsidR="001572CA" w:rsidRPr="00D618B7" w:rsidRDefault="001572CA" w:rsidP="001572CA">
            <w:pPr>
              <w:jc w:val="right"/>
              <w:rPr>
                <w:color w:val="000000"/>
              </w:rPr>
            </w:pPr>
            <w:r w:rsidRPr="00D618B7">
              <w:rPr>
                <w:color w:val="000000"/>
              </w:rPr>
              <w:t>63.56</w:t>
            </w:r>
          </w:p>
        </w:tc>
        <w:tc>
          <w:tcPr>
            <w:tcW w:w="902" w:type="pct"/>
            <w:tcBorders>
              <w:top w:val="nil"/>
              <w:left w:val="nil"/>
              <w:bottom w:val="nil"/>
              <w:right w:val="nil"/>
            </w:tcBorders>
            <w:shd w:val="clear" w:color="000000" w:fill="FFFFFF"/>
            <w:noWrap/>
            <w:vAlign w:val="center"/>
            <w:hideMark/>
          </w:tcPr>
          <w:p w14:paraId="0EC866AC" w14:textId="48BEBEBC" w:rsidR="001572CA" w:rsidRPr="00D618B7" w:rsidRDefault="001572CA" w:rsidP="001572CA">
            <w:pPr>
              <w:jc w:val="right"/>
              <w:rPr>
                <w:color w:val="000000"/>
              </w:rPr>
            </w:pPr>
            <w:r w:rsidRPr="00D618B7">
              <w:rPr>
                <w:color w:val="000000"/>
              </w:rPr>
              <w:t>216.44</w:t>
            </w:r>
          </w:p>
        </w:tc>
        <w:tc>
          <w:tcPr>
            <w:tcW w:w="568" w:type="pct"/>
            <w:tcBorders>
              <w:top w:val="nil"/>
              <w:left w:val="nil"/>
              <w:bottom w:val="nil"/>
              <w:right w:val="nil"/>
            </w:tcBorders>
            <w:shd w:val="clear" w:color="000000" w:fill="FFFFFF"/>
            <w:noWrap/>
            <w:vAlign w:val="center"/>
            <w:hideMark/>
          </w:tcPr>
          <w:p w14:paraId="3917942D" w14:textId="400941DB" w:rsidR="001572CA" w:rsidRPr="00D618B7" w:rsidRDefault="001572CA" w:rsidP="001572CA">
            <w:pPr>
              <w:jc w:val="right"/>
              <w:rPr>
                <w:color w:val="000000"/>
              </w:rPr>
            </w:pPr>
            <w:r w:rsidRPr="00D618B7">
              <w:rPr>
                <w:color w:val="000000"/>
              </w:rPr>
              <w:t>-225.48</w:t>
            </w:r>
          </w:p>
        </w:tc>
        <w:tc>
          <w:tcPr>
            <w:tcW w:w="687" w:type="pct"/>
            <w:tcBorders>
              <w:top w:val="nil"/>
              <w:left w:val="nil"/>
              <w:bottom w:val="nil"/>
              <w:right w:val="nil"/>
            </w:tcBorders>
            <w:shd w:val="clear" w:color="000000" w:fill="FFFFFF"/>
            <w:noWrap/>
            <w:vAlign w:val="center"/>
            <w:hideMark/>
          </w:tcPr>
          <w:p w14:paraId="589C44F5" w14:textId="5C4DCEA0" w:rsidR="001572CA" w:rsidRPr="00D618B7" w:rsidRDefault="001572CA" w:rsidP="001572CA">
            <w:pPr>
              <w:jc w:val="right"/>
              <w:rPr>
                <w:color w:val="000000"/>
              </w:rPr>
            </w:pPr>
            <w:r w:rsidRPr="00D618B7">
              <w:rPr>
                <w:color w:val="000000"/>
              </w:rPr>
              <w:t>209.40</w:t>
            </w:r>
          </w:p>
        </w:tc>
        <w:tc>
          <w:tcPr>
            <w:tcW w:w="579" w:type="pct"/>
            <w:tcBorders>
              <w:top w:val="nil"/>
              <w:left w:val="nil"/>
              <w:bottom w:val="nil"/>
              <w:right w:val="nil"/>
            </w:tcBorders>
            <w:shd w:val="clear" w:color="000000" w:fill="FFFFFF"/>
            <w:noWrap/>
            <w:vAlign w:val="center"/>
            <w:hideMark/>
          </w:tcPr>
          <w:p w14:paraId="7E0E5732" w14:textId="0A5382F1" w:rsidR="001572CA" w:rsidRPr="00D618B7" w:rsidRDefault="001572CA" w:rsidP="001572CA">
            <w:pPr>
              <w:jc w:val="right"/>
              <w:rPr>
                <w:color w:val="000000"/>
              </w:rPr>
            </w:pPr>
            <w:r w:rsidRPr="00D618B7">
              <w:rPr>
                <w:color w:val="000000"/>
              </w:rPr>
              <w:t>593.21</w:t>
            </w:r>
          </w:p>
        </w:tc>
        <w:tc>
          <w:tcPr>
            <w:tcW w:w="687" w:type="pct"/>
            <w:tcBorders>
              <w:top w:val="nil"/>
              <w:left w:val="nil"/>
              <w:bottom w:val="nil"/>
              <w:right w:val="nil"/>
            </w:tcBorders>
            <w:shd w:val="clear" w:color="000000" w:fill="FFFFFF"/>
            <w:noWrap/>
            <w:vAlign w:val="center"/>
            <w:hideMark/>
          </w:tcPr>
          <w:p w14:paraId="07342476" w14:textId="7BCDD80A" w:rsidR="001572CA" w:rsidRPr="00D618B7" w:rsidRDefault="001572CA" w:rsidP="001572CA">
            <w:pPr>
              <w:jc w:val="right"/>
              <w:rPr>
                <w:color w:val="000000"/>
              </w:rPr>
            </w:pPr>
            <w:r w:rsidRPr="00D618B7">
              <w:rPr>
                <w:color w:val="000000"/>
              </w:rPr>
              <w:t>217.47</w:t>
            </w:r>
          </w:p>
        </w:tc>
      </w:tr>
      <w:tr w:rsidR="001572CA" w:rsidRPr="00D618B7" w14:paraId="45C0075B" w14:textId="77777777" w:rsidTr="001572CA">
        <w:trPr>
          <w:trHeight w:val="278"/>
        </w:trPr>
        <w:tc>
          <w:tcPr>
            <w:tcW w:w="943" w:type="pct"/>
            <w:tcBorders>
              <w:top w:val="nil"/>
              <w:left w:val="nil"/>
              <w:bottom w:val="nil"/>
              <w:right w:val="nil"/>
            </w:tcBorders>
            <w:shd w:val="clear" w:color="000000" w:fill="FFFFFF"/>
            <w:vAlign w:val="center"/>
            <w:hideMark/>
          </w:tcPr>
          <w:p w14:paraId="7850F55D" w14:textId="77777777" w:rsidR="001572CA" w:rsidRPr="00D618B7" w:rsidRDefault="001572CA" w:rsidP="001572CA">
            <w:pPr>
              <w:jc w:val="right"/>
              <w:rPr>
                <w:color w:val="000000"/>
              </w:rPr>
            </w:pPr>
            <w:r w:rsidRPr="00D618B7">
              <w:rPr>
                <w:color w:val="000000"/>
              </w:rPr>
              <w:t>1</w:t>
            </w:r>
          </w:p>
        </w:tc>
        <w:tc>
          <w:tcPr>
            <w:tcW w:w="633" w:type="pct"/>
            <w:tcBorders>
              <w:top w:val="nil"/>
              <w:left w:val="nil"/>
              <w:bottom w:val="nil"/>
              <w:right w:val="nil"/>
            </w:tcBorders>
            <w:shd w:val="clear" w:color="000000" w:fill="FFFFFF"/>
            <w:noWrap/>
            <w:vAlign w:val="center"/>
            <w:hideMark/>
          </w:tcPr>
          <w:p w14:paraId="54E1F27C" w14:textId="699B72EC" w:rsidR="001572CA" w:rsidRPr="00D618B7" w:rsidRDefault="001572CA" w:rsidP="001572CA">
            <w:pPr>
              <w:jc w:val="right"/>
              <w:rPr>
                <w:color w:val="000000"/>
              </w:rPr>
            </w:pPr>
            <w:r w:rsidRPr="00D618B7">
              <w:rPr>
                <w:color w:val="000000"/>
              </w:rPr>
              <w:t>-29.78</w:t>
            </w:r>
          </w:p>
        </w:tc>
        <w:tc>
          <w:tcPr>
            <w:tcW w:w="902" w:type="pct"/>
            <w:tcBorders>
              <w:top w:val="nil"/>
              <w:left w:val="nil"/>
              <w:bottom w:val="nil"/>
              <w:right w:val="nil"/>
            </w:tcBorders>
            <w:shd w:val="clear" w:color="000000" w:fill="FFFFFF"/>
            <w:noWrap/>
            <w:vAlign w:val="center"/>
            <w:hideMark/>
          </w:tcPr>
          <w:p w14:paraId="7B206911" w14:textId="60D92CA2" w:rsidR="001572CA" w:rsidRPr="00D618B7" w:rsidRDefault="001572CA" w:rsidP="001572CA">
            <w:pPr>
              <w:jc w:val="right"/>
              <w:rPr>
                <w:color w:val="000000"/>
              </w:rPr>
            </w:pPr>
            <w:r w:rsidRPr="00D618B7">
              <w:rPr>
                <w:color w:val="000000"/>
              </w:rPr>
              <w:t>213.38</w:t>
            </w:r>
          </w:p>
        </w:tc>
        <w:tc>
          <w:tcPr>
            <w:tcW w:w="568" w:type="pct"/>
            <w:tcBorders>
              <w:top w:val="nil"/>
              <w:left w:val="nil"/>
              <w:bottom w:val="nil"/>
              <w:right w:val="nil"/>
            </w:tcBorders>
            <w:shd w:val="clear" w:color="000000" w:fill="FFFFFF"/>
            <w:noWrap/>
            <w:vAlign w:val="center"/>
            <w:hideMark/>
          </w:tcPr>
          <w:p w14:paraId="256BB234" w14:textId="2F3B1A46" w:rsidR="001572CA" w:rsidRPr="00D618B7" w:rsidRDefault="001572CA" w:rsidP="001572CA">
            <w:pPr>
              <w:jc w:val="right"/>
              <w:rPr>
                <w:color w:val="000000"/>
              </w:rPr>
            </w:pPr>
            <w:r w:rsidRPr="00D618B7">
              <w:rPr>
                <w:color w:val="000000"/>
              </w:rPr>
              <w:t>222.29</w:t>
            </w:r>
          </w:p>
        </w:tc>
        <w:tc>
          <w:tcPr>
            <w:tcW w:w="687" w:type="pct"/>
            <w:tcBorders>
              <w:top w:val="nil"/>
              <w:left w:val="nil"/>
              <w:bottom w:val="nil"/>
              <w:right w:val="nil"/>
            </w:tcBorders>
            <w:shd w:val="clear" w:color="000000" w:fill="FFFFFF"/>
            <w:noWrap/>
            <w:vAlign w:val="center"/>
            <w:hideMark/>
          </w:tcPr>
          <w:p w14:paraId="2FA046A4" w14:textId="06B09245" w:rsidR="001572CA" w:rsidRPr="00D618B7" w:rsidRDefault="001572CA" w:rsidP="001572CA">
            <w:pPr>
              <w:jc w:val="right"/>
              <w:rPr>
                <w:color w:val="000000"/>
              </w:rPr>
            </w:pPr>
            <w:r w:rsidRPr="00D618B7">
              <w:rPr>
                <w:color w:val="000000"/>
              </w:rPr>
              <w:t>205.86</w:t>
            </w:r>
          </w:p>
        </w:tc>
        <w:tc>
          <w:tcPr>
            <w:tcW w:w="579" w:type="pct"/>
            <w:tcBorders>
              <w:top w:val="nil"/>
              <w:left w:val="nil"/>
              <w:bottom w:val="nil"/>
              <w:right w:val="nil"/>
            </w:tcBorders>
            <w:shd w:val="clear" w:color="000000" w:fill="FFFFFF"/>
            <w:noWrap/>
            <w:vAlign w:val="center"/>
            <w:hideMark/>
          </w:tcPr>
          <w:p w14:paraId="32C2BB93" w14:textId="66F61AD9" w:rsidR="001572CA" w:rsidRPr="00D618B7" w:rsidRDefault="001572CA" w:rsidP="001572CA">
            <w:pPr>
              <w:jc w:val="right"/>
              <w:rPr>
                <w:color w:val="000000"/>
              </w:rPr>
            </w:pPr>
            <w:r w:rsidRPr="00D618B7">
              <w:rPr>
                <w:color w:val="000000"/>
              </w:rPr>
              <w:t>1053.93</w:t>
            </w:r>
          </w:p>
        </w:tc>
        <w:tc>
          <w:tcPr>
            <w:tcW w:w="687" w:type="pct"/>
            <w:tcBorders>
              <w:top w:val="nil"/>
              <w:left w:val="nil"/>
              <w:bottom w:val="nil"/>
              <w:right w:val="nil"/>
            </w:tcBorders>
            <w:shd w:val="clear" w:color="000000" w:fill="FFFFFF"/>
            <w:noWrap/>
            <w:vAlign w:val="center"/>
            <w:hideMark/>
          </w:tcPr>
          <w:p w14:paraId="73A2C081" w14:textId="29DED029" w:rsidR="001572CA" w:rsidRPr="00D618B7" w:rsidRDefault="001572CA" w:rsidP="001572CA">
            <w:pPr>
              <w:jc w:val="right"/>
              <w:rPr>
                <w:color w:val="000000"/>
              </w:rPr>
            </w:pPr>
            <w:r w:rsidRPr="00D618B7">
              <w:rPr>
                <w:color w:val="000000"/>
              </w:rPr>
              <w:t>218.48</w:t>
            </w:r>
          </w:p>
        </w:tc>
      </w:tr>
      <w:tr w:rsidR="001572CA" w:rsidRPr="00D618B7" w14:paraId="65EB9CED" w14:textId="77777777" w:rsidTr="001572CA">
        <w:trPr>
          <w:trHeight w:val="278"/>
        </w:trPr>
        <w:tc>
          <w:tcPr>
            <w:tcW w:w="943" w:type="pct"/>
            <w:tcBorders>
              <w:top w:val="nil"/>
              <w:left w:val="nil"/>
              <w:bottom w:val="nil"/>
              <w:right w:val="nil"/>
            </w:tcBorders>
            <w:shd w:val="clear" w:color="000000" w:fill="FFFFFF"/>
            <w:vAlign w:val="center"/>
            <w:hideMark/>
          </w:tcPr>
          <w:p w14:paraId="72E6F683" w14:textId="77777777" w:rsidR="001572CA" w:rsidRPr="00D618B7" w:rsidRDefault="001572CA" w:rsidP="001572CA">
            <w:pPr>
              <w:jc w:val="right"/>
              <w:rPr>
                <w:color w:val="000000"/>
              </w:rPr>
            </w:pPr>
            <w:r w:rsidRPr="00D618B7">
              <w:rPr>
                <w:color w:val="000000"/>
              </w:rPr>
              <w:t>2</w:t>
            </w:r>
          </w:p>
        </w:tc>
        <w:tc>
          <w:tcPr>
            <w:tcW w:w="633" w:type="pct"/>
            <w:tcBorders>
              <w:top w:val="nil"/>
              <w:left w:val="nil"/>
              <w:bottom w:val="nil"/>
              <w:right w:val="nil"/>
            </w:tcBorders>
            <w:shd w:val="clear" w:color="000000" w:fill="FFFFFF"/>
            <w:noWrap/>
            <w:vAlign w:val="center"/>
            <w:hideMark/>
          </w:tcPr>
          <w:p w14:paraId="218BF23B" w14:textId="4F3F56C2" w:rsidR="001572CA" w:rsidRPr="00D618B7" w:rsidRDefault="001572CA" w:rsidP="001572CA">
            <w:pPr>
              <w:jc w:val="right"/>
              <w:rPr>
                <w:color w:val="000000"/>
              </w:rPr>
            </w:pPr>
            <w:r w:rsidRPr="00D618B7">
              <w:rPr>
                <w:color w:val="000000"/>
              </w:rPr>
              <w:t>109.41</w:t>
            </w:r>
          </w:p>
        </w:tc>
        <w:tc>
          <w:tcPr>
            <w:tcW w:w="902" w:type="pct"/>
            <w:tcBorders>
              <w:top w:val="nil"/>
              <w:left w:val="nil"/>
              <w:bottom w:val="nil"/>
              <w:right w:val="nil"/>
            </w:tcBorders>
            <w:shd w:val="clear" w:color="000000" w:fill="FFFFFF"/>
            <w:noWrap/>
            <w:vAlign w:val="center"/>
            <w:hideMark/>
          </w:tcPr>
          <w:p w14:paraId="10D897FB" w14:textId="56EA9EBA" w:rsidR="001572CA" w:rsidRPr="00D618B7" w:rsidRDefault="001572CA" w:rsidP="001572CA">
            <w:pPr>
              <w:jc w:val="right"/>
              <w:rPr>
                <w:color w:val="000000"/>
              </w:rPr>
            </w:pPr>
            <w:r w:rsidRPr="00D618B7">
              <w:rPr>
                <w:color w:val="000000"/>
              </w:rPr>
              <w:t>283.58</w:t>
            </w:r>
          </w:p>
        </w:tc>
        <w:tc>
          <w:tcPr>
            <w:tcW w:w="568" w:type="pct"/>
            <w:tcBorders>
              <w:top w:val="nil"/>
              <w:left w:val="nil"/>
              <w:bottom w:val="nil"/>
              <w:right w:val="nil"/>
            </w:tcBorders>
            <w:shd w:val="clear" w:color="000000" w:fill="FFFFFF"/>
            <w:noWrap/>
            <w:vAlign w:val="center"/>
            <w:hideMark/>
          </w:tcPr>
          <w:p w14:paraId="604B23CA" w14:textId="5D19DB38" w:rsidR="001572CA" w:rsidRPr="00D618B7" w:rsidRDefault="001572CA" w:rsidP="001572CA">
            <w:pPr>
              <w:jc w:val="right"/>
              <w:rPr>
                <w:color w:val="000000"/>
              </w:rPr>
            </w:pPr>
            <w:r w:rsidRPr="00D618B7">
              <w:rPr>
                <w:color w:val="000000"/>
              </w:rPr>
              <w:t>-234.20</w:t>
            </w:r>
          </w:p>
        </w:tc>
        <w:tc>
          <w:tcPr>
            <w:tcW w:w="687" w:type="pct"/>
            <w:tcBorders>
              <w:top w:val="nil"/>
              <w:left w:val="nil"/>
              <w:bottom w:val="nil"/>
              <w:right w:val="nil"/>
            </w:tcBorders>
            <w:shd w:val="clear" w:color="000000" w:fill="FFFFFF"/>
            <w:noWrap/>
            <w:vAlign w:val="center"/>
            <w:hideMark/>
          </w:tcPr>
          <w:p w14:paraId="3DA8F1A5" w14:textId="2E434984" w:rsidR="001572CA" w:rsidRPr="00D618B7" w:rsidRDefault="001572CA" w:rsidP="001572CA">
            <w:pPr>
              <w:jc w:val="right"/>
              <w:rPr>
                <w:color w:val="000000"/>
              </w:rPr>
            </w:pPr>
            <w:r w:rsidRPr="00D618B7">
              <w:rPr>
                <w:color w:val="000000"/>
              </w:rPr>
              <w:t>278.15</w:t>
            </w:r>
          </w:p>
        </w:tc>
        <w:tc>
          <w:tcPr>
            <w:tcW w:w="579" w:type="pct"/>
            <w:tcBorders>
              <w:top w:val="nil"/>
              <w:left w:val="nil"/>
              <w:bottom w:val="nil"/>
              <w:right w:val="nil"/>
            </w:tcBorders>
            <w:shd w:val="clear" w:color="000000" w:fill="FFFFFF"/>
            <w:noWrap/>
            <w:vAlign w:val="center"/>
            <w:hideMark/>
          </w:tcPr>
          <w:p w14:paraId="154B2B0C" w14:textId="4506C705" w:rsidR="001572CA" w:rsidRPr="00D618B7" w:rsidRDefault="001572CA" w:rsidP="001572CA">
            <w:pPr>
              <w:jc w:val="right"/>
              <w:rPr>
                <w:color w:val="000000"/>
              </w:rPr>
            </w:pPr>
            <w:r w:rsidRPr="00D618B7">
              <w:rPr>
                <w:color w:val="000000"/>
              </w:rPr>
              <w:t>17.03</w:t>
            </w:r>
          </w:p>
        </w:tc>
        <w:tc>
          <w:tcPr>
            <w:tcW w:w="687" w:type="pct"/>
            <w:tcBorders>
              <w:top w:val="nil"/>
              <w:left w:val="nil"/>
              <w:bottom w:val="nil"/>
              <w:right w:val="nil"/>
            </w:tcBorders>
            <w:shd w:val="clear" w:color="000000" w:fill="FFFFFF"/>
            <w:noWrap/>
            <w:vAlign w:val="center"/>
            <w:hideMark/>
          </w:tcPr>
          <w:p w14:paraId="7FBF389B" w14:textId="21F83C76" w:rsidR="001572CA" w:rsidRPr="00D618B7" w:rsidRDefault="001572CA" w:rsidP="001572CA">
            <w:pPr>
              <w:jc w:val="right"/>
              <w:rPr>
                <w:color w:val="000000"/>
              </w:rPr>
            </w:pPr>
            <w:r w:rsidRPr="00D618B7">
              <w:rPr>
                <w:color w:val="000000"/>
              </w:rPr>
              <w:t>285.97</w:t>
            </w:r>
          </w:p>
        </w:tc>
      </w:tr>
      <w:tr w:rsidR="001572CA" w:rsidRPr="00D618B7" w14:paraId="67F1505F" w14:textId="77777777" w:rsidTr="001572CA">
        <w:trPr>
          <w:trHeight w:val="278"/>
        </w:trPr>
        <w:tc>
          <w:tcPr>
            <w:tcW w:w="943" w:type="pct"/>
            <w:tcBorders>
              <w:top w:val="nil"/>
              <w:left w:val="nil"/>
              <w:bottom w:val="nil"/>
              <w:right w:val="nil"/>
            </w:tcBorders>
            <w:shd w:val="clear" w:color="000000" w:fill="FFFFFF"/>
            <w:vAlign w:val="center"/>
            <w:hideMark/>
          </w:tcPr>
          <w:p w14:paraId="1AF00B70" w14:textId="77777777" w:rsidR="001572CA" w:rsidRPr="00D618B7" w:rsidRDefault="001572CA" w:rsidP="001572CA">
            <w:pPr>
              <w:jc w:val="right"/>
              <w:rPr>
                <w:color w:val="000000"/>
              </w:rPr>
            </w:pPr>
            <w:r w:rsidRPr="00D618B7">
              <w:rPr>
                <w:color w:val="000000"/>
              </w:rPr>
              <w:t>3</w:t>
            </w:r>
          </w:p>
        </w:tc>
        <w:tc>
          <w:tcPr>
            <w:tcW w:w="633" w:type="pct"/>
            <w:tcBorders>
              <w:top w:val="nil"/>
              <w:left w:val="nil"/>
              <w:bottom w:val="nil"/>
              <w:right w:val="nil"/>
            </w:tcBorders>
            <w:shd w:val="clear" w:color="000000" w:fill="FFFFFF"/>
            <w:noWrap/>
            <w:vAlign w:val="center"/>
            <w:hideMark/>
          </w:tcPr>
          <w:p w14:paraId="05F38B47" w14:textId="2ED3D5C2" w:rsidR="001572CA" w:rsidRPr="00D618B7" w:rsidRDefault="001572CA" w:rsidP="001572CA">
            <w:pPr>
              <w:jc w:val="right"/>
              <w:rPr>
                <w:color w:val="000000"/>
              </w:rPr>
            </w:pPr>
            <w:r w:rsidRPr="00D618B7">
              <w:rPr>
                <w:color w:val="000000"/>
              </w:rPr>
              <w:t>-14.81</w:t>
            </w:r>
          </w:p>
        </w:tc>
        <w:tc>
          <w:tcPr>
            <w:tcW w:w="902" w:type="pct"/>
            <w:tcBorders>
              <w:top w:val="nil"/>
              <w:left w:val="nil"/>
              <w:bottom w:val="nil"/>
              <w:right w:val="nil"/>
            </w:tcBorders>
            <w:shd w:val="clear" w:color="000000" w:fill="FFFFFF"/>
            <w:noWrap/>
            <w:vAlign w:val="center"/>
            <w:hideMark/>
          </w:tcPr>
          <w:p w14:paraId="6B32D01F" w14:textId="4508F872" w:rsidR="001572CA" w:rsidRPr="00D618B7" w:rsidRDefault="001572CA" w:rsidP="001572CA">
            <w:pPr>
              <w:jc w:val="right"/>
              <w:rPr>
                <w:color w:val="000000"/>
              </w:rPr>
            </w:pPr>
            <w:r w:rsidRPr="00D618B7">
              <w:rPr>
                <w:color w:val="000000"/>
              </w:rPr>
              <w:t>215.06</w:t>
            </w:r>
          </w:p>
        </w:tc>
        <w:tc>
          <w:tcPr>
            <w:tcW w:w="568" w:type="pct"/>
            <w:tcBorders>
              <w:top w:val="nil"/>
              <w:left w:val="nil"/>
              <w:bottom w:val="nil"/>
              <w:right w:val="nil"/>
            </w:tcBorders>
            <w:shd w:val="clear" w:color="000000" w:fill="FFFFFF"/>
            <w:noWrap/>
            <w:vAlign w:val="center"/>
            <w:hideMark/>
          </w:tcPr>
          <w:p w14:paraId="17673159" w14:textId="3F2BF5F6" w:rsidR="001572CA" w:rsidRPr="00D618B7" w:rsidRDefault="001572CA" w:rsidP="001572CA">
            <w:pPr>
              <w:jc w:val="right"/>
              <w:rPr>
                <w:color w:val="000000"/>
              </w:rPr>
            </w:pPr>
            <w:r w:rsidRPr="00D618B7">
              <w:rPr>
                <w:color w:val="000000"/>
              </w:rPr>
              <w:t>15.26</w:t>
            </w:r>
          </w:p>
        </w:tc>
        <w:tc>
          <w:tcPr>
            <w:tcW w:w="687" w:type="pct"/>
            <w:tcBorders>
              <w:top w:val="nil"/>
              <w:left w:val="nil"/>
              <w:bottom w:val="nil"/>
              <w:right w:val="nil"/>
            </w:tcBorders>
            <w:shd w:val="clear" w:color="000000" w:fill="FFFFFF"/>
            <w:noWrap/>
            <w:vAlign w:val="center"/>
            <w:hideMark/>
          </w:tcPr>
          <w:p w14:paraId="6CDCCF03" w14:textId="35901C7B" w:rsidR="001572CA" w:rsidRPr="00D618B7" w:rsidRDefault="001572CA" w:rsidP="001572CA">
            <w:pPr>
              <w:jc w:val="right"/>
              <w:rPr>
                <w:color w:val="000000"/>
              </w:rPr>
            </w:pPr>
            <w:r w:rsidRPr="00D618B7">
              <w:rPr>
                <w:color w:val="000000"/>
              </w:rPr>
              <w:t>209.59</w:t>
            </w:r>
          </w:p>
        </w:tc>
        <w:tc>
          <w:tcPr>
            <w:tcW w:w="579" w:type="pct"/>
            <w:tcBorders>
              <w:top w:val="nil"/>
              <w:left w:val="nil"/>
              <w:bottom w:val="nil"/>
              <w:right w:val="nil"/>
            </w:tcBorders>
            <w:shd w:val="clear" w:color="000000" w:fill="FFFFFF"/>
            <w:noWrap/>
            <w:vAlign w:val="center"/>
            <w:hideMark/>
          </w:tcPr>
          <w:p w14:paraId="6DFEA252" w14:textId="6CD87A33" w:rsidR="001572CA" w:rsidRPr="00D618B7" w:rsidRDefault="001572CA" w:rsidP="001572CA">
            <w:pPr>
              <w:jc w:val="right"/>
              <w:rPr>
                <w:color w:val="000000"/>
              </w:rPr>
            </w:pPr>
            <w:r w:rsidRPr="00D618B7">
              <w:rPr>
                <w:color w:val="000000"/>
              </w:rPr>
              <w:t>469.70</w:t>
            </w:r>
          </w:p>
        </w:tc>
        <w:tc>
          <w:tcPr>
            <w:tcW w:w="687" w:type="pct"/>
            <w:tcBorders>
              <w:top w:val="nil"/>
              <w:left w:val="nil"/>
              <w:bottom w:val="nil"/>
              <w:right w:val="nil"/>
            </w:tcBorders>
            <w:shd w:val="clear" w:color="000000" w:fill="FFFFFF"/>
            <w:noWrap/>
            <w:vAlign w:val="center"/>
            <w:hideMark/>
          </w:tcPr>
          <w:p w14:paraId="5CA603EC" w14:textId="4E834745" w:rsidR="001572CA" w:rsidRPr="00D618B7" w:rsidRDefault="001572CA" w:rsidP="001572CA">
            <w:pPr>
              <w:jc w:val="right"/>
              <w:rPr>
                <w:color w:val="000000"/>
              </w:rPr>
            </w:pPr>
            <w:r w:rsidRPr="00D618B7">
              <w:rPr>
                <w:color w:val="000000"/>
              </w:rPr>
              <w:t>218.95</w:t>
            </w:r>
          </w:p>
        </w:tc>
      </w:tr>
      <w:tr w:rsidR="001572CA" w:rsidRPr="00D618B7" w14:paraId="4DE9C205" w14:textId="77777777" w:rsidTr="001572CA">
        <w:trPr>
          <w:trHeight w:val="278"/>
        </w:trPr>
        <w:tc>
          <w:tcPr>
            <w:tcW w:w="943" w:type="pct"/>
            <w:tcBorders>
              <w:top w:val="nil"/>
              <w:left w:val="nil"/>
              <w:bottom w:val="nil"/>
              <w:right w:val="nil"/>
            </w:tcBorders>
            <w:shd w:val="clear" w:color="000000" w:fill="FFFFFF"/>
            <w:vAlign w:val="center"/>
            <w:hideMark/>
          </w:tcPr>
          <w:p w14:paraId="2FA52BF9" w14:textId="77777777" w:rsidR="001572CA" w:rsidRPr="00D618B7" w:rsidRDefault="001572CA" w:rsidP="001572CA">
            <w:pPr>
              <w:jc w:val="right"/>
              <w:rPr>
                <w:color w:val="000000"/>
              </w:rPr>
            </w:pPr>
            <w:r w:rsidRPr="00D618B7">
              <w:rPr>
                <w:color w:val="000000"/>
              </w:rPr>
              <w:t>4</w:t>
            </w:r>
          </w:p>
        </w:tc>
        <w:tc>
          <w:tcPr>
            <w:tcW w:w="633" w:type="pct"/>
            <w:tcBorders>
              <w:top w:val="nil"/>
              <w:left w:val="nil"/>
              <w:bottom w:val="nil"/>
              <w:right w:val="nil"/>
            </w:tcBorders>
            <w:shd w:val="clear" w:color="000000" w:fill="FFFFFF"/>
            <w:noWrap/>
            <w:vAlign w:val="center"/>
            <w:hideMark/>
          </w:tcPr>
          <w:p w14:paraId="6E94B2AA" w14:textId="6BF4F391" w:rsidR="001572CA" w:rsidRPr="00D618B7" w:rsidRDefault="001572CA" w:rsidP="001572CA">
            <w:pPr>
              <w:jc w:val="right"/>
              <w:rPr>
                <w:color w:val="000000"/>
              </w:rPr>
            </w:pPr>
            <w:r w:rsidRPr="00D618B7">
              <w:rPr>
                <w:color w:val="000000"/>
              </w:rPr>
              <w:t>60.86</w:t>
            </w:r>
          </w:p>
        </w:tc>
        <w:tc>
          <w:tcPr>
            <w:tcW w:w="902" w:type="pct"/>
            <w:tcBorders>
              <w:top w:val="nil"/>
              <w:left w:val="nil"/>
              <w:bottom w:val="nil"/>
              <w:right w:val="nil"/>
            </w:tcBorders>
            <w:shd w:val="clear" w:color="000000" w:fill="FFFFFF"/>
            <w:noWrap/>
            <w:vAlign w:val="center"/>
            <w:hideMark/>
          </w:tcPr>
          <w:p w14:paraId="59972156" w14:textId="011D0039" w:rsidR="001572CA" w:rsidRPr="00D618B7" w:rsidRDefault="001572CA" w:rsidP="001572CA">
            <w:pPr>
              <w:jc w:val="right"/>
              <w:rPr>
                <w:color w:val="000000"/>
              </w:rPr>
            </w:pPr>
            <w:r w:rsidRPr="00D618B7">
              <w:rPr>
                <w:color w:val="000000"/>
              </w:rPr>
              <w:t>240.69</w:t>
            </w:r>
          </w:p>
        </w:tc>
        <w:tc>
          <w:tcPr>
            <w:tcW w:w="568" w:type="pct"/>
            <w:tcBorders>
              <w:top w:val="nil"/>
              <w:left w:val="nil"/>
              <w:bottom w:val="nil"/>
              <w:right w:val="nil"/>
            </w:tcBorders>
            <w:shd w:val="clear" w:color="000000" w:fill="FFFFFF"/>
            <w:noWrap/>
            <w:vAlign w:val="center"/>
            <w:hideMark/>
          </w:tcPr>
          <w:p w14:paraId="15E6CA91" w14:textId="61CD025C" w:rsidR="001572CA" w:rsidRPr="00D618B7" w:rsidRDefault="001572CA" w:rsidP="001572CA">
            <w:pPr>
              <w:jc w:val="right"/>
              <w:rPr>
                <w:color w:val="000000"/>
              </w:rPr>
            </w:pPr>
            <w:r w:rsidRPr="00D618B7">
              <w:rPr>
                <w:color w:val="000000"/>
              </w:rPr>
              <w:t>-120.34</w:t>
            </w:r>
          </w:p>
        </w:tc>
        <w:tc>
          <w:tcPr>
            <w:tcW w:w="687" w:type="pct"/>
            <w:tcBorders>
              <w:top w:val="nil"/>
              <w:left w:val="nil"/>
              <w:bottom w:val="nil"/>
              <w:right w:val="nil"/>
            </w:tcBorders>
            <w:shd w:val="clear" w:color="000000" w:fill="FFFFFF"/>
            <w:noWrap/>
            <w:vAlign w:val="center"/>
            <w:hideMark/>
          </w:tcPr>
          <w:p w14:paraId="51F5ECD9" w14:textId="0A32E758" w:rsidR="001572CA" w:rsidRPr="00D618B7" w:rsidRDefault="001572CA" w:rsidP="001572CA">
            <w:pPr>
              <w:jc w:val="right"/>
              <w:rPr>
                <w:color w:val="000000"/>
              </w:rPr>
            </w:pPr>
            <w:r w:rsidRPr="00D618B7">
              <w:rPr>
                <w:color w:val="000000"/>
              </w:rPr>
              <w:t>235.50</w:t>
            </w:r>
          </w:p>
        </w:tc>
        <w:tc>
          <w:tcPr>
            <w:tcW w:w="579" w:type="pct"/>
            <w:tcBorders>
              <w:top w:val="nil"/>
              <w:left w:val="nil"/>
              <w:bottom w:val="nil"/>
              <w:right w:val="nil"/>
            </w:tcBorders>
            <w:shd w:val="clear" w:color="000000" w:fill="FFFFFF"/>
            <w:noWrap/>
            <w:vAlign w:val="center"/>
            <w:hideMark/>
          </w:tcPr>
          <w:p w14:paraId="628C284E" w14:textId="3A46C242" w:rsidR="001572CA" w:rsidRPr="00D618B7" w:rsidRDefault="001572CA" w:rsidP="001572CA">
            <w:pPr>
              <w:jc w:val="right"/>
              <w:rPr>
                <w:color w:val="000000"/>
              </w:rPr>
            </w:pPr>
            <w:r w:rsidRPr="00D618B7">
              <w:rPr>
                <w:color w:val="000000"/>
              </w:rPr>
              <w:t>758.61</w:t>
            </w:r>
          </w:p>
        </w:tc>
        <w:tc>
          <w:tcPr>
            <w:tcW w:w="687" w:type="pct"/>
            <w:tcBorders>
              <w:top w:val="nil"/>
              <w:left w:val="nil"/>
              <w:bottom w:val="nil"/>
              <w:right w:val="nil"/>
            </w:tcBorders>
            <w:shd w:val="clear" w:color="000000" w:fill="FFFFFF"/>
            <w:noWrap/>
            <w:vAlign w:val="center"/>
            <w:hideMark/>
          </w:tcPr>
          <w:p w14:paraId="35F3329F" w14:textId="10E8CBB8" w:rsidR="001572CA" w:rsidRPr="00D618B7" w:rsidRDefault="001572CA" w:rsidP="001572CA">
            <w:pPr>
              <w:jc w:val="right"/>
              <w:rPr>
                <w:color w:val="000000"/>
              </w:rPr>
            </w:pPr>
            <w:r w:rsidRPr="00D618B7">
              <w:rPr>
                <w:color w:val="000000"/>
              </w:rPr>
              <w:t>246.46</w:t>
            </w:r>
          </w:p>
        </w:tc>
      </w:tr>
      <w:tr w:rsidR="001572CA" w:rsidRPr="00D618B7" w14:paraId="6E0FA65F" w14:textId="77777777" w:rsidTr="001572CA">
        <w:trPr>
          <w:trHeight w:val="278"/>
        </w:trPr>
        <w:tc>
          <w:tcPr>
            <w:tcW w:w="943" w:type="pct"/>
            <w:tcBorders>
              <w:top w:val="nil"/>
              <w:left w:val="nil"/>
              <w:bottom w:val="single" w:sz="8" w:space="0" w:color="auto"/>
              <w:right w:val="nil"/>
            </w:tcBorders>
            <w:shd w:val="clear" w:color="000000" w:fill="FFFFFF"/>
            <w:vAlign w:val="center"/>
            <w:hideMark/>
          </w:tcPr>
          <w:p w14:paraId="1BC525DE" w14:textId="77777777" w:rsidR="001572CA" w:rsidRPr="00D618B7" w:rsidRDefault="001572CA" w:rsidP="001572CA">
            <w:pPr>
              <w:jc w:val="right"/>
              <w:rPr>
                <w:color w:val="000000"/>
              </w:rPr>
            </w:pPr>
            <w:r w:rsidRPr="00D618B7">
              <w:rPr>
                <w:color w:val="000000"/>
              </w:rPr>
              <w:t>5</w:t>
            </w:r>
          </w:p>
        </w:tc>
        <w:tc>
          <w:tcPr>
            <w:tcW w:w="633" w:type="pct"/>
            <w:tcBorders>
              <w:top w:val="nil"/>
              <w:left w:val="nil"/>
              <w:bottom w:val="single" w:sz="8" w:space="0" w:color="auto"/>
              <w:right w:val="nil"/>
            </w:tcBorders>
            <w:shd w:val="clear" w:color="000000" w:fill="FFFFFF"/>
            <w:noWrap/>
            <w:vAlign w:val="center"/>
            <w:hideMark/>
          </w:tcPr>
          <w:p w14:paraId="754A6646" w14:textId="0E85584A" w:rsidR="001572CA" w:rsidRPr="00D618B7" w:rsidRDefault="001572CA" w:rsidP="001572CA">
            <w:pPr>
              <w:jc w:val="right"/>
              <w:rPr>
                <w:color w:val="000000"/>
              </w:rPr>
            </w:pPr>
            <w:r w:rsidRPr="00D618B7">
              <w:rPr>
                <w:color w:val="000000"/>
              </w:rPr>
              <w:t>-116.59</w:t>
            </w:r>
          </w:p>
        </w:tc>
        <w:tc>
          <w:tcPr>
            <w:tcW w:w="902" w:type="pct"/>
            <w:tcBorders>
              <w:top w:val="nil"/>
              <w:left w:val="nil"/>
              <w:bottom w:val="single" w:sz="8" w:space="0" w:color="auto"/>
              <w:right w:val="nil"/>
            </w:tcBorders>
            <w:shd w:val="clear" w:color="000000" w:fill="FFFFFF"/>
            <w:noWrap/>
            <w:vAlign w:val="center"/>
            <w:hideMark/>
          </w:tcPr>
          <w:p w14:paraId="42428736" w14:textId="7CB845D4" w:rsidR="001572CA" w:rsidRPr="00D618B7" w:rsidRDefault="001572CA" w:rsidP="001572CA">
            <w:pPr>
              <w:jc w:val="right"/>
              <w:rPr>
                <w:color w:val="000000"/>
              </w:rPr>
            </w:pPr>
            <w:r w:rsidRPr="00D618B7">
              <w:rPr>
                <w:color w:val="000000"/>
              </w:rPr>
              <w:t>260.72</w:t>
            </w:r>
          </w:p>
        </w:tc>
        <w:tc>
          <w:tcPr>
            <w:tcW w:w="568" w:type="pct"/>
            <w:tcBorders>
              <w:top w:val="nil"/>
              <w:left w:val="nil"/>
              <w:bottom w:val="single" w:sz="8" w:space="0" w:color="auto"/>
              <w:right w:val="nil"/>
            </w:tcBorders>
            <w:shd w:val="clear" w:color="000000" w:fill="FFFFFF"/>
            <w:noWrap/>
            <w:vAlign w:val="center"/>
            <w:hideMark/>
          </w:tcPr>
          <w:p w14:paraId="0D49FF28" w14:textId="1401DF67" w:rsidR="001572CA" w:rsidRPr="00D618B7" w:rsidRDefault="001572CA" w:rsidP="001572CA">
            <w:pPr>
              <w:jc w:val="right"/>
              <w:rPr>
                <w:color w:val="000000"/>
              </w:rPr>
            </w:pPr>
            <w:r w:rsidRPr="00D618B7">
              <w:rPr>
                <w:color w:val="000000"/>
              </w:rPr>
              <w:t>413.90</w:t>
            </w:r>
          </w:p>
        </w:tc>
        <w:tc>
          <w:tcPr>
            <w:tcW w:w="687" w:type="pct"/>
            <w:tcBorders>
              <w:top w:val="nil"/>
              <w:left w:val="nil"/>
              <w:bottom w:val="single" w:sz="8" w:space="0" w:color="auto"/>
              <w:right w:val="nil"/>
            </w:tcBorders>
            <w:shd w:val="clear" w:color="000000" w:fill="FFFFFF"/>
            <w:noWrap/>
            <w:vAlign w:val="center"/>
            <w:hideMark/>
          </w:tcPr>
          <w:p w14:paraId="6ACE6185" w14:textId="1974B508" w:rsidR="001572CA" w:rsidRPr="00D618B7" w:rsidRDefault="001572CA" w:rsidP="001572CA">
            <w:pPr>
              <w:jc w:val="right"/>
              <w:rPr>
                <w:color w:val="000000"/>
              </w:rPr>
            </w:pPr>
            <w:r w:rsidRPr="00D618B7">
              <w:rPr>
                <w:color w:val="000000"/>
              </w:rPr>
              <w:t>253.93</w:t>
            </w:r>
          </w:p>
        </w:tc>
        <w:tc>
          <w:tcPr>
            <w:tcW w:w="579" w:type="pct"/>
            <w:tcBorders>
              <w:top w:val="nil"/>
              <w:left w:val="nil"/>
              <w:bottom w:val="single" w:sz="8" w:space="0" w:color="auto"/>
              <w:right w:val="nil"/>
            </w:tcBorders>
            <w:shd w:val="clear" w:color="000000" w:fill="FFFFFF"/>
            <w:noWrap/>
            <w:vAlign w:val="center"/>
            <w:hideMark/>
          </w:tcPr>
          <w:p w14:paraId="0A8009CE" w14:textId="304D0F40" w:rsidR="001572CA" w:rsidRPr="00D618B7" w:rsidRDefault="001572CA" w:rsidP="001572CA">
            <w:pPr>
              <w:jc w:val="right"/>
              <w:rPr>
                <w:color w:val="000000"/>
              </w:rPr>
            </w:pPr>
            <w:r w:rsidRPr="00D618B7">
              <w:rPr>
                <w:color w:val="000000"/>
              </w:rPr>
              <w:t>-141.50</w:t>
            </w:r>
          </w:p>
        </w:tc>
        <w:tc>
          <w:tcPr>
            <w:tcW w:w="687" w:type="pct"/>
            <w:tcBorders>
              <w:top w:val="nil"/>
              <w:left w:val="nil"/>
              <w:bottom w:val="single" w:sz="8" w:space="0" w:color="auto"/>
              <w:right w:val="nil"/>
            </w:tcBorders>
            <w:shd w:val="clear" w:color="000000" w:fill="FFFFFF"/>
            <w:noWrap/>
            <w:vAlign w:val="center"/>
            <w:hideMark/>
          </w:tcPr>
          <w:p w14:paraId="6D04D942" w14:textId="4574DBDA" w:rsidR="001572CA" w:rsidRPr="00D618B7" w:rsidRDefault="001572CA" w:rsidP="001572CA">
            <w:pPr>
              <w:jc w:val="right"/>
              <w:rPr>
                <w:color w:val="000000"/>
              </w:rPr>
            </w:pPr>
            <w:r w:rsidRPr="00D618B7">
              <w:rPr>
                <w:color w:val="000000"/>
              </w:rPr>
              <w:t>268.40</w:t>
            </w:r>
          </w:p>
        </w:tc>
      </w:tr>
    </w:tbl>
    <w:p w14:paraId="696E6BD7" w14:textId="77777777" w:rsidR="00C57515" w:rsidRPr="00D618B7" w:rsidRDefault="00C57515" w:rsidP="00C57515">
      <w:pPr>
        <w:rPr>
          <w:b/>
          <w:bCs/>
        </w:rPr>
      </w:pPr>
    </w:p>
    <w:p w14:paraId="4C2C1582" w14:textId="77777777" w:rsidR="00C57515" w:rsidRPr="00D618B7" w:rsidRDefault="00C57515" w:rsidP="00C57515">
      <w:r w:rsidRPr="00D618B7">
        <w:rPr>
          <w:i/>
          <w:iCs/>
        </w:rPr>
        <w:t>Note</w:t>
      </w:r>
      <w:r w:rsidRPr="00D618B7">
        <w:t>: This table lists the estimated mean event Average Duration and standard errors for face, hand, and mouth events for each week of observation around reach-onset.</w:t>
      </w:r>
    </w:p>
    <w:p w14:paraId="6D697BC1" w14:textId="77777777" w:rsidR="00C57515" w:rsidRPr="00D618B7" w:rsidRDefault="00C57515">
      <w:pPr>
        <w:rPr>
          <w:rFonts w:eastAsia="Aptos"/>
          <w:kern w:val="2"/>
          <w:sz w:val="22"/>
          <w:szCs w:val="22"/>
        </w:rPr>
      </w:pPr>
      <w:r w:rsidRPr="00D618B7">
        <w:rPr>
          <w:rFonts w:eastAsia="Aptos"/>
          <w:kern w:val="2"/>
          <w:sz w:val="22"/>
          <w:szCs w:val="22"/>
        </w:rPr>
        <w:t xml:space="preserve"> </w:t>
      </w:r>
    </w:p>
    <w:p w14:paraId="02BD7B07" w14:textId="45D4FC9E" w:rsidR="00C57515" w:rsidRPr="00D618B7" w:rsidRDefault="00C57515" w:rsidP="007C5074">
      <w:pPr>
        <w:pStyle w:val="Caption"/>
      </w:pPr>
      <w:bookmarkStart w:id="162" w:name="_Toc172716859"/>
      <w:r w:rsidRPr="00D618B7">
        <w:t xml:space="preserve">Table </w:t>
      </w:r>
      <w:r w:rsidR="00000000">
        <w:fldChar w:fldCharType="begin"/>
      </w:r>
      <w:r w:rsidR="00000000">
        <w:instrText xml:space="preserve"> SEQ Table \* ARABIC </w:instrText>
      </w:r>
      <w:r w:rsidR="00000000">
        <w:fldChar w:fldCharType="separate"/>
      </w:r>
      <w:r w:rsidR="000C6E43">
        <w:rPr>
          <w:noProof/>
        </w:rPr>
        <w:t>31</w:t>
      </w:r>
      <w:r w:rsidR="00000000">
        <w:rPr>
          <w:noProof/>
        </w:rPr>
        <w:fldChar w:fldCharType="end"/>
      </w:r>
      <w:r w:rsidRPr="00D618B7">
        <w:t>: Event average duration by type</w:t>
      </w:r>
      <w:r w:rsidR="001572CA" w:rsidRPr="00D618B7">
        <w:t xml:space="preserve"> and proximity</w:t>
      </w:r>
      <w:bookmarkEnd w:id="162"/>
    </w:p>
    <w:p w14:paraId="3A255BD6" w14:textId="77777777" w:rsidR="00C57515" w:rsidRPr="00D618B7" w:rsidRDefault="00C57515" w:rsidP="00C57515">
      <w:r w:rsidRPr="00D618B7">
        <w:t>Estimated Mean Average Duration of Events by Type and Proximity</w:t>
      </w:r>
    </w:p>
    <w:tbl>
      <w:tblPr>
        <w:tblW w:w="5000" w:type="pct"/>
        <w:tblLook w:val="04A0" w:firstRow="1" w:lastRow="0" w:firstColumn="1" w:lastColumn="0" w:noHBand="0" w:noVBand="1"/>
      </w:tblPr>
      <w:tblGrid>
        <w:gridCol w:w="994"/>
        <w:gridCol w:w="1018"/>
        <w:gridCol w:w="1310"/>
        <w:gridCol w:w="1206"/>
        <w:gridCol w:w="1232"/>
        <w:gridCol w:w="1218"/>
        <w:gridCol w:w="1662"/>
      </w:tblGrid>
      <w:tr w:rsidR="00C57515" w:rsidRPr="00D618B7" w14:paraId="7832AED5" w14:textId="77777777" w:rsidTr="001572CA">
        <w:trPr>
          <w:trHeight w:val="315"/>
        </w:trPr>
        <w:tc>
          <w:tcPr>
            <w:tcW w:w="575" w:type="pct"/>
            <w:tcBorders>
              <w:top w:val="single" w:sz="4" w:space="0" w:color="auto"/>
              <w:left w:val="nil"/>
              <w:bottom w:val="nil"/>
              <w:right w:val="nil"/>
            </w:tcBorders>
            <w:shd w:val="clear" w:color="000000" w:fill="FFFFFF"/>
            <w:vAlign w:val="center"/>
            <w:hideMark/>
          </w:tcPr>
          <w:p w14:paraId="46410599" w14:textId="77777777" w:rsidR="00C57515" w:rsidRPr="00D618B7" w:rsidRDefault="00C57515" w:rsidP="004B11B7">
            <w:pPr>
              <w:rPr>
                <w:color w:val="000000"/>
              </w:rPr>
            </w:pPr>
            <w:r w:rsidRPr="00D618B7">
              <w:rPr>
                <w:color w:val="000000"/>
              </w:rPr>
              <w:t>Week</w:t>
            </w:r>
          </w:p>
        </w:tc>
        <w:tc>
          <w:tcPr>
            <w:tcW w:w="1347" w:type="pct"/>
            <w:gridSpan w:val="2"/>
            <w:tcBorders>
              <w:top w:val="single" w:sz="4" w:space="0" w:color="auto"/>
              <w:left w:val="nil"/>
              <w:bottom w:val="single" w:sz="8" w:space="0" w:color="auto"/>
              <w:right w:val="nil"/>
            </w:tcBorders>
            <w:shd w:val="clear" w:color="000000" w:fill="FFFFFF"/>
            <w:vAlign w:val="center"/>
            <w:hideMark/>
          </w:tcPr>
          <w:p w14:paraId="47809BCB" w14:textId="77777777" w:rsidR="00C57515" w:rsidRPr="00D618B7" w:rsidRDefault="00C57515" w:rsidP="004B11B7">
            <w:pPr>
              <w:jc w:val="center"/>
              <w:rPr>
                <w:color w:val="000000"/>
              </w:rPr>
            </w:pPr>
            <w:r w:rsidRPr="00D618B7">
              <w:rPr>
                <w:color w:val="000000"/>
              </w:rPr>
              <w:t xml:space="preserve">     Toy-out-of-Reach</w:t>
            </w:r>
          </w:p>
        </w:tc>
        <w:tc>
          <w:tcPr>
            <w:tcW w:w="1411" w:type="pct"/>
            <w:gridSpan w:val="2"/>
            <w:tcBorders>
              <w:top w:val="single" w:sz="4" w:space="0" w:color="auto"/>
              <w:left w:val="nil"/>
              <w:bottom w:val="single" w:sz="8" w:space="0" w:color="auto"/>
              <w:right w:val="nil"/>
            </w:tcBorders>
            <w:shd w:val="clear" w:color="000000" w:fill="FFFFFF"/>
            <w:vAlign w:val="center"/>
            <w:hideMark/>
          </w:tcPr>
          <w:p w14:paraId="2BE59317" w14:textId="77777777" w:rsidR="00C57515" w:rsidRPr="00D618B7" w:rsidRDefault="00C57515" w:rsidP="004B11B7">
            <w:pPr>
              <w:jc w:val="center"/>
              <w:rPr>
                <w:color w:val="000000"/>
              </w:rPr>
            </w:pPr>
            <w:r w:rsidRPr="00D618B7">
              <w:rPr>
                <w:color w:val="000000"/>
              </w:rPr>
              <w:t xml:space="preserve">          Toy-Moving-into-Reach</w:t>
            </w:r>
          </w:p>
        </w:tc>
        <w:tc>
          <w:tcPr>
            <w:tcW w:w="1667" w:type="pct"/>
            <w:gridSpan w:val="2"/>
            <w:tcBorders>
              <w:top w:val="single" w:sz="4" w:space="0" w:color="auto"/>
              <w:left w:val="nil"/>
              <w:bottom w:val="single" w:sz="8" w:space="0" w:color="auto"/>
              <w:right w:val="nil"/>
            </w:tcBorders>
            <w:shd w:val="clear" w:color="000000" w:fill="FFFFFF"/>
            <w:vAlign w:val="center"/>
            <w:hideMark/>
          </w:tcPr>
          <w:p w14:paraId="214892C1" w14:textId="77777777" w:rsidR="00C57515" w:rsidRPr="00D618B7" w:rsidRDefault="00C57515" w:rsidP="004B11B7">
            <w:pPr>
              <w:jc w:val="center"/>
              <w:rPr>
                <w:color w:val="000000"/>
              </w:rPr>
            </w:pPr>
            <w:r w:rsidRPr="00D618B7">
              <w:rPr>
                <w:color w:val="000000"/>
              </w:rPr>
              <w:t xml:space="preserve">      Toy-in-Reach</w:t>
            </w:r>
          </w:p>
        </w:tc>
      </w:tr>
      <w:tr w:rsidR="00C57515" w:rsidRPr="00D618B7" w14:paraId="2CE4AA3D" w14:textId="77777777" w:rsidTr="004B11B7">
        <w:trPr>
          <w:trHeight w:val="315"/>
        </w:trPr>
        <w:tc>
          <w:tcPr>
            <w:tcW w:w="575" w:type="pct"/>
            <w:tcBorders>
              <w:top w:val="nil"/>
              <w:left w:val="nil"/>
              <w:bottom w:val="single" w:sz="8" w:space="0" w:color="auto"/>
              <w:right w:val="nil"/>
            </w:tcBorders>
            <w:shd w:val="clear" w:color="000000" w:fill="FFFFFF"/>
            <w:noWrap/>
            <w:vAlign w:val="bottom"/>
            <w:hideMark/>
          </w:tcPr>
          <w:p w14:paraId="4B6A0E79" w14:textId="77777777" w:rsidR="00C57515" w:rsidRPr="00D618B7" w:rsidRDefault="00C57515" w:rsidP="004B11B7">
            <w:pPr>
              <w:rPr>
                <w:color w:val="000000"/>
              </w:rPr>
            </w:pPr>
            <w:r w:rsidRPr="00D618B7">
              <w:rPr>
                <w:color w:val="000000"/>
              </w:rPr>
              <w:t> </w:t>
            </w:r>
          </w:p>
        </w:tc>
        <w:tc>
          <w:tcPr>
            <w:tcW w:w="589" w:type="pct"/>
            <w:tcBorders>
              <w:top w:val="nil"/>
              <w:left w:val="nil"/>
              <w:bottom w:val="single" w:sz="8" w:space="0" w:color="auto"/>
              <w:right w:val="nil"/>
            </w:tcBorders>
            <w:shd w:val="clear" w:color="000000" w:fill="FFFFFF"/>
            <w:noWrap/>
            <w:vAlign w:val="center"/>
            <w:hideMark/>
          </w:tcPr>
          <w:p w14:paraId="3EBA23C7" w14:textId="77777777" w:rsidR="00C57515" w:rsidRPr="00D618B7" w:rsidRDefault="00C57515" w:rsidP="004B11B7">
            <w:pPr>
              <w:jc w:val="right"/>
              <w:rPr>
                <w:color w:val="000000"/>
              </w:rPr>
            </w:pPr>
            <w:r w:rsidRPr="00D618B7">
              <w:rPr>
                <w:color w:val="000000"/>
              </w:rPr>
              <w:t>Mean</w:t>
            </w:r>
          </w:p>
        </w:tc>
        <w:tc>
          <w:tcPr>
            <w:tcW w:w="758" w:type="pct"/>
            <w:tcBorders>
              <w:top w:val="nil"/>
              <w:left w:val="nil"/>
              <w:bottom w:val="single" w:sz="8" w:space="0" w:color="auto"/>
              <w:right w:val="nil"/>
            </w:tcBorders>
            <w:shd w:val="clear" w:color="000000" w:fill="FFFFFF"/>
            <w:noWrap/>
            <w:vAlign w:val="center"/>
            <w:hideMark/>
          </w:tcPr>
          <w:p w14:paraId="05FB71BF" w14:textId="77777777" w:rsidR="00C57515" w:rsidRPr="00D618B7" w:rsidRDefault="00C57515" w:rsidP="004B11B7">
            <w:pPr>
              <w:jc w:val="right"/>
              <w:rPr>
                <w:color w:val="000000"/>
              </w:rPr>
            </w:pPr>
            <w:r w:rsidRPr="00D618B7">
              <w:rPr>
                <w:color w:val="000000"/>
              </w:rPr>
              <w:t>Std. Error</w:t>
            </w:r>
          </w:p>
        </w:tc>
        <w:tc>
          <w:tcPr>
            <w:tcW w:w="698" w:type="pct"/>
            <w:tcBorders>
              <w:top w:val="nil"/>
              <w:left w:val="nil"/>
              <w:bottom w:val="single" w:sz="8" w:space="0" w:color="auto"/>
              <w:right w:val="nil"/>
            </w:tcBorders>
            <w:shd w:val="clear" w:color="000000" w:fill="FFFFFF"/>
            <w:noWrap/>
            <w:vAlign w:val="center"/>
            <w:hideMark/>
          </w:tcPr>
          <w:p w14:paraId="1A4767CF" w14:textId="77777777" w:rsidR="00C57515" w:rsidRPr="00D618B7" w:rsidRDefault="00C57515" w:rsidP="004B11B7">
            <w:pPr>
              <w:jc w:val="right"/>
              <w:rPr>
                <w:color w:val="000000"/>
              </w:rPr>
            </w:pPr>
            <w:r w:rsidRPr="00D618B7">
              <w:rPr>
                <w:color w:val="000000"/>
              </w:rPr>
              <w:t>Mean</w:t>
            </w:r>
          </w:p>
        </w:tc>
        <w:tc>
          <w:tcPr>
            <w:tcW w:w="713" w:type="pct"/>
            <w:tcBorders>
              <w:top w:val="nil"/>
              <w:left w:val="nil"/>
              <w:bottom w:val="single" w:sz="8" w:space="0" w:color="auto"/>
              <w:right w:val="nil"/>
            </w:tcBorders>
            <w:shd w:val="clear" w:color="000000" w:fill="FFFFFF"/>
            <w:noWrap/>
            <w:vAlign w:val="center"/>
            <w:hideMark/>
          </w:tcPr>
          <w:p w14:paraId="40662540" w14:textId="77777777" w:rsidR="00C57515" w:rsidRPr="00D618B7" w:rsidRDefault="00C57515" w:rsidP="004B11B7">
            <w:pPr>
              <w:jc w:val="right"/>
              <w:rPr>
                <w:color w:val="000000"/>
              </w:rPr>
            </w:pPr>
            <w:r w:rsidRPr="00D618B7">
              <w:rPr>
                <w:color w:val="000000"/>
              </w:rPr>
              <w:t>Std. Error</w:t>
            </w:r>
          </w:p>
        </w:tc>
        <w:tc>
          <w:tcPr>
            <w:tcW w:w="705" w:type="pct"/>
            <w:tcBorders>
              <w:top w:val="nil"/>
              <w:left w:val="nil"/>
              <w:bottom w:val="single" w:sz="8" w:space="0" w:color="auto"/>
              <w:right w:val="nil"/>
            </w:tcBorders>
            <w:shd w:val="clear" w:color="000000" w:fill="FFFFFF"/>
            <w:noWrap/>
            <w:vAlign w:val="center"/>
            <w:hideMark/>
          </w:tcPr>
          <w:p w14:paraId="29AFD2CE" w14:textId="77777777" w:rsidR="00C57515" w:rsidRPr="00D618B7" w:rsidRDefault="00C57515" w:rsidP="004B11B7">
            <w:pPr>
              <w:jc w:val="right"/>
              <w:rPr>
                <w:color w:val="000000"/>
              </w:rPr>
            </w:pPr>
            <w:r w:rsidRPr="00D618B7">
              <w:rPr>
                <w:color w:val="000000"/>
              </w:rPr>
              <w:t>Mean</w:t>
            </w:r>
          </w:p>
        </w:tc>
        <w:tc>
          <w:tcPr>
            <w:tcW w:w="962" w:type="pct"/>
            <w:tcBorders>
              <w:top w:val="nil"/>
              <w:left w:val="nil"/>
              <w:bottom w:val="single" w:sz="8" w:space="0" w:color="auto"/>
              <w:right w:val="nil"/>
            </w:tcBorders>
            <w:shd w:val="clear" w:color="000000" w:fill="FFFFFF"/>
            <w:noWrap/>
            <w:vAlign w:val="center"/>
            <w:hideMark/>
          </w:tcPr>
          <w:p w14:paraId="5936F869" w14:textId="77777777" w:rsidR="00C57515" w:rsidRPr="00D618B7" w:rsidRDefault="00C57515" w:rsidP="004B11B7">
            <w:pPr>
              <w:jc w:val="right"/>
              <w:rPr>
                <w:color w:val="000000"/>
              </w:rPr>
            </w:pPr>
            <w:r w:rsidRPr="00D618B7">
              <w:rPr>
                <w:color w:val="000000"/>
              </w:rPr>
              <w:t>Std. Error</w:t>
            </w:r>
          </w:p>
        </w:tc>
      </w:tr>
      <w:tr w:rsidR="001572CA" w:rsidRPr="00D618B7" w14:paraId="5E6C3E38" w14:textId="77777777" w:rsidTr="004B11B7">
        <w:trPr>
          <w:trHeight w:val="300"/>
        </w:trPr>
        <w:tc>
          <w:tcPr>
            <w:tcW w:w="575" w:type="pct"/>
            <w:tcBorders>
              <w:top w:val="nil"/>
              <w:left w:val="nil"/>
              <w:bottom w:val="nil"/>
              <w:right w:val="nil"/>
            </w:tcBorders>
            <w:shd w:val="clear" w:color="000000" w:fill="FFFFFF"/>
            <w:vAlign w:val="center"/>
            <w:hideMark/>
          </w:tcPr>
          <w:p w14:paraId="5B63B4AF" w14:textId="77777777" w:rsidR="001572CA" w:rsidRPr="00D618B7" w:rsidRDefault="001572CA" w:rsidP="001572CA">
            <w:pPr>
              <w:rPr>
                <w:color w:val="000000"/>
              </w:rPr>
            </w:pPr>
            <w:r w:rsidRPr="00D618B7">
              <w:rPr>
                <w:color w:val="000000"/>
              </w:rPr>
              <w:t>Hand</w:t>
            </w:r>
          </w:p>
        </w:tc>
        <w:tc>
          <w:tcPr>
            <w:tcW w:w="589" w:type="pct"/>
            <w:tcBorders>
              <w:top w:val="nil"/>
              <w:left w:val="nil"/>
              <w:bottom w:val="nil"/>
              <w:right w:val="nil"/>
            </w:tcBorders>
            <w:shd w:val="clear" w:color="000000" w:fill="FFFFFF"/>
            <w:noWrap/>
            <w:vAlign w:val="center"/>
            <w:hideMark/>
          </w:tcPr>
          <w:p w14:paraId="1B178534" w14:textId="3267F1DB" w:rsidR="001572CA" w:rsidRPr="00D618B7" w:rsidRDefault="001572CA" w:rsidP="001572CA">
            <w:pPr>
              <w:jc w:val="right"/>
              <w:rPr>
                <w:color w:val="000000"/>
              </w:rPr>
            </w:pPr>
            <w:r w:rsidRPr="00D618B7">
              <w:rPr>
                <w:color w:val="000000"/>
              </w:rPr>
              <w:t>166.27</w:t>
            </w:r>
          </w:p>
        </w:tc>
        <w:tc>
          <w:tcPr>
            <w:tcW w:w="758" w:type="pct"/>
            <w:tcBorders>
              <w:top w:val="nil"/>
              <w:left w:val="nil"/>
              <w:bottom w:val="nil"/>
              <w:right w:val="nil"/>
            </w:tcBorders>
            <w:shd w:val="clear" w:color="000000" w:fill="FFFFFF"/>
            <w:noWrap/>
            <w:vAlign w:val="center"/>
            <w:hideMark/>
          </w:tcPr>
          <w:p w14:paraId="705DD762" w14:textId="5F59CCD9" w:rsidR="001572CA" w:rsidRPr="00D618B7" w:rsidRDefault="001572CA" w:rsidP="001572CA">
            <w:pPr>
              <w:jc w:val="right"/>
              <w:rPr>
                <w:color w:val="000000"/>
              </w:rPr>
            </w:pPr>
            <w:r w:rsidRPr="00D618B7">
              <w:rPr>
                <w:color w:val="000000"/>
              </w:rPr>
              <w:t>120.62</w:t>
            </w:r>
          </w:p>
        </w:tc>
        <w:tc>
          <w:tcPr>
            <w:tcW w:w="698" w:type="pct"/>
            <w:tcBorders>
              <w:top w:val="nil"/>
              <w:left w:val="nil"/>
              <w:bottom w:val="nil"/>
              <w:right w:val="nil"/>
            </w:tcBorders>
            <w:shd w:val="clear" w:color="000000" w:fill="FFFFFF"/>
            <w:noWrap/>
            <w:vAlign w:val="center"/>
            <w:hideMark/>
          </w:tcPr>
          <w:p w14:paraId="5B1CACFB" w14:textId="17A6BCA3" w:rsidR="001572CA" w:rsidRPr="00D618B7" w:rsidRDefault="001572CA" w:rsidP="001572CA">
            <w:pPr>
              <w:jc w:val="right"/>
              <w:rPr>
                <w:color w:val="000000"/>
              </w:rPr>
            </w:pPr>
            <w:r w:rsidRPr="00D618B7">
              <w:rPr>
                <w:color w:val="000000"/>
              </w:rPr>
              <w:t>-7.18</w:t>
            </w:r>
          </w:p>
        </w:tc>
        <w:tc>
          <w:tcPr>
            <w:tcW w:w="713" w:type="pct"/>
            <w:tcBorders>
              <w:top w:val="nil"/>
              <w:left w:val="nil"/>
              <w:bottom w:val="nil"/>
              <w:right w:val="nil"/>
            </w:tcBorders>
            <w:shd w:val="clear" w:color="000000" w:fill="FFFFFF"/>
            <w:noWrap/>
            <w:vAlign w:val="center"/>
            <w:hideMark/>
          </w:tcPr>
          <w:p w14:paraId="7625060D" w14:textId="6A1C4855" w:rsidR="001572CA" w:rsidRPr="00D618B7" w:rsidRDefault="001572CA" w:rsidP="001572CA">
            <w:pPr>
              <w:jc w:val="right"/>
              <w:rPr>
                <w:color w:val="000000"/>
              </w:rPr>
            </w:pPr>
            <w:r w:rsidRPr="00D618B7">
              <w:rPr>
                <w:color w:val="000000"/>
              </w:rPr>
              <w:t>121.56</w:t>
            </w:r>
          </w:p>
        </w:tc>
        <w:tc>
          <w:tcPr>
            <w:tcW w:w="705" w:type="pct"/>
            <w:tcBorders>
              <w:top w:val="nil"/>
              <w:left w:val="nil"/>
              <w:bottom w:val="nil"/>
              <w:right w:val="nil"/>
            </w:tcBorders>
            <w:shd w:val="clear" w:color="000000" w:fill="FFFFFF"/>
            <w:noWrap/>
            <w:vAlign w:val="center"/>
            <w:hideMark/>
          </w:tcPr>
          <w:p w14:paraId="05661E02" w14:textId="2AEBD54F" w:rsidR="001572CA" w:rsidRPr="00D618B7" w:rsidRDefault="001572CA" w:rsidP="001572CA">
            <w:pPr>
              <w:jc w:val="right"/>
              <w:rPr>
                <w:color w:val="000000"/>
              </w:rPr>
            </w:pPr>
            <w:r w:rsidRPr="00D618B7">
              <w:rPr>
                <w:color w:val="000000"/>
              </w:rPr>
              <w:t>114.70</w:t>
            </w:r>
          </w:p>
        </w:tc>
        <w:tc>
          <w:tcPr>
            <w:tcW w:w="962" w:type="pct"/>
            <w:tcBorders>
              <w:top w:val="nil"/>
              <w:left w:val="nil"/>
              <w:bottom w:val="nil"/>
              <w:right w:val="nil"/>
            </w:tcBorders>
            <w:shd w:val="clear" w:color="000000" w:fill="FFFFFF"/>
            <w:noWrap/>
            <w:vAlign w:val="center"/>
            <w:hideMark/>
          </w:tcPr>
          <w:p w14:paraId="3999DAD0" w14:textId="54071672" w:rsidR="001572CA" w:rsidRPr="00D618B7" w:rsidRDefault="001572CA" w:rsidP="001572CA">
            <w:pPr>
              <w:jc w:val="right"/>
              <w:rPr>
                <w:color w:val="000000"/>
              </w:rPr>
            </w:pPr>
            <w:r w:rsidRPr="00D618B7">
              <w:rPr>
                <w:color w:val="000000"/>
              </w:rPr>
              <w:t>122.83</w:t>
            </w:r>
          </w:p>
        </w:tc>
      </w:tr>
      <w:tr w:rsidR="001572CA" w:rsidRPr="00D618B7" w14:paraId="03AD33E2" w14:textId="77777777" w:rsidTr="004B11B7">
        <w:trPr>
          <w:trHeight w:val="300"/>
        </w:trPr>
        <w:tc>
          <w:tcPr>
            <w:tcW w:w="575" w:type="pct"/>
            <w:tcBorders>
              <w:top w:val="nil"/>
              <w:left w:val="nil"/>
              <w:bottom w:val="nil"/>
              <w:right w:val="nil"/>
            </w:tcBorders>
            <w:shd w:val="clear" w:color="000000" w:fill="FFFFFF"/>
            <w:vAlign w:val="center"/>
            <w:hideMark/>
          </w:tcPr>
          <w:p w14:paraId="799BD051" w14:textId="77777777" w:rsidR="001572CA" w:rsidRPr="00D618B7" w:rsidRDefault="001572CA" w:rsidP="001572CA">
            <w:pPr>
              <w:rPr>
                <w:color w:val="000000"/>
              </w:rPr>
            </w:pPr>
            <w:r w:rsidRPr="00D618B7">
              <w:rPr>
                <w:color w:val="000000"/>
              </w:rPr>
              <w:t>Face</w:t>
            </w:r>
          </w:p>
        </w:tc>
        <w:tc>
          <w:tcPr>
            <w:tcW w:w="589" w:type="pct"/>
            <w:tcBorders>
              <w:top w:val="nil"/>
              <w:left w:val="nil"/>
              <w:bottom w:val="nil"/>
              <w:right w:val="nil"/>
            </w:tcBorders>
            <w:shd w:val="clear" w:color="000000" w:fill="FFFFFF"/>
            <w:noWrap/>
            <w:vAlign w:val="center"/>
            <w:hideMark/>
          </w:tcPr>
          <w:p w14:paraId="6993BBCB" w14:textId="08918202" w:rsidR="001572CA" w:rsidRPr="00D618B7" w:rsidRDefault="001572CA" w:rsidP="001572CA">
            <w:pPr>
              <w:jc w:val="right"/>
              <w:rPr>
                <w:color w:val="000000"/>
              </w:rPr>
            </w:pPr>
            <w:r w:rsidRPr="00D618B7">
              <w:rPr>
                <w:color w:val="000000"/>
              </w:rPr>
              <w:t>20.50</w:t>
            </w:r>
          </w:p>
        </w:tc>
        <w:tc>
          <w:tcPr>
            <w:tcW w:w="758" w:type="pct"/>
            <w:tcBorders>
              <w:top w:val="nil"/>
              <w:left w:val="nil"/>
              <w:bottom w:val="nil"/>
              <w:right w:val="nil"/>
            </w:tcBorders>
            <w:shd w:val="clear" w:color="000000" w:fill="FFFFFF"/>
            <w:noWrap/>
            <w:vAlign w:val="center"/>
            <w:hideMark/>
          </w:tcPr>
          <w:p w14:paraId="63984B10" w14:textId="032061E4" w:rsidR="001572CA" w:rsidRPr="00D618B7" w:rsidRDefault="001572CA" w:rsidP="001572CA">
            <w:pPr>
              <w:jc w:val="right"/>
              <w:rPr>
                <w:color w:val="000000"/>
              </w:rPr>
            </w:pPr>
            <w:r w:rsidRPr="00D618B7">
              <w:rPr>
                <w:color w:val="000000"/>
              </w:rPr>
              <w:t>120.40</w:t>
            </w:r>
          </w:p>
        </w:tc>
        <w:tc>
          <w:tcPr>
            <w:tcW w:w="698" w:type="pct"/>
            <w:tcBorders>
              <w:top w:val="nil"/>
              <w:left w:val="nil"/>
              <w:bottom w:val="nil"/>
              <w:right w:val="nil"/>
            </w:tcBorders>
            <w:shd w:val="clear" w:color="000000" w:fill="FFFFFF"/>
            <w:noWrap/>
            <w:vAlign w:val="center"/>
            <w:hideMark/>
          </w:tcPr>
          <w:p w14:paraId="6484895D" w14:textId="2DC2B27E" w:rsidR="001572CA" w:rsidRPr="00D618B7" w:rsidRDefault="001572CA" w:rsidP="001572CA">
            <w:pPr>
              <w:jc w:val="right"/>
              <w:rPr>
                <w:color w:val="000000"/>
              </w:rPr>
            </w:pPr>
            <w:r w:rsidRPr="00D618B7">
              <w:rPr>
                <w:color w:val="000000"/>
              </w:rPr>
              <w:t>-1.87</w:t>
            </w:r>
          </w:p>
        </w:tc>
        <w:tc>
          <w:tcPr>
            <w:tcW w:w="713" w:type="pct"/>
            <w:tcBorders>
              <w:top w:val="nil"/>
              <w:left w:val="nil"/>
              <w:bottom w:val="nil"/>
              <w:right w:val="nil"/>
            </w:tcBorders>
            <w:shd w:val="clear" w:color="000000" w:fill="FFFFFF"/>
            <w:noWrap/>
            <w:vAlign w:val="center"/>
            <w:hideMark/>
          </w:tcPr>
          <w:p w14:paraId="4B96ABD9" w14:textId="2050C04D" w:rsidR="001572CA" w:rsidRPr="00D618B7" w:rsidRDefault="001572CA" w:rsidP="001572CA">
            <w:pPr>
              <w:jc w:val="right"/>
              <w:rPr>
                <w:color w:val="000000"/>
              </w:rPr>
            </w:pPr>
            <w:r w:rsidRPr="00D618B7">
              <w:rPr>
                <w:color w:val="000000"/>
              </w:rPr>
              <w:t>120.33</w:t>
            </w:r>
          </w:p>
        </w:tc>
        <w:tc>
          <w:tcPr>
            <w:tcW w:w="705" w:type="pct"/>
            <w:tcBorders>
              <w:top w:val="nil"/>
              <w:left w:val="nil"/>
              <w:bottom w:val="nil"/>
              <w:right w:val="nil"/>
            </w:tcBorders>
            <w:shd w:val="clear" w:color="000000" w:fill="FFFFFF"/>
            <w:noWrap/>
            <w:vAlign w:val="center"/>
            <w:hideMark/>
          </w:tcPr>
          <w:p w14:paraId="6E4B6F5B" w14:textId="4C27A398" w:rsidR="001572CA" w:rsidRPr="00D618B7" w:rsidRDefault="001572CA" w:rsidP="001572CA">
            <w:pPr>
              <w:jc w:val="right"/>
              <w:rPr>
                <w:color w:val="000000"/>
              </w:rPr>
            </w:pPr>
            <w:r w:rsidRPr="00D618B7">
              <w:rPr>
                <w:color w:val="000000"/>
              </w:rPr>
              <w:t>35.63</w:t>
            </w:r>
          </w:p>
        </w:tc>
        <w:tc>
          <w:tcPr>
            <w:tcW w:w="962" w:type="pct"/>
            <w:tcBorders>
              <w:top w:val="nil"/>
              <w:left w:val="nil"/>
              <w:bottom w:val="nil"/>
              <w:right w:val="nil"/>
            </w:tcBorders>
            <w:shd w:val="clear" w:color="000000" w:fill="FFFFFF"/>
            <w:noWrap/>
            <w:vAlign w:val="center"/>
            <w:hideMark/>
          </w:tcPr>
          <w:p w14:paraId="5EFBF9DB" w14:textId="6F73058E" w:rsidR="001572CA" w:rsidRPr="00D618B7" w:rsidRDefault="001572CA" w:rsidP="001572CA">
            <w:pPr>
              <w:jc w:val="right"/>
              <w:rPr>
                <w:color w:val="000000"/>
              </w:rPr>
            </w:pPr>
            <w:r w:rsidRPr="00D618B7">
              <w:rPr>
                <w:color w:val="000000"/>
              </w:rPr>
              <w:t>120.38</w:t>
            </w:r>
          </w:p>
        </w:tc>
      </w:tr>
      <w:tr w:rsidR="001572CA" w:rsidRPr="00D618B7" w14:paraId="305DE836" w14:textId="77777777" w:rsidTr="004B11B7">
        <w:trPr>
          <w:trHeight w:val="315"/>
        </w:trPr>
        <w:tc>
          <w:tcPr>
            <w:tcW w:w="575" w:type="pct"/>
            <w:tcBorders>
              <w:top w:val="nil"/>
              <w:left w:val="nil"/>
              <w:bottom w:val="single" w:sz="8" w:space="0" w:color="auto"/>
              <w:right w:val="nil"/>
            </w:tcBorders>
            <w:shd w:val="clear" w:color="000000" w:fill="FFFFFF"/>
            <w:vAlign w:val="center"/>
            <w:hideMark/>
          </w:tcPr>
          <w:p w14:paraId="26AC191B" w14:textId="77777777" w:rsidR="001572CA" w:rsidRPr="00D618B7" w:rsidRDefault="001572CA" w:rsidP="001572CA">
            <w:pPr>
              <w:rPr>
                <w:color w:val="000000"/>
              </w:rPr>
            </w:pPr>
            <w:r w:rsidRPr="00D618B7">
              <w:rPr>
                <w:color w:val="000000"/>
              </w:rPr>
              <w:t>Mouth</w:t>
            </w:r>
          </w:p>
        </w:tc>
        <w:tc>
          <w:tcPr>
            <w:tcW w:w="589" w:type="pct"/>
            <w:tcBorders>
              <w:top w:val="nil"/>
              <w:left w:val="nil"/>
              <w:bottom w:val="single" w:sz="8" w:space="0" w:color="auto"/>
              <w:right w:val="nil"/>
            </w:tcBorders>
            <w:shd w:val="clear" w:color="000000" w:fill="FFFFFF"/>
            <w:noWrap/>
            <w:vAlign w:val="center"/>
            <w:hideMark/>
          </w:tcPr>
          <w:p w14:paraId="334BD689" w14:textId="30FB53A8" w:rsidR="001572CA" w:rsidRPr="00D618B7" w:rsidRDefault="001572CA" w:rsidP="001572CA">
            <w:pPr>
              <w:jc w:val="right"/>
              <w:rPr>
                <w:color w:val="000000"/>
              </w:rPr>
            </w:pPr>
            <w:r w:rsidRPr="00D618B7">
              <w:rPr>
                <w:color w:val="000000"/>
              </w:rPr>
              <w:t>1334.55</w:t>
            </w:r>
          </w:p>
        </w:tc>
        <w:tc>
          <w:tcPr>
            <w:tcW w:w="758" w:type="pct"/>
            <w:tcBorders>
              <w:top w:val="nil"/>
              <w:left w:val="nil"/>
              <w:bottom w:val="single" w:sz="8" w:space="0" w:color="auto"/>
              <w:right w:val="nil"/>
            </w:tcBorders>
            <w:shd w:val="clear" w:color="000000" w:fill="FFFFFF"/>
            <w:noWrap/>
            <w:vAlign w:val="center"/>
            <w:hideMark/>
          </w:tcPr>
          <w:p w14:paraId="7F72024F" w14:textId="07F9DE2B" w:rsidR="001572CA" w:rsidRPr="00D618B7" w:rsidRDefault="001572CA" w:rsidP="001572CA">
            <w:pPr>
              <w:jc w:val="right"/>
              <w:rPr>
                <w:color w:val="000000"/>
              </w:rPr>
            </w:pPr>
            <w:r w:rsidRPr="00D618B7">
              <w:rPr>
                <w:color w:val="000000"/>
              </w:rPr>
              <w:t>122.83</w:t>
            </w:r>
          </w:p>
        </w:tc>
        <w:tc>
          <w:tcPr>
            <w:tcW w:w="698" w:type="pct"/>
            <w:tcBorders>
              <w:top w:val="nil"/>
              <w:left w:val="nil"/>
              <w:bottom w:val="single" w:sz="8" w:space="0" w:color="auto"/>
              <w:right w:val="nil"/>
            </w:tcBorders>
            <w:shd w:val="clear" w:color="000000" w:fill="FFFFFF"/>
            <w:noWrap/>
            <w:vAlign w:val="center"/>
            <w:hideMark/>
          </w:tcPr>
          <w:p w14:paraId="53CF87E9" w14:textId="245C497E" w:rsidR="001572CA" w:rsidRPr="00D618B7" w:rsidRDefault="001572CA" w:rsidP="001572CA">
            <w:pPr>
              <w:jc w:val="right"/>
              <w:rPr>
                <w:color w:val="000000"/>
              </w:rPr>
            </w:pPr>
            <w:r w:rsidRPr="00D618B7">
              <w:rPr>
                <w:color w:val="000000"/>
              </w:rPr>
              <w:t>236.43</w:t>
            </w:r>
          </w:p>
        </w:tc>
        <w:tc>
          <w:tcPr>
            <w:tcW w:w="713" w:type="pct"/>
            <w:tcBorders>
              <w:top w:val="nil"/>
              <w:left w:val="nil"/>
              <w:bottom w:val="single" w:sz="8" w:space="0" w:color="auto"/>
              <w:right w:val="nil"/>
            </w:tcBorders>
            <w:shd w:val="clear" w:color="000000" w:fill="FFFFFF"/>
            <w:noWrap/>
            <w:vAlign w:val="center"/>
            <w:hideMark/>
          </w:tcPr>
          <w:p w14:paraId="5B9DCF2F" w14:textId="4D2162BD" w:rsidR="001572CA" w:rsidRPr="00D618B7" w:rsidRDefault="001572CA" w:rsidP="001572CA">
            <w:pPr>
              <w:jc w:val="right"/>
              <w:rPr>
                <w:color w:val="000000"/>
              </w:rPr>
            </w:pPr>
            <w:r w:rsidRPr="00D618B7">
              <w:rPr>
                <w:color w:val="000000"/>
              </w:rPr>
              <w:t>121.54</w:t>
            </w:r>
          </w:p>
        </w:tc>
        <w:tc>
          <w:tcPr>
            <w:tcW w:w="705" w:type="pct"/>
            <w:tcBorders>
              <w:top w:val="nil"/>
              <w:left w:val="nil"/>
              <w:bottom w:val="single" w:sz="8" w:space="0" w:color="auto"/>
              <w:right w:val="nil"/>
            </w:tcBorders>
            <w:shd w:val="clear" w:color="000000" w:fill="FFFFFF"/>
            <w:noWrap/>
            <w:vAlign w:val="center"/>
            <w:hideMark/>
          </w:tcPr>
          <w:p w14:paraId="50221A3C" w14:textId="679A54C4" w:rsidR="001572CA" w:rsidRPr="00D618B7" w:rsidRDefault="001572CA" w:rsidP="001572CA">
            <w:pPr>
              <w:jc w:val="right"/>
              <w:rPr>
                <w:color w:val="000000"/>
              </w:rPr>
            </w:pPr>
            <w:r w:rsidRPr="00D618B7">
              <w:rPr>
                <w:color w:val="000000"/>
              </w:rPr>
              <w:t>455.03</w:t>
            </w:r>
          </w:p>
        </w:tc>
        <w:tc>
          <w:tcPr>
            <w:tcW w:w="962" w:type="pct"/>
            <w:tcBorders>
              <w:top w:val="nil"/>
              <w:left w:val="nil"/>
              <w:bottom w:val="single" w:sz="8" w:space="0" w:color="auto"/>
              <w:right w:val="nil"/>
            </w:tcBorders>
            <w:shd w:val="clear" w:color="000000" w:fill="FFFFFF"/>
            <w:noWrap/>
            <w:vAlign w:val="center"/>
            <w:hideMark/>
          </w:tcPr>
          <w:p w14:paraId="475559AC" w14:textId="34BA21C3" w:rsidR="001572CA" w:rsidRPr="00D618B7" w:rsidRDefault="001572CA" w:rsidP="001572CA">
            <w:pPr>
              <w:jc w:val="right"/>
              <w:rPr>
                <w:color w:val="000000"/>
              </w:rPr>
            </w:pPr>
            <w:r w:rsidRPr="00D618B7">
              <w:rPr>
                <w:color w:val="000000"/>
              </w:rPr>
              <w:t>120.65</w:t>
            </w:r>
          </w:p>
        </w:tc>
      </w:tr>
    </w:tbl>
    <w:p w14:paraId="1DA23975" w14:textId="77777777" w:rsidR="00C57515" w:rsidRPr="00D618B7" w:rsidRDefault="00C57515" w:rsidP="00C57515"/>
    <w:p w14:paraId="73830F2C" w14:textId="77777777" w:rsidR="00C57515" w:rsidRPr="00D618B7" w:rsidRDefault="00C57515" w:rsidP="00C57515">
      <w:pPr>
        <w:rPr>
          <w:i/>
          <w:iCs/>
        </w:rPr>
      </w:pPr>
    </w:p>
    <w:p w14:paraId="05EA0ABE" w14:textId="77777777" w:rsidR="00C57515" w:rsidRPr="00D618B7" w:rsidRDefault="00C57515" w:rsidP="00C57515">
      <w:r w:rsidRPr="00D618B7">
        <w:rPr>
          <w:i/>
          <w:iCs/>
        </w:rPr>
        <w:t>Note</w:t>
      </w:r>
      <w:r w:rsidRPr="00D618B7">
        <w:t>: This table lists the estimated mean Average Duration and standard errors for hand, face, and mouth events for toy-out-of-reach, toy-moving-into-reach, and toy-in-reach.</w:t>
      </w:r>
    </w:p>
    <w:p w14:paraId="2165768D" w14:textId="23038D27" w:rsidR="000B5C72" w:rsidRDefault="000B5C72">
      <w:pPr>
        <w:rPr>
          <w:rFonts w:eastAsia="Aptos"/>
          <w:kern w:val="2"/>
          <w:sz w:val="22"/>
          <w:szCs w:val="22"/>
        </w:rPr>
      </w:pPr>
      <w:r>
        <w:rPr>
          <w:rFonts w:eastAsia="Aptos"/>
          <w:kern w:val="2"/>
          <w:sz w:val="22"/>
          <w:szCs w:val="22"/>
        </w:rPr>
        <w:br w:type="page"/>
      </w:r>
    </w:p>
    <w:p w14:paraId="5A4ADFD7" w14:textId="77777777" w:rsidR="006C7206" w:rsidRPr="00D618B7" w:rsidRDefault="006C7206">
      <w:pPr>
        <w:rPr>
          <w:rFonts w:eastAsia="Aptos"/>
          <w:kern w:val="2"/>
          <w:sz w:val="22"/>
          <w:szCs w:val="22"/>
        </w:rPr>
      </w:pPr>
    </w:p>
    <w:p w14:paraId="7DBEADA7" w14:textId="16F14917" w:rsidR="006C7206" w:rsidRPr="00D618B7" w:rsidRDefault="006C7206" w:rsidP="007C5074">
      <w:pPr>
        <w:pStyle w:val="Caption"/>
        <w:rPr>
          <w:rFonts w:eastAsia="Aptos"/>
          <w:kern w:val="2"/>
          <w:sz w:val="22"/>
          <w:szCs w:val="22"/>
        </w:rPr>
      </w:pPr>
      <w:bookmarkStart w:id="163" w:name="_Toc172716860"/>
      <w:r w:rsidRPr="00D618B7">
        <w:t xml:space="preserve">Table </w:t>
      </w:r>
      <w:r w:rsidR="00000000">
        <w:fldChar w:fldCharType="begin"/>
      </w:r>
      <w:r w:rsidR="00000000">
        <w:instrText xml:space="preserve"> SEQ Table \* ARABIC </w:instrText>
      </w:r>
      <w:r w:rsidR="00000000">
        <w:fldChar w:fldCharType="separate"/>
      </w:r>
      <w:r w:rsidR="000C6E43">
        <w:rPr>
          <w:noProof/>
        </w:rPr>
        <w:t>32</w:t>
      </w:r>
      <w:r w:rsidR="00000000">
        <w:rPr>
          <w:noProof/>
        </w:rPr>
        <w:fldChar w:fldCharType="end"/>
      </w:r>
      <w:r w:rsidRPr="00D618B7">
        <w:t>: Event average duration by week and proximity</w:t>
      </w:r>
      <w:bookmarkEnd w:id="163"/>
    </w:p>
    <w:p w14:paraId="4C81BD7D" w14:textId="6BF30766" w:rsidR="006C7206" w:rsidRPr="00D618B7" w:rsidRDefault="006C7206" w:rsidP="006C7206">
      <w:r w:rsidRPr="00D618B7">
        <w:t>Estimated Mean Average Duration of Events by Proximity and Week</w:t>
      </w:r>
    </w:p>
    <w:tbl>
      <w:tblPr>
        <w:tblW w:w="5000" w:type="pct"/>
        <w:tblLook w:val="04A0" w:firstRow="1" w:lastRow="0" w:firstColumn="1" w:lastColumn="0" w:noHBand="0" w:noVBand="1"/>
      </w:tblPr>
      <w:tblGrid>
        <w:gridCol w:w="908"/>
        <w:gridCol w:w="1052"/>
        <w:gridCol w:w="1745"/>
        <w:gridCol w:w="982"/>
        <w:gridCol w:w="1624"/>
        <w:gridCol w:w="931"/>
        <w:gridCol w:w="1398"/>
      </w:tblGrid>
      <w:tr w:rsidR="006C7206" w:rsidRPr="00D618B7" w14:paraId="12D99241" w14:textId="77777777" w:rsidTr="00E12F40">
        <w:trPr>
          <w:trHeight w:val="326"/>
        </w:trPr>
        <w:tc>
          <w:tcPr>
            <w:tcW w:w="525" w:type="pct"/>
            <w:tcBorders>
              <w:top w:val="single" w:sz="4" w:space="0" w:color="auto"/>
              <w:left w:val="nil"/>
              <w:bottom w:val="nil"/>
              <w:right w:val="nil"/>
            </w:tcBorders>
            <w:shd w:val="clear" w:color="000000" w:fill="FFFFFF"/>
            <w:vAlign w:val="center"/>
            <w:hideMark/>
          </w:tcPr>
          <w:p w14:paraId="284F3C14" w14:textId="77777777" w:rsidR="006C7206" w:rsidRPr="00D618B7" w:rsidRDefault="006C7206" w:rsidP="004B11B7">
            <w:pPr>
              <w:rPr>
                <w:color w:val="000000"/>
              </w:rPr>
            </w:pPr>
            <w:r w:rsidRPr="00D618B7">
              <w:rPr>
                <w:color w:val="000000"/>
              </w:rPr>
              <w:t>Week</w:t>
            </w:r>
          </w:p>
        </w:tc>
        <w:tc>
          <w:tcPr>
            <w:tcW w:w="1619" w:type="pct"/>
            <w:gridSpan w:val="2"/>
            <w:tcBorders>
              <w:top w:val="single" w:sz="4" w:space="0" w:color="auto"/>
              <w:left w:val="nil"/>
              <w:bottom w:val="single" w:sz="8" w:space="0" w:color="auto"/>
              <w:right w:val="nil"/>
            </w:tcBorders>
            <w:shd w:val="clear" w:color="000000" w:fill="FFFFFF"/>
            <w:vAlign w:val="center"/>
            <w:hideMark/>
          </w:tcPr>
          <w:p w14:paraId="02C092AD" w14:textId="77777777" w:rsidR="006C7206" w:rsidRPr="00D618B7" w:rsidRDefault="006C7206" w:rsidP="004B11B7">
            <w:pPr>
              <w:jc w:val="center"/>
              <w:rPr>
                <w:color w:val="000000"/>
              </w:rPr>
            </w:pPr>
            <w:r w:rsidRPr="00D618B7">
              <w:rPr>
                <w:color w:val="000000"/>
              </w:rPr>
              <w:t>Toy-out-of-Reach</w:t>
            </w:r>
          </w:p>
        </w:tc>
        <w:tc>
          <w:tcPr>
            <w:tcW w:w="1508" w:type="pct"/>
            <w:gridSpan w:val="2"/>
            <w:tcBorders>
              <w:top w:val="single" w:sz="4" w:space="0" w:color="auto"/>
              <w:left w:val="nil"/>
              <w:bottom w:val="single" w:sz="8" w:space="0" w:color="auto"/>
              <w:right w:val="nil"/>
            </w:tcBorders>
            <w:shd w:val="clear" w:color="000000" w:fill="FFFFFF"/>
            <w:vAlign w:val="center"/>
            <w:hideMark/>
          </w:tcPr>
          <w:p w14:paraId="30C7AE4C" w14:textId="77777777" w:rsidR="006C7206" w:rsidRPr="00D618B7" w:rsidRDefault="006C7206" w:rsidP="004B11B7">
            <w:pPr>
              <w:jc w:val="center"/>
              <w:rPr>
                <w:color w:val="000000"/>
              </w:rPr>
            </w:pPr>
            <w:r w:rsidRPr="00D618B7">
              <w:rPr>
                <w:color w:val="000000"/>
              </w:rPr>
              <w:t>Toy-Moving-into-Reach</w:t>
            </w:r>
          </w:p>
        </w:tc>
        <w:tc>
          <w:tcPr>
            <w:tcW w:w="1348" w:type="pct"/>
            <w:gridSpan w:val="2"/>
            <w:tcBorders>
              <w:top w:val="single" w:sz="4" w:space="0" w:color="auto"/>
              <w:left w:val="nil"/>
              <w:bottom w:val="single" w:sz="8" w:space="0" w:color="auto"/>
              <w:right w:val="nil"/>
            </w:tcBorders>
            <w:shd w:val="clear" w:color="000000" w:fill="FFFFFF"/>
            <w:vAlign w:val="center"/>
            <w:hideMark/>
          </w:tcPr>
          <w:p w14:paraId="77765CF8" w14:textId="77777777" w:rsidR="006C7206" w:rsidRPr="00D618B7" w:rsidRDefault="006C7206" w:rsidP="004B11B7">
            <w:pPr>
              <w:jc w:val="center"/>
              <w:rPr>
                <w:color w:val="000000"/>
              </w:rPr>
            </w:pPr>
            <w:r w:rsidRPr="00D618B7">
              <w:rPr>
                <w:color w:val="000000"/>
              </w:rPr>
              <w:t>Toy-in-Reach</w:t>
            </w:r>
          </w:p>
        </w:tc>
      </w:tr>
      <w:tr w:rsidR="006C7206" w:rsidRPr="00D618B7" w14:paraId="7B959E0F" w14:textId="77777777" w:rsidTr="00E12F40">
        <w:trPr>
          <w:trHeight w:val="326"/>
        </w:trPr>
        <w:tc>
          <w:tcPr>
            <w:tcW w:w="525" w:type="pct"/>
            <w:tcBorders>
              <w:top w:val="nil"/>
              <w:left w:val="nil"/>
              <w:bottom w:val="single" w:sz="8" w:space="0" w:color="auto"/>
              <w:right w:val="nil"/>
            </w:tcBorders>
            <w:shd w:val="clear" w:color="000000" w:fill="FFFFFF"/>
            <w:noWrap/>
            <w:vAlign w:val="bottom"/>
            <w:hideMark/>
          </w:tcPr>
          <w:p w14:paraId="3FCC7A57" w14:textId="77777777" w:rsidR="006C7206" w:rsidRPr="00D618B7" w:rsidRDefault="006C7206" w:rsidP="004B11B7">
            <w:pPr>
              <w:rPr>
                <w:color w:val="000000"/>
              </w:rPr>
            </w:pPr>
            <w:r w:rsidRPr="00D618B7">
              <w:rPr>
                <w:color w:val="000000"/>
              </w:rPr>
              <w:t> </w:t>
            </w:r>
          </w:p>
        </w:tc>
        <w:tc>
          <w:tcPr>
            <w:tcW w:w="609" w:type="pct"/>
            <w:tcBorders>
              <w:top w:val="nil"/>
              <w:left w:val="nil"/>
              <w:bottom w:val="single" w:sz="8" w:space="0" w:color="auto"/>
              <w:right w:val="nil"/>
            </w:tcBorders>
            <w:shd w:val="clear" w:color="000000" w:fill="FFFFFF"/>
            <w:noWrap/>
            <w:vAlign w:val="center"/>
            <w:hideMark/>
          </w:tcPr>
          <w:p w14:paraId="227E3453" w14:textId="77777777" w:rsidR="006C7206" w:rsidRPr="00D618B7" w:rsidRDefault="006C7206" w:rsidP="004B11B7">
            <w:pPr>
              <w:jc w:val="right"/>
              <w:rPr>
                <w:color w:val="000000"/>
              </w:rPr>
            </w:pPr>
            <w:r w:rsidRPr="00D618B7">
              <w:rPr>
                <w:color w:val="000000"/>
              </w:rPr>
              <w:t>Mean</w:t>
            </w:r>
          </w:p>
        </w:tc>
        <w:tc>
          <w:tcPr>
            <w:tcW w:w="1009" w:type="pct"/>
            <w:tcBorders>
              <w:top w:val="nil"/>
              <w:left w:val="nil"/>
              <w:bottom w:val="single" w:sz="8" w:space="0" w:color="auto"/>
              <w:right w:val="nil"/>
            </w:tcBorders>
            <w:shd w:val="clear" w:color="000000" w:fill="FFFFFF"/>
            <w:noWrap/>
            <w:vAlign w:val="center"/>
            <w:hideMark/>
          </w:tcPr>
          <w:p w14:paraId="5EAA0A06" w14:textId="77777777" w:rsidR="006C7206" w:rsidRPr="00D618B7" w:rsidRDefault="006C7206" w:rsidP="004B11B7">
            <w:pPr>
              <w:jc w:val="right"/>
              <w:rPr>
                <w:color w:val="000000"/>
              </w:rPr>
            </w:pPr>
            <w:r w:rsidRPr="00D618B7">
              <w:rPr>
                <w:color w:val="000000"/>
              </w:rPr>
              <w:t>Std. Error</w:t>
            </w:r>
          </w:p>
        </w:tc>
        <w:tc>
          <w:tcPr>
            <w:tcW w:w="568" w:type="pct"/>
            <w:tcBorders>
              <w:top w:val="nil"/>
              <w:left w:val="nil"/>
              <w:bottom w:val="single" w:sz="8" w:space="0" w:color="auto"/>
              <w:right w:val="nil"/>
            </w:tcBorders>
            <w:shd w:val="clear" w:color="000000" w:fill="FFFFFF"/>
            <w:noWrap/>
            <w:vAlign w:val="center"/>
            <w:hideMark/>
          </w:tcPr>
          <w:p w14:paraId="3C4F7906" w14:textId="77777777" w:rsidR="006C7206" w:rsidRPr="00D618B7" w:rsidRDefault="006C7206" w:rsidP="004B11B7">
            <w:pPr>
              <w:jc w:val="right"/>
              <w:rPr>
                <w:color w:val="000000"/>
              </w:rPr>
            </w:pPr>
            <w:r w:rsidRPr="00D618B7">
              <w:rPr>
                <w:color w:val="000000"/>
              </w:rPr>
              <w:t>Mean</w:t>
            </w:r>
          </w:p>
        </w:tc>
        <w:tc>
          <w:tcPr>
            <w:tcW w:w="940" w:type="pct"/>
            <w:tcBorders>
              <w:top w:val="nil"/>
              <w:left w:val="nil"/>
              <w:bottom w:val="single" w:sz="8" w:space="0" w:color="auto"/>
              <w:right w:val="nil"/>
            </w:tcBorders>
            <w:shd w:val="clear" w:color="000000" w:fill="FFFFFF"/>
            <w:noWrap/>
            <w:vAlign w:val="center"/>
            <w:hideMark/>
          </w:tcPr>
          <w:p w14:paraId="4FE2A3C9" w14:textId="77777777" w:rsidR="006C7206" w:rsidRPr="00D618B7" w:rsidRDefault="006C7206" w:rsidP="004B11B7">
            <w:pPr>
              <w:jc w:val="right"/>
              <w:rPr>
                <w:color w:val="000000"/>
              </w:rPr>
            </w:pPr>
            <w:r w:rsidRPr="00D618B7">
              <w:rPr>
                <w:color w:val="000000"/>
              </w:rPr>
              <w:t>Std. Error</w:t>
            </w:r>
          </w:p>
        </w:tc>
        <w:tc>
          <w:tcPr>
            <w:tcW w:w="539" w:type="pct"/>
            <w:tcBorders>
              <w:top w:val="nil"/>
              <w:left w:val="nil"/>
              <w:bottom w:val="single" w:sz="8" w:space="0" w:color="auto"/>
              <w:right w:val="nil"/>
            </w:tcBorders>
            <w:shd w:val="clear" w:color="000000" w:fill="FFFFFF"/>
            <w:noWrap/>
            <w:vAlign w:val="center"/>
            <w:hideMark/>
          </w:tcPr>
          <w:p w14:paraId="44B2303C" w14:textId="77777777" w:rsidR="006C7206" w:rsidRPr="00D618B7" w:rsidRDefault="006C7206" w:rsidP="004B11B7">
            <w:pPr>
              <w:jc w:val="right"/>
              <w:rPr>
                <w:color w:val="000000"/>
              </w:rPr>
            </w:pPr>
            <w:r w:rsidRPr="00D618B7">
              <w:rPr>
                <w:color w:val="000000"/>
              </w:rPr>
              <w:t>Mean</w:t>
            </w:r>
          </w:p>
        </w:tc>
        <w:tc>
          <w:tcPr>
            <w:tcW w:w="809" w:type="pct"/>
            <w:tcBorders>
              <w:top w:val="nil"/>
              <w:left w:val="nil"/>
              <w:bottom w:val="single" w:sz="8" w:space="0" w:color="auto"/>
              <w:right w:val="nil"/>
            </w:tcBorders>
            <w:shd w:val="clear" w:color="000000" w:fill="FFFFFF"/>
            <w:noWrap/>
            <w:vAlign w:val="center"/>
            <w:hideMark/>
          </w:tcPr>
          <w:p w14:paraId="02F13BF3" w14:textId="77777777" w:rsidR="006C7206" w:rsidRPr="00D618B7" w:rsidRDefault="006C7206" w:rsidP="004B11B7">
            <w:pPr>
              <w:jc w:val="right"/>
              <w:rPr>
                <w:color w:val="000000"/>
              </w:rPr>
            </w:pPr>
            <w:r w:rsidRPr="00D618B7">
              <w:rPr>
                <w:color w:val="000000"/>
              </w:rPr>
              <w:t>Std. Error</w:t>
            </w:r>
          </w:p>
        </w:tc>
      </w:tr>
      <w:tr w:rsidR="00E12F40" w:rsidRPr="00D618B7" w14:paraId="39A9EC85" w14:textId="77777777" w:rsidTr="00E12F40">
        <w:trPr>
          <w:trHeight w:val="326"/>
        </w:trPr>
        <w:tc>
          <w:tcPr>
            <w:tcW w:w="525" w:type="pct"/>
            <w:tcBorders>
              <w:top w:val="nil"/>
              <w:left w:val="nil"/>
              <w:bottom w:val="nil"/>
              <w:right w:val="nil"/>
            </w:tcBorders>
            <w:shd w:val="clear" w:color="000000" w:fill="FFFFFF"/>
            <w:vAlign w:val="center"/>
            <w:hideMark/>
          </w:tcPr>
          <w:p w14:paraId="35DD9BEA" w14:textId="77777777" w:rsidR="00E12F40" w:rsidRPr="00D618B7" w:rsidRDefault="00E12F40" w:rsidP="00E12F40">
            <w:pPr>
              <w:jc w:val="right"/>
              <w:rPr>
                <w:color w:val="000000"/>
              </w:rPr>
            </w:pPr>
            <w:r w:rsidRPr="00D618B7">
              <w:rPr>
                <w:color w:val="000000"/>
              </w:rPr>
              <w:t>-5</w:t>
            </w:r>
          </w:p>
        </w:tc>
        <w:tc>
          <w:tcPr>
            <w:tcW w:w="609" w:type="pct"/>
            <w:tcBorders>
              <w:top w:val="nil"/>
              <w:left w:val="nil"/>
              <w:bottom w:val="nil"/>
              <w:right w:val="nil"/>
            </w:tcBorders>
            <w:shd w:val="clear" w:color="000000" w:fill="FFFFFF"/>
            <w:noWrap/>
            <w:hideMark/>
          </w:tcPr>
          <w:p w14:paraId="11B33129" w14:textId="2D61CCFD" w:rsidR="00E12F40" w:rsidRPr="00D618B7" w:rsidRDefault="00E12F40" w:rsidP="00E12F40">
            <w:pPr>
              <w:jc w:val="right"/>
              <w:rPr>
                <w:color w:val="000000"/>
              </w:rPr>
            </w:pPr>
            <w:r w:rsidRPr="00D618B7">
              <w:t>536.50</w:t>
            </w:r>
          </w:p>
        </w:tc>
        <w:tc>
          <w:tcPr>
            <w:tcW w:w="1009" w:type="pct"/>
            <w:tcBorders>
              <w:top w:val="nil"/>
              <w:left w:val="nil"/>
              <w:bottom w:val="nil"/>
              <w:right w:val="nil"/>
            </w:tcBorders>
            <w:shd w:val="clear" w:color="000000" w:fill="FFFFFF"/>
            <w:noWrap/>
            <w:hideMark/>
          </w:tcPr>
          <w:p w14:paraId="22719A82" w14:textId="0AAD4B92" w:rsidR="00E12F40" w:rsidRPr="00D618B7" w:rsidRDefault="00E12F40" w:rsidP="00E12F40">
            <w:pPr>
              <w:jc w:val="right"/>
              <w:rPr>
                <w:color w:val="000000"/>
              </w:rPr>
            </w:pPr>
            <w:r w:rsidRPr="00D618B7">
              <w:t>215.67</w:t>
            </w:r>
          </w:p>
        </w:tc>
        <w:tc>
          <w:tcPr>
            <w:tcW w:w="568" w:type="pct"/>
            <w:tcBorders>
              <w:top w:val="nil"/>
              <w:left w:val="nil"/>
              <w:bottom w:val="nil"/>
              <w:right w:val="nil"/>
            </w:tcBorders>
            <w:shd w:val="clear" w:color="000000" w:fill="FFFFFF"/>
            <w:noWrap/>
            <w:hideMark/>
          </w:tcPr>
          <w:p w14:paraId="7B4131EF" w14:textId="5EFD8D4C" w:rsidR="00E12F40" w:rsidRPr="00D618B7" w:rsidRDefault="00E12F40" w:rsidP="00E12F40">
            <w:pPr>
              <w:jc w:val="right"/>
              <w:rPr>
                <w:color w:val="000000"/>
              </w:rPr>
            </w:pPr>
            <w:r w:rsidRPr="00D618B7">
              <w:t>-200.18</w:t>
            </w:r>
          </w:p>
        </w:tc>
        <w:tc>
          <w:tcPr>
            <w:tcW w:w="940" w:type="pct"/>
            <w:tcBorders>
              <w:top w:val="nil"/>
              <w:left w:val="nil"/>
              <w:bottom w:val="nil"/>
              <w:right w:val="nil"/>
            </w:tcBorders>
            <w:shd w:val="clear" w:color="000000" w:fill="FFFFFF"/>
            <w:noWrap/>
            <w:hideMark/>
          </w:tcPr>
          <w:p w14:paraId="0F258D52" w14:textId="081DC950" w:rsidR="00E12F40" w:rsidRPr="00D618B7" w:rsidRDefault="00E12F40" w:rsidP="00E12F40">
            <w:pPr>
              <w:jc w:val="right"/>
              <w:rPr>
                <w:color w:val="000000"/>
              </w:rPr>
            </w:pPr>
            <w:r w:rsidRPr="00D618B7">
              <w:t>212.70</w:t>
            </w:r>
          </w:p>
        </w:tc>
        <w:tc>
          <w:tcPr>
            <w:tcW w:w="539" w:type="pct"/>
            <w:tcBorders>
              <w:top w:val="nil"/>
              <w:left w:val="nil"/>
              <w:bottom w:val="nil"/>
              <w:right w:val="nil"/>
            </w:tcBorders>
            <w:shd w:val="clear" w:color="000000" w:fill="FFFFFF"/>
            <w:noWrap/>
            <w:hideMark/>
          </w:tcPr>
          <w:p w14:paraId="2EAB410E" w14:textId="6EDF1960" w:rsidR="00E12F40" w:rsidRPr="00D618B7" w:rsidRDefault="00E12F40" w:rsidP="00E12F40">
            <w:pPr>
              <w:jc w:val="right"/>
              <w:rPr>
                <w:color w:val="000000"/>
              </w:rPr>
            </w:pPr>
            <w:r w:rsidRPr="00D618B7">
              <w:t>94.96</w:t>
            </w:r>
          </w:p>
        </w:tc>
        <w:tc>
          <w:tcPr>
            <w:tcW w:w="809" w:type="pct"/>
            <w:tcBorders>
              <w:top w:val="nil"/>
              <w:left w:val="nil"/>
              <w:bottom w:val="nil"/>
              <w:right w:val="nil"/>
            </w:tcBorders>
            <w:shd w:val="clear" w:color="000000" w:fill="FFFFFF"/>
            <w:noWrap/>
            <w:hideMark/>
          </w:tcPr>
          <w:p w14:paraId="7AEB8DC0" w14:textId="6ADF10D8" w:rsidR="00E12F40" w:rsidRPr="00D618B7" w:rsidRDefault="00E12F40" w:rsidP="00E12F40">
            <w:pPr>
              <w:jc w:val="right"/>
              <w:rPr>
                <w:color w:val="000000"/>
              </w:rPr>
            </w:pPr>
            <w:r w:rsidRPr="00D618B7">
              <w:t>215.49</w:t>
            </w:r>
          </w:p>
        </w:tc>
      </w:tr>
      <w:tr w:rsidR="00E12F40" w:rsidRPr="00D618B7" w14:paraId="1FF7406D" w14:textId="77777777" w:rsidTr="00E12F40">
        <w:trPr>
          <w:trHeight w:val="326"/>
        </w:trPr>
        <w:tc>
          <w:tcPr>
            <w:tcW w:w="525" w:type="pct"/>
            <w:tcBorders>
              <w:top w:val="nil"/>
              <w:left w:val="nil"/>
              <w:bottom w:val="nil"/>
              <w:right w:val="nil"/>
            </w:tcBorders>
            <w:shd w:val="clear" w:color="000000" w:fill="FFFFFF"/>
            <w:vAlign w:val="center"/>
            <w:hideMark/>
          </w:tcPr>
          <w:p w14:paraId="46E38834" w14:textId="77777777" w:rsidR="00E12F40" w:rsidRPr="00D618B7" w:rsidRDefault="00E12F40" w:rsidP="00E12F40">
            <w:pPr>
              <w:jc w:val="right"/>
              <w:rPr>
                <w:color w:val="000000"/>
              </w:rPr>
            </w:pPr>
            <w:r w:rsidRPr="00D618B7">
              <w:rPr>
                <w:color w:val="000000"/>
              </w:rPr>
              <w:t>-4</w:t>
            </w:r>
          </w:p>
        </w:tc>
        <w:tc>
          <w:tcPr>
            <w:tcW w:w="609" w:type="pct"/>
            <w:tcBorders>
              <w:top w:val="nil"/>
              <w:left w:val="nil"/>
              <w:bottom w:val="nil"/>
              <w:right w:val="nil"/>
            </w:tcBorders>
            <w:shd w:val="clear" w:color="000000" w:fill="FFFFFF"/>
            <w:noWrap/>
            <w:hideMark/>
          </w:tcPr>
          <w:p w14:paraId="21ECFD39" w14:textId="3A44FF60" w:rsidR="00E12F40" w:rsidRPr="00D618B7" w:rsidRDefault="00E12F40" w:rsidP="00E12F40">
            <w:pPr>
              <w:jc w:val="right"/>
              <w:rPr>
                <w:color w:val="000000"/>
              </w:rPr>
            </w:pPr>
            <w:r w:rsidRPr="00D618B7">
              <w:t>804.93</w:t>
            </w:r>
          </w:p>
        </w:tc>
        <w:tc>
          <w:tcPr>
            <w:tcW w:w="1009" w:type="pct"/>
            <w:tcBorders>
              <w:top w:val="nil"/>
              <w:left w:val="nil"/>
              <w:bottom w:val="nil"/>
              <w:right w:val="nil"/>
            </w:tcBorders>
            <w:shd w:val="clear" w:color="000000" w:fill="FFFFFF"/>
            <w:noWrap/>
            <w:hideMark/>
          </w:tcPr>
          <w:p w14:paraId="1BBB2E61" w14:textId="7055E1CC" w:rsidR="00E12F40" w:rsidRPr="00D618B7" w:rsidRDefault="00E12F40" w:rsidP="00E12F40">
            <w:pPr>
              <w:jc w:val="right"/>
              <w:rPr>
                <w:color w:val="000000"/>
              </w:rPr>
            </w:pPr>
            <w:r w:rsidRPr="00D618B7">
              <w:t>215.09</w:t>
            </w:r>
          </w:p>
        </w:tc>
        <w:tc>
          <w:tcPr>
            <w:tcW w:w="568" w:type="pct"/>
            <w:tcBorders>
              <w:top w:val="nil"/>
              <w:left w:val="nil"/>
              <w:bottom w:val="nil"/>
              <w:right w:val="nil"/>
            </w:tcBorders>
            <w:shd w:val="clear" w:color="000000" w:fill="FFFFFF"/>
            <w:noWrap/>
            <w:hideMark/>
          </w:tcPr>
          <w:p w14:paraId="76EEFB54" w14:textId="68690129" w:rsidR="00E12F40" w:rsidRPr="00D618B7" w:rsidRDefault="00E12F40" w:rsidP="00E12F40">
            <w:pPr>
              <w:jc w:val="right"/>
              <w:rPr>
                <w:color w:val="000000"/>
              </w:rPr>
            </w:pPr>
            <w:r w:rsidRPr="00D618B7">
              <w:t>218.79</w:t>
            </w:r>
          </w:p>
        </w:tc>
        <w:tc>
          <w:tcPr>
            <w:tcW w:w="940" w:type="pct"/>
            <w:tcBorders>
              <w:top w:val="nil"/>
              <w:left w:val="nil"/>
              <w:bottom w:val="nil"/>
              <w:right w:val="nil"/>
            </w:tcBorders>
            <w:shd w:val="clear" w:color="000000" w:fill="FFFFFF"/>
            <w:noWrap/>
            <w:hideMark/>
          </w:tcPr>
          <w:p w14:paraId="492CB948" w14:textId="027926E5" w:rsidR="00E12F40" w:rsidRPr="00D618B7" w:rsidRDefault="00E12F40" w:rsidP="00E12F40">
            <w:pPr>
              <w:jc w:val="right"/>
              <w:rPr>
                <w:color w:val="000000"/>
              </w:rPr>
            </w:pPr>
            <w:r w:rsidRPr="00D618B7">
              <w:t>212.70</w:t>
            </w:r>
          </w:p>
        </w:tc>
        <w:tc>
          <w:tcPr>
            <w:tcW w:w="539" w:type="pct"/>
            <w:tcBorders>
              <w:top w:val="nil"/>
              <w:left w:val="nil"/>
              <w:bottom w:val="nil"/>
              <w:right w:val="nil"/>
            </w:tcBorders>
            <w:shd w:val="clear" w:color="000000" w:fill="FFFFFF"/>
            <w:noWrap/>
            <w:hideMark/>
          </w:tcPr>
          <w:p w14:paraId="53CCCB0F" w14:textId="31A69FCE" w:rsidR="00E12F40" w:rsidRPr="00D618B7" w:rsidRDefault="00E12F40" w:rsidP="00E12F40">
            <w:pPr>
              <w:jc w:val="right"/>
              <w:rPr>
                <w:color w:val="000000"/>
              </w:rPr>
            </w:pPr>
            <w:r w:rsidRPr="00D618B7">
              <w:t>222.72</w:t>
            </w:r>
          </w:p>
        </w:tc>
        <w:tc>
          <w:tcPr>
            <w:tcW w:w="809" w:type="pct"/>
            <w:tcBorders>
              <w:top w:val="nil"/>
              <w:left w:val="nil"/>
              <w:bottom w:val="nil"/>
              <w:right w:val="nil"/>
            </w:tcBorders>
            <w:shd w:val="clear" w:color="000000" w:fill="FFFFFF"/>
            <w:noWrap/>
            <w:hideMark/>
          </w:tcPr>
          <w:p w14:paraId="7296D85C" w14:textId="1715B2F4" w:rsidR="00E12F40" w:rsidRPr="00D618B7" w:rsidRDefault="00E12F40" w:rsidP="00E12F40">
            <w:pPr>
              <w:jc w:val="right"/>
              <w:rPr>
                <w:color w:val="000000"/>
              </w:rPr>
            </w:pPr>
            <w:r w:rsidRPr="00D618B7">
              <w:t>214.86</w:t>
            </w:r>
          </w:p>
        </w:tc>
      </w:tr>
      <w:tr w:rsidR="00E12F40" w:rsidRPr="00D618B7" w14:paraId="3530806D" w14:textId="77777777" w:rsidTr="00E12F40">
        <w:trPr>
          <w:trHeight w:val="326"/>
        </w:trPr>
        <w:tc>
          <w:tcPr>
            <w:tcW w:w="525" w:type="pct"/>
            <w:tcBorders>
              <w:top w:val="nil"/>
              <w:left w:val="nil"/>
              <w:bottom w:val="nil"/>
              <w:right w:val="nil"/>
            </w:tcBorders>
            <w:shd w:val="clear" w:color="000000" w:fill="FFFFFF"/>
            <w:vAlign w:val="center"/>
            <w:hideMark/>
          </w:tcPr>
          <w:p w14:paraId="6B6F6AF0" w14:textId="77777777" w:rsidR="00E12F40" w:rsidRPr="00D618B7" w:rsidRDefault="00E12F40" w:rsidP="00E12F40">
            <w:pPr>
              <w:jc w:val="right"/>
              <w:rPr>
                <w:color w:val="000000"/>
              </w:rPr>
            </w:pPr>
            <w:r w:rsidRPr="00D618B7">
              <w:rPr>
                <w:color w:val="000000"/>
              </w:rPr>
              <w:t>-3</w:t>
            </w:r>
          </w:p>
        </w:tc>
        <w:tc>
          <w:tcPr>
            <w:tcW w:w="609" w:type="pct"/>
            <w:tcBorders>
              <w:top w:val="nil"/>
              <w:left w:val="nil"/>
              <w:bottom w:val="nil"/>
              <w:right w:val="nil"/>
            </w:tcBorders>
            <w:shd w:val="clear" w:color="000000" w:fill="FFFFFF"/>
            <w:noWrap/>
            <w:hideMark/>
          </w:tcPr>
          <w:p w14:paraId="2C66751F" w14:textId="4161A577" w:rsidR="00E12F40" w:rsidRPr="00D618B7" w:rsidRDefault="00E12F40" w:rsidP="00E12F40">
            <w:pPr>
              <w:jc w:val="right"/>
              <w:rPr>
                <w:color w:val="000000"/>
              </w:rPr>
            </w:pPr>
            <w:r w:rsidRPr="00D618B7">
              <w:t>210.83</w:t>
            </w:r>
          </w:p>
        </w:tc>
        <w:tc>
          <w:tcPr>
            <w:tcW w:w="1009" w:type="pct"/>
            <w:tcBorders>
              <w:top w:val="nil"/>
              <w:left w:val="nil"/>
              <w:bottom w:val="nil"/>
              <w:right w:val="nil"/>
            </w:tcBorders>
            <w:shd w:val="clear" w:color="000000" w:fill="FFFFFF"/>
            <w:noWrap/>
            <w:hideMark/>
          </w:tcPr>
          <w:p w14:paraId="71A7EA85" w14:textId="07B98619" w:rsidR="00E12F40" w:rsidRPr="00D618B7" w:rsidRDefault="00E12F40" w:rsidP="00E12F40">
            <w:pPr>
              <w:jc w:val="right"/>
              <w:rPr>
                <w:color w:val="000000"/>
              </w:rPr>
            </w:pPr>
            <w:r w:rsidRPr="00D618B7">
              <w:t>263.19</w:t>
            </w:r>
          </w:p>
        </w:tc>
        <w:tc>
          <w:tcPr>
            <w:tcW w:w="568" w:type="pct"/>
            <w:tcBorders>
              <w:top w:val="nil"/>
              <w:left w:val="nil"/>
              <w:bottom w:val="nil"/>
              <w:right w:val="nil"/>
            </w:tcBorders>
            <w:shd w:val="clear" w:color="000000" w:fill="FFFFFF"/>
            <w:noWrap/>
            <w:hideMark/>
          </w:tcPr>
          <w:p w14:paraId="51DCDC5D" w14:textId="646356D3" w:rsidR="00E12F40" w:rsidRPr="00D618B7" w:rsidRDefault="00E12F40" w:rsidP="00E12F40">
            <w:pPr>
              <w:jc w:val="right"/>
              <w:rPr>
                <w:color w:val="000000"/>
              </w:rPr>
            </w:pPr>
            <w:r w:rsidRPr="00D618B7">
              <w:t>-228.31</w:t>
            </w:r>
          </w:p>
        </w:tc>
        <w:tc>
          <w:tcPr>
            <w:tcW w:w="940" w:type="pct"/>
            <w:tcBorders>
              <w:top w:val="nil"/>
              <w:left w:val="nil"/>
              <w:bottom w:val="nil"/>
              <w:right w:val="nil"/>
            </w:tcBorders>
            <w:shd w:val="clear" w:color="000000" w:fill="FFFFFF"/>
            <w:noWrap/>
            <w:hideMark/>
          </w:tcPr>
          <w:p w14:paraId="20FEB2EE" w14:textId="6A87A3EC" w:rsidR="00E12F40" w:rsidRPr="00D618B7" w:rsidRDefault="00E12F40" w:rsidP="00E12F40">
            <w:pPr>
              <w:jc w:val="right"/>
              <w:rPr>
                <w:color w:val="000000"/>
              </w:rPr>
            </w:pPr>
            <w:r w:rsidRPr="00D618B7">
              <w:t>259.44</w:t>
            </w:r>
          </w:p>
        </w:tc>
        <w:tc>
          <w:tcPr>
            <w:tcW w:w="539" w:type="pct"/>
            <w:tcBorders>
              <w:top w:val="nil"/>
              <w:left w:val="nil"/>
              <w:bottom w:val="nil"/>
              <w:right w:val="nil"/>
            </w:tcBorders>
            <w:shd w:val="clear" w:color="000000" w:fill="FFFFFF"/>
            <w:noWrap/>
            <w:hideMark/>
          </w:tcPr>
          <w:p w14:paraId="66231173" w14:textId="09A98370" w:rsidR="00E12F40" w:rsidRPr="00D618B7" w:rsidRDefault="00E12F40" w:rsidP="00E12F40">
            <w:pPr>
              <w:jc w:val="right"/>
              <w:rPr>
                <w:color w:val="000000"/>
              </w:rPr>
            </w:pPr>
            <w:r w:rsidRPr="00D618B7">
              <w:t>-90.27</w:t>
            </w:r>
          </w:p>
        </w:tc>
        <w:tc>
          <w:tcPr>
            <w:tcW w:w="809" w:type="pct"/>
            <w:tcBorders>
              <w:top w:val="nil"/>
              <w:left w:val="nil"/>
              <w:bottom w:val="nil"/>
              <w:right w:val="nil"/>
            </w:tcBorders>
            <w:shd w:val="clear" w:color="000000" w:fill="FFFFFF"/>
            <w:noWrap/>
            <w:hideMark/>
          </w:tcPr>
          <w:p w14:paraId="6A61636F" w14:textId="4FD76EB8" w:rsidR="00E12F40" w:rsidRPr="00D618B7" w:rsidRDefault="00E12F40" w:rsidP="00E12F40">
            <w:pPr>
              <w:jc w:val="right"/>
              <w:rPr>
                <w:color w:val="000000"/>
              </w:rPr>
            </w:pPr>
            <w:r w:rsidRPr="00D618B7">
              <w:t>262.57</w:t>
            </w:r>
          </w:p>
        </w:tc>
      </w:tr>
      <w:tr w:rsidR="00E12F40" w:rsidRPr="00D618B7" w14:paraId="3A83840E" w14:textId="77777777" w:rsidTr="00E12F40">
        <w:trPr>
          <w:trHeight w:val="326"/>
        </w:trPr>
        <w:tc>
          <w:tcPr>
            <w:tcW w:w="525" w:type="pct"/>
            <w:tcBorders>
              <w:top w:val="nil"/>
              <w:left w:val="nil"/>
              <w:bottom w:val="nil"/>
              <w:right w:val="nil"/>
            </w:tcBorders>
            <w:shd w:val="clear" w:color="000000" w:fill="FFFFFF"/>
            <w:vAlign w:val="center"/>
            <w:hideMark/>
          </w:tcPr>
          <w:p w14:paraId="20BBAD0B" w14:textId="77777777" w:rsidR="00E12F40" w:rsidRPr="00D618B7" w:rsidRDefault="00E12F40" w:rsidP="00E12F40">
            <w:pPr>
              <w:jc w:val="right"/>
              <w:rPr>
                <w:color w:val="000000"/>
              </w:rPr>
            </w:pPr>
            <w:r w:rsidRPr="00D618B7">
              <w:rPr>
                <w:color w:val="000000"/>
              </w:rPr>
              <w:t>-2</w:t>
            </w:r>
          </w:p>
        </w:tc>
        <w:tc>
          <w:tcPr>
            <w:tcW w:w="609" w:type="pct"/>
            <w:tcBorders>
              <w:top w:val="nil"/>
              <w:left w:val="nil"/>
              <w:bottom w:val="nil"/>
              <w:right w:val="nil"/>
            </w:tcBorders>
            <w:shd w:val="clear" w:color="000000" w:fill="FFFFFF"/>
            <w:noWrap/>
            <w:hideMark/>
          </w:tcPr>
          <w:p w14:paraId="5AEA317F" w14:textId="495BCCAD" w:rsidR="00E12F40" w:rsidRPr="00D618B7" w:rsidRDefault="00E12F40" w:rsidP="00E12F40">
            <w:pPr>
              <w:jc w:val="right"/>
              <w:rPr>
                <w:color w:val="000000"/>
              </w:rPr>
            </w:pPr>
            <w:r w:rsidRPr="00D618B7">
              <w:t>268.54</w:t>
            </w:r>
          </w:p>
        </w:tc>
        <w:tc>
          <w:tcPr>
            <w:tcW w:w="1009" w:type="pct"/>
            <w:tcBorders>
              <w:top w:val="nil"/>
              <w:left w:val="nil"/>
              <w:bottom w:val="nil"/>
              <w:right w:val="nil"/>
            </w:tcBorders>
            <w:shd w:val="clear" w:color="000000" w:fill="FFFFFF"/>
            <w:noWrap/>
            <w:hideMark/>
          </w:tcPr>
          <w:p w14:paraId="6579BF4F" w14:textId="49E3678B" w:rsidR="00E12F40" w:rsidRPr="00D618B7" w:rsidRDefault="00E12F40" w:rsidP="00E12F40">
            <w:pPr>
              <w:jc w:val="right"/>
              <w:rPr>
                <w:color w:val="000000"/>
              </w:rPr>
            </w:pPr>
            <w:r w:rsidRPr="00D618B7">
              <w:t>215.26</w:t>
            </w:r>
          </w:p>
        </w:tc>
        <w:tc>
          <w:tcPr>
            <w:tcW w:w="568" w:type="pct"/>
            <w:tcBorders>
              <w:top w:val="nil"/>
              <w:left w:val="nil"/>
              <w:bottom w:val="nil"/>
              <w:right w:val="nil"/>
            </w:tcBorders>
            <w:shd w:val="clear" w:color="000000" w:fill="FFFFFF"/>
            <w:noWrap/>
            <w:hideMark/>
          </w:tcPr>
          <w:p w14:paraId="0AAD224D" w14:textId="36DA7D3E" w:rsidR="00E12F40" w:rsidRPr="00D618B7" w:rsidRDefault="00E12F40" w:rsidP="00E12F40">
            <w:pPr>
              <w:jc w:val="right"/>
              <w:rPr>
                <w:color w:val="000000"/>
              </w:rPr>
            </w:pPr>
            <w:r w:rsidRPr="00D618B7">
              <w:t>178.57</w:t>
            </w:r>
          </w:p>
        </w:tc>
        <w:tc>
          <w:tcPr>
            <w:tcW w:w="940" w:type="pct"/>
            <w:tcBorders>
              <w:top w:val="nil"/>
              <w:left w:val="nil"/>
              <w:bottom w:val="nil"/>
              <w:right w:val="nil"/>
            </w:tcBorders>
            <w:shd w:val="clear" w:color="000000" w:fill="FFFFFF"/>
            <w:noWrap/>
            <w:hideMark/>
          </w:tcPr>
          <w:p w14:paraId="2F09AD54" w14:textId="5B399E26" w:rsidR="00E12F40" w:rsidRPr="00D618B7" w:rsidRDefault="00E12F40" w:rsidP="00E12F40">
            <w:pPr>
              <w:jc w:val="right"/>
              <w:rPr>
                <w:color w:val="000000"/>
              </w:rPr>
            </w:pPr>
            <w:r w:rsidRPr="00D618B7">
              <w:t>212.46</w:t>
            </w:r>
          </w:p>
        </w:tc>
        <w:tc>
          <w:tcPr>
            <w:tcW w:w="539" w:type="pct"/>
            <w:tcBorders>
              <w:top w:val="nil"/>
              <w:left w:val="nil"/>
              <w:bottom w:val="nil"/>
              <w:right w:val="nil"/>
            </w:tcBorders>
            <w:shd w:val="clear" w:color="000000" w:fill="FFFFFF"/>
            <w:noWrap/>
            <w:hideMark/>
          </w:tcPr>
          <w:p w14:paraId="214B42B0" w14:textId="4115EE32" w:rsidR="00E12F40" w:rsidRPr="00D618B7" w:rsidRDefault="00E12F40" w:rsidP="00E12F40">
            <w:pPr>
              <w:jc w:val="right"/>
              <w:rPr>
                <w:color w:val="000000"/>
              </w:rPr>
            </w:pPr>
            <w:r w:rsidRPr="00D618B7">
              <w:t>23.05</w:t>
            </w:r>
          </w:p>
        </w:tc>
        <w:tc>
          <w:tcPr>
            <w:tcW w:w="809" w:type="pct"/>
            <w:tcBorders>
              <w:top w:val="nil"/>
              <w:left w:val="nil"/>
              <w:bottom w:val="nil"/>
              <w:right w:val="nil"/>
            </w:tcBorders>
            <w:shd w:val="clear" w:color="000000" w:fill="FFFFFF"/>
            <w:noWrap/>
            <w:hideMark/>
          </w:tcPr>
          <w:p w14:paraId="5F4A253D" w14:textId="52049E54" w:rsidR="00E12F40" w:rsidRPr="00D618B7" w:rsidRDefault="00E12F40" w:rsidP="00E12F40">
            <w:pPr>
              <w:jc w:val="right"/>
              <w:rPr>
                <w:color w:val="000000"/>
              </w:rPr>
            </w:pPr>
            <w:r w:rsidRPr="00D618B7">
              <w:t>214.52</w:t>
            </w:r>
          </w:p>
        </w:tc>
      </w:tr>
      <w:tr w:rsidR="00E12F40" w:rsidRPr="00D618B7" w14:paraId="639D1A73" w14:textId="77777777" w:rsidTr="00E12F40">
        <w:trPr>
          <w:trHeight w:val="326"/>
        </w:trPr>
        <w:tc>
          <w:tcPr>
            <w:tcW w:w="525" w:type="pct"/>
            <w:tcBorders>
              <w:top w:val="nil"/>
              <w:left w:val="nil"/>
              <w:bottom w:val="nil"/>
              <w:right w:val="nil"/>
            </w:tcBorders>
            <w:shd w:val="clear" w:color="000000" w:fill="FFFFFF"/>
            <w:vAlign w:val="center"/>
            <w:hideMark/>
          </w:tcPr>
          <w:p w14:paraId="626DE054" w14:textId="77777777" w:rsidR="00E12F40" w:rsidRPr="00D618B7" w:rsidRDefault="00E12F40" w:rsidP="00E12F40">
            <w:pPr>
              <w:jc w:val="right"/>
              <w:rPr>
                <w:color w:val="000000"/>
              </w:rPr>
            </w:pPr>
            <w:r w:rsidRPr="00D618B7">
              <w:rPr>
                <w:color w:val="000000"/>
              </w:rPr>
              <w:t>-1</w:t>
            </w:r>
          </w:p>
        </w:tc>
        <w:tc>
          <w:tcPr>
            <w:tcW w:w="609" w:type="pct"/>
            <w:tcBorders>
              <w:top w:val="nil"/>
              <w:left w:val="nil"/>
              <w:bottom w:val="nil"/>
              <w:right w:val="nil"/>
            </w:tcBorders>
            <w:shd w:val="clear" w:color="000000" w:fill="FFFFFF"/>
            <w:noWrap/>
            <w:hideMark/>
          </w:tcPr>
          <w:p w14:paraId="2C43EF27" w14:textId="6D409B88" w:rsidR="00E12F40" w:rsidRPr="00D618B7" w:rsidRDefault="00E12F40" w:rsidP="00E12F40">
            <w:pPr>
              <w:jc w:val="right"/>
              <w:rPr>
                <w:color w:val="000000"/>
              </w:rPr>
            </w:pPr>
            <w:r w:rsidRPr="00D618B7">
              <w:t>652.70</w:t>
            </w:r>
          </w:p>
        </w:tc>
        <w:tc>
          <w:tcPr>
            <w:tcW w:w="1009" w:type="pct"/>
            <w:tcBorders>
              <w:top w:val="nil"/>
              <w:left w:val="nil"/>
              <w:bottom w:val="nil"/>
              <w:right w:val="nil"/>
            </w:tcBorders>
            <w:shd w:val="clear" w:color="000000" w:fill="FFFFFF"/>
            <w:noWrap/>
            <w:hideMark/>
          </w:tcPr>
          <w:p w14:paraId="453A6F94" w14:textId="09C4C325" w:rsidR="00E12F40" w:rsidRPr="00D618B7" w:rsidRDefault="00E12F40" w:rsidP="00E12F40">
            <w:pPr>
              <w:jc w:val="right"/>
              <w:rPr>
                <w:color w:val="000000"/>
              </w:rPr>
            </w:pPr>
            <w:r w:rsidRPr="00D618B7">
              <w:t>234.50</w:t>
            </w:r>
          </w:p>
        </w:tc>
        <w:tc>
          <w:tcPr>
            <w:tcW w:w="568" w:type="pct"/>
            <w:tcBorders>
              <w:top w:val="nil"/>
              <w:left w:val="nil"/>
              <w:bottom w:val="nil"/>
              <w:right w:val="nil"/>
            </w:tcBorders>
            <w:shd w:val="clear" w:color="000000" w:fill="FFFFFF"/>
            <w:noWrap/>
            <w:hideMark/>
          </w:tcPr>
          <w:p w14:paraId="6DD75462" w14:textId="11D4D16B" w:rsidR="00E12F40" w:rsidRPr="00D618B7" w:rsidRDefault="00E12F40" w:rsidP="00E12F40">
            <w:pPr>
              <w:jc w:val="right"/>
              <w:rPr>
                <w:color w:val="000000"/>
              </w:rPr>
            </w:pPr>
            <w:r w:rsidRPr="00D618B7">
              <w:t>28.11</w:t>
            </w:r>
          </w:p>
        </w:tc>
        <w:tc>
          <w:tcPr>
            <w:tcW w:w="940" w:type="pct"/>
            <w:tcBorders>
              <w:top w:val="nil"/>
              <w:left w:val="nil"/>
              <w:bottom w:val="nil"/>
              <w:right w:val="nil"/>
            </w:tcBorders>
            <w:shd w:val="clear" w:color="000000" w:fill="FFFFFF"/>
            <w:noWrap/>
            <w:hideMark/>
          </w:tcPr>
          <w:p w14:paraId="78CD28B6" w14:textId="467B65A2" w:rsidR="00E12F40" w:rsidRPr="00D618B7" w:rsidRDefault="00E12F40" w:rsidP="00E12F40">
            <w:pPr>
              <w:jc w:val="right"/>
              <w:rPr>
                <w:color w:val="000000"/>
              </w:rPr>
            </w:pPr>
            <w:r w:rsidRPr="00D618B7">
              <w:t>231.82</w:t>
            </w:r>
          </w:p>
        </w:tc>
        <w:tc>
          <w:tcPr>
            <w:tcW w:w="539" w:type="pct"/>
            <w:tcBorders>
              <w:top w:val="nil"/>
              <w:left w:val="nil"/>
              <w:bottom w:val="nil"/>
              <w:right w:val="nil"/>
            </w:tcBorders>
            <w:shd w:val="clear" w:color="000000" w:fill="FFFFFF"/>
            <w:noWrap/>
            <w:hideMark/>
          </w:tcPr>
          <w:p w14:paraId="719FCAB8" w14:textId="4510EDE5" w:rsidR="00E12F40" w:rsidRPr="00D618B7" w:rsidRDefault="00E12F40" w:rsidP="00E12F40">
            <w:pPr>
              <w:jc w:val="right"/>
              <w:rPr>
                <w:color w:val="000000"/>
              </w:rPr>
            </w:pPr>
            <w:r w:rsidRPr="00D618B7">
              <w:t>18.33</w:t>
            </w:r>
          </w:p>
        </w:tc>
        <w:tc>
          <w:tcPr>
            <w:tcW w:w="809" w:type="pct"/>
            <w:tcBorders>
              <w:top w:val="nil"/>
              <w:left w:val="nil"/>
              <w:bottom w:val="nil"/>
              <w:right w:val="nil"/>
            </w:tcBorders>
            <w:shd w:val="clear" w:color="000000" w:fill="FFFFFF"/>
            <w:noWrap/>
            <w:hideMark/>
          </w:tcPr>
          <w:p w14:paraId="1A30F7BF" w14:textId="0A22FE12" w:rsidR="00E12F40" w:rsidRPr="00D618B7" w:rsidRDefault="00E12F40" w:rsidP="00E12F40">
            <w:pPr>
              <w:jc w:val="right"/>
              <w:rPr>
                <w:color w:val="000000"/>
              </w:rPr>
            </w:pPr>
            <w:r w:rsidRPr="00D618B7">
              <w:t>233.34</w:t>
            </w:r>
          </w:p>
        </w:tc>
      </w:tr>
      <w:tr w:rsidR="00E12F40" w:rsidRPr="00D618B7" w14:paraId="2CA0D265" w14:textId="77777777" w:rsidTr="00E12F40">
        <w:trPr>
          <w:trHeight w:val="326"/>
        </w:trPr>
        <w:tc>
          <w:tcPr>
            <w:tcW w:w="525" w:type="pct"/>
            <w:tcBorders>
              <w:top w:val="nil"/>
              <w:left w:val="nil"/>
              <w:bottom w:val="nil"/>
              <w:right w:val="nil"/>
            </w:tcBorders>
            <w:shd w:val="clear" w:color="000000" w:fill="FFFFFF"/>
            <w:vAlign w:val="center"/>
            <w:hideMark/>
          </w:tcPr>
          <w:p w14:paraId="1D0C933C" w14:textId="77777777" w:rsidR="00E12F40" w:rsidRPr="00D618B7" w:rsidRDefault="00E12F40" w:rsidP="00E12F40">
            <w:pPr>
              <w:jc w:val="right"/>
              <w:rPr>
                <w:color w:val="000000"/>
              </w:rPr>
            </w:pPr>
            <w:r w:rsidRPr="00D618B7">
              <w:rPr>
                <w:color w:val="000000"/>
              </w:rPr>
              <w:t>0</w:t>
            </w:r>
          </w:p>
        </w:tc>
        <w:tc>
          <w:tcPr>
            <w:tcW w:w="609" w:type="pct"/>
            <w:tcBorders>
              <w:top w:val="nil"/>
              <w:left w:val="nil"/>
              <w:bottom w:val="nil"/>
              <w:right w:val="nil"/>
            </w:tcBorders>
            <w:shd w:val="clear" w:color="000000" w:fill="FFFFFF"/>
            <w:noWrap/>
            <w:hideMark/>
          </w:tcPr>
          <w:p w14:paraId="06791607" w14:textId="05980954" w:rsidR="00E12F40" w:rsidRPr="00D618B7" w:rsidRDefault="00E12F40" w:rsidP="00E12F40">
            <w:pPr>
              <w:jc w:val="right"/>
              <w:rPr>
                <w:color w:val="000000"/>
              </w:rPr>
            </w:pPr>
            <w:r w:rsidRPr="00D618B7">
              <w:t>191.17</w:t>
            </w:r>
          </w:p>
        </w:tc>
        <w:tc>
          <w:tcPr>
            <w:tcW w:w="1009" w:type="pct"/>
            <w:tcBorders>
              <w:top w:val="nil"/>
              <w:left w:val="nil"/>
              <w:bottom w:val="nil"/>
              <w:right w:val="nil"/>
            </w:tcBorders>
            <w:shd w:val="clear" w:color="000000" w:fill="FFFFFF"/>
            <w:noWrap/>
            <w:hideMark/>
          </w:tcPr>
          <w:p w14:paraId="6E4ECAFB" w14:textId="0D2E441B" w:rsidR="00E12F40" w:rsidRPr="00D618B7" w:rsidRDefault="00E12F40" w:rsidP="00E12F40">
            <w:pPr>
              <w:jc w:val="right"/>
              <w:rPr>
                <w:color w:val="000000"/>
              </w:rPr>
            </w:pPr>
            <w:r w:rsidRPr="00D618B7">
              <w:t>261.41</w:t>
            </w:r>
          </w:p>
        </w:tc>
        <w:tc>
          <w:tcPr>
            <w:tcW w:w="568" w:type="pct"/>
            <w:tcBorders>
              <w:top w:val="nil"/>
              <w:left w:val="nil"/>
              <w:bottom w:val="nil"/>
              <w:right w:val="nil"/>
            </w:tcBorders>
            <w:shd w:val="clear" w:color="000000" w:fill="FFFFFF"/>
            <w:noWrap/>
            <w:hideMark/>
          </w:tcPr>
          <w:p w14:paraId="5FCDE11D" w14:textId="2A8D0381" w:rsidR="00E12F40" w:rsidRPr="00D618B7" w:rsidRDefault="00E12F40" w:rsidP="00E12F40">
            <w:pPr>
              <w:jc w:val="right"/>
              <w:rPr>
                <w:color w:val="000000"/>
              </w:rPr>
            </w:pPr>
            <w:r w:rsidRPr="00D618B7">
              <w:t>-27.71</w:t>
            </w:r>
          </w:p>
        </w:tc>
        <w:tc>
          <w:tcPr>
            <w:tcW w:w="940" w:type="pct"/>
            <w:tcBorders>
              <w:top w:val="nil"/>
              <w:left w:val="nil"/>
              <w:bottom w:val="nil"/>
              <w:right w:val="nil"/>
            </w:tcBorders>
            <w:shd w:val="clear" w:color="000000" w:fill="FFFFFF"/>
            <w:noWrap/>
            <w:hideMark/>
          </w:tcPr>
          <w:p w14:paraId="7841FEF5" w14:textId="795C4CF2" w:rsidR="00E12F40" w:rsidRPr="00D618B7" w:rsidRDefault="00E12F40" w:rsidP="00E12F40">
            <w:pPr>
              <w:jc w:val="right"/>
              <w:rPr>
                <w:color w:val="000000"/>
              </w:rPr>
            </w:pPr>
            <w:r w:rsidRPr="00D618B7">
              <w:t>258.72</w:t>
            </w:r>
          </w:p>
        </w:tc>
        <w:tc>
          <w:tcPr>
            <w:tcW w:w="539" w:type="pct"/>
            <w:tcBorders>
              <w:top w:val="nil"/>
              <w:left w:val="nil"/>
              <w:bottom w:val="nil"/>
              <w:right w:val="nil"/>
            </w:tcBorders>
            <w:shd w:val="clear" w:color="000000" w:fill="FFFFFF"/>
            <w:noWrap/>
            <w:hideMark/>
          </w:tcPr>
          <w:p w14:paraId="16DEECA6" w14:textId="6B4CCB8B" w:rsidR="00E12F40" w:rsidRPr="00D618B7" w:rsidRDefault="00E12F40" w:rsidP="00E12F40">
            <w:pPr>
              <w:jc w:val="right"/>
              <w:rPr>
                <w:color w:val="000000"/>
              </w:rPr>
            </w:pPr>
            <w:r w:rsidRPr="00D618B7">
              <w:t>-7.66</w:t>
            </w:r>
          </w:p>
        </w:tc>
        <w:tc>
          <w:tcPr>
            <w:tcW w:w="809" w:type="pct"/>
            <w:tcBorders>
              <w:top w:val="nil"/>
              <w:left w:val="nil"/>
              <w:bottom w:val="nil"/>
              <w:right w:val="nil"/>
            </w:tcBorders>
            <w:shd w:val="clear" w:color="000000" w:fill="FFFFFF"/>
            <w:noWrap/>
            <w:hideMark/>
          </w:tcPr>
          <w:p w14:paraId="012968A9" w14:textId="5F484C0D" w:rsidR="00E12F40" w:rsidRPr="00D618B7" w:rsidRDefault="00E12F40" w:rsidP="00E12F40">
            <w:pPr>
              <w:jc w:val="right"/>
              <w:rPr>
                <w:color w:val="000000"/>
              </w:rPr>
            </w:pPr>
            <w:r w:rsidRPr="00D618B7">
              <w:t>259.58</w:t>
            </w:r>
          </w:p>
        </w:tc>
      </w:tr>
      <w:tr w:rsidR="00E12F40" w:rsidRPr="00D618B7" w14:paraId="1E9946EE" w14:textId="77777777" w:rsidTr="00E12F40">
        <w:trPr>
          <w:trHeight w:val="326"/>
        </w:trPr>
        <w:tc>
          <w:tcPr>
            <w:tcW w:w="525" w:type="pct"/>
            <w:tcBorders>
              <w:top w:val="nil"/>
              <w:left w:val="nil"/>
              <w:bottom w:val="nil"/>
              <w:right w:val="nil"/>
            </w:tcBorders>
            <w:shd w:val="clear" w:color="000000" w:fill="FFFFFF"/>
            <w:vAlign w:val="center"/>
            <w:hideMark/>
          </w:tcPr>
          <w:p w14:paraId="30B42C9C" w14:textId="77777777" w:rsidR="00E12F40" w:rsidRPr="00D618B7" w:rsidRDefault="00E12F40" w:rsidP="00E12F40">
            <w:pPr>
              <w:jc w:val="right"/>
              <w:rPr>
                <w:color w:val="000000"/>
              </w:rPr>
            </w:pPr>
            <w:r w:rsidRPr="00D618B7">
              <w:rPr>
                <w:color w:val="000000"/>
              </w:rPr>
              <w:t>1</w:t>
            </w:r>
          </w:p>
        </w:tc>
        <w:tc>
          <w:tcPr>
            <w:tcW w:w="609" w:type="pct"/>
            <w:tcBorders>
              <w:top w:val="nil"/>
              <w:left w:val="nil"/>
              <w:bottom w:val="nil"/>
              <w:right w:val="nil"/>
            </w:tcBorders>
            <w:shd w:val="clear" w:color="000000" w:fill="FFFFFF"/>
            <w:noWrap/>
            <w:hideMark/>
          </w:tcPr>
          <w:p w14:paraId="0B201954" w14:textId="063FA743" w:rsidR="00E12F40" w:rsidRPr="00D618B7" w:rsidRDefault="00E12F40" w:rsidP="00E12F40">
            <w:pPr>
              <w:jc w:val="right"/>
              <w:rPr>
                <w:color w:val="000000"/>
              </w:rPr>
            </w:pPr>
            <w:r w:rsidRPr="00D618B7">
              <w:t>327.33</w:t>
            </w:r>
          </w:p>
        </w:tc>
        <w:tc>
          <w:tcPr>
            <w:tcW w:w="1009" w:type="pct"/>
            <w:tcBorders>
              <w:top w:val="nil"/>
              <w:left w:val="nil"/>
              <w:bottom w:val="nil"/>
              <w:right w:val="nil"/>
            </w:tcBorders>
            <w:shd w:val="clear" w:color="000000" w:fill="FFFFFF"/>
            <w:noWrap/>
            <w:hideMark/>
          </w:tcPr>
          <w:p w14:paraId="697873A2" w14:textId="5417D0B2" w:rsidR="00E12F40" w:rsidRPr="00D618B7" w:rsidRDefault="00E12F40" w:rsidP="00E12F40">
            <w:pPr>
              <w:jc w:val="right"/>
              <w:rPr>
                <w:color w:val="000000"/>
              </w:rPr>
            </w:pPr>
            <w:r w:rsidRPr="00D618B7">
              <w:t>257.81</w:t>
            </w:r>
          </w:p>
        </w:tc>
        <w:tc>
          <w:tcPr>
            <w:tcW w:w="568" w:type="pct"/>
            <w:tcBorders>
              <w:top w:val="nil"/>
              <w:left w:val="nil"/>
              <w:bottom w:val="nil"/>
              <w:right w:val="nil"/>
            </w:tcBorders>
            <w:shd w:val="clear" w:color="000000" w:fill="FFFFFF"/>
            <w:noWrap/>
            <w:hideMark/>
          </w:tcPr>
          <w:p w14:paraId="4CF8F451" w14:textId="2556B9DC" w:rsidR="00E12F40" w:rsidRPr="00D618B7" w:rsidRDefault="00E12F40" w:rsidP="00E12F40">
            <w:pPr>
              <w:jc w:val="right"/>
              <w:rPr>
                <w:color w:val="000000"/>
              </w:rPr>
            </w:pPr>
            <w:r w:rsidRPr="00D618B7">
              <w:t>96.99</w:t>
            </w:r>
          </w:p>
        </w:tc>
        <w:tc>
          <w:tcPr>
            <w:tcW w:w="940" w:type="pct"/>
            <w:tcBorders>
              <w:top w:val="nil"/>
              <w:left w:val="nil"/>
              <w:bottom w:val="nil"/>
              <w:right w:val="nil"/>
            </w:tcBorders>
            <w:shd w:val="clear" w:color="000000" w:fill="FFFFFF"/>
            <w:noWrap/>
            <w:hideMark/>
          </w:tcPr>
          <w:p w14:paraId="05C19D26" w14:textId="23DAD709" w:rsidR="00E12F40" w:rsidRPr="00D618B7" w:rsidRDefault="00E12F40" w:rsidP="00E12F40">
            <w:pPr>
              <w:jc w:val="right"/>
              <w:rPr>
                <w:color w:val="000000"/>
              </w:rPr>
            </w:pPr>
            <w:r w:rsidRPr="00D618B7">
              <w:t>257.26</w:t>
            </w:r>
          </w:p>
        </w:tc>
        <w:tc>
          <w:tcPr>
            <w:tcW w:w="539" w:type="pct"/>
            <w:tcBorders>
              <w:top w:val="nil"/>
              <w:left w:val="nil"/>
              <w:bottom w:val="nil"/>
              <w:right w:val="nil"/>
            </w:tcBorders>
            <w:shd w:val="clear" w:color="000000" w:fill="FFFFFF"/>
            <w:noWrap/>
            <w:hideMark/>
          </w:tcPr>
          <w:p w14:paraId="6FB6667C" w14:textId="278DC58F" w:rsidR="00E12F40" w:rsidRPr="00D618B7" w:rsidRDefault="00E12F40" w:rsidP="00E12F40">
            <w:pPr>
              <w:jc w:val="right"/>
              <w:rPr>
                <w:color w:val="000000"/>
              </w:rPr>
            </w:pPr>
            <w:r w:rsidRPr="00D618B7">
              <w:t>72.03</w:t>
            </w:r>
          </w:p>
        </w:tc>
        <w:tc>
          <w:tcPr>
            <w:tcW w:w="809" w:type="pct"/>
            <w:tcBorders>
              <w:top w:val="nil"/>
              <w:left w:val="nil"/>
              <w:bottom w:val="nil"/>
              <w:right w:val="nil"/>
            </w:tcBorders>
            <w:shd w:val="clear" w:color="000000" w:fill="FFFFFF"/>
            <w:noWrap/>
            <w:hideMark/>
          </w:tcPr>
          <w:p w14:paraId="43869F47" w14:textId="3CDEBD9D" w:rsidR="00E12F40" w:rsidRPr="00D618B7" w:rsidRDefault="00E12F40" w:rsidP="00E12F40">
            <w:pPr>
              <w:jc w:val="right"/>
              <w:rPr>
                <w:color w:val="000000"/>
              </w:rPr>
            </w:pPr>
            <w:r w:rsidRPr="00D618B7">
              <w:t>260.23</w:t>
            </w:r>
          </w:p>
        </w:tc>
      </w:tr>
      <w:tr w:rsidR="00E12F40" w:rsidRPr="00D618B7" w14:paraId="582E83F9" w14:textId="77777777" w:rsidTr="00E12F40">
        <w:trPr>
          <w:trHeight w:val="326"/>
        </w:trPr>
        <w:tc>
          <w:tcPr>
            <w:tcW w:w="525" w:type="pct"/>
            <w:tcBorders>
              <w:top w:val="nil"/>
              <w:left w:val="nil"/>
              <w:bottom w:val="nil"/>
              <w:right w:val="nil"/>
            </w:tcBorders>
            <w:shd w:val="clear" w:color="000000" w:fill="FFFFFF"/>
            <w:vAlign w:val="center"/>
            <w:hideMark/>
          </w:tcPr>
          <w:p w14:paraId="7942CDA8" w14:textId="77777777" w:rsidR="00E12F40" w:rsidRPr="00D618B7" w:rsidRDefault="00E12F40" w:rsidP="00E12F40">
            <w:pPr>
              <w:jc w:val="right"/>
              <w:rPr>
                <w:color w:val="000000"/>
              </w:rPr>
            </w:pPr>
            <w:r w:rsidRPr="00D618B7">
              <w:rPr>
                <w:color w:val="000000"/>
              </w:rPr>
              <w:t>2</w:t>
            </w:r>
          </w:p>
        </w:tc>
        <w:tc>
          <w:tcPr>
            <w:tcW w:w="609" w:type="pct"/>
            <w:tcBorders>
              <w:top w:val="nil"/>
              <w:left w:val="nil"/>
              <w:bottom w:val="nil"/>
              <w:right w:val="nil"/>
            </w:tcBorders>
            <w:shd w:val="clear" w:color="000000" w:fill="FFFFFF"/>
            <w:noWrap/>
            <w:hideMark/>
          </w:tcPr>
          <w:p w14:paraId="12D8A4E3" w14:textId="1B1C7E8D" w:rsidR="00E12F40" w:rsidRPr="00D618B7" w:rsidRDefault="00E12F40" w:rsidP="00E12F40">
            <w:pPr>
              <w:jc w:val="right"/>
              <w:rPr>
                <w:color w:val="000000"/>
              </w:rPr>
            </w:pPr>
            <w:r w:rsidRPr="00D618B7">
              <w:t>35.18</w:t>
            </w:r>
          </w:p>
        </w:tc>
        <w:tc>
          <w:tcPr>
            <w:tcW w:w="1009" w:type="pct"/>
            <w:tcBorders>
              <w:top w:val="nil"/>
              <w:left w:val="nil"/>
              <w:bottom w:val="nil"/>
              <w:right w:val="nil"/>
            </w:tcBorders>
            <w:shd w:val="clear" w:color="000000" w:fill="FFFFFF"/>
            <w:noWrap/>
            <w:hideMark/>
          </w:tcPr>
          <w:p w14:paraId="1C3A5FE0" w14:textId="5436E9B1" w:rsidR="00E12F40" w:rsidRPr="00D618B7" w:rsidRDefault="00E12F40" w:rsidP="00E12F40">
            <w:pPr>
              <w:jc w:val="right"/>
              <w:rPr>
                <w:color w:val="000000"/>
              </w:rPr>
            </w:pPr>
            <w:r w:rsidRPr="00D618B7">
              <w:t>262.31</w:t>
            </w:r>
          </w:p>
        </w:tc>
        <w:tc>
          <w:tcPr>
            <w:tcW w:w="568" w:type="pct"/>
            <w:tcBorders>
              <w:top w:val="nil"/>
              <w:left w:val="nil"/>
              <w:bottom w:val="nil"/>
              <w:right w:val="nil"/>
            </w:tcBorders>
            <w:shd w:val="clear" w:color="000000" w:fill="FFFFFF"/>
            <w:noWrap/>
            <w:hideMark/>
          </w:tcPr>
          <w:p w14:paraId="067CCBD3" w14:textId="543D1FA8" w:rsidR="00E12F40" w:rsidRPr="00D618B7" w:rsidRDefault="00E12F40" w:rsidP="00E12F40">
            <w:pPr>
              <w:jc w:val="right"/>
              <w:rPr>
                <w:color w:val="000000"/>
              </w:rPr>
            </w:pPr>
            <w:r w:rsidRPr="00D618B7">
              <w:t>-166.93</w:t>
            </w:r>
          </w:p>
        </w:tc>
        <w:tc>
          <w:tcPr>
            <w:tcW w:w="940" w:type="pct"/>
            <w:tcBorders>
              <w:top w:val="nil"/>
              <w:left w:val="nil"/>
              <w:bottom w:val="nil"/>
              <w:right w:val="nil"/>
            </w:tcBorders>
            <w:shd w:val="clear" w:color="000000" w:fill="FFFFFF"/>
            <w:noWrap/>
            <w:hideMark/>
          </w:tcPr>
          <w:p w14:paraId="7CA42102" w14:textId="05B6942A" w:rsidR="00E12F40" w:rsidRPr="00D618B7" w:rsidRDefault="00E12F40" w:rsidP="00E12F40">
            <w:pPr>
              <w:jc w:val="right"/>
              <w:rPr>
                <w:color w:val="000000"/>
              </w:rPr>
            </w:pPr>
            <w:r w:rsidRPr="00D618B7">
              <w:t>260.41</w:t>
            </w:r>
          </w:p>
        </w:tc>
        <w:tc>
          <w:tcPr>
            <w:tcW w:w="539" w:type="pct"/>
            <w:tcBorders>
              <w:top w:val="nil"/>
              <w:left w:val="nil"/>
              <w:bottom w:val="nil"/>
              <w:right w:val="nil"/>
            </w:tcBorders>
            <w:shd w:val="clear" w:color="000000" w:fill="FFFFFF"/>
            <w:noWrap/>
            <w:hideMark/>
          </w:tcPr>
          <w:p w14:paraId="3F93553E" w14:textId="77642C54" w:rsidR="00E12F40" w:rsidRPr="00D618B7" w:rsidRDefault="00E12F40" w:rsidP="00E12F40">
            <w:pPr>
              <w:jc w:val="right"/>
              <w:rPr>
                <w:color w:val="000000"/>
              </w:rPr>
            </w:pPr>
            <w:r w:rsidRPr="00D618B7">
              <w:t>65.25</w:t>
            </w:r>
          </w:p>
        </w:tc>
        <w:tc>
          <w:tcPr>
            <w:tcW w:w="809" w:type="pct"/>
            <w:tcBorders>
              <w:top w:val="nil"/>
              <w:left w:val="nil"/>
              <w:bottom w:val="nil"/>
              <w:right w:val="nil"/>
            </w:tcBorders>
            <w:shd w:val="clear" w:color="000000" w:fill="FFFFFF"/>
            <w:noWrap/>
            <w:hideMark/>
          </w:tcPr>
          <w:p w14:paraId="123A0DC2" w14:textId="41F21B99" w:rsidR="00E12F40" w:rsidRPr="00D618B7" w:rsidRDefault="00E12F40" w:rsidP="00E12F40">
            <w:pPr>
              <w:jc w:val="right"/>
              <w:rPr>
                <w:color w:val="000000"/>
              </w:rPr>
            </w:pPr>
            <w:r w:rsidRPr="00D618B7">
              <w:t>264.37</w:t>
            </w:r>
          </w:p>
        </w:tc>
      </w:tr>
      <w:tr w:rsidR="00E12F40" w:rsidRPr="00D618B7" w14:paraId="2D8AA055" w14:textId="77777777" w:rsidTr="00E12F40">
        <w:trPr>
          <w:trHeight w:val="326"/>
        </w:trPr>
        <w:tc>
          <w:tcPr>
            <w:tcW w:w="525" w:type="pct"/>
            <w:tcBorders>
              <w:top w:val="nil"/>
              <w:left w:val="nil"/>
              <w:bottom w:val="nil"/>
              <w:right w:val="nil"/>
            </w:tcBorders>
            <w:shd w:val="clear" w:color="000000" w:fill="FFFFFF"/>
            <w:vAlign w:val="center"/>
            <w:hideMark/>
          </w:tcPr>
          <w:p w14:paraId="0B89BFA7" w14:textId="77777777" w:rsidR="00E12F40" w:rsidRPr="00D618B7" w:rsidRDefault="00E12F40" w:rsidP="00E12F40">
            <w:pPr>
              <w:jc w:val="right"/>
              <w:rPr>
                <w:color w:val="000000"/>
              </w:rPr>
            </w:pPr>
            <w:r w:rsidRPr="00D618B7">
              <w:rPr>
                <w:color w:val="000000"/>
              </w:rPr>
              <w:t>3</w:t>
            </w:r>
          </w:p>
        </w:tc>
        <w:tc>
          <w:tcPr>
            <w:tcW w:w="609" w:type="pct"/>
            <w:tcBorders>
              <w:top w:val="nil"/>
              <w:left w:val="nil"/>
              <w:bottom w:val="nil"/>
              <w:right w:val="nil"/>
            </w:tcBorders>
            <w:shd w:val="clear" w:color="000000" w:fill="FFFFFF"/>
            <w:noWrap/>
            <w:hideMark/>
          </w:tcPr>
          <w:p w14:paraId="3E8A1520" w14:textId="6E1A3C85" w:rsidR="00E12F40" w:rsidRPr="00D618B7" w:rsidRDefault="00E12F40" w:rsidP="00E12F40">
            <w:pPr>
              <w:jc w:val="right"/>
              <w:rPr>
                <w:color w:val="000000"/>
              </w:rPr>
            </w:pPr>
            <w:r w:rsidRPr="00D618B7">
              <w:t>1062.15</w:t>
            </w:r>
          </w:p>
        </w:tc>
        <w:tc>
          <w:tcPr>
            <w:tcW w:w="1009" w:type="pct"/>
            <w:tcBorders>
              <w:top w:val="nil"/>
              <w:left w:val="nil"/>
              <w:bottom w:val="nil"/>
              <w:right w:val="nil"/>
            </w:tcBorders>
            <w:shd w:val="clear" w:color="000000" w:fill="FFFFFF"/>
            <w:noWrap/>
            <w:hideMark/>
          </w:tcPr>
          <w:p w14:paraId="525953F3" w14:textId="6BF1DB0F" w:rsidR="00E12F40" w:rsidRPr="00D618B7" w:rsidRDefault="00E12F40" w:rsidP="00E12F40">
            <w:pPr>
              <w:jc w:val="right"/>
              <w:rPr>
                <w:color w:val="000000"/>
              </w:rPr>
            </w:pPr>
            <w:r w:rsidRPr="00D618B7">
              <w:t>262.98</w:t>
            </w:r>
          </w:p>
        </w:tc>
        <w:tc>
          <w:tcPr>
            <w:tcW w:w="568" w:type="pct"/>
            <w:tcBorders>
              <w:top w:val="nil"/>
              <w:left w:val="nil"/>
              <w:bottom w:val="nil"/>
              <w:right w:val="nil"/>
            </w:tcBorders>
            <w:shd w:val="clear" w:color="000000" w:fill="FFFFFF"/>
            <w:noWrap/>
            <w:hideMark/>
          </w:tcPr>
          <w:p w14:paraId="47F67DA0" w14:textId="6810A93D" w:rsidR="00E12F40" w:rsidRPr="00D618B7" w:rsidRDefault="00E12F40" w:rsidP="00E12F40">
            <w:pPr>
              <w:jc w:val="right"/>
              <w:rPr>
                <w:color w:val="000000"/>
              </w:rPr>
            </w:pPr>
            <w:r w:rsidRPr="00D618B7">
              <w:t>240.66</w:t>
            </w:r>
          </w:p>
        </w:tc>
        <w:tc>
          <w:tcPr>
            <w:tcW w:w="940" w:type="pct"/>
            <w:tcBorders>
              <w:top w:val="nil"/>
              <w:left w:val="nil"/>
              <w:bottom w:val="nil"/>
              <w:right w:val="nil"/>
            </w:tcBorders>
            <w:shd w:val="clear" w:color="000000" w:fill="FFFFFF"/>
            <w:noWrap/>
            <w:hideMark/>
          </w:tcPr>
          <w:p w14:paraId="563E2FA0" w14:textId="539CAEDD" w:rsidR="00E12F40" w:rsidRPr="00D618B7" w:rsidRDefault="00E12F40" w:rsidP="00E12F40">
            <w:pPr>
              <w:jc w:val="right"/>
              <w:rPr>
                <w:color w:val="000000"/>
              </w:rPr>
            </w:pPr>
            <w:r w:rsidRPr="00D618B7">
              <w:t>260.98</w:t>
            </w:r>
          </w:p>
        </w:tc>
        <w:tc>
          <w:tcPr>
            <w:tcW w:w="539" w:type="pct"/>
            <w:tcBorders>
              <w:top w:val="nil"/>
              <w:left w:val="nil"/>
              <w:bottom w:val="nil"/>
              <w:right w:val="nil"/>
            </w:tcBorders>
            <w:shd w:val="clear" w:color="000000" w:fill="FFFFFF"/>
            <w:noWrap/>
            <w:hideMark/>
          </w:tcPr>
          <w:p w14:paraId="2AB5F86D" w14:textId="71E4353C" w:rsidR="00E12F40" w:rsidRPr="00D618B7" w:rsidRDefault="00E12F40" w:rsidP="00E12F40">
            <w:pPr>
              <w:jc w:val="right"/>
              <w:rPr>
                <w:color w:val="000000"/>
              </w:rPr>
            </w:pPr>
            <w:r w:rsidRPr="00D618B7">
              <w:t>553.96</w:t>
            </w:r>
          </w:p>
        </w:tc>
        <w:tc>
          <w:tcPr>
            <w:tcW w:w="809" w:type="pct"/>
            <w:tcBorders>
              <w:top w:val="nil"/>
              <w:left w:val="nil"/>
              <w:bottom w:val="nil"/>
              <w:right w:val="nil"/>
            </w:tcBorders>
            <w:shd w:val="clear" w:color="000000" w:fill="FFFFFF"/>
            <w:noWrap/>
            <w:hideMark/>
          </w:tcPr>
          <w:p w14:paraId="22082546" w14:textId="25BF6F56" w:rsidR="00E12F40" w:rsidRPr="00D618B7" w:rsidRDefault="00E12F40" w:rsidP="00E12F40">
            <w:pPr>
              <w:jc w:val="right"/>
              <w:rPr>
                <w:color w:val="000000"/>
              </w:rPr>
            </w:pPr>
            <w:r w:rsidRPr="00D618B7">
              <w:t>264.63</w:t>
            </w:r>
          </w:p>
        </w:tc>
      </w:tr>
      <w:tr w:rsidR="00E12F40" w:rsidRPr="00D618B7" w14:paraId="5B25E777" w14:textId="77777777" w:rsidTr="00E12F40">
        <w:trPr>
          <w:trHeight w:val="326"/>
        </w:trPr>
        <w:tc>
          <w:tcPr>
            <w:tcW w:w="525" w:type="pct"/>
            <w:tcBorders>
              <w:top w:val="nil"/>
              <w:left w:val="nil"/>
              <w:bottom w:val="nil"/>
              <w:right w:val="nil"/>
            </w:tcBorders>
            <w:shd w:val="clear" w:color="000000" w:fill="FFFFFF"/>
            <w:vAlign w:val="center"/>
            <w:hideMark/>
          </w:tcPr>
          <w:p w14:paraId="3A35B5AB" w14:textId="77777777" w:rsidR="00E12F40" w:rsidRPr="00D618B7" w:rsidRDefault="00E12F40" w:rsidP="00E12F40">
            <w:pPr>
              <w:jc w:val="right"/>
              <w:rPr>
                <w:color w:val="000000"/>
              </w:rPr>
            </w:pPr>
            <w:r w:rsidRPr="00D618B7">
              <w:rPr>
                <w:color w:val="000000"/>
              </w:rPr>
              <w:t>4</w:t>
            </w:r>
          </w:p>
        </w:tc>
        <w:tc>
          <w:tcPr>
            <w:tcW w:w="609" w:type="pct"/>
            <w:tcBorders>
              <w:top w:val="nil"/>
              <w:left w:val="nil"/>
              <w:bottom w:val="nil"/>
              <w:right w:val="nil"/>
            </w:tcBorders>
            <w:shd w:val="clear" w:color="000000" w:fill="FFFFFF"/>
            <w:noWrap/>
            <w:hideMark/>
          </w:tcPr>
          <w:p w14:paraId="39874454" w14:textId="0B1E10D1" w:rsidR="00E12F40" w:rsidRPr="00D618B7" w:rsidRDefault="00E12F40" w:rsidP="00E12F40">
            <w:pPr>
              <w:jc w:val="right"/>
              <w:rPr>
                <w:color w:val="000000"/>
              </w:rPr>
            </w:pPr>
            <w:r w:rsidRPr="00D618B7">
              <w:t>120.12</w:t>
            </w:r>
          </w:p>
        </w:tc>
        <w:tc>
          <w:tcPr>
            <w:tcW w:w="1009" w:type="pct"/>
            <w:tcBorders>
              <w:top w:val="nil"/>
              <w:left w:val="nil"/>
              <w:bottom w:val="nil"/>
              <w:right w:val="nil"/>
            </w:tcBorders>
            <w:shd w:val="clear" w:color="000000" w:fill="FFFFFF"/>
            <w:noWrap/>
            <w:hideMark/>
          </w:tcPr>
          <w:p w14:paraId="155510E0" w14:textId="61F762EC" w:rsidR="00E12F40" w:rsidRPr="00D618B7" w:rsidRDefault="00E12F40" w:rsidP="00E12F40">
            <w:pPr>
              <w:jc w:val="right"/>
              <w:rPr>
                <w:color w:val="000000"/>
              </w:rPr>
            </w:pPr>
            <w:r w:rsidRPr="00D618B7">
              <w:t>235.10</w:t>
            </w:r>
          </w:p>
        </w:tc>
        <w:tc>
          <w:tcPr>
            <w:tcW w:w="568" w:type="pct"/>
            <w:tcBorders>
              <w:top w:val="nil"/>
              <w:left w:val="nil"/>
              <w:bottom w:val="nil"/>
              <w:right w:val="nil"/>
            </w:tcBorders>
            <w:shd w:val="clear" w:color="000000" w:fill="FFFFFF"/>
            <w:noWrap/>
            <w:hideMark/>
          </w:tcPr>
          <w:p w14:paraId="7B752A5A" w14:textId="50F95F7A" w:rsidR="00E12F40" w:rsidRPr="00D618B7" w:rsidRDefault="00E12F40" w:rsidP="00E12F40">
            <w:pPr>
              <w:jc w:val="right"/>
              <w:rPr>
                <w:color w:val="000000"/>
              </w:rPr>
            </w:pPr>
            <w:r w:rsidRPr="00D618B7">
              <w:t>-218.64</w:t>
            </w:r>
          </w:p>
        </w:tc>
        <w:tc>
          <w:tcPr>
            <w:tcW w:w="940" w:type="pct"/>
            <w:tcBorders>
              <w:top w:val="nil"/>
              <w:left w:val="nil"/>
              <w:bottom w:val="nil"/>
              <w:right w:val="nil"/>
            </w:tcBorders>
            <w:shd w:val="clear" w:color="000000" w:fill="FFFFFF"/>
            <w:noWrap/>
            <w:hideMark/>
          </w:tcPr>
          <w:p w14:paraId="58E6BBC0" w14:textId="274B25D0" w:rsidR="00E12F40" w:rsidRPr="00D618B7" w:rsidRDefault="00E12F40" w:rsidP="00E12F40">
            <w:pPr>
              <w:jc w:val="right"/>
              <w:rPr>
                <w:color w:val="000000"/>
              </w:rPr>
            </w:pPr>
            <w:r w:rsidRPr="00D618B7">
              <w:t>232.36</w:t>
            </w:r>
          </w:p>
        </w:tc>
        <w:tc>
          <w:tcPr>
            <w:tcW w:w="539" w:type="pct"/>
            <w:tcBorders>
              <w:top w:val="nil"/>
              <w:left w:val="nil"/>
              <w:bottom w:val="nil"/>
              <w:right w:val="nil"/>
            </w:tcBorders>
            <w:shd w:val="clear" w:color="000000" w:fill="FFFFFF"/>
            <w:noWrap/>
            <w:hideMark/>
          </w:tcPr>
          <w:p w14:paraId="26BD94BC" w14:textId="71E14252" w:rsidR="00E12F40" w:rsidRPr="00D618B7" w:rsidRDefault="00E12F40" w:rsidP="00E12F40">
            <w:pPr>
              <w:jc w:val="right"/>
              <w:rPr>
                <w:color w:val="000000"/>
              </w:rPr>
            </w:pPr>
            <w:r w:rsidRPr="00D618B7">
              <w:t>479.33</w:t>
            </w:r>
          </w:p>
        </w:tc>
        <w:tc>
          <w:tcPr>
            <w:tcW w:w="809" w:type="pct"/>
            <w:tcBorders>
              <w:top w:val="nil"/>
              <w:left w:val="nil"/>
              <w:bottom w:val="nil"/>
              <w:right w:val="nil"/>
            </w:tcBorders>
            <w:shd w:val="clear" w:color="000000" w:fill="FFFFFF"/>
            <w:noWrap/>
            <w:hideMark/>
          </w:tcPr>
          <w:p w14:paraId="51FFBDEC" w14:textId="27EF2E8B" w:rsidR="00E12F40" w:rsidRPr="00D618B7" w:rsidRDefault="00E12F40" w:rsidP="00E12F40">
            <w:pPr>
              <w:jc w:val="right"/>
              <w:rPr>
                <w:color w:val="000000"/>
              </w:rPr>
            </w:pPr>
            <w:r w:rsidRPr="00D618B7">
              <w:t>235.29</w:t>
            </w:r>
          </w:p>
        </w:tc>
      </w:tr>
      <w:tr w:rsidR="00E12F40" w:rsidRPr="00D618B7" w14:paraId="57D69E46" w14:textId="77777777" w:rsidTr="00E12F40">
        <w:trPr>
          <w:trHeight w:val="326"/>
        </w:trPr>
        <w:tc>
          <w:tcPr>
            <w:tcW w:w="525" w:type="pct"/>
            <w:tcBorders>
              <w:top w:val="nil"/>
              <w:left w:val="nil"/>
              <w:bottom w:val="single" w:sz="8" w:space="0" w:color="auto"/>
              <w:right w:val="nil"/>
            </w:tcBorders>
            <w:shd w:val="clear" w:color="000000" w:fill="FFFFFF"/>
            <w:vAlign w:val="center"/>
            <w:hideMark/>
          </w:tcPr>
          <w:p w14:paraId="582DAD2D" w14:textId="77777777" w:rsidR="00E12F40" w:rsidRPr="00D618B7" w:rsidRDefault="00E12F40" w:rsidP="00E12F40">
            <w:pPr>
              <w:jc w:val="right"/>
              <w:rPr>
                <w:color w:val="000000"/>
              </w:rPr>
            </w:pPr>
            <w:r w:rsidRPr="00D618B7">
              <w:rPr>
                <w:color w:val="000000"/>
              </w:rPr>
              <w:t>5</w:t>
            </w:r>
          </w:p>
        </w:tc>
        <w:tc>
          <w:tcPr>
            <w:tcW w:w="609" w:type="pct"/>
            <w:tcBorders>
              <w:top w:val="nil"/>
              <w:left w:val="nil"/>
              <w:bottom w:val="single" w:sz="8" w:space="0" w:color="auto"/>
              <w:right w:val="nil"/>
            </w:tcBorders>
            <w:shd w:val="clear" w:color="000000" w:fill="FFFFFF"/>
            <w:noWrap/>
            <w:hideMark/>
          </w:tcPr>
          <w:p w14:paraId="6B59753B" w14:textId="3780ADB3" w:rsidR="00E12F40" w:rsidRPr="00D618B7" w:rsidRDefault="00E12F40" w:rsidP="00E12F40">
            <w:pPr>
              <w:jc w:val="right"/>
              <w:rPr>
                <w:color w:val="000000"/>
              </w:rPr>
            </w:pPr>
            <w:r w:rsidRPr="00D618B7">
              <w:t>1368.72</w:t>
            </w:r>
          </w:p>
        </w:tc>
        <w:tc>
          <w:tcPr>
            <w:tcW w:w="1009" w:type="pct"/>
            <w:tcBorders>
              <w:top w:val="nil"/>
              <w:left w:val="nil"/>
              <w:bottom w:val="single" w:sz="8" w:space="0" w:color="auto"/>
              <w:right w:val="nil"/>
            </w:tcBorders>
            <w:shd w:val="clear" w:color="000000" w:fill="FFFFFF"/>
            <w:noWrap/>
            <w:hideMark/>
          </w:tcPr>
          <w:p w14:paraId="61F34920" w14:textId="02A9C9C8" w:rsidR="00E12F40" w:rsidRPr="00D618B7" w:rsidRDefault="00E12F40" w:rsidP="00E12F40">
            <w:pPr>
              <w:jc w:val="right"/>
              <w:rPr>
                <w:color w:val="000000"/>
              </w:rPr>
            </w:pPr>
            <w:r w:rsidRPr="00D618B7">
              <w:t>235.46</w:t>
            </w:r>
          </w:p>
        </w:tc>
        <w:tc>
          <w:tcPr>
            <w:tcW w:w="568" w:type="pct"/>
            <w:tcBorders>
              <w:top w:val="nil"/>
              <w:left w:val="nil"/>
              <w:bottom w:val="single" w:sz="8" w:space="0" w:color="auto"/>
              <w:right w:val="nil"/>
            </w:tcBorders>
            <w:shd w:val="clear" w:color="000000" w:fill="FFFFFF"/>
            <w:noWrap/>
            <w:hideMark/>
          </w:tcPr>
          <w:p w14:paraId="4D4931A8" w14:textId="36F95516" w:rsidR="00E12F40" w:rsidRPr="00D618B7" w:rsidRDefault="00E12F40" w:rsidP="00E12F40">
            <w:pPr>
              <w:jc w:val="right"/>
              <w:rPr>
                <w:color w:val="000000"/>
              </w:rPr>
            </w:pPr>
            <w:r w:rsidRPr="00D618B7">
              <w:t>912.38</w:t>
            </w:r>
          </w:p>
        </w:tc>
        <w:tc>
          <w:tcPr>
            <w:tcW w:w="940" w:type="pct"/>
            <w:tcBorders>
              <w:top w:val="nil"/>
              <w:left w:val="nil"/>
              <w:bottom w:val="single" w:sz="8" w:space="0" w:color="auto"/>
              <w:right w:val="nil"/>
            </w:tcBorders>
            <w:shd w:val="clear" w:color="000000" w:fill="FFFFFF"/>
            <w:noWrap/>
            <w:hideMark/>
          </w:tcPr>
          <w:p w14:paraId="0C02DC7E" w14:textId="7DEA6C99" w:rsidR="00E12F40" w:rsidRPr="00D618B7" w:rsidRDefault="00E12F40" w:rsidP="00E12F40">
            <w:pPr>
              <w:jc w:val="right"/>
              <w:rPr>
                <w:color w:val="000000"/>
              </w:rPr>
            </w:pPr>
            <w:r w:rsidRPr="00D618B7">
              <w:t>232.96</w:t>
            </w:r>
          </w:p>
        </w:tc>
        <w:tc>
          <w:tcPr>
            <w:tcW w:w="539" w:type="pct"/>
            <w:tcBorders>
              <w:top w:val="nil"/>
              <w:left w:val="nil"/>
              <w:bottom w:val="single" w:sz="8" w:space="0" w:color="auto"/>
              <w:right w:val="nil"/>
            </w:tcBorders>
            <w:shd w:val="clear" w:color="000000" w:fill="FFFFFF"/>
            <w:noWrap/>
            <w:hideMark/>
          </w:tcPr>
          <w:p w14:paraId="64D174CF" w14:textId="50C90367" w:rsidR="00E12F40" w:rsidRPr="00D618B7" w:rsidRDefault="00E12F40" w:rsidP="00E12F40">
            <w:pPr>
              <w:jc w:val="right"/>
              <w:rPr>
                <w:color w:val="000000"/>
              </w:rPr>
            </w:pPr>
            <w:r w:rsidRPr="00D618B7">
              <w:t>787.97</w:t>
            </w:r>
          </w:p>
        </w:tc>
        <w:tc>
          <w:tcPr>
            <w:tcW w:w="809" w:type="pct"/>
            <w:tcBorders>
              <w:top w:val="nil"/>
              <w:left w:val="nil"/>
              <w:bottom w:val="single" w:sz="8" w:space="0" w:color="auto"/>
              <w:right w:val="nil"/>
            </w:tcBorders>
            <w:shd w:val="clear" w:color="000000" w:fill="FFFFFF"/>
            <w:noWrap/>
            <w:hideMark/>
          </w:tcPr>
          <w:p w14:paraId="527B1B64" w14:textId="38C1FB36" w:rsidR="00E12F40" w:rsidRPr="00D618B7" w:rsidRDefault="00E12F40" w:rsidP="00E12F40">
            <w:pPr>
              <w:jc w:val="right"/>
              <w:rPr>
                <w:color w:val="000000"/>
              </w:rPr>
            </w:pPr>
            <w:r w:rsidRPr="00D618B7">
              <w:t>235.22</w:t>
            </w:r>
          </w:p>
        </w:tc>
      </w:tr>
    </w:tbl>
    <w:p w14:paraId="5F82C030" w14:textId="77777777" w:rsidR="006C7206" w:rsidRPr="00D618B7" w:rsidRDefault="006C7206" w:rsidP="006C7206">
      <w:pPr>
        <w:rPr>
          <w:i/>
          <w:iCs/>
        </w:rPr>
      </w:pPr>
    </w:p>
    <w:p w14:paraId="4A889644" w14:textId="26BDA5CD" w:rsidR="006C7206" w:rsidRPr="00D618B7" w:rsidRDefault="006C7206" w:rsidP="006C7206">
      <w:r w:rsidRPr="00D618B7">
        <w:rPr>
          <w:i/>
          <w:iCs/>
        </w:rPr>
        <w:t>Note</w:t>
      </w:r>
      <w:r w:rsidRPr="00D618B7">
        <w:t>: This table lists the estimated mean Average Duration and standard errors for toy-out-of-reach, toy-moving-into-reach, and toy-in-reach by weeks around reach-onset.</w:t>
      </w:r>
    </w:p>
    <w:p w14:paraId="548E6D6F" w14:textId="77777777" w:rsidR="006C7206" w:rsidRPr="00D618B7" w:rsidRDefault="006C7206">
      <w:r w:rsidRPr="00D618B7">
        <w:br w:type="page"/>
      </w:r>
    </w:p>
    <w:p w14:paraId="22551316" w14:textId="72EB6E89" w:rsidR="006C7206" w:rsidRPr="00D618B7" w:rsidRDefault="006C7206" w:rsidP="007C5074">
      <w:pPr>
        <w:pStyle w:val="Caption"/>
        <w:rPr>
          <w:rFonts w:eastAsia="Aptos"/>
          <w:kern w:val="2"/>
          <w:sz w:val="22"/>
          <w:szCs w:val="22"/>
        </w:rPr>
      </w:pPr>
      <w:bookmarkStart w:id="164" w:name="_Toc172716861"/>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33</w:t>
      </w:r>
      <w:r w:rsidR="00000000">
        <w:rPr>
          <w:noProof/>
        </w:rPr>
        <w:fldChar w:fldCharType="end"/>
      </w:r>
      <w:r w:rsidRPr="00D618B7">
        <w:t>: Event average duration by week, type</w:t>
      </w:r>
      <w:r w:rsidR="004C396F" w:rsidRPr="00D618B7">
        <w:t>,</w:t>
      </w:r>
      <w:r w:rsidRPr="00D618B7">
        <w:t xml:space="preserve"> and proximity</w:t>
      </w:r>
      <w:bookmarkEnd w:id="164"/>
    </w:p>
    <w:p w14:paraId="2292D86B" w14:textId="0F26E534" w:rsidR="006C7206" w:rsidRPr="00D618B7" w:rsidRDefault="006C7206" w:rsidP="006C7206">
      <w:r w:rsidRPr="00D618B7">
        <w:t>Estimated Mean Average Duration of Event by Type, Proximity, and Week</w:t>
      </w:r>
    </w:p>
    <w:tbl>
      <w:tblPr>
        <w:tblW w:w="8805" w:type="dxa"/>
        <w:tblLook w:val="04A0" w:firstRow="1" w:lastRow="0" w:firstColumn="1" w:lastColumn="0" w:noHBand="0" w:noVBand="1"/>
      </w:tblPr>
      <w:tblGrid>
        <w:gridCol w:w="1329"/>
        <w:gridCol w:w="1026"/>
        <w:gridCol w:w="1091"/>
        <w:gridCol w:w="1550"/>
        <w:gridCol w:w="1081"/>
        <w:gridCol w:w="1606"/>
        <w:gridCol w:w="1122"/>
      </w:tblGrid>
      <w:tr w:rsidR="006C7206" w:rsidRPr="00D618B7" w14:paraId="39826AD9" w14:textId="77777777" w:rsidTr="004C396F">
        <w:trPr>
          <w:trHeight w:val="201"/>
        </w:trPr>
        <w:tc>
          <w:tcPr>
            <w:tcW w:w="1329" w:type="dxa"/>
            <w:tcBorders>
              <w:top w:val="single" w:sz="18" w:space="0" w:color="auto"/>
              <w:left w:val="nil"/>
              <w:bottom w:val="nil"/>
              <w:right w:val="nil"/>
            </w:tcBorders>
            <w:shd w:val="clear" w:color="000000" w:fill="FFFFFF"/>
            <w:vAlign w:val="center"/>
            <w:hideMark/>
          </w:tcPr>
          <w:p w14:paraId="76854F51" w14:textId="77777777" w:rsidR="006C7206" w:rsidRPr="00D618B7" w:rsidRDefault="006C7206" w:rsidP="004B11B7">
            <w:pPr>
              <w:rPr>
                <w:color w:val="000000"/>
                <w:sz w:val="20"/>
                <w:szCs w:val="20"/>
              </w:rPr>
            </w:pPr>
            <w:r w:rsidRPr="00D618B7">
              <w:rPr>
                <w:color w:val="000000"/>
                <w:sz w:val="20"/>
                <w:szCs w:val="20"/>
              </w:rPr>
              <w:t>Week</w:t>
            </w:r>
          </w:p>
        </w:tc>
        <w:tc>
          <w:tcPr>
            <w:tcW w:w="2117" w:type="dxa"/>
            <w:gridSpan w:val="2"/>
            <w:tcBorders>
              <w:top w:val="single" w:sz="18" w:space="0" w:color="auto"/>
              <w:left w:val="nil"/>
              <w:bottom w:val="single" w:sz="18" w:space="0" w:color="auto"/>
              <w:right w:val="nil"/>
            </w:tcBorders>
            <w:shd w:val="clear" w:color="000000" w:fill="FFFFFF"/>
            <w:vAlign w:val="center"/>
            <w:hideMark/>
          </w:tcPr>
          <w:p w14:paraId="7340DD72" w14:textId="77777777" w:rsidR="006C7206" w:rsidRPr="00D618B7" w:rsidRDefault="006C7206" w:rsidP="004B11B7">
            <w:pPr>
              <w:jc w:val="center"/>
              <w:rPr>
                <w:color w:val="000000"/>
                <w:sz w:val="20"/>
                <w:szCs w:val="20"/>
              </w:rPr>
            </w:pPr>
            <w:r w:rsidRPr="00D618B7">
              <w:rPr>
                <w:color w:val="000000"/>
                <w:sz w:val="20"/>
                <w:szCs w:val="20"/>
              </w:rPr>
              <w:t>Face</w:t>
            </w:r>
          </w:p>
        </w:tc>
        <w:tc>
          <w:tcPr>
            <w:tcW w:w="2631" w:type="dxa"/>
            <w:gridSpan w:val="2"/>
            <w:tcBorders>
              <w:top w:val="single" w:sz="18" w:space="0" w:color="auto"/>
              <w:left w:val="nil"/>
              <w:bottom w:val="single" w:sz="18" w:space="0" w:color="auto"/>
              <w:right w:val="nil"/>
            </w:tcBorders>
            <w:shd w:val="clear" w:color="000000" w:fill="FFFFFF"/>
            <w:vAlign w:val="center"/>
            <w:hideMark/>
          </w:tcPr>
          <w:p w14:paraId="1A7C448B" w14:textId="77777777" w:rsidR="006C7206" w:rsidRPr="00D618B7" w:rsidRDefault="006C7206" w:rsidP="004B11B7">
            <w:pPr>
              <w:jc w:val="center"/>
              <w:rPr>
                <w:color w:val="000000"/>
                <w:sz w:val="20"/>
                <w:szCs w:val="20"/>
              </w:rPr>
            </w:pPr>
            <w:r w:rsidRPr="00D618B7">
              <w:rPr>
                <w:color w:val="000000"/>
                <w:sz w:val="20"/>
                <w:szCs w:val="20"/>
              </w:rPr>
              <w:t xml:space="preserve">              Hand</w:t>
            </w:r>
          </w:p>
        </w:tc>
        <w:tc>
          <w:tcPr>
            <w:tcW w:w="2726" w:type="dxa"/>
            <w:gridSpan w:val="2"/>
            <w:tcBorders>
              <w:top w:val="single" w:sz="18" w:space="0" w:color="auto"/>
              <w:left w:val="nil"/>
              <w:bottom w:val="single" w:sz="18" w:space="0" w:color="auto"/>
              <w:right w:val="nil"/>
            </w:tcBorders>
            <w:shd w:val="clear" w:color="000000" w:fill="FFFFFF"/>
            <w:vAlign w:val="center"/>
            <w:hideMark/>
          </w:tcPr>
          <w:p w14:paraId="2C5E5227" w14:textId="77777777" w:rsidR="006C7206" w:rsidRPr="00D618B7" w:rsidRDefault="006C7206" w:rsidP="004B11B7">
            <w:pPr>
              <w:jc w:val="center"/>
              <w:rPr>
                <w:color w:val="000000"/>
                <w:sz w:val="20"/>
                <w:szCs w:val="20"/>
              </w:rPr>
            </w:pPr>
            <w:r w:rsidRPr="00D618B7">
              <w:rPr>
                <w:color w:val="000000"/>
                <w:sz w:val="20"/>
                <w:szCs w:val="20"/>
              </w:rPr>
              <w:t xml:space="preserve">                Mouth</w:t>
            </w:r>
          </w:p>
        </w:tc>
      </w:tr>
      <w:tr w:rsidR="004C396F" w:rsidRPr="00D618B7" w14:paraId="4154E1FB" w14:textId="77777777" w:rsidTr="004C396F">
        <w:trPr>
          <w:trHeight w:val="201"/>
        </w:trPr>
        <w:tc>
          <w:tcPr>
            <w:tcW w:w="1329" w:type="dxa"/>
            <w:tcBorders>
              <w:top w:val="nil"/>
              <w:left w:val="nil"/>
              <w:bottom w:val="single" w:sz="18" w:space="0" w:color="auto"/>
              <w:right w:val="nil"/>
            </w:tcBorders>
            <w:shd w:val="clear" w:color="000000" w:fill="FFFFFF"/>
            <w:noWrap/>
            <w:vAlign w:val="bottom"/>
            <w:hideMark/>
          </w:tcPr>
          <w:p w14:paraId="5B49E803" w14:textId="77777777" w:rsidR="006C7206" w:rsidRPr="00D618B7" w:rsidRDefault="006C7206" w:rsidP="004B11B7">
            <w:pPr>
              <w:rPr>
                <w:color w:val="000000"/>
                <w:sz w:val="20"/>
                <w:szCs w:val="20"/>
              </w:rPr>
            </w:pPr>
            <w:r w:rsidRPr="00D618B7">
              <w:rPr>
                <w:color w:val="000000"/>
                <w:sz w:val="20"/>
                <w:szCs w:val="20"/>
              </w:rPr>
              <w:t> </w:t>
            </w:r>
          </w:p>
        </w:tc>
        <w:tc>
          <w:tcPr>
            <w:tcW w:w="1026" w:type="dxa"/>
            <w:tcBorders>
              <w:top w:val="single" w:sz="18" w:space="0" w:color="auto"/>
              <w:left w:val="nil"/>
              <w:bottom w:val="single" w:sz="18" w:space="0" w:color="auto"/>
              <w:right w:val="nil"/>
            </w:tcBorders>
            <w:shd w:val="clear" w:color="000000" w:fill="FFFFFF"/>
            <w:noWrap/>
            <w:vAlign w:val="center"/>
            <w:hideMark/>
          </w:tcPr>
          <w:p w14:paraId="3D56AB7C" w14:textId="77777777" w:rsidR="006C7206" w:rsidRPr="00D618B7" w:rsidRDefault="006C7206" w:rsidP="004B11B7">
            <w:pPr>
              <w:jc w:val="right"/>
              <w:rPr>
                <w:color w:val="000000"/>
                <w:sz w:val="20"/>
                <w:szCs w:val="20"/>
              </w:rPr>
            </w:pPr>
            <w:r w:rsidRPr="00D618B7">
              <w:rPr>
                <w:color w:val="000000"/>
                <w:sz w:val="20"/>
                <w:szCs w:val="20"/>
              </w:rPr>
              <w:t>Mean</w:t>
            </w:r>
          </w:p>
        </w:tc>
        <w:tc>
          <w:tcPr>
            <w:tcW w:w="1091" w:type="dxa"/>
            <w:tcBorders>
              <w:top w:val="single" w:sz="18" w:space="0" w:color="auto"/>
              <w:left w:val="nil"/>
              <w:bottom w:val="single" w:sz="18" w:space="0" w:color="auto"/>
              <w:right w:val="nil"/>
            </w:tcBorders>
            <w:shd w:val="clear" w:color="000000" w:fill="FFFFFF"/>
            <w:noWrap/>
            <w:vAlign w:val="center"/>
            <w:hideMark/>
          </w:tcPr>
          <w:p w14:paraId="40FD7935" w14:textId="77777777" w:rsidR="006C7206" w:rsidRPr="00D618B7" w:rsidRDefault="006C7206" w:rsidP="004B11B7">
            <w:pPr>
              <w:jc w:val="right"/>
              <w:rPr>
                <w:color w:val="000000"/>
                <w:sz w:val="20"/>
                <w:szCs w:val="20"/>
              </w:rPr>
            </w:pPr>
            <w:r w:rsidRPr="00D618B7">
              <w:rPr>
                <w:color w:val="000000"/>
                <w:sz w:val="20"/>
                <w:szCs w:val="20"/>
              </w:rPr>
              <w:t>Std. Error</w:t>
            </w:r>
          </w:p>
        </w:tc>
        <w:tc>
          <w:tcPr>
            <w:tcW w:w="1550" w:type="dxa"/>
            <w:tcBorders>
              <w:top w:val="single" w:sz="18" w:space="0" w:color="auto"/>
              <w:left w:val="nil"/>
              <w:bottom w:val="single" w:sz="18" w:space="0" w:color="auto"/>
              <w:right w:val="nil"/>
            </w:tcBorders>
            <w:shd w:val="clear" w:color="000000" w:fill="FFFFFF"/>
            <w:noWrap/>
            <w:vAlign w:val="center"/>
            <w:hideMark/>
          </w:tcPr>
          <w:p w14:paraId="571FB2D4" w14:textId="77777777" w:rsidR="006C7206" w:rsidRPr="00D618B7" w:rsidRDefault="006C7206" w:rsidP="004B11B7">
            <w:pPr>
              <w:jc w:val="right"/>
              <w:rPr>
                <w:color w:val="000000"/>
                <w:sz w:val="20"/>
                <w:szCs w:val="20"/>
              </w:rPr>
            </w:pPr>
            <w:r w:rsidRPr="00D618B7">
              <w:rPr>
                <w:color w:val="000000"/>
                <w:sz w:val="20"/>
                <w:szCs w:val="20"/>
              </w:rPr>
              <w:t>Mean</w:t>
            </w:r>
          </w:p>
        </w:tc>
        <w:tc>
          <w:tcPr>
            <w:tcW w:w="1080" w:type="dxa"/>
            <w:tcBorders>
              <w:top w:val="single" w:sz="18" w:space="0" w:color="auto"/>
              <w:left w:val="nil"/>
              <w:bottom w:val="single" w:sz="18" w:space="0" w:color="auto"/>
              <w:right w:val="nil"/>
            </w:tcBorders>
            <w:shd w:val="clear" w:color="000000" w:fill="FFFFFF"/>
            <w:noWrap/>
            <w:vAlign w:val="center"/>
            <w:hideMark/>
          </w:tcPr>
          <w:p w14:paraId="761C6147" w14:textId="77777777" w:rsidR="006C7206" w:rsidRPr="00D618B7" w:rsidRDefault="006C7206" w:rsidP="004B11B7">
            <w:pPr>
              <w:jc w:val="right"/>
              <w:rPr>
                <w:color w:val="000000"/>
                <w:sz w:val="20"/>
                <w:szCs w:val="20"/>
              </w:rPr>
            </w:pPr>
            <w:r w:rsidRPr="00D618B7">
              <w:rPr>
                <w:color w:val="000000"/>
                <w:sz w:val="20"/>
                <w:szCs w:val="20"/>
              </w:rPr>
              <w:t>Std. Error</w:t>
            </w:r>
          </w:p>
        </w:tc>
        <w:tc>
          <w:tcPr>
            <w:tcW w:w="1606" w:type="dxa"/>
            <w:tcBorders>
              <w:top w:val="single" w:sz="18" w:space="0" w:color="auto"/>
              <w:left w:val="nil"/>
              <w:bottom w:val="single" w:sz="18" w:space="0" w:color="auto"/>
              <w:right w:val="nil"/>
            </w:tcBorders>
            <w:shd w:val="clear" w:color="000000" w:fill="FFFFFF"/>
            <w:noWrap/>
            <w:vAlign w:val="center"/>
            <w:hideMark/>
          </w:tcPr>
          <w:p w14:paraId="39CCE112" w14:textId="77777777" w:rsidR="006C7206" w:rsidRPr="00D618B7" w:rsidRDefault="006C7206" w:rsidP="004B11B7">
            <w:pPr>
              <w:jc w:val="right"/>
              <w:rPr>
                <w:color w:val="000000"/>
                <w:sz w:val="20"/>
                <w:szCs w:val="20"/>
              </w:rPr>
            </w:pPr>
            <w:r w:rsidRPr="00D618B7">
              <w:rPr>
                <w:color w:val="000000"/>
                <w:sz w:val="20"/>
                <w:szCs w:val="20"/>
              </w:rPr>
              <w:t>Mean</w:t>
            </w:r>
          </w:p>
        </w:tc>
        <w:tc>
          <w:tcPr>
            <w:tcW w:w="1120" w:type="dxa"/>
            <w:tcBorders>
              <w:top w:val="single" w:sz="18" w:space="0" w:color="auto"/>
              <w:left w:val="nil"/>
              <w:bottom w:val="single" w:sz="18" w:space="0" w:color="auto"/>
              <w:right w:val="nil"/>
            </w:tcBorders>
            <w:shd w:val="clear" w:color="000000" w:fill="FFFFFF"/>
            <w:noWrap/>
            <w:vAlign w:val="center"/>
            <w:hideMark/>
          </w:tcPr>
          <w:p w14:paraId="03E3482F" w14:textId="77777777" w:rsidR="006C7206" w:rsidRPr="00D618B7" w:rsidRDefault="006C7206" w:rsidP="004B11B7">
            <w:pPr>
              <w:jc w:val="right"/>
              <w:rPr>
                <w:color w:val="000000"/>
                <w:sz w:val="20"/>
                <w:szCs w:val="20"/>
              </w:rPr>
            </w:pPr>
            <w:r w:rsidRPr="00D618B7">
              <w:rPr>
                <w:color w:val="000000"/>
                <w:sz w:val="20"/>
                <w:szCs w:val="20"/>
              </w:rPr>
              <w:t>Std. Error</w:t>
            </w:r>
          </w:p>
        </w:tc>
      </w:tr>
      <w:tr w:rsidR="006C7206" w:rsidRPr="00D618B7" w14:paraId="49FBC7FC" w14:textId="77777777" w:rsidTr="004C396F">
        <w:trPr>
          <w:trHeight w:val="192"/>
        </w:trPr>
        <w:tc>
          <w:tcPr>
            <w:tcW w:w="1329" w:type="dxa"/>
            <w:tcBorders>
              <w:top w:val="single" w:sz="18" w:space="0" w:color="auto"/>
              <w:left w:val="nil"/>
              <w:bottom w:val="nil"/>
              <w:right w:val="nil"/>
            </w:tcBorders>
            <w:shd w:val="clear" w:color="000000" w:fill="FFFFFF"/>
            <w:noWrap/>
            <w:vAlign w:val="bottom"/>
            <w:hideMark/>
          </w:tcPr>
          <w:p w14:paraId="706E28C8" w14:textId="77777777" w:rsidR="006C7206" w:rsidRPr="00D618B7" w:rsidRDefault="006C7206" w:rsidP="004B11B7">
            <w:pPr>
              <w:rPr>
                <w:color w:val="000000"/>
                <w:sz w:val="20"/>
                <w:szCs w:val="20"/>
              </w:rPr>
            </w:pPr>
            <w:r w:rsidRPr="00D618B7">
              <w:rPr>
                <w:color w:val="000000"/>
                <w:sz w:val="20"/>
                <w:szCs w:val="20"/>
              </w:rPr>
              <w:t> </w:t>
            </w:r>
          </w:p>
        </w:tc>
        <w:tc>
          <w:tcPr>
            <w:tcW w:w="7476" w:type="dxa"/>
            <w:gridSpan w:val="6"/>
            <w:tcBorders>
              <w:top w:val="single" w:sz="18" w:space="0" w:color="auto"/>
              <w:left w:val="nil"/>
              <w:bottom w:val="nil"/>
              <w:right w:val="nil"/>
            </w:tcBorders>
            <w:shd w:val="clear" w:color="000000" w:fill="FFFFFF"/>
            <w:noWrap/>
            <w:vAlign w:val="center"/>
            <w:hideMark/>
          </w:tcPr>
          <w:p w14:paraId="4D1F6F40" w14:textId="77777777" w:rsidR="006C7206" w:rsidRPr="00D618B7" w:rsidRDefault="006C7206" w:rsidP="004B11B7">
            <w:pPr>
              <w:jc w:val="center"/>
              <w:rPr>
                <w:color w:val="000000"/>
                <w:sz w:val="20"/>
                <w:szCs w:val="20"/>
              </w:rPr>
            </w:pPr>
            <w:r w:rsidRPr="00D618B7">
              <w:rPr>
                <w:color w:val="000000"/>
                <w:sz w:val="20"/>
                <w:szCs w:val="20"/>
              </w:rPr>
              <w:t>Toy-out-of-Reach</w:t>
            </w:r>
          </w:p>
        </w:tc>
      </w:tr>
      <w:tr w:rsidR="004C396F" w:rsidRPr="00D618B7" w14:paraId="4AB22C60" w14:textId="77777777" w:rsidTr="004C396F">
        <w:trPr>
          <w:trHeight w:val="192"/>
        </w:trPr>
        <w:tc>
          <w:tcPr>
            <w:tcW w:w="1329" w:type="dxa"/>
            <w:tcBorders>
              <w:top w:val="nil"/>
              <w:left w:val="nil"/>
              <w:bottom w:val="nil"/>
              <w:right w:val="nil"/>
            </w:tcBorders>
            <w:shd w:val="clear" w:color="000000" w:fill="FFFFFF"/>
            <w:vAlign w:val="center"/>
            <w:hideMark/>
          </w:tcPr>
          <w:p w14:paraId="5B33F14D" w14:textId="77777777" w:rsidR="006C7206" w:rsidRPr="00D618B7" w:rsidRDefault="006C7206" w:rsidP="004B11B7">
            <w:pPr>
              <w:jc w:val="right"/>
              <w:rPr>
                <w:color w:val="000000"/>
                <w:sz w:val="20"/>
                <w:szCs w:val="20"/>
              </w:rPr>
            </w:pPr>
            <w:r w:rsidRPr="00D618B7">
              <w:rPr>
                <w:color w:val="000000"/>
                <w:sz w:val="20"/>
                <w:szCs w:val="20"/>
              </w:rPr>
              <w:t>-5</w:t>
            </w:r>
          </w:p>
        </w:tc>
        <w:tc>
          <w:tcPr>
            <w:tcW w:w="1026" w:type="dxa"/>
            <w:tcBorders>
              <w:top w:val="nil"/>
              <w:left w:val="nil"/>
              <w:bottom w:val="nil"/>
              <w:right w:val="nil"/>
            </w:tcBorders>
            <w:shd w:val="clear" w:color="000000" w:fill="FFFFFF"/>
            <w:noWrap/>
            <w:vAlign w:val="center"/>
            <w:hideMark/>
          </w:tcPr>
          <w:p w14:paraId="72BD003E" w14:textId="77777777" w:rsidR="006C7206" w:rsidRPr="00D618B7" w:rsidRDefault="006C7206" w:rsidP="004B11B7">
            <w:pPr>
              <w:jc w:val="right"/>
              <w:rPr>
                <w:color w:val="000000"/>
                <w:sz w:val="20"/>
                <w:szCs w:val="20"/>
              </w:rPr>
            </w:pPr>
            <w:r w:rsidRPr="00D618B7">
              <w:rPr>
                <w:color w:val="000000"/>
                <w:sz w:val="20"/>
                <w:szCs w:val="20"/>
              </w:rPr>
              <w:t>462.61</w:t>
            </w:r>
          </w:p>
        </w:tc>
        <w:tc>
          <w:tcPr>
            <w:tcW w:w="1091" w:type="dxa"/>
            <w:tcBorders>
              <w:top w:val="nil"/>
              <w:left w:val="nil"/>
              <w:bottom w:val="nil"/>
              <w:right w:val="nil"/>
            </w:tcBorders>
            <w:shd w:val="clear" w:color="000000" w:fill="FFFFFF"/>
            <w:noWrap/>
            <w:vAlign w:val="center"/>
            <w:hideMark/>
          </w:tcPr>
          <w:p w14:paraId="57BF5298" w14:textId="77777777" w:rsidR="006C7206" w:rsidRPr="00D618B7" w:rsidRDefault="006C7206" w:rsidP="004B11B7">
            <w:pPr>
              <w:jc w:val="right"/>
              <w:rPr>
                <w:color w:val="000000"/>
                <w:sz w:val="20"/>
                <w:szCs w:val="20"/>
              </w:rPr>
            </w:pPr>
            <w:r w:rsidRPr="00D618B7">
              <w:rPr>
                <w:color w:val="000000"/>
                <w:sz w:val="20"/>
                <w:szCs w:val="20"/>
              </w:rPr>
              <w:t>426.42</w:t>
            </w:r>
          </w:p>
        </w:tc>
        <w:tc>
          <w:tcPr>
            <w:tcW w:w="1550" w:type="dxa"/>
            <w:tcBorders>
              <w:top w:val="nil"/>
              <w:left w:val="nil"/>
              <w:bottom w:val="nil"/>
              <w:right w:val="nil"/>
            </w:tcBorders>
            <w:shd w:val="clear" w:color="000000" w:fill="FFFFFF"/>
            <w:noWrap/>
            <w:vAlign w:val="center"/>
            <w:hideMark/>
          </w:tcPr>
          <w:p w14:paraId="61D065A9" w14:textId="77777777" w:rsidR="006C7206" w:rsidRPr="00D618B7" w:rsidRDefault="006C7206" w:rsidP="004B11B7">
            <w:pPr>
              <w:jc w:val="right"/>
              <w:rPr>
                <w:color w:val="000000"/>
                <w:sz w:val="20"/>
                <w:szCs w:val="20"/>
              </w:rPr>
            </w:pPr>
            <w:r w:rsidRPr="00D618B7">
              <w:rPr>
                <w:color w:val="000000"/>
                <w:sz w:val="20"/>
                <w:szCs w:val="20"/>
              </w:rPr>
              <w:t>-14.33</w:t>
            </w:r>
          </w:p>
        </w:tc>
        <w:tc>
          <w:tcPr>
            <w:tcW w:w="1080" w:type="dxa"/>
            <w:tcBorders>
              <w:top w:val="nil"/>
              <w:left w:val="nil"/>
              <w:bottom w:val="nil"/>
              <w:right w:val="nil"/>
            </w:tcBorders>
            <w:shd w:val="clear" w:color="000000" w:fill="FFFFFF"/>
            <w:noWrap/>
            <w:vAlign w:val="center"/>
            <w:hideMark/>
          </w:tcPr>
          <w:p w14:paraId="12D8F970" w14:textId="77777777" w:rsidR="006C7206" w:rsidRPr="00D618B7" w:rsidRDefault="006C7206" w:rsidP="004B11B7">
            <w:pPr>
              <w:jc w:val="right"/>
              <w:rPr>
                <w:color w:val="000000"/>
                <w:sz w:val="20"/>
                <w:szCs w:val="20"/>
              </w:rPr>
            </w:pPr>
            <w:r w:rsidRPr="00D618B7">
              <w:rPr>
                <w:color w:val="000000"/>
                <w:sz w:val="20"/>
                <w:szCs w:val="20"/>
              </w:rPr>
              <w:t>419.24</w:t>
            </w:r>
          </w:p>
        </w:tc>
        <w:tc>
          <w:tcPr>
            <w:tcW w:w="1606" w:type="dxa"/>
            <w:tcBorders>
              <w:top w:val="nil"/>
              <w:left w:val="nil"/>
              <w:bottom w:val="nil"/>
              <w:right w:val="nil"/>
            </w:tcBorders>
            <w:shd w:val="clear" w:color="000000" w:fill="FFFFFF"/>
            <w:noWrap/>
            <w:vAlign w:val="center"/>
            <w:hideMark/>
          </w:tcPr>
          <w:p w14:paraId="28E5E686" w14:textId="77777777" w:rsidR="006C7206" w:rsidRPr="00D618B7" w:rsidRDefault="006C7206" w:rsidP="004B11B7">
            <w:pPr>
              <w:jc w:val="right"/>
              <w:rPr>
                <w:color w:val="000000"/>
                <w:sz w:val="20"/>
                <w:szCs w:val="20"/>
              </w:rPr>
            </w:pPr>
            <w:r w:rsidRPr="00D618B7">
              <w:rPr>
                <w:color w:val="000000"/>
                <w:sz w:val="20"/>
                <w:szCs w:val="20"/>
              </w:rPr>
              <w:t>533.71</w:t>
            </w:r>
          </w:p>
        </w:tc>
        <w:tc>
          <w:tcPr>
            <w:tcW w:w="1120" w:type="dxa"/>
            <w:tcBorders>
              <w:top w:val="nil"/>
              <w:left w:val="nil"/>
              <w:bottom w:val="nil"/>
              <w:right w:val="nil"/>
            </w:tcBorders>
            <w:shd w:val="clear" w:color="000000" w:fill="FFFFFF"/>
            <w:noWrap/>
            <w:vAlign w:val="center"/>
            <w:hideMark/>
          </w:tcPr>
          <w:p w14:paraId="16C97C4C" w14:textId="77777777" w:rsidR="006C7206" w:rsidRPr="00D618B7" w:rsidRDefault="006C7206" w:rsidP="004B11B7">
            <w:pPr>
              <w:jc w:val="right"/>
              <w:rPr>
                <w:color w:val="000000"/>
                <w:sz w:val="20"/>
                <w:szCs w:val="20"/>
              </w:rPr>
            </w:pPr>
            <w:r w:rsidRPr="00D618B7">
              <w:rPr>
                <w:color w:val="000000"/>
                <w:sz w:val="20"/>
                <w:szCs w:val="20"/>
              </w:rPr>
              <w:t>448.36</w:t>
            </w:r>
          </w:p>
        </w:tc>
      </w:tr>
      <w:tr w:rsidR="004C396F" w:rsidRPr="00D618B7" w14:paraId="0C0A1A85" w14:textId="77777777" w:rsidTr="004C396F">
        <w:trPr>
          <w:trHeight w:val="192"/>
        </w:trPr>
        <w:tc>
          <w:tcPr>
            <w:tcW w:w="1329" w:type="dxa"/>
            <w:tcBorders>
              <w:top w:val="nil"/>
              <w:left w:val="nil"/>
              <w:bottom w:val="nil"/>
              <w:right w:val="nil"/>
            </w:tcBorders>
            <w:shd w:val="clear" w:color="000000" w:fill="FFFFFF"/>
            <w:vAlign w:val="center"/>
            <w:hideMark/>
          </w:tcPr>
          <w:p w14:paraId="305D44A1" w14:textId="77777777" w:rsidR="006C7206" w:rsidRPr="00D618B7" w:rsidRDefault="006C7206" w:rsidP="004B11B7">
            <w:pPr>
              <w:jc w:val="right"/>
              <w:rPr>
                <w:color w:val="000000"/>
                <w:sz w:val="20"/>
                <w:szCs w:val="20"/>
              </w:rPr>
            </w:pPr>
            <w:r w:rsidRPr="00D618B7">
              <w:rPr>
                <w:color w:val="000000"/>
                <w:sz w:val="20"/>
                <w:szCs w:val="20"/>
              </w:rPr>
              <w:t>-4</w:t>
            </w:r>
          </w:p>
        </w:tc>
        <w:tc>
          <w:tcPr>
            <w:tcW w:w="1026" w:type="dxa"/>
            <w:tcBorders>
              <w:top w:val="nil"/>
              <w:left w:val="nil"/>
              <w:bottom w:val="nil"/>
              <w:right w:val="nil"/>
            </w:tcBorders>
            <w:shd w:val="clear" w:color="000000" w:fill="FFFFFF"/>
            <w:noWrap/>
            <w:vAlign w:val="center"/>
            <w:hideMark/>
          </w:tcPr>
          <w:p w14:paraId="051EA198" w14:textId="77777777" w:rsidR="006C7206" w:rsidRPr="00D618B7" w:rsidRDefault="006C7206" w:rsidP="004B11B7">
            <w:pPr>
              <w:jc w:val="right"/>
              <w:rPr>
                <w:color w:val="000000"/>
                <w:sz w:val="20"/>
                <w:szCs w:val="20"/>
              </w:rPr>
            </w:pPr>
            <w:r w:rsidRPr="00D618B7">
              <w:rPr>
                <w:color w:val="000000"/>
                <w:sz w:val="20"/>
                <w:szCs w:val="20"/>
              </w:rPr>
              <w:t>79.51</w:t>
            </w:r>
          </w:p>
        </w:tc>
        <w:tc>
          <w:tcPr>
            <w:tcW w:w="1091" w:type="dxa"/>
            <w:tcBorders>
              <w:top w:val="nil"/>
              <w:left w:val="nil"/>
              <w:bottom w:val="nil"/>
              <w:right w:val="nil"/>
            </w:tcBorders>
            <w:shd w:val="clear" w:color="000000" w:fill="FFFFFF"/>
            <w:noWrap/>
            <w:vAlign w:val="center"/>
            <w:hideMark/>
          </w:tcPr>
          <w:p w14:paraId="0329F42D" w14:textId="77777777" w:rsidR="006C7206" w:rsidRPr="00D618B7" w:rsidRDefault="006C7206" w:rsidP="004B11B7">
            <w:pPr>
              <w:jc w:val="right"/>
              <w:rPr>
                <w:color w:val="000000"/>
                <w:sz w:val="20"/>
                <w:szCs w:val="20"/>
              </w:rPr>
            </w:pPr>
            <w:r w:rsidRPr="00D618B7">
              <w:rPr>
                <w:color w:val="000000"/>
                <w:sz w:val="20"/>
                <w:szCs w:val="20"/>
              </w:rPr>
              <w:t>439.34</w:t>
            </w:r>
          </w:p>
        </w:tc>
        <w:tc>
          <w:tcPr>
            <w:tcW w:w="1550" w:type="dxa"/>
            <w:tcBorders>
              <w:top w:val="nil"/>
              <w:left w:val="nil"/>
              <w:bottom w:val="nil"/>
              <w:right w:val="nil"/>
            </w:tcBorders>
            <w:shd w:val="clear" w:color="000000" w:fill="FFFFFF"/>
            <w:noWrap/>
            <w:vAlign w:val="center"/>
            <w:hideMark/>
          </w:tcPr>
          <w:p w14:paraId="7B891F69" w14:textId="77777777" w:rsidR="006C7206" w:rsidRPr="00D618B7" w:rsidRDefault="006C7206" w:rsidP="004B11B7">
            <w:pPr>
              <w:jc w:val="right"/>
              <w:rPr>
                <w:color w:val="000000"/>
                <w:sz w:val="20"/>
                <w:szCs w:val="20"/>
              </w:rPr>
            </w:pPr>
            <w:r w:rsidRPr="00D618B7">
              <w:rPr>
                <w:color w:val="000000"/>
                <w:sz w:val="20"/>
                <w:szCs w:val="20"/>
              </w:rPr>
              <w:t>175.46</w:t>
            </w:r>
          </w:p>
        </w:tc>
        <w:tc>
          <w:tcPr>
            <w:tcW w:w="1080" w:type="dxa"/>
            <w:tcBorders>
              <w:top w:val="nil"/>
              <w:left w:val="nil"/>
              <w:bottom w:val="nil"/>
              <w:right w:val="nil"/>
            </w:tcBorders>
            <w:shd w:val="clear" w:color="000000" w:fill="FFFFFF"/>
            <w:noWrap/>
            <w:vAlign w:val="center"/>
            <w:hideMark/>
          </w:tcPr>
          <w:p w14:paraId="568700C6" w14:textId="77777777" w:rsidR="006C7206" w:rsidRPr="00D618B7" w:rsidRDefault="006C7206" w:rsidP="004B11B7">
            <w:pPr>
              <w:jc w:val="right"/>
              <w:rPr>
                <w:color w:val="000000"/>
                <w:sz w:val="20"/>
                <w:szCs w:val="20"/>
              </w:rPr>
            </w:pPr>
            <w:r w:rsidRPr="00D618B7">
              <w:rPr>
                <w:color w:val="000000"/>
                <w:sz w:val="20"/>
                <w:szCs w:val="20"/>
              </w:rPr>
              <w:t>435.72</w:t>
            </w:r>
          </w:p>
        </w:tc>
        <w:tc>
          <w:tcPr>
            <w:tcW w:w="1606" w:type="dxa"/>
            <w:tcBorders>
              <w:top w:val="nil"/>
              <w:left w:val="nil"/>
              <w:bottom w:val="nil"/>
              <w:right w:val="nil"/>
            </w:tcBorders>
            <w:shd w:val="clear" w:color="000000" w:fill="FFFFFF"/>
            <w:noWrap/>
            <w:vAlign w:val="center"/>
            <w:hideMark/>
          </w:tcPr>
          <w:p w14:paraId="14357FA1" w14:textId="77777777" w:rsidR="006C7206" w:rsidRPr="00D618B7" w:rsidRDefault="006C7206" w:rsidP="004B11B7">
            <w:pPr>
              <w:jc w:val="right"/>
              <w:rPr>
                <w:color w:val="000000"/>
                <w:sz w:val="20"/>
                <w:szCs w:val="20"/>
              </w:rPr>
            </w:pPr>
            <w:r w:rsidRPr="00D618B7">
              <w:rPr>
                <w:color w:val="000000"/>
                <w:sz w:val="20"/>
                <w:szCs w:val="20"/>
              </w:rPr>
              <w:t>-149.42</w:t>
            </w:r>
          </w:p>
        </w:tc>
        <w:tc>
          <w:tcPr>
            <w:tcW w:w="1120" w:type="dxa"/>
            <w:tcBorders>
              <w:top w:val="nil"/>
              <w:left w:val="nil"/>
              <w:bottom w:val="nil"/>
              <w:right w:val="nil"/>
            </w:tcBorders>
            <w:shd w:val="clear" w:color="000000" w:fill="FFFFFF"/>
            <w:noWrap/>
            <w:vAlign w:val="center"/>
            <w:hideMark/>
          </w:tcPr>
          <w:p w14:paraId="636DF2D7" w14:textId="77777777" w:rsidR="006C7206" w:rsidRPr="00D618B7" w:rsidRDefault="006C7206" w:rsidP="004B11B7">
            <w:pPr>
              <w:jc w:val="right"/>
              <w:rPr>
                <w:color w:val="000000"/>
                <w:sz w:val="20"/>
                <w:szCs w:val="20"/>
              </w:rPr>
            </w:pPr>
            <w:r w:rsidRPr="00D618B7">
              <w:rPr>
                <w:color w:val="000000"/>
                <w:sz w:val="20"/>
                <w:szCs w:val="20"/>
              </w:rPr>
              <w:t>460.66</w:t>
            </w:r>
          </w:p>
        </w:tc>
      </w:tr>
      <w:tr w:rsidR="004C396F" w:rsidRPr="00D618B7" w14:paraId="6E7CE80A" w14:textId="77777777" w:rsidTr="004C396F">
        <w:trPr>
          <w:trHeight w:val="192"/>
        </w:trPr>
        <w:tc>
          <w:tcPr>
            <w:tcW w:w="1329" w:type="dxa"/>
            <w:tcBorders>
              <w:top w:val="nil"/>
              <w:left w:val="nil"/>
              <w:bottom w:val="nil"/>
              <w:right w:val="nil"/>
            </w:tcBorders>
            <w:shd w:val="clear" w:color="000000" w:fill="FFFFFF"/>
            <w:vAlign w:val="center"/>
            <w:hideMark/>
          </w:tcPr>
          <w:p w14:paraId="7AA80FD1" w14:textId="77777777" w:rsidR="006C7206" w:rsidRPr="00D618B7" w:rsidRDefault="006C7206" w:rsidP="004B11B7">
            <w:pPr>
              <w:jc w:val="right"/>
              <w:rPr>
                <w:color w:val="000000"/>
                <w:sz w:val="20"/>
                <w:szCs w:val="20"/>
              </w:rPr>
            </w:pPr>
            <w:r w:rsidRPr="00D618B7">
              <w:rPr>
                <w:color w:val="000000"/>
                <w:sz w:val="20"/>
                <w:szCs w:val="20"/>
              </w:rPr>
              <w:t>-3</w:t>
            </w:r>
          </w:p>
        </w:tc>
        <w:tc>
          <w:tcPr>
            <w:tcW w:w="1026" w:type="dxa"/>
            <w:tcBorders>
              <w:top w:val="nil"/>
              <w:left w:val="nil"/>
              <w:bottom w:val="nil"/>
              <w:right w:val="nil"/>
            </w:tcBorders>
            <w:shd w:val="clear" w:color="000000" w:fill="FFFFFF"/>
            <w:noWrap/>
            <w:vAlign w:val="center"/>
            <w:hideMark/>
          </w:tcPr>
          <w:p w14:paraId="1C73CB46" w14:textId="77777777" w:rsidR="006C7206" w:rsidRPr="00D618B7" w:rsidRDefault="006C7206" w:rsidP="004B11B7">
            <w:pPr>
              <w:jc w:val="right"/>
              <w:rPr>
                <w:color w:val="000000"/>
                <w:sz w:val="20"/>
                <w:szCs w:val="20"/>
              </w:rPr>
            </w:pPr>
            <w:r w:rsidRPr="00D618B7">
              <w:rPr>
                <w:color w:val="000000"/>
                <w:sz w:val="20"/>
                <w:szCs w:val="20"/>
              </w:rPr>
              <w:t>942.75</w:t>
            </w:r>
          </w:p>
        </w:tc>
        <w:tc>
          <w:tcPr>
            <w:tcW w:w="1091" w:type="dxa"/>
            <w:tcBorders>
              <w:top w:val="nil"/>
              <w:left w:val="nil"/>
              <w:bottom w:val="nil"/>
              <w:right w:val="nil"/>
            </w:tcBorders>
            <w:shd w:val="clear" w:color="000000" w:fill="FFFFFF"/>
            <w:noWrap/>
            <w:vAlign w:val="center"/>
            <w:hideMark/>
          </w:tcPr>
          <w:p w14:paraId="214A0A22" w14:textId="77777777" w:rsidR="006C7206" w:rsidRPr="00D618B7" w:rsidRDefault="006C7206" w:rsidP="004B11B7">
            <w:pPr>
              <w:jc w:val="right"/>
              <w:rPr>
                <w:color w:val="000000"/>
                <w:sz w:val="20"/>
                <w:szCs w:val="20"/>
              </w:rPr>
            </w:pPr>
            <w:r w:rsidRPr="00D618B7">
              <w:rPr>
                <w:color w:val="000000"/>
                <w:sz w:val="20"/>
                <w:szCs w:val="20"/>
              </w:rPr>
              <w:t>441.05</w:t>
            </w:r>
          </w:p>
        </w:tc>
        <w:tc>
          <w:tcPr>
            <w:tcW w:w="1550" w:type="dxa"/>
            <w:tcBorders>
              <w:top w:val="nil"/>
              <w:left w:val="nil"/>
              <w:bottom w:val="nil"/>
              <w:right w:val="nil"/>
            </w:tcBorders>
            <w:shd w:val="clear" w:color="000000" w:fill="FFFFFF"/>
            <w:noWrap/>
            <w:vAlign w:val="center"/>
            <w:hideMark/>
          </w:tcPr>
          <w:p w14:paraId="30737BB1" w14:textId="77777777" w:rsidR="006C7206" w:rsidRPr="00D618B7" w:rsidRDefault="006C7206" w:rsidP="004B11B7">
            <w:pPr>
              <w:jc w:val="right"/>
              <w:rPr>
                <w:color w:val="000000"/>
                <w:sz w:val="20"/>
                <w:szCs w:val="20"/>
              </w:rPr>
            </w:pPr>
            <w:r w:rsidRPr="00D618B7">
              <w:rPr>
                <w:color w:val="000000"/>
                <w:sz w:val="20"/>
                <w:szCs w:val="20"/>
              </w:rPr>
              <w:t>-107.19</w:t>
            </w:r>
          </w:p>
        </w:tc>
        <w:tc>
          <w:tcPr>
            <w:tcW w:w="1080" w:type="dxa"/>
            <w:tcBorders>
              <w:top w:val="nil"/>
              <w:left w:val="nil"/>
              <w:bottom w:val="nil"/>
              <w:right w:val="nil"/>
            </w:tcBorders>
            <w:shd w:val="clear" w:color="000000" w:fill="FFFFFF"/>
            <w:noWrap/>
            <w:vAlign w:val="center"/>
            <w:hideMark/>
          </w:tcPr>
          <w:p w14:paraId="595CF7C3" w14:textId="77777777" w:rsidR="006C7206" w:rsidRPr="00D618B7" w:rsidRDefault="006C7206" w:rsidP="004B11B7">
            <w:pPr>
              <w:jc w:val="right"/>
              <w:rPr>
                <w:color w:val="000000"/>
                <w:sz w:val="20"/>
                <w:szCs w:val="20"/>
              </w:rPr>
            </w:pPr>
            <w:r w:rsidRPr="00D618B7">
              <w:rPr>
                <w:color w:val="000000"/>
                <w:sz w:val="20"/>
                <w:szCs w:val="20"/>
              </w:rPr>
              <w:t>437.15</w:t>
            </w:r>
          </w:p>
        </w:tc>
        <w:tc>
          <w:tcPr>
            <w:tcW w:w="1606" w:type="dxa"/>
            <w:tcBorders>
              <w:top w:val="nil"/>
              <w:left w:val="nil"/>
              <w:bottom w:val="nil"/>
              <w:right w:val="nil"/>
            </w:tcBorders>
            <w:shd w:val="clear" w:color="000000" w:fill="FFFFFF"/>
            <w:noWrap/>
            <w:vAlign w:val="center"/>
            <w:hideMark/>
          </w:tcPr>
          <w:p w14:paraId="5E99D219" w14:textId="77777777" w:rsidR="006C7206" w:rsidRPr="00D618B7" w:rsidRDefault="006C7206" w:rsidP="004B11B7">
            <w:pPr>
              <w:jc w:val="right"/>
              <w:rPr>
                <w:color w:val="000000"/>
                <w:sz w:val="20"/>
                <w:szCs w:val="20"/>
              </w:rPr>
            </w:pPr>
            <w:r w:rsidRPr="00D618B7">
              <w:rPr>
                <w:color w:val="000000"/>
                <w:sz w:val="20"/>
                <w:szCs w:val="20"/>
              </w:rPr>
              <w:t>2350.90</w:t>
            </w:r>
          </w:p>
        </w:tc>
        <w:tc>
          <w:tcPr>
            <w:tcW w:w="1120" w:type="dxa"/>
            <w:tcBorders>
              <w:top w:val="nil"/>
              <w:left w:val="nil"/>
              <w:bottom w:val="nil"/>
              <w:right w:val="nil"/>
            </w:tcBorders>
            <w:shd w:val="clear" w:color="000000" w:fill="FFFFFF"/>
            <w:noWrap/>
            <w:vAlign w:val="center"/>
            <w:hideMark/>
          </w:tcPr>
          <w:p w14:paraId="4E1DF641" w14:textId="77777777" w:rsidR="006C7206" w:rsidRPr="00D618B7" w:rsidRDefault="006C7206" w:rsidP="004B11B7">
            <w:pPr>
              <w:jc w:val="right"/>
              <w:rPr>
                <w:color w:val="000000"/>
                <w:sz w:val="20"/>
                <w:szCs w:val="20"/>
              </w:rPr>
            </w:pPr>
            <w:r w:rsidRPr="00D618B7">
              <w:rPr>
                <w:color w:val="000000"/>
                <w:sz w:val="20"/>
                <w:szCs w:val="20"/>
              </w:rPr>
              <w:t>461.63</w:t>
            </w:r>
          </w:p>
        </w:tc>
      </w:tr>
      <w:tr w:rsidR="004C396F" w:rsidRPr="00D618B7" w14:paraId="2D2F14B9" w14:textId="77777777" w:rsidTr="004C396F">
        <w:trPr>
          <w:trHeight w:val="192"/>
        </w:trPr>
        <w:tc>
          <w:tcPr>
            <w:tcW w:w="1329" w:type="dxa"/>
            <w:tcBorders>
              <w:top w:val="nil"/>
              <w:left w:val="nil"/>
              <w:bottom w:val="nil"/>
              <w:right w:val="nil"/>
            </w:tcBorders>
            <w:shd w:val="clear" w:color="000000" w:fill="FFFFFF"/>
            <w:vAlign w:val="center"/>
            <w:hideMark/>
          </w:tcPr>
          <w:p w14:paraId="48DEABF6" w14:textId="77777777" w:rsidR="006C7206" w:rsidRPr="00D618B7" w:rsidRDefault="006C7206" w:rsidP="004B11B7">
            <w:pPr>
              <w:jc w:val="right"/>
              <w:rPr>
                <w:color w:val="000000"/>
                <w:sz w:val="20"/>
                <w:szCs w:val="20"/>
              </w:rPr>
            </w:pPr>
            <w:r w:rsidRPr="00D618B7">
              <w:rPr>
                <w:color w:val="000000"/>
                <w:sz w:val="20"/>
                <w:szCs w:val="20"/>
              </w:rPr>
              <w:t>-2</w:t>
            </w:r>
          </w:p>
        </w:tc>
        <w:tc>
          <w:tcPr>
            <w:tcW w:w="1026" w:type="dxa"/>
            <w:tcBorders>
              <w:top w:val="nil"/>
              <w:left w:val="nil"/>
              <w:bottom w:val="nil"/>
              <w:right w:val="nil"/>
            </w:tcBorders>
            <w:shd w:val="clear" w:color="000000" w:fill="FFFFFF"/>
            <w:noWrap/>
            <w:vAlign w:val="center"/>
            <w:hideMark/>
          </w:tcPr>
          <w:p w14:paraId="2177DE9A" w14:textId="77777777" w:rsidR="006C7206" w:rsidRPr="00D618B7" w:rsidRDefault="006C7206" w:rsidP="004B11B7">
            <w:pPr>
              <w:jc w:val="right"/>
              <w:rPr>
                <w:color w:val="000000"/>
                <w:sz w:val="20"/>
                <w:szCs w:val="20"/>
              </w:rPr>
            </w:pPr>
            <w:r w:rsidRPr="00D618B7">
              <w:rPr>
                <w:color w:val="000000"/>
                <w:sz w:val="20"/>
                <w:szCs w:val="20"/>
              </w:rPr>
              <w:t>1.76</w:t>
            </w:r>
          </w:p>
        </w:tc>
        <w:tc>
          <w:tcPr>
            <w:tcW w:w="1091" w:type="dxa"/>
            <w:tcBorders>
              <w:top w:val="nil"/>
              <w:left w:val="nil"/>
              <w:bottom w:val="nil"/>
              <w:right w:val="nil"/>
            </w:tcBorders>
            <w:shd w:val="clear" w:color="000000" w:fill="FFFFFF"/>
            <w:noWrap/>
            <w:vAlign w:val="center"/>
            <w:hideMark/>
          </w:tcPr>
          <w:p w14:paraId="0EA37272" w14:textId="77777777" w:rsidR="006C7206" w:rsidRPr="00D618B7" w:rsidRDefault="006C7206" w:rsidP="004B11B7">
            <w:pPr>
              <w:jc w:val="right"/>
              <w:rPr>
                <w:color w:val="000000"/>
                <w:sz w:val="20"/>
                <w:szCs w:val="20"/>
              </w:rPr>
            </w:pPr>
            <w:r w:rsidRPr="00D618B7">
              <w:rPr>
                <w:color w:val="000000"/>
                <w:sz w:val="20"/>
                <w:szCs w:val="20"/>
              </w:rPr>
              <w:t>385.80</w:t>
            </w:r>
          </w:p>
        </w:tc>
        <w:tc>
          <w:tcPr>
            <w:tcW w:w="1550" w:type="dxa"/>
            <w:tcBorders>
              <w:top w:val="nil"/>
              <w:left w:val="nil"/>
              <w:bottom w:val="nil"/>
              <w:right w:val="nil"/>
            </w:tcBorders>
            <w:shd w:val="clear" w:color="000000" w:fill="FFFFFF"/>
            <w:noWrap/>
            <w:vAlign w:val="center"/>
            <w:hideMark/>
          </w:tcPr>
          <w:p w14:paraId="2F6A313E" w14:textId="77777777" w:rsidR="006C7206" w:rsidRPr="00D618B7" w:rsidRDefault="006C7206" w:rsidP="004B11B7">
            <w:pPr>
              <w:jc w:val="right"/>
              <w:rPr>
                <w:color w:val="000000"/>
                <w:sz w:val="20"/>
                <w:szCs w:val="20"/>
              </w:rPr>
            </w:pPr>
            <w:r w:rsidRPr="00D618B7">
              <w:rPr>
                <w:color w:val="000000"/>
                <w:sz w:val="20"/>
                <w:szCs w:val="20"/>
              </w:rPr>
              <w:t>-60.76</w:t>
            </w:r>
          </w:p>
        </w:tc>
        <w:tc>
          <w:tcPr>
            <w:tcW w:w="1080" w:type="dxa"/>
            <w:tcBorders>
              <w:top w:val="nil"/>
              <w:left w:val="nil"/>
              <w:bottom w:val="nil"/>
              <w:right w:val="nil"/>
            </w:tcBorders>
            <w:shd w:val="clear" w:color="000000" w:fill="FFFFFF"/>
            <w:noWrap/>
            <w:vAlign w:val="center"/>
            <w:hideMark/>
          </w:tcPr>
          <w:p w14:paraId="17EFE959" w14:textId="77777777" w:rsidR="006C7206" w:rsidRPr="00D618B7" w:rsidRDefault="006C7206" w:rsidP="004B11B7">
            <w:pPr>
              <w:jc w:val="right"/>
              <w:rPr>
                <w:color w:val="000000"/>
                <w:sz w:val="20"/>
                <w:szCs w:val="20"/>
              </w:rPr>
            </w:pPr>
            <w:r w:rsidRPr="00D618B7">
              <w:rPr>
                <w:color w:val="000000"/>
                <w:sz w:val="20"/>
                <w:szCs w:val="20"/>
              </w:rPr>
              <w:t>381.20</w:t>
            </w:r>
          </w:p>
        </w:tc>
        <w:tc>
          <w:tcPr>
            <w:tcW w:w="1606" w:type="dxa"/>
            <w:tcBorders>
              <w:top w:val="nil"/>
              <w:left w:val="nil"/>
              <w:bottom w:val="nil"/>
              <w:right w:val="nil"/>
            </w:tcBorders>
            <w:shd w:val="clear" w:color="000000" w:fill="FFFFFF"/>
            <w:noWrap/>
            <w:vAlign w:val="center"/>
            <w:hideMark/>
          </w:tcPr>
          <w:p w14:paraId="69D7BC4B" w14:textId="77777777" w:rsidR="006C7206" w:rsidRPr="00D618B7" w:rsidRDefault="006C7206" w:rsidP="004B11B7">
            <w:pPr>
              <w:jc w:val="right"/>
              <w:rPr>
                <w:color w:val="000000"/>
                <w:sz w:val="20"/>
                <w:szCs w:val="20"/>
              </w:rPr>
            </w:pPr>
            <w:r w:rsidRPr="00D618B7">
              <w:rPr>
                <w:color w:val="000000"/>
                <w:sz w:val="20"/>
                <w:szCs w:val="20"/>
              </w:rPr>
              <w:t>419.35</w:t>
            </w:r>
          </w:p>
        </w:tc>
        <w:tc>
          <w:tcPr>
            <w:tcW w:w="1120" w:type="dxa"/>
            <w:tcBorders>
              <w:top w:val="nil"/>
              <w:left w:val="nil"/>
              <w:bottom w:val="nil"/>
              <w:right w:val="nil"/>
            </w:tcBorders>
            <w:shd w:val="clear" w:color="000000" w:fill="FFFFFF"/>
            <w:noWrap/>
            <w:vAlign w:val="center"/>
            <w:hideMark/>
          </w:tcPr>
          <w:p w14:paraId="145F7598" w14:textId="77777777" w:rsidR="006C7206" w:rsidRPr="00D618B7" w:rsidRDefault="006C7206" w:rsidP="004B11B7">
            <w:pPr>
              <w:jc w:val="right"/>
              <w:rPr>
                <w:color w:val="000000"/>
                <w:sz w:val="20"/>
                <w:szCs w:val="20"/>
              </w:rPr>
            </w:pPr>
            <w:r w:rsidRPr="00D618B7">
              <w:rPr>
                <w:color w:val="000000"/>
                <w:sz w:val="20"/>
                <w:szCs w:val="20"/>
              </w:rPr>
              <w:t>412.96</w:t>
            </w:r>
          </w:p>
        </w:tc>
      </w:tr>
      <w:tr w:rsidR="004C396F" w:rsidRPr="00D618B7" w14:paraId="47F315DE" w14:textId="77777777" w:rsidTr="004C396F">
        <w:trPr>
          <w:trHeight w:val="192"/>
        </w:trPr>
        <w:tc>
          <w:tcPr>
            <w:tcW w:w="1329" w:type="dxa"/>
            <w:tcBorders>
              <w:top w:val="nil"/>
              <w:left w:val="nil"/>
              <w:bottom w:val="nil"/>
              <w:right w:val="nil"/>
            </w:tcBorders>
            <w:shd w:val="clear" w:color="000000" w:fill="FFFFFF"/>
            <w:vAlign w:val="center"/>
            <w:hideMark/>
          </w:tcPr>
          <w:p w14:paraId="023AC225" w14:textId="77777777" w:rsidR="006C7206" w:rsidRPr="00D618B7" w:rsidRDefault="006C7206" w:rsidP="004B11B7">
            <w:pPr>
              <w:jc w:val="right"/>
              <w:rPr>
                <w:color w:val="000000"/>
                <w:sz w:val="20"/>
                <w:szCs w:val="20"/>
              </w:rPr>
            </w:pPr>
            <w:r w:rsidRPr="00D618B7">
              <w:rPr>
                <w:color w:val="000000"/>
                <w:sz w:val="20"/>
                <w:szCs w:val="20"/>
              </w:rPr>
              <w:t>-1</w:t>
            </w:r>
          </w:p>
        </w:tc>
        <w:tc>
          <w:tcPr>
            <w:tcW w:w="1026" w:type="dxa"/>
            <w:tcBorders>
              <w:top w:val="nil"/>
              <w:left w:val="nil"/>
              <w:bottom w:val="nil"/>
              <w:right w:val="nil"/>
            </w:tcBorders>
            <w:shd w:val="clear" w:color="000000" w:fill="FFFFFF"/>
            <w:noWrap/>
            <w:vAlign w:val="center"/>
            <w:hideMark/>
          </w:tcPr>
          <w:p w14:paraId="2336BD1D" w14:textId="77777777" w:rsidR="006C7206" w:rsidRPr="00D618B7" w:rsidRDefault="006C7206" w:rsidP="004B11B7">
            <w:pPr>
              <w:jc w:val="right"/>
              <w:rPr>
                <w:color w:val="000000"/>
                <w:sz w:val="20"/>
                <w:szCs w:val="20"/>
              </w:rPr>
            </w:pPr>
            <w:r w:rsidRPr="00D618B7">
              <w:rPr>
                <w:color w:val="000000"/>
                <w:sz w:val="20"/>
                <w:szCs w:val="20"/>
              </w:rPr>
              <w:t>108.46</w:t>
            </w:r>
          </w:p>
        </w:tc>
        <w:tc>
          <w:tcPr>
            <w:tcW w:w="1091" w:type="dxa"/>
            <w:tcBorders>
              <w:top w:val="nil"/>
              <w:left w:val="nil"/>
              <w:bottom w:val="nil"/>
              <w:right w:val="nil"/>
            </w:tcBorders>
            <w:shd w:val="clear" w:color="000000" w:fill="FFFFFF"/>
            <w:noWrap/>
            <w:vAlign w:val="center"/>
            <w:hideMark/>
          </w:tcPr>
          <w:p w14:paraId="0601D9CF" w14:textId="77777777" w:rsidR="006C7206" w:rsidRPr="00D618B7" w:rsidRDefault="006C7206" w:rsidP="004B11B7">
            <w:pPr>
              <w:jc w:val="right"/>
              <w:rPr>
                <w:color w:val="000000"/>
                <w:sz w:val="20"/>
                <w:szCs w:val="20"/>
              </w:rPr>
            </w:pPr>
            <w:r w:rsidRPr="00D618B7">
              <w:rPr>
                <w:color w:val="000000"/>
                <w:sz w:val="20"/>
                <w:szCs w:val="20"/>
              </w:rPr>
              <w:t>396.49</w:t>
            </w:r>
          </w:p>
        </w:tc>
        <w:tc>
          <w:tcPr>
            <w:tcW w:w="1550" w:type="dxa"/>
            <w:tcBorders>
              <w:top w:val="nil"/>
              <w:left w:val="nil"/>
              <w:bottom w:val="nil"/>
              <w:right w:val="nil"/>
            </w:tcBorders>
            <w:shd w:val="clear" w:color="000000" w:fill="FFFFFF"/>
            <w:noWrap/>
            <w:vAlign w:val="center"/>
            <w:hideMark/>
          </w:tcPr>
          <w:p w14:paraId="100D7D45" w14:textId="77777777" w:rsidR="006C7206" w:rsidRPr="00D618B7" w:rsidRDefault="006C7206" w:rsidP="004B11B7">
            <w:pPr>
              <w:jc w:val="right"/>
              <w:rPr>
                <w:color w:val="000000"/>
                <w:sz w:val="20"/>
                <w:szCs w:val="20"/>
              </w:rPr>
            </w:pPr>
            <w:r w:rsidRPr="00D618B7">
              <w:rPr>
                <w:color w:val="000000"/>
                <w:sz w:val="20"/>
                <w:szCs w:val="20"/>
              </w:rPr>
              <w:t>271.24</w:t>
            </w:r>
          </w:p>
        </w:tc>
        <w:tc>
          <w:tcPr>
            <w:tcW w:w="1080" w:type="dxa"/>
            <w:tcBorders>
              <w:top w:val="nil"/>
              <w:left w:val="nil"/>
              <w:bottom w:val="nil"/>
              <w:right w:val="nil"/>
            </w:tcBorders>
            <w:shd w:val="clear" w:color="000000" w:fill="FFFFFF"/>
            <w:noWrap/>
            <w:vAlign w:val="center"/>
            <w:hideMark/>
          </w:tcPr>
          <w:p w14:paraId="708B73D7" w14:textId="77777777" w:rsidR="006C7206" w:rsidRPr="00D618B7" w:rsidRDefault="006C7206" w:rsidP="004B11B7">
            <w:pPr>
              <w:jc w:val="right"/>
              <w:rPr>
                <w:color w:val="000000"/>
                <w:sz w:val="20"/>
                <w:szCs w:val="20"/>
              </w:rPr>
            </w:pPr>
            <w:r w:rsidRPr="00D618B7">
              <w:rPr>
                <w:color w:val="000000"/>
                <w:sz w:val="20"/>
                <w:szCs w:val="20"/>
              </w:rPr>
              <w:t>392.64</w:t>
            </w:r>
          </w:p>
        </w:tc>
        <w:tc>
          <w:tcPr>
            <w:tcW w:w="1606" w:type="dxa"/>
            <w:tcBorders>
              <w:top w:val="nil"/>
              <w:left w:val="nil"/>
              <w:bottom w:val="nil"/>
              <w:right w:val="nil"/>
            </w:tcBorders>
            <w:shd w:val="clear" w:color="000000" w:fill="FFFFFF"/>
            <w:noWrap/>
            <w:vAlign w:val="center"/>
            <w:hideMark/>
          </w:tcPr>
          <w:p w14:paraId="30E7ECA7" w14:textId="77777777" w:rsidR="006C7206" w:rsidRPr="00D618B7" w:rsidRDefault="006C7206" w:rsidP="004B11B7">
            <w:pPr>
              <w:jc w:val="right"/>
              <w:rPr>
                <w:color w:val="000000"/>
                <w:sz w:val="20"/>
                <w:szCs w:val="20"/>
              </w:rPr>
            </w:pPr>
            <w:r w:rsidRPr="00D618B7">
              <w:rPr>
                <w:color w:val="000000"/>
                <w:sz w:val="20"/>
                <w:szCs w:val="20"/>
              </w:rPr>
              <w:t>3726.46</w:t>
            </w:r>
          </w:p>
        </w:tc>
        <w:tc>
          <w:tcPr>
            <w:tcW w:w="1120" w:type="dxa"/>
            <w:tcBorders>
              <w:top w:val="nil"/>
              <w:left w:val="nil"/>
              <w:bottom w:val="nil"/>
              <w:right w:val="nil"/>
            </w:tcBorders>
            <w:shd w:val="clear" w:color="000000" w:fill="FFFFFF"/>
            <w:noWrap/>
            <w:vAlign w:val="center"/>
            <w:hideMark/>
          </w:tcPr>
          <w:p w14:paraId="4C6E8BB9" w14:textId="77777777" w:rsidR="006C7206" w:rsidRPr="00D618B7" w:rsidRDefault="006C7206" w:rsidP="004B11B7">
            <w:pPr>
              <w:jc w:val="right"/>
              <w:rPr>
                <w:color w:val="000000"/>
                <w:sz w:val="20"/>
                <w:szCs w:val="20"/>
              </w:rPr>
            </w:pPr>
            <w:r w:rsidRPr="00D618B7">
              <w:rPr>
                <w:color w:val="000000"/>
                <w:sz w:val="20"/>
                <w:szCs w:val="20"/>
              </w:rPr>
              <w:t>417.36</w:t>
            </w:r>
          </w:p>
        </w:tc>
      </w:tr>
      <w:tr w:rsidR="004C396F" w:rsidRPr="00D618B7" w14:paraId="6071DD07" w14:textId="77777777" w:rsidTr="004C396F">
        <w:trPr>
          <w:trHeight w:val="192"/>
        </w:trPr>
        <w:tc>
          <w:tcPr>
            <w:tcW w:w="1329" w:type="dxa"/>
            <w:tcBorders>
              <w:top w:val="nil"/>
              <w:left w:val="nil"/>
              <w:bottom w:val="nil"/>
              <w:right w:val="nil"/>
            </w:tcBorders>
            <w:shd w:val="clear" w:color="000000" w:fill="FFFFFF"/>
            <w:vAlign w:val="center"/>
            <w:hideMark/>
          </w:tcPr>
          <w:p w14:paraId="539AC16F" w14:textId="77777777" w:rsidR="006C7206" w:rsidRPr="00D618B7" w:rsidRDefault="006C7206" w:rsidP="004B11B7">
            <w:pPr>
              <w:jc w:val="right"/>
              <w:rPr>
                <w:color w:val="000000"/>
                <w:sz w:val="20"/>
                <w:szCs w:val="20"/>
              </w:rPr>
            </w:pPr>
            <w:r w:rsidRPr="00D618B7">
              <w:rPr>
                <w:color w:val="000000"/>
                <w:sz w:val="20"/>
                <w:szCs w:val="20"/>
              </w:rPr>
              <w:t>0</w:t>
            </w:r>
          </w:p>
        </w:tc>
        <w:tc>
          <w:tcPr>
            <w:tcW w:w="1026" w:type="dxa"/>
            <w:tcBorders>
              <w:top w:val="nil"/>
              <w:left w:val="nil"/>
              <w:bottom w:val="nil"/>
              <w:right w:val="nil"/>
            </w:tcBorders>
            <w:shd w:val="clear" w:color="000000" w:fill="FFFFFF"/>
            <w:noWrap/>
            <w:vAlign w:val="center"/>
            <w:hideMark/>
          </w:tcPr>
          <w:p w14:paraId="72FBACB7" w14:textId="77777777" w:rsidR="006C7206" w:rsidRPr="00D618B7" w:rsidRDefault="006C7206" w:rsidP="004B11B7">
            <w:pPr>
              <w:jc w:val="right"/>
              <w:rPr>
                <w:color w:val="000000"/>
                <w:sz w:val="20"/>
                <w:szCs w:val="20"/>
              </w:rPr>
            </w:pPr>
            <w:r w:rsidRPr="00D618B7">
              <w:rPr>
                <w:color w:val="000000"/>
                <w:sz w:val="20"/>
                <w:szCs w:val="20"/>
              </w:rPr>
              <w:t>4.55</w:t>
            </w:r>
          </w:p>
        </w:tc>
        <w:tc>
          <w:tcPr>
            <w:tcW w:w="1091" w:type="dxa"/>
            <w:tcBorders>
              <w:top w:val="nil"/>
              <w:left w:val="nil"/>
              <w:bottom w:val="nil"/>
              <w:right w:val="nil"/>
            </w:tcBorders>
            <w:shd w:val="clear" w:color="000000" w:fill="FFFFFF"/>
            <w:noWrap/>
            <w:vAlign w:val="center"/>
            <w:hideMark/>
          </w:tcPr>
          <w:p w14:paraId="3C1DF02D" w14:textId="77777777" w:rsidR="006C7206" w:rsidRPr="00D618B7" w:rsidRDefault="006C7206" w:rsidP="004B11B7">
            <w:pPr>
              <w:jc w:val="right"/>
              <w:rPr>
                <w:color w:val="000000"/>
                <w:sz w:val="20"/>
                <w:szCs w:val="20"/>
              </w:rPr>
            </w:pPr>
            <w:r w:rsidRPr="00D618B7">
              <w:rPr>
                <w:color w:val="000000"/>
                <w:sz w:val="20"/>
                <w:szCs w:val="20"/>
              </w:rPr>
              <w:t>359.10</w:t>
            </w:r>
          </w:p>
        </w:tc>
        <w:tc>
          <w:tcPr>
            <w:tcW w:w="1550" w:type="dxa"/>
            <w:tcBorders>
              <w:top w:val="nil"/>
              <w:left w:val="nil"/>
              <w:bottom w:val="nil"/>
              <w:right w:val="nil"/>
            </w:tcBorders>
            <w:shd w:val="clear" w:color="000000" w:fill="FFFFFF"/>
            <w:noWrap/>
            <w:vAlign w:val="center"/>
            <w:hideMark/>
          </w:tcPr>
          <w:p w14:paraId="6393C663" w14:textId="77777777" w:rsidR="006C7206" w:rsidRPr="00D618B7" w:rsidRDefault="006C7206" w:rsidP="004B11B7">
            <w:pPr>
              <w:jc w:val="right"/>
              <w:rPr>
                <w:color w:val="000000"/>
                <w:sz w:val="20"/>
                <w:szCs w:val="20"/>
              </w:rPr>
            </w:pPr>
            <w:r w:rsidRPr="00D618B7">
              <w:rPr>
                <w:color w:val="000000"/>
                <w:sz w:val="20"/>
                <w:szCs w:val="20"/>
              </w:rPr>
              <w:t>-481.87</w:t>
            </w:r>
          </w:p>
        </w:tc>
        <w:tc>
          <w:tcPr>
            <w:tcW w:w="1080" w:type="dxa"/>
            <w:tcBorders>
              <w:top w:val="nil"/>
              <w:left w:val="nil"/>
              <w:bottom w:val="nil"/>
              <w:right w:val="nil"/>
            </w:tcBorders>
            <w:shd w:val="clear" w:color="000000" w:fill="FFFFFF"/>
            <w:noWrap/>
            <w:vAlign w:val="center"/>
            <w:hideMark/>
          </w:tcPr>
          <w:p w14:paraId="372EAE37" w14:textId="77777777" w:rsidR="006C7206" w:rsidRPr="00D618B7" w:rsidRDefault="006C7206" w:rsidP="004B11B7">
            <w:pPr>
              <w:jc w:val="right"/>
              <w:rPr>
                <w:color w:val="000000"/>
                <w:sz w:val="20"/>
                <w:szCs w:val="20"/>
              </w:rPr>
            </w:pPr>
            <w:r w:rsidRPr="00D618B7">
              <w:rPr>
                <w:color w:val="000000"/>
                <w:sz w:val="20"/>
                <w:szCs w:val="20"/>
              </w:rPr>
              <w:t>356.57</w:t>
            </w:r>
          </w:p>
        </w:tc>
        <w:tc>
          <w:tcPr>
            <w:tcW w:w="1606" w:type="dxa"/>
            <w:tcBorders>
              <w:top w:val="nil"/>
              <w:left w:val="nil"/>
              <w:bottom w:val="nil"/>
              <w:right w:val="nil"/>
            </w:tcBorders>
            <w:shd w:val="clear" w:color="000000" w:fill="FFFFFF"/>
            <w:noWrap/>
            <w:vAlign w:val="center"/>
            <w:hideMark/>
          </w:tcPr>
          <w:p w14:paraId="14DE3D30" w14:textId="77777777" w:rsidR="006C7206" w:rsidRPr="00D618B7" w:rsidRDefault="006C7206" w:rsidP="004B11B7">
            <w:pPr>
              <w:jc w:val="right"/>
              <w:rPr>
                <w:color w:val="000000"/>
                <w:sz w:val="20"/>
                <w:szCs w:val="20"/>
              </w:rPr>
            </w:pPr>
            <w:r w:rsidRPr="00D618B7">
              <w:rPr>
                <w:color w:val="000000"/>
                <w:sz w:val="20"/>
                <w:szCs w:val="20"/>
              </w:rPr>
              <w:t>2086.81</w:t>
            </w:r>
          </w:p>
        </w:tc>
        <w:tc>
          <w:tcPr>
            <w:tcW w:w="1120" w:type="dxa"/>
            <w:tcBorders>
              <w:top w:val="nil"/>
              <w:left w:val="nil"/>
              <w:bottom w:val="nil"/>
              <w:right w:val="nil"/>
            </w:tcBorders>
            <w:shd w:val="clear" w:color="000000" w:fill="FFFFFF"/>
            <w:noWrap/>
            <w:vAlign w:val="center"/>
            <w:hideMark/>
          </w:tcPr>
          <w:p w14:paraId="2CDE1FAC" w14:textId="77777777" w:rsidR="006C7206" w:rsidRPr="00D618B7" w:rsidRDefault="006C7206" w:rsidP="004B11B7">
            <w:pPr>
              <w:jc w:val="right"/>
              <w:rPr>
                <w:color w:val="000000"/>
                <w:sz w:val="20"/>
                <w:szCs w:val="20"/>
              </w:rPr>
            </w:pPr>
            <w:r w:rsidRPr="00D618B7">
              <w:rPr>
                <w:color w:val="000000"/>
                <w:sz w:val="20"/>
                <w:szCs w:val="20"/>
              </w:rPr>
              <w:t>381.21</w:t>
            </w:r>
          </w:p>
        </w:tc>
      </w:tr>
      <w:tr w:rsidR="004C396F" w:rsidRPr="00D618B7" w14:paraId="43D85C9B" w14:textId="77777777" w:rsidTr="004C396F">
        <w:trPr>
          <w:trHeight w:val="192"/>
        </w:trPr>
        <w:tc>
          <w:tcPr>
            <w:tcW w:w="1329" w:type="dxa"/>
            <w:tcBorders>
              <w:top w:val="nil"/>
              <w:left w:val="nil"/>
              <w:bottom w:val="nil"/>
              <w:right w:val="nil"/>
            </w:tcBorders>
            <w:shd w:val="clear" w:color="000000" w:fill="FFFFFF"/>
            <w:vAlign w:val="center"/>
            <w:hideMark/>
          </w:tcPr>
          <w:p w14:paraId="0B3943B1" w14:textId="77777777" w:rsidR="006C7206" w:rsidRPr="00D618B7" w:rsidRDefault="006C7206" w:rsidP="004B11B7">
            <w:pPr>
              <w:jc w:val="right"/>
              <w:rPr>
                <w:color w:val="000000"/>
                <w:sz w:val="20"/>
                <w:szCs w:val="20"/>
              </w:rPr>
            </w:pPr>
            <w:r w:rsidRPr="00D618B7">
              <w:rPr>
                <w:color w:val="000000"/>
                <w:sz w:val="20"/>
                <w:szCs w:val="20"/>
              </w:rPr>
              <w:t>1</w:t>
            </w:r>
          </w:p>
        </w:tc>
        <w:tc>
          <w:tcPr>
            <w:tcW w:w="1026" w:type="dxa"/>
            <w:tcBorders>
              <w:top w:val="nil"/>
              <w:left w:val="nil"/>
              <w:bottom w:val="nil"/>
              <w:right w:val="nil"/>
            </w:tcBorders>
            <w:shd w:val="clear" w:color="000000" w:fill="FFFFFF"/>
            <w:noWrap/>
            <w:vAlign w:val="center"/>
            <w:hideMark/>
          </w:tcPr>
          <w:p w14:paraId="2EE6913A" w14:textId="77777777" w:rsidR="006C7206" w:rsidRPr="00D618B7" w:rsidRDefault="006C7206" w:rsidP="004B11B7">
            <w:pPr>
              <w:jc w:val="right"/>
              <w:rPr>
                <w:color w:val="000000"/>
                <w:sz w:val="20"/>
                <w:szCs w:val="20"/>
              </w:rPr>
            </w:pPr>
            <w:r w:rsidRPr="00D618B7">
              <w:rPr>
                <w:color w:val="000000"/>
                <w:sz w:val="20"/>
                <w:szCs w:val="20"/>
              </w:rPr>
              <w:t>195.33</w:t>
            </w:r>
          </w:p>
        </w:tc>
        <w:tc>
          <w:tcPr>
            <w:tcW w:w="1091" w:type="dxa"/>
            <w:tcBorders>
              <w:top w:val="nil"/>
              <w:left w:val="nil"/>
              <w:bottom w:val="nil"/>
              <w:right w:val="nil"/>
            </w:tcBorders>
            <w:shd w:val="clear" w:color="000000" w:fill="FFFFFF"/>
            <w:noWrap/>
            <w:vAlign w:val="center"/>
            <w:hideMark/>
          </w:tcPr>
          <w:p w14:paraId="5E5E3330" w14:textId="77777777" w:rsidR="006C7206" w:rsidRPr="00D618B7" w:rsidRDefault="006C7206" w:rsidP="004B11B7">
            <w:pPr>
              <w:jc w:val="right"/>
              <w:rPr>
                <w:color w:val="000000"/>
                <w:sz w:val="20"/>
                <w:szCs w:val="20"/>
              </w:rPr>
            </w:pPr>
            <w:r w:rsidRPr="00D618B7">
              <w:rPr>
                <w:color w:val="000000"/>
                <w:sz w:val="20"/>
                <w:szCs w:val="20"/>
              </w:rPr>
              <w:t>356.71</w:t>
            </w:r>
          </w:p>
        </w:tc>
        <w:tc>
          <w:tcPr>
            <w:tcW w:w="1550" w:type="dxa"/>
            <w:tcBorders>
              <w:top w:val="nil"/>
              <w:left w:val="nil"/>
              <w:bottom w:val="nil"/>
              <w:right w:val="nil"/>
            </w:tcBorders>
            <w:shd w:val="clear" w:color="000000" w:fill="FFFFFF"/>
            <w:noWrap/>
            <w:vAlign w:val="center"/>
            <w:hideMark/>
          </w:tcPr>
          <w:p w14:paraId="5EDE9F76" w14:textId="77777777" w:rsidR="006C7206" w:rsidRPr="00D618B7" w:rsidRDefault="006C7206" w:rsidP="004B11B7">
            <w:pPr>
              <w:jc w:val="right"/>
              <w:rPr>
                <w:color w:val="000000"/>
                <w:sz w:val="20"/>
                <w:szCs w:val="20"/>
              </w:rPr>
            </w:pPr>
            <w:r w:rsidRPr="00D618B7">
              <w:rPr>
                <w:color w:val="000000"/>
                <w:sz w:val="20"/>
                <w:szCs w:val="20"/>
              </w:rPr>
              <w:t>386.65</w:t>
            </w:r>
          </w:p>
        </w:tc>
        <w:tc>
          <w:tcPr>
            <w:tcW w:w="1080" w:type="dxa"/>
            <w:tcBorders>
              <w:top w:val="nil"/>
              <w:left w:val="nil"/>
              <w:bottom w:val="nil"/>
              <w:right w:val="nil"/>
            </w:tcBorders>
            <w:shd w:val="clear" w:color="000000" w:fill="FFFFFF"/>
            <w:noWrap/>
            <w:vAlign w:val="center"/>
            <w:hideMark/>
          </w:tcPr>
          <w:p w14:paraId="1D9868B5" w14:textId="77777777" w:rsidR="006C7206" w:rsidRPr="00D618B7" w:rsidRDefault="006C7206" w:rsidP="004B11B7">
            <w:pPr>
              <w:jc w:val="right"/>
              <w:rPr>
                <w:color w:val="000000"/>
                <w:sz w:val="20"/>
                <w:szCs w:val="20"/>
              </w:rPr>
            </w:pPr>
            <w:r w:rsidRPr="00D618B7">
              <w:rPr>
                <w:color w:val="000000"/>
                <w:sz w:val="20"/>
                <w:szCs w:val="20"/>
              </w:rPr>
              <w:t>355.05</w:t>
            </w:r>
          </w:p>
        </w:tc>
        <w:tc>
          <w:tcPr>
            <w:tcW w:w="1606" w:type="dxa"/>
            <w:tcBorders>
              <w:top w:val="nil"/>
              <w:left w:val="nil"/>
              <w:bottom w:val="nil"/>
              <w:right w:val="nil"/>
            </w:tcBorders>
            <w:shd w:val="clear" w:color="000000" w:fill="FFFFFF"/>
            <w:noWrap/>
            <w:vAlign w:val="center"/>
            <w:hideMark/>
          </w:tcPr>
          <w:p w14:paraId="7AF59E60" w14:textId="77777777" w:rsidR="006C7206" w:rsidRPr="00D618B7" w:rsidRDefault="006C7206" w:rsidP="004B11B7">
            <w:pPr>
              <w:jc w:val="right"/>
              <w:rPr>
                <w:color w:val="000000"/>
                <w:sz w:val="20"/>
                <w:szCs w:val="20"/>
              </w:rPr>
            </w:pPr>
            <w:r w:rsidRPr="00D618B7">
              <w:rPr>
                <w:color w:val="000000"/>
                <w:sz w:val="20"/>
                <w:szCs w:val="20"/>
              </w:rPr>
              <w:t>1832.82</w:t>
            </w:r>
          </w:p>
        </w:tc>
        <w:tc>
          <w:tcPr>
            <w:tcW w:w="1120" w:type="dxa"/>
            <w:tcBorders>
              <w:top w:val="nil"/>
              <w:left w:val="nil"/>
              <w:bottom w:val="nil"/>
              <w:right w:val="nil"/>
            </w:tcBorders>
            <w:shd w:val="clear" w:color="000000" w:fill="FFFFFF"/>
            <w:noWrap/>
            <w:vAlign w:val="center"/>
            <w:hideMark/>
          </w:tcPr>
          <w:p w14:paraId="3BC9B2AD" w14:textId="77777777" w:rsidR="006C7206" w:rsidRPr="00D618B7" w:rsidRDefault="006C7206" w:rsidP="004B11B7">
            <w:pPr>
              <w:jc w:val="right"/>
              <w:rPr>
                <w:color w:val="000000"/>
                <w:sz w:val="20"/>
                <w:szCs w:val="20"/>
              </w:rPr>
            </w:pPr>
            <w:r w:rsidRPr="00D618B7">
              <w:rPr>
                <w:color w:val="000000"/>
                <w:sz w:val="20"/>
                <w:szCs w:val="20"/>
              </w:rPr>
              <w:t>381.24</w:t>
            </w:r>
          </w:p>
        </w:tc>
      </w:tr>
      <w:tr w:rsidR="004C396F" w:rsidRPr="00D618B7" w14:paraId="3779E17F" w14:textId="77777777" w:rsidTr="004C396F">
        <w:trPr>
          <w:trHeight w:val="192"/>
        </w:trPr>
        <w:tc>
          <w:tcPr>
            <w:tcW w:w="1329" w:type="dxa"/>
            <w:tcBorders>
              <w:top w:val="nil"/>
              <w:left w:val="nil"/>
              <w:bottom w:val="nil"/>
              <w:right w:val="nil"/>
            </w:tcBorders>
            <w:shd w:val="clear" w:color="000000" w:fill="FFFFFF"/>
            <w:vAlign w:val="center"/>
            <w:hideMark/>
          </w:tcPr>
          <w:p w14:paraId="5E658444" w14:textId="77777777" w:rsidR="006C7206" w:rsidRPr="00D618B7" w:rsidRDefault="006C7206" w:rsidP="004B11B7">
            <w:pPr>
              <w:jc w:val="right"/>
              <w:rPr>
                <w:color w:val="000000"/>
                <w:sz w:val="20"/>
                <w:szCs w:val="20"/>
              </w:rPr>
            </w:pPr>
            <w:r w:rsidRPr="00D618B7">
              <w:rPr>
                <w:color w:val="000000"/>
                <w:sz w:val="20"/>
                <w:szCs w:val="20"/>
              </w:rPr>
              <w:t>2</w:t>
            </w:r>
          </w:p>
        </w:tc>
        <w:tc>
          <w:tcPr>
            <w:tcW w:w="1026" w:type="dxa"/>
            <w:tcBorders>
              <w:top w:val="nil"/>
              <w:left w:val="nil"/>
              <w:bottom w:val="nil"/>
              <w:right w:val="nil"/>
            </w:tcBorders>
            <w:shd w:val="clear" w:color="000000" w:fill="FFFFFF"/>
            <w:noWrap/>
            <w:vAlign w:val="center"/>
            <w:hideMark/>
          </w:tcPr>
          <w:p w14:paraId="77901C5C" w14:textId="77777777" w:rsidR="006C7206" w:rsidRPr="00D618B7" w:rsidRDefault="006C7206" w:rsidP="004B11B7">
            <w:pPr>
              <w:jc w:val="right"/>
              <w:rPr>
                <w:color w:val="000000"/>
                <w:sz w:val="20"/>
                <w:szCs w:val="20"/>
              </w:rPr>
            </w:pPr>
            <w:r w:rsidRPr="00D618B7">
              <w:rPr>
                <w:color w:val="000000"/>
                <w:sz w:val="20"/>
                <w:szCs w:val="20"/>
              </w:rPr>
              <w:t>81.02</w:t>
            </w:r>
          </w:p>
        </w:tc>
        <w:tc>
          <w:tcPr>
            <w:tcW w:w="1091" w:type="dxa"/>
            <w:tcBorders>
              <w:top w:val="nil"/>
              <w:left w:val="nil"/>
              <w:bottom w:val="nil"/>
              <w:right w:val="nil"/>
            </w:tcBorders>
            <w:shd w:val="clear" w:color="000000" w:fill="FFFFFF"/>
            <w:noWrap/>
            <w:vAlign w:val="center"/>
            <w:hideMark/>
          </w:tcPr>
          <w:p w14:paraId="6E9CF8B2" w14:textId="77777777" w:rsidR="006C7206" w:rsidRPr="00D618B7" w:rsidRDefault="006C7206" w:rsidP="004B11B7">
            <w:pPr>
              <w:jc w:val="right"/>
              <w:rPr>
                <w:color w:val="000000"/>
                <w:sz w:val="20"/>
                <w:szCs w:val="20"/>
              </w:rPr>
            </w:pPr>
            <w:r w:rsidRPr="00D618B7">
              <w:rPr>
                <w:color w:val="000000"/>
                <w:sz w:val="20"/>
                <w:szCs w:val="20"/>
              </w:rPr>
              <w:t>448.82</w:t>
            </w:r>
          </w:p>
        </w:tc>
        <w:tc>
          <w:tcPr>
            <w:tcW w:w="1550" w:type="dxa"/>
            <w:tcBorders>
              <w:top w:val="nil"/>
              <w:left w:val="nil"/>
              <w:bottom w:val="nil"/>
              <w:right w:val="nil"/>
            </w:tcBorders>
            <w:shd w:val="clear" w:color="000000" w:fill="FFFFFF"/>
            <w:noWrap/>
            <w:vAlign w:val="center"/>
            <w:hideMark/>
          </w:tcPr>
          <w:p w14:paraId="16FDA77F" w14:textId="77777777" w:rsidR="006C7206" w:rsidRPr="00D618B7" w:rsidRDefault="006C7206" w:rsidP="004B11B7">
            <w:pPr>
              <w:jc w:val="right"/>
              <w:rPr>
                <w:color w:val="000000"/>
                <w:sz w:val="20"/>
                <w:szCs w:val="20"/>
              </w:rPr>
            </w:pPr>
            <w:r w:rsidRPr="00D618B7">
              <w:rPr>
                <w:color w:val="000000"/>
                <w:sz w:val="20"/>
                <w:szCs w:val="20"/>
              </w:rPr>
              <w:t>-558.45</w:t>
            </w:r>
          </w:p>
        </w:tc>
        <w:tc>
          <w:tcPr>
            <w:tcW w:w="1080" w:type="dxa"/>
            <w:tcBorders>
              <w:top w:val="nil"/>
              <w:left w:val="nil"/>
              <w:bottom w:val="nil"/>
              <w:right w:val="nil"/>
            </w:tcBorders>
            <w:shd w:val="clear" w:color="000000" w:fill="FFFFFF"/>
            <w:noWrap/>
            <w:vAlign w:val="center"/>
            <w:hideMark/>
          </w:tcPr>
          <w:p w14:paraId="1C0F7D18" w14:textId="77777777" w:rsidR="006C7206" w:rsidRPr="00D618B7" w:rsidRDefault="006C7206" w:rsidP="004B11B7">
            <w:pPr>
              <w:jc w:val="right"/>
              <w:rPr>
                <w:color w:val="000000"/>
                <w:sz w:val="20"/>
                <w:szCs w:val="20"/>
              </w:rPr>
            </w:pPr>
            <w:r w:rsidRPr="00D618B7">
              <w:rPr>
                <w:color w:val="000000"/>
                <w:sz w:val="20"/>
                <w:szCs w:val="20"/>
              </w:rPr>
              <w:t>448.96</w:t>
            </w:r>
          </w:p>
        </w:tc>
        <w:tc>
          <w:tcPr>
            <w:tcW w:w="1606" w:type="dxa"/>
            <w:tcBorders>
              <w:top w:val="nil"/>
              <w:left w:val="nil"/>
              <w:bottom w:val="nil"/>
              <w:right w:val="nil"/>
            </w:tcBorders>
            <w:shd w:val="clear" w:color="000000" w:fill="FFFFFF"/>
            <w:noWrap/>
            <w:vAlign w:val="center"/>
            <w:hideMark/>
          </w:tcPr>
          <w:p w14:paraId="193EBFE9" w14:textId="77777777" w:rsidR="006C7206" w:rsidRPr="00D618B7" w:rsidRDefault="006C7206" w:rsidP="004B11B7">
            <w:pPr>
              <w:jc w:val="right"/>
              <w:rPr>
                <w:color w:val="000000"/>
                <w:sz w:val="20"/>
                <w:szCs w:val="20"/>
              </w:rPr>
            </w:pPr>
            <w:r w:rsidRPr="00D618B7">
              <w:rPr>
                <w:color w:val="000000"/>
                <w:sz w:val="20"/>
                <w:szCs w:val="20"/>
              </w:rPr>
              <w:t>1109.91</w:t>
            </w:r>
          </w:p>
        </w:tc>
        <w:tc>
          <w:tcPr>
            <w:tcW w:w="1120" w:type="dxa"/>
            <w:tcBorders>
              <w:top w:val="nil"/>
              <w:left w:val="nil"/>
              <w:bottom w:val="nil"/>
              <w:right w:val="nil"/>
            </w:tcBorders>
            <w:shd w:val="clear" w:color="000000" w:fill="FFFFFF"/>
            <w:noWrap/>
            <w:vAlign w:val="center"/>
            <w:hideMark/>
          </w:tcPr>
          <w:p w14:paraId="17551E58" w14:textId="77777777" w:rsidR="006C7206" w:rsidRPr="00D618B7" w:rsidRDefault="006C7206" w:rsidP="004B11B7">
            <w:pPr>
              <w:jc w:val="right"/>
              <w:rPr>
                <w:color w:val="000000"/>
                <w:sz w:val="20"/>
                <w:szCs w:val="20"/>
              </w:rPr>
            </w:pPr>
            <w:r w:rsidRPr="00D618B7">
              <w:rPr>
                <w:color w:val="000000"/>
                <w:sz w:val="20"/>
                <w:szCs w:val="20"/>
              </w:rPr>
              <w:t>474.11</w:t>
            </w:r>
          </w:p>
        </w:tc>
      </w:tr>
      <w:tr w:rsidR="004C396F" w:rsidRPr="00D618B7" w14:paraId="76B8CA38" w14:textId="77777777" w:rsidTr="004C396F">
        <w:trPr>
          <w:trHeight w:val="192"/>
        </w:trPr>
        <w:tc>
          <w:tcPr>
            <w:tcW w:w="1329" w:type="dxa"/>
            <w:tcBorders>
              <w:top w:val="nil"/>
              <w:left w:val="nil"/>
              <w:bottom w:val="nil"/>
              <w:right w:val="nil"/>
            </w:tcBorders>
            <w:shd w:val="clear" w:color="000000" w:fill="FFFFFF"/>
            <w:vAlign w:val="center"/>
            <w:hideMark/>
          </w:tcPr>
          <w:p w14:paraId="59CCA292" w14:textId="77777777" w:rsidR="006C7206" w:rsidRPr="00D618B7" w:rsidRDefault="006C7206" w:rsidP="004B11B7">
            <w:pPr>
              <w:jc w:val="right"/>
              <w:rPr>
                <w:color w:val="000000"/>
                <w:sz w:val="20"/>
                <w:szCs w:val="20"/>
              </w:rPr>
            </w:pPr>
            <w:r w:rsidRPr="00D618B7">
              <w:rPr>
                <w:color w:val="000000"/>
                <w:sz w:val="20"/>
                <w:szCs w:val="20"/>
              </w:rPr>
              <w:t>3</w:t>
            </w:r>
          </w:p>
        </w:tc>
        <w:tc>
          <w:tcPr>
            <w:tcW w:w="1026" w:type="dxa"/>
            <w:tcBorders>
              <w:top w:val="nil"/>
              <w:left w:val="nil"/>
              <w:bottom w:val="nil"/>
              <w:right w:val="nil"/>
            </w:tcBorders>
            <w:shd w:val="clear" w:color="000000" w:fill="FFFFFF"/>
            <w:noWrap/>
            <w:vAlign w:val="center"/>
            <w:hideMark/>
          </w:tcPr>
          <w:p w14:paraId="1A85A84A" w14:textId="77777777" w:rsidR="006C7206" w:rsidRPr="00D618B7" w:rsidRDefault="006C7206" w:rsidP="004B11B7">
            <w:pPr>
              <w:jc w:val="right"/>
              <w:rPr>
                <w:color w:val="000000"/>
                <w:sz w:val="20"/>
                <w:szCs w:val="20"/>
              </w:rPr>
            </w:pPr>
            <w:r w:rsidRPr="00D618B7">
              <w:rPr>
                <w:color w:val="000000"/>
                <w:sz w:val="20"/>
                <w:szCs w:val="20"/>
              </w:rPr>
              <w:t>-35.68</w:t>
            </w:r>
          </w:p>
        </w:tc>
        <w:tc>
          <w:tcPr>
            <w:tcW w:w="1091" w:type="dxa"/>
            <w:tcBorders>
              <w:top w:val="nil"/>
              <w:left w:val="nil"/>
              <w:bottom w:val="nil"/>
              <w:right w:val="nil"/>
            </w:tcBorders>
            <w:shd w:val="clear" w:color="000000" w:fill="FFFFFF"/>
            <w:noWrap/>
            <w:vAlign w:val="center"/>
            <w:hideMark/>
          </w:tcPr>
          <w:p w14:paraId="1495CBEB" w14:textId="77777777" w:rsidR="006C7206" w:rsidRPr="00D618B7" w:rsidRDefault="006C7206" w:rsidP="004B11B7">
            <w:pPr>
              <w:jc w:val="right"/>
              <w:rPr>
                <w:color w:val="000000"/>
                <w:sz w:val="20"/>
                <w:szCs w:val="20"/>
              </w:rPr>
            </w:pPr>
            <w:r w:rsidRPr="00D618B7">
              <w:rPr>
                <w:color w:val="000000"/>
                <w:sz w:val="20"/>
                <w:szCs w:val="20"/>
              </w:rPr>
              <w:t>359.50</w:t>
            </w:r>
          </w:p>
        </w:tc>
        <w:tc>
          <w:tcPr>
            <w:tcW w:w="1550" w:type="dxa"/>
            <w:tcBorders>
              <w:top w:val="nil"/>
              <w:left w:val="nil"/>
              <w:bottom w:val="nil"/>
              <w:right w:val="nil"/>
            </w:tcBorders>
            <w:shd w:val="clear" w:color="000000" w:fill="FFFFFF"/>
            <w:noWrap/>
            <w:vAlign w:val="center"/>
            <w:hideMark/>
          </w:tcPr>
          <w:p w14:paraId="51BCB037" w14:textId="77777777" w:rsidR="006C7206" w:rsidRPr="00D618B7" w:rsidRDefault="006C7206" w:rsidP="004B11B7">
            <w:pPr>
              <w:jc w:val="right"/>
              <w:rPr>
                <w:color w:val="000000"/>
                <w:sz w:val="20"/>
                <w:szCs w:val="20"/>
              </w:rPr>
            </w:pPr>
            <w:r w:rsidRPr="00D618B7">
              <w:rPr>
                <w:color w:val="000000"/>
                <w:sz w:val="20"/>
                <w:szCs w:val="20"/>
              </w:rPr>
              <w:t>77.57</w:t>
            </w:r>
          </w:p>
        </w:tc>
        <w:tc>
          <w:tcPr>
            <w:tcW w:w="1080" w:type="dxa"/>
            <w:tcBorders>
              <w:top w:val="nil"/>
              <w:left w:val="nil"/>
              <w:bottom w:val="nil"/>
              <w:right w:val="nil"/>
            </w:tcBorders>
            <w:shd w:val="clear" w:color="000000" w:fill="FFFFFF"/>
            <w:noWrap/>
            <w:vAlign w:val="center"/>
            <w:hideMark/>
          </w:tcPr>
          <w:p w14:paraId="4EC11083" w14:textId="77777777" w:rsidR="006C7206" w:rsidRPr="00D618B7" w:rsidRDefault="006C7206" w:rsidP="004B11B7">
            <w:pPr>
              <w:jc w:val="right"/>
              <w:rPr>
                <w:color w:val="000000"/>
                <w:sz w:val="20"/>
                <w:szCs w:val="20"/>
              </w:rPr>
            </w:pPr>
            <w:r w:rsidRPr="00D618B7">
              <w:rPr>
                <w:color w:val="000000"/>
                <w:sz w:val="20"/>
                <w:szCs w:val="20"/>
              </w:rPr>
              <w:t>359.43</w:t>
            </w:r>
          </w:p>
        </w:tc>
        <w:tc>
          <w:tcPr>
            <w:tcW w:w="1606" w:type="dxa"/>
            <w:tcBorders>
              <w:top w:val="nil"/>
              <w:left w:val="nil"/>
              <w:bottom w:val="nil"/>
              <w:right w:val="nil"/>
            </w:tcBorders>
            <w:shd w:val="clear" w:color="000000" w:fill="FFFFFF"/>
            <w:noWrap/>
            <w:vAlign w:val="center"/>
            <w:hideMark/>
          </w:tcPr>
          <w:p w14:paraId="5FA345F5" w14:textId="77777777" w:rsidR="006C7206" w:rsidRPr="00D618B7" w:rsidRDefault="006C7206" w:rsidP="004B11B7">
            <w:pPr>
              <w:jc w:val="right"/>
              <w:rPr>
                <w:color w:val="000000"/>
                <w:sz w:val="20"/>
                <w:szCs w:val="20"/>
              </w:rPr>
            </w:pPr>
            <w:r w:rsidRPr="00D618B7">
              <w:rPr>
                <w:color w:val="000000"/>
                <w:sz w:val="20"/>
                <w:szCs w:val="20"/>
              </w:rPr>
              <w:t>763.72</w:t>
            </w:r>
          </w:p>
        </w:tc>
        <w:tc>
          <w:tcPr>
            <w:tcW w:w="1120" w:type="dxa"/>
            <w:tcBorders>
              <w:top w:val="nil"/>
              <w:left w:val="nil"/>
              <w:bottom w:val="nil"/>
              <w:right w:val="nil"/>
            </w:tcBorders>
            <w:shd w:val="clear" w:color="000000" w:fill="FFFFFF"/>
            <w:noWrap/>
            <w:vAlign w:val="center"/>
            <w:hideMark/>
          </w:tcPr>
          <w:p w14:paraId="15BFB614" w14:textId="77777777" w:rsidR="006C7206" w:rsidRPr="00D618B7" w:rsidRDefault="006C7206" w:rsidP="004B11B7">
            <w:pPr>
              <w:jc w:val="right"/>
              <w:rPr>
                <w:color w:val="000000"/>
                <w:sz w:val="20"/>
                <w:szCs w:val="20"/>
              </w:rPr>
            </w:pPr>
            <w:r w:rsidRPr="00D618B7">
              <w:rPr>
                <w:color w:val="000000"/>
                <w:sz w:val="20"/>
                <w:szCs w:val="20"/>
              </w:rPr>
              <w:t>385.28</w:t>
            </w:r>
          </w:p>
        </w:tc>
      </w:tr>
      <w:tr w:rsidR="004C396F" w:rsidRPr="00D618B7" w14:paraId="5D38B265" w14:textId="77777777" w:rsidTr="004C396F">
        <w:trPr>
          <w:trHeight w:val="192"/>
        </w:trPr>
        <w:tc>
          <w:tcPr>
            <w:tcW w:w="1329" w:type="dxa"/>
            <w:tcBorders>
              <w:top w:val="nil"/>
              <w:left w:val="nil"/>
              <w:right w:val="nil"/>
            </w:tcBorders>
            <w:shd w:val="clear" w:color="000000" w:fill="FFFFFF"/>
            <w:vAlign w:val="center"/>
            <w:hideMark/>
          </w:tcPr>
          <w:p w14:paraId="2A32C5F3" w14:textId="77777777" w:rsidR="006C7206" w:rsidRPr="00D618B7" w:rsidRDefault="006C7206" w:rsidP="004B11B7">
            <w:pPr>
              <w:jc w:val="right"/>
              <w:rPr>
                <w:color w:val="000000"/>
                <w:sz w:val="20"/>
                <w:szCs w:val="20"/>
              </w:rPr>
            </w:pPr>
            <w:r w:rsidRPr="00D618B7">
              <w:rPr>
                <w:color w:val="000000"/>
                <w:sz w:val="20"/>
                <w:szCs w:val="20"/>
              </w:rPr>
              <w:t>4</w:t>
            </w:r>
          </w:p>
        </w:tc>
        <w:tc>
          <w:tcPr>
            <w:tcW w:w="1026" w:type="dxa"/>
            <w:tcBorders>
              <w:top w:val="nil"/>
              <w:left w:val="nil"/>
              <w:right w:val="nil"/>
            </w:tcBorders>
            <w:shd w:val="clear" w:color="000000" w:fill="FFFFFF"/>
            <w:noWrap/>
            <w:vAlign w:val="center"/>
            <w:hideMark/>
          </w:tcPr>
          <w:p w14:paraId="78E0BBA3" w14:textId="77777777" w:rsidR="006C7206" w:rsidRPr="00D618B7" w:rsidRDefault="006C7206" w:rsidP="004B11B7">
            <w:pPr>
              <w:jc w:val="right"/>
              <w:rPr>
                <w:color w:val="000000"/>
                <w:sz w:val="20"/>
                <w:szCs w:val="20"/>
              </w:rPr>
            </w:pPr>
            <w:r w:rsidRPr="00D618B7">
              <w:rPr>
                <w:color w:val="000000"/>
                <w:sz w:val="20"/>
                <w:szCs w:val="20"/>
              </w:rPr>
              <w:t>58.14</w:t>
            </w:r>
          </w:p>
        </w:tc>
        <w:tc>
          <w:tcPr>
            <w:tcW w:w="1091" w:type="dxa"/>
            <w:tcBorders>
              <w:top w:val="nil"/>
              <w:left w:val="nil"/>
              <w:right w:val="nil"/>
            </w:tcBorders>
            <w:shd w:val="clear" w:color="000000" w:fill="FFFFFF"/>
            <w:noWrap/>
            <w:vAlign w:val="center"/>
            <w:hideMark/>
          </w:tcPr>
          <w:p w14:paraId="608B5D8A" w14:textId="77777777" w:rsidR="006C7206" w:rsidRPr="00D618B7" w:rsidRDefault="006C7206" w:rsidP="004B11B7">
            <w:pPr>
              <w:jc w:val="right"/>
              <w:rPr>
                <w:color w:val="000000"/>
                <w:sz w:val="20"/>
                <w:szCs w:val="20"/>
              </w:rPr>
            </w:pPr>
            <w:r w:rsidRPr="00D618B7">
              <w:rPr>
                <w:color w:val="000000"/>
                <w:sz w:val="20"/>
                <w:szCs w:val="20"/>
              </w:rPr>
              <w:t>391.52</w:t>
            </w:r>
          </w:p>
        </w:tc>
        <w:tc>
          <w:tcPr>
            <w:tcW w:w="1550" w:type="dxa"/>
            <w:tcBorders>
              <w:top w:val="nil"/>
              <w:left w:val="nil"/>
              <w:right w:val="nil"/>
            </w:tcBorders>
            <w:shd w:val="clear" w:color="000000" w:fill="FFFFFF"/>
            <w:noWrap/>
            <w:vAlign w:val="center"/>
            <w:hideMark/>
          </w:tcPr>
          <w:p w14:paraId="5D9064C0" w14:textId="77777777" w:rsidR="006C7206" w:rsidRPr="00D618B7" w:rsidRDefault="006C7206" w:rsidP="004B11B7">
            <w:pPr>
              <w:jc w:val="right"/>
              <w:rPr>
                <w:color w:val="000000"/>
                <w:sz w:val="20"/>
                <w:szCs w:val="20"/>
              </w:rPr>
            </w:pPr>
            <w:r w:rsidRPr="00D618B7">
              <w:rPr>
                <w:color w:val="000000"/>
                <w:sz w:val="20"/>
                <w:szCs w:val="20"/>
              </w:rPr>
              <w:t>-178.96</w:t>
            </w:r>
          </w:p>
        </w:tc>
        <w:tc>
          <w:tcPr>
            <w:tcW w:w="1080" w:type="dxa"/>
            <w:tcBorders>
              <w:top w:val="nil"/>
              <w:left w:val="nil"/>
              <w:right w:val="nil"/>
            </w:tcBorders>
            <w:shd w:val="clear" w:color="000000" w:fill="FFFFFF"/>
            <w:noWrap/>
            <w:vAlign w:val="center"/>
            <w:hideMark/>
          </w:tcPr>
          <w:p w14:paraId="07760FFE" w14:textId="77777777" w:rsidR="006C7206" w:rsidRPr="00D618B7" w:rsidRDefault="006C7206" w:rsidP="004B11B7">
            <w:pPr>
              <w:jc w:val="right"/>
              <w:rPr>
                <w:color w:val="000000"/>
                <w:sz w:val="20"/>
                <w:szCs w:val="20"/>
              </w:rPr>
            </w:pPr>
            <w:r w:rsidRPr="00D618B7">
              <w:rPr>
                <w:color w:val="000000"/>
                <w:sz w:val="20"/>
                <w:szCs w:val="20"/>
              </w:rPr>
              <w:t>392.26</w:t>
            </w:r>
          </w:p>
        </w:tc>
        <w:tc>
          <w:tcPr>
            <w:tcW w:w="1606" w:type="dxa"/>
            <w:tcBorders>
              <w:top w:val="nil"/>
              <w:left w:val="nil"/>
              <w:right w:val="nil"/>
            </w:tcBorders>
            <w:shd w:val="clear" w:color="000000" w:fill="FFFFFF"/>
            <w:noWrap/>
            <w:vAlign w:val="center"/>
            <w:hideMark/>
          </w:tcPr>
          <w:p w14:paraId="57502883" w14:textId="77777777" w:rsidR="006C7206" w:rsidRPr="00D618B7" w:rsidRDefault="006C7206" w:rsidP="004B11B7">
            <w:pPr>
              <w:jc w:val="right"/>
              <w:rPr>
                <w:color w:val="000000"/>
                <w:sz w:val="20"/>
                <w:szCs w:val="20"/>
              </w:rPr>
            </w:pPr>
            <w:r w:rsidRPr="00D618B7">
              <w:rPr>
                <w:color w:val="000000"/>
                <w:sz w:val="20"/>
                <w:szCs w:val="20"/>
              </w:rPr>
              <w:t>2078.92</w:t>
            </w:r>
          </w:p>
        </w:tc>
        <w:tc>
          <w:tcPr>
            <w:tcW w:w="1120" w:type="dxa"/>
            <w:tcBorders>
              <w:top w:val="nil"/>
              <w:left w:val="nil"/>
              <w:right w:val="nil"/>
            </w:tcBorders>
            <w:shd w:val="clear" w:color="000000" w:fill="FFFFFF"/>
            <w:noWrap/>
            <w:vAlign w:val="center"/>
            <w:hideMark/>
          </w:tcPr>
          <w:p w14:paraId="392F0DFF" w14:textId="77777777" w:rsidR="006C7206" w:rsidRPr="00D618B7" w:rsidRDefault="006C7206" w:rsidP="004B11B7">
            <w:pPr>
              <w:jc w:val="right"/>
              <w:rPr>
                <w:color w:val="000000"/>
                <w:sz w:val="20"/>
                <w:szCs w:val="20"/>
              </w:rPr>
            </w:pPr>
            <w:r w:rsidRPr="00D618B7">
              <w:rPr>
                <w:color w:val="000000"/>
                <w:sz w:val="20"/>
                <w:szCs w:val="20"/>
              </w:rPr>
              <w:t>423.24</w:t>
            </w:r>
          </w:p>
        </w:tc>
      </w:tr>
      <w:tr w:rsidR="004C396F" w:rsidRPr="00D618B7" w14:paraId="56F2C433" w14:textId="77777777" w:rsidTr="004C396F">
        <w:trPr>
          <w:trHeight w:val="201"/>
        </w:trPr>
        <w:tc>
          <w:tcPr>
            <w:tcW w:w="1329" w:type="dxa"/>
            <w:tcBorders>
              <w:top w:val="nil"/>
              <w:left w:val="nil"/>
              <w:bottom w:val="single" w:sz="18" w:space="0" w:color="auto"/>
              <w:right w:val="nil"/>
            </w:tcBorders>
            <w:shd w:val="clear" w:color="000000" w:fill="FFFFFF"/>
            <w:vAlign w:val="center"/>
            <w:hideMark/>
          </w:tcPr>
          <w:p w14:paraId="6320C6D3" w14:textId="77777777" w:rsidR="006C7206" w:rsidRPr="00D618B7" w:rsidRDefault="006C7206" w:rsidP="004B11B7">
            <w:pPr>
              <w:jc w:val="right"/>
              <w:rPr>
                <w:color w:val="000000"/>
                <w:sz w:val="20"/>
                <w:szCs w:val="20"/>
              </w:rPr>
            </w:pPr>
            <w:r w:rsidRPr="00D618B7">
              <w:rPr>
                <w:color w:val="000000"/>
                <w:sz w:val="20"/>
                <w:szCs w:val="20"/>
              </w:rPr>
              <w:t>5</w:t>
            </w:r>
          </w:p>
        </w:tc>
        <w:tc>
          <w:tcPr>
            <w:tcW w:w="1026" w:type="dxa"/>
            <w:tcBorders>
              <w:top w:val="nil"/>
              <w:left w:val="nil"/>
              <w:bottom w:val="single" w:sz="18" w:space="0" w:color="auto"/>
              <w:right w:val="nil"/>
            </w:tcBorders>
            <w:shd w:val="clear" w:color="000000" w:fill="FFFFFF"/>
            <w:noWrap/>
            <w:vAlign w:val="center"/>
            <w:hideMark/>
          </w:tcPr>
          <w:p w14:paraId="7B786956" w14:textId="77777777" w:rsidR="006C7206" w:rsidRPr="00D618B7" w:rsidRDefault="006C7206" w:rsidP="004B11B7">
            <w:pPr>
              <w:jc w:val="right"/>
              <w:rPr>
                <w:color w:val="000000"/>
                <w:sz w:val="20"/>
                <w:szCs w:val="20"/>
              </w:rPr>
            </w:pPr>
            <w:r w:rsidRPr="00D618B7">
              <w:rPr>
                <w:color w:val="000000"/>
                <w:sz w:val="20"/>
                <w:szCs w:val="20"/>
              </w:rPr>
              <w:t>-69.50</w:t>
            </w:r>
          </w:p>
        </w:tc>
        <w:tc>
          <w:tcPr>
            <w:tcW w:w="1091" w:type="dxa"/>
            <w:tcBorders>
              <w:top w:val="nil"/>
              <w:left w:val="nil"/>
              <w:bottom w:val="single" w:sz="18" w:space="0" w:color="auto"/>
              <w:right w:val="nil"/>
            </w:tcBorders>
            <w:shd w:val="clear" w:color="000000" w:fill="FFFFFF"/>
            <w:noWrap/>
            <w:vAlign w:val="center"/>
            <w:hideMark/>
          </w:tcPr>
          <w:p w14:paraId="556DFC88" w14:textId="77777777" w:rsidR="006C7206" w:rsidRPr="00D618B7" w:rsidRDefault="006C7206" w:rsidP="004B11B7">
            <w:pPr>
              <w:jc w:val="right"/>
              <w:rPr>
                <w:color w:val="000000"/>
                <w:sz w:val="20"/>
                <w:szCs w:val="20"/>
              </w:rPr>
            </w:pPr>
            <w:r w:rsidRPr="00D618B7">
              <w:rPr>
                <w:color w:val="000000"/>
                <w:sz w:val="20"/>
                <w:szCs w:val="20"/>
              </w:rPr>
              <w:t>423.79</w:t>
            </w:r>
          </w:p>
        </w:tc>
        <w:tc>
          <w:tcPr>
            <w:tcW w:w="1550" w:type="dxa"/>
            <w:tcBorders>
              <w:top w:val="nil"/>
              <w:left w:val="nil"/>
              <w:bottom w:val="single" w:sz="18" w:space="0" w:color="auto"/>
              <w:right w:val="nil"/>
            </w:tcBorders>
            <w:shd w:val="clear" w:color="000000" w:fill="FFFFFF"/>
            <w:noWrap/>
            <w:vAlign w:val="center"/>
            <w:hideMark/>
          </w:tcPr>
          <w:p w14:paraId="777DC3A5" w14:textId="77777777" w:rsidR="006C7206" w:rsidRPr="00D618B7" w:rsidRDefault="006C7206" w:rsidP="004B11B7">
            <w:pPr>
              <w:jc w:val="right"/>
              <w:rPr>
                <w:color w:val="000000"/>
                <w:sz w:val="20"/>
                <w:szCs w:val="20"/>
              </w:rPr>
            </w:pPr>
            <w:r w:rsidRPr="00D618B7">
              <w:rPr>
                <w:color w:val="000000"/>
                <w:sz w:val="20"/>
                <w:szCs w:val="20"/>
              </w:rPr>
              <w:t>716.19</w:t>
            </w:r>
          </w:p>
        </w:tc>
        <w:tc>
          <w:tcPr>
            <w:tcW w:w="1080" w:type="dxa"/>
            <w:tcBorders>
              <w:top w:val="nil"/>
              <w:left w:val="nil"/>
              <w:bottom w:val="single" w:sz="18" w:space="0" w:color="auto"/>
              <w:right w:val="nil"/>
            </w:tcBorders>
            <w:shd w:val="clear" w:color="000000" w:fill="FFFFFF"/>
            <w:noWrap/>
            <w:vAlign w:val="center"/>
            <w:hideMark/>
          </w:tcPr>
          <w:p w14:paraId="2EC793C5" w14:textId="77777777" w:rsidR="006C7206" w:rsidRPr="00D618B7" w:rsidRDefault="006C7206" w:rsidP="004B11B7">
            <w:pPr>
              <w:jc w:val="right"/>
              <w:rPr>
                <w:color w:val="000000"/>
                <w:sz w:val="20"/>
                <w:szCs w:val="20"/>
              </w:rPr>
            </w:pPr>
            <w:r w:rsidRPr="00D618B7">
              <w:rPr>
                <w:color w:val="000000"/>
                <w:sz w:val="20"/>
                <w:szCs w:val="20"/>
              </w:rPr>
              <w:t>423.81</w:t>
            </w:r>
          </w:p>
        </w:tc>
        <w:tc>
          <w:tcPr>
            <w:tcW w:w="1606" w:type="dxa"/>
            <w:tcBorders>
              <w:top w:val="nil"/>
              <w:left w:val="nil"/>
              <w:bottom w:val="single" w:sz="18" w:space="0" w:color="auto"/>
              <w:right w:val="nil"/>
            </w:tcBorders>
            <w:shd w:val="clear" w:color="000000" w:fill="FFFFFF"/>
            <w:noWrap/>
            <w:vAlign w:val="center"/>
            <w:hideMark/>
          </w:tcPr>
          <w:p w14:paraId="397CA5BD" w14:textId="77777777" w:rsidR="006C7206" w:rsidRPr="00D618B7" w:rsidRDefault="006C7206" w:rsidP="004B11B7">
            <w:pPr>
              <w:jc w:val="right"/>
              <w:rPr>
                <w:color w:val="000000"/>
                <w:sz w:val="20"/>
                <w:szCs w:val="20"/>
              </w:rPr>
            </w:pPr>
            <w:r w:rsidRPr="00D618B7">
              <w:rPr>
                <w:color w:val="000000"/>
                <w:sz w:val="20"/>
                <w:szCs w:val="20"/>
              </w:rPr>
              <w:t>-73.17</w:t>
            </w:r>
          </w:p>
        </w:tc>
        <w:tc>
          <w:tcPr>
            <w:tcW w:w="1120" w:type="dxa"/>
            <w:tcBorders>
              <w:top w:val="nil"/>
              <w:left w:val="nil"/>
              <w:bottom w:val="single" w:sz="18" w:space="0" w:color="auto"/>
              <w:right w:val="nil"/>
            </w:tcBorders>
            <w:shd w:val="clear" w:color="000000" w:fill="FFFFFF"/>
            <w:noWrap/>
            <w:vAlign w:val="center"/>
            <w:hideMark/>
          </w:tcPr>
          <w:p w14:paraId="7DEF0DD6" w14:textId="77777777" w:rsidR="006C7206" w:rsidRPr="00D618B7" w:rsidRDefault="006C7206" w:rsidP="004B11B7">
            <w:pPr>
              <w:jc w:val="right"/>
              <w:rPr>
                <w:color w:val="000000"/>
                <w:sz w:val="20"/>
                <w:szCs w:val="20"/>
              </w:rPr>
            </w:pPr>
            <w:r w:rsidRPr="00D618B7">
              <w:rPr>
                <w:color w:val="000000"/>
                <w:sz w:val="20"/>
                <w:szCs w:val="20"/>
              </w:rPr>
              <w:t>467.99</w:t>
            </w:r>
          </w:p>
        </w:tc>
      </w:tr>
      <w:tr w:rsidR="006C7206" w:rsidRPr="00D618B7" w14:paraId="1A6079F9" w14:textId="77777777" w:rsidTr="004C396F">
        <w:trPr>
          <w:trHeight w:val="192"/>
        </w:trPr>
        <w:tc>
          <w:tcPr>
            <w:tcW w:w="1329" w:type="dxa"/>
            <w:tcBorders>
              <w:top w:val="single" w:sz="18" w:space="0" w:color="auto"/>
              <w:left w:val="nil"/>
              <w:bottom w:val="nil"/>
              <w:right w:val="nil"/>
            </w:tcBorders>
            <w:shd w:val="clear" w:color="000000" w:fill="FFFFFF"/>
            <w:noWrap/>
            <w:vAlign w:val="bottom"/>
            <w:hideMark/>
          </w:tcPr>
          <w:p w14:paraId="3A5DC34D" w14:textId="77777777" w:rsidR="006C7206" w:rsidRPr="00D618B7" w:rsidRDefault="006C7206" w:rsidP="004B11B7">
            <w:pPr>
              <w:rPr>
                <w:color w:val="000000"/>
                <w:sz w:val="20"/>
                <w:szCs w:val="20"/>
              </w:rPr>
            </w:pPr>
            <w:r w:rsidRPr="00D618B7">
              <w:rPr>
                <w:color w:val="000000"/>
                <w:sz w:val="20"/>
                <w:szCs w:val="20"/>
              </w:rPr>
              <w:t> </w:t>
            </w:r>
          </w:p>
        </w:tc>
        <w:tc>
          <w:tcPr>
            <w:tcW w:w="7476" w:type="dxa"/>
            <w:gridSpan w:val="6"/>
            <w:tcBorders>
              <w:top w:val="single" w:sz="18" w:space="0" w:color="auto"/>
              <w:left w:val="nil"/>
              <w:bottom w:val="nil"/>
              <w:right w:val="nil"/>
            </w:tcBorders>
            <w:shd w:val="clear" w:color="000000" w:fill="FFFFFF"/>
            <w:noWrap/>
            <w:vAlign w:val="center"/>
            <w:hideMark/>
          </w:tcPr>
          <w:p w14:paraId="3A1A3498" w14:textId="77777777" w:rsidR="006C7206" w:rsidRPr="00D618B7" w:rsidRDefault="006C7206" w:rsidP="004B11B7">
            <w:pPr>
              <w:jc w:val="center"/>
              <w:rPr>
                <w:color w:val="000000"/>
                <w:sz w:val="20"/>
                <w:szCs w:val="20"/>
              </w:rPr>
            </w:pPr>
            <w:r w:rsidRPr="00D618B7">
              <w:rPr>
                <w:color w:val="000000"/>
                <w:sz w:val="20"/>
                <w:szCs w:val="20"/>
              </w:rPr>
              <w:t>Toy-Moving-into-Reach</w:t>
            </w:r>
          </w:p>
        </w:tc>
      </w:tr>
      <w:tr w:rsidR="004C396F" w:rsidRPr="00D618B7" w14:paraId="6567870F" w14:textId="77777777" w:rsidTr="004C396F">
        <w:trPr>
          <w:trHeight w:val="192"/>
        </w:trPr>
        <w:tc>
          <w:tcPr>
            <w:tcW w:w="1329" w:type="dxa"/>
            <w:tcBorders>
              <w:top w:val="nil"/>
              <w:left w:val="nil"/>
              <w:bottom w:val="nil"/>
              <w:right w:val="nil"/>
            </w:tcBorders>
            <w:shd w:val="clear" w:color="000000" w:fill="FFFFFF"/>
            <w:vAlign w:val="center"/>
            <w:hideMark/>
          </w:tcPr>
          <w:p w14:paraId="0233F544" w14:textId="77777777" w:rsidR="006C7206" w:rsidRPr="00D618B7" w:rsidRDefault="006C7206" w:rsidP="004B11B7">
            <w:pPr>
              <w:jc w:val="right"/>
              <w:rPr>
                <w:color w:val="000000"/>
                <w:sz w:val="20"/>
                <w:szCs w:val="20"/>
              </w:rPr>
            </w:pPr>
            <w:r w:rsidRPr="00D618B7">
              <w:rPr>
                <w:color w:val="000000"/>
                <w:sz w:val="20"/>
                <w:szCs w:val="20"/>
              </w:rPr>
              <w:t>-5</w:t>
            </w:r>
          </w:p>
        </w:tc>
        <w:tc>
          <w:tcPr>
            <w:tcW w:w="1026" w:type="dxa"/>
            <w:tcBorders>
              <w:top w:val="nil"/>
              <w:left w:val="nil"/>
              <w:bottom w:val="nil"/>
              <w:right w:val="nil"/>
            </w:tcBorders>
            <w:shd w:val="clear" w:color="000000" w:fill="FFFFFF"/>
            <w:noWrap/>
            <w:vAlign w:val="center"/>
            <w:hideMark/>
          </w:tcPr>
          <w:p w14:paraId="1E54E0D6" w14:textId="77777777" w:rsidR="006C7206" w:rsidRPr="00D618B7" w:rsidRDefault="006C7206" w:rsidP="004B11B7">
            <w:pPr>
              <w:jc w:val="right"/>
              <w:rPr>
                <w:color w:val="000000"/>
                <w:sz w:val="20"/>
                <w:szCs w:val="20"/>
              </w:rPr>
            </w:pPr>
            <w:r w:rsidRPr="00D618B7">
              <w:rPr>
                <w:color w:val="000000"/>
                <w:sz w:val="20"/>
                <w:szCs w:val="20"/>
              </w:rPr>
              <w:t>13.46</w:t>
            </w:r>
          </w:p>
        </w:tc>
        <w:tc>
          <w:tcPr>
            <w:tcW w:w="1091" w:type="dxa"/>
            <w:tcBorders>
              <w:top w:val="nil"/>
              <w:left w:val="nil"/>
              <w:bottom w:val="nil"/>
              <w:right w:val="nil"/>
            </w:tcBorders>
            <w:shd w:val="clear" w:color="000000" w:fill="FFFFFF"/>
            <w:noWrap/>
            <w:vAlign w:val="center"/>
            <w:hideMark/>
          </w:tcPr>
          <w:p w14:paraId="39422EE3" w14:textId="77777777" w:rsidR="006C7206" w:rsidRPr="00D618B7" w:rsidRDefault="006C7206" w:rsidP="004B11B7">
            <w:pPr>
              <w:jc w:val="right"/>
              <w:rPr>
                <w:color w:val="000000"/>
                <w:sz w:val="20"/>
                <w:szCs w:val="20"/>
              </w:rPr>
            </w:pPr>
            <w:r w:rsidRPr="00D618B7">
              <w:rPr>
                <w:color w:val="000000"/>
                <w:sz w:val="20"/>
                <w:szCs w:val="20"/>
              </w:rPr>
              <w:t>444.72</w:t>
            </w:r>
          </w:p>
        </w:tc>
        <w:tc>
          <w:tcPr>
            <w:tcW w:w="1550" w:type="dxa"/>
            <w:tcBorders>
              <w:top w:val="nil"/>
              <w:left w:val="nil"/>
              <w:bottom w:val="nil"/>
              <w:right w:val="nil"/>
            </w:tcBorders>
            <w:shd w:val="clear" w:color="000000" w:fill="FFFFFF"/>
            <w:noWrap/>
            <w:vAlign w:val="center"/>
            <w:hideMark/>
          </w:tcPr>
          <w:p w14:paraId="3B0D8D56" w14:textId="77777777" w:rsidR="006C7206" w:rsidRPr="00D618B7" w:rsidRDefault="006C7206" w:rsidP="004B11B7">
            <w:pPr>
              <w:jc w:val="right"/>
              <w:rPr>
                <w:color w:val="000000"/>
                <w:sz w:val="20"/>
                <w:szCs w:val="20"/>
              </w:rPr>
            </w:pPr>
            <w:r w:rsidRPr="00D618B7">
              <w:rPr>
                <w:color w:val="000000"/>
                <w:sz w:val="20"/>
                <w:szCs w:val="20"/>
              </w:rPr>
              <w:t>-197.43</w:t>
            </w:r>
          </w:p>
        </w:tc>
        <w:tc>
          <w:tcPr>
            <w:tcW w:w="1080" w:type="dxa"/>
            <w:tcBorders>
              <w:top w:val="nil"/>
              <w:left w:val="nil"/>
              <w:bottom w:val="nil"/>
              <w:right w:val="nil"/>
            </w:tcBorders>
            <w:shd w:val="clear" w:color="000000" w:fill="FFFFFF"/>
            <w:noWrap/>
            <w:vAlign w:val="center"/>
            <w:hideMark/>
          </w:tcPr>
          <w:p w14:paraId="11F3F20A" w14:textId="77777777" w:rsidR="006C7206" w:rsidRPr="00D618B7" w:rsidRDefault="006C7206" w:rsidP="004B11B7">
            <w:pPr>
              <w:jc w:val="right"/>
              <w:rPr>
                <w:color w:val="000000"/>
                <w:sz w:val="20"/>
                <w:szCs w:val="20"/>
              </w:rPr>
            </w:pPr>
            <w:r w:rsidRPr="00D618B7">
              <w:rPr>
                <w:color w:val="000000"/>
                <w:sz w:val="20"/>
                <w:szCs w:val="20"/>
              </w:rPr>
              <w:t>419.43</w:t>
            </w:r>
          </w:p>
        </w:tc>
        <w:tc>
          <w:tcPr>
            <w:tcW w:w="1606" w:type="dxa"/>
            <w:tcBorders>
              <w:top w:val="nil"/>
              <w:left w:val="nil"/>
              <w:bottom w:val="nil"/>
              <w:right w:val="nil"/>
            </w:tcBorders>
            <w:shd w:val="clear" w:color="000000" w:fill="FFFFFF"/>
            <w:noWrap/>
            <w:vAlign w:val="center"/>
            <w:hideMark/>
          </w:tcPr>
          <w:p w14:paraId="56991C49" w14:textId="77777777" w:rsidR="006C7206" w:rsidRPr="00D618B7" w:rsidRDefault="006C7206" w:rsidP="004B11B7">
            <w:pPr>
              <w:jc w:val="right"/>
              <w:rPr>
                <w:color w:val="000000"/>
                <w:sz w:val="20"/>
                <w:szCs w:val="20"/>
              </w:rPr>
            </w:pPr>
            <w:r w:rsidRPr="00D618B7">
              <w:rPr>
                <w:color w:val="000000"/>
                <w:sz w:val="20"/>
                <w:szCs w:val="20"/>
              </w:rPr>
              <w:t>474.93</w:t>
            </w:r>
          </w:p>
        </w:tc>
        <w:tc>
          <w:tcPr>
            <w:tcW w:w="1120" w:type="dxa"/>
            <w:tcBorders>
              <w:top w:val="nil"/>
              <w:left w:val="nil"/>
              <w:bottom w:val="nil"/>
              <w:right w:val="nil"/>
            </w:tcBorders>
            <w:shd w:val="clear" w:color="000000" w:fill="FFFFFF"/>
            <w:noWrap/>
            <w:vAlign w:val="center"/>
            <w:hideMark/>
          </w:tcPr>
          <w:p w14:paraId="4ADEEE44" w14:textId="77777777" w:rsidR="006C7206" w:rsidRPr="00D618B7" w:rsidRDefault="006C7206" w:rsidP="004B11B7">
            <w:pPr>
              <w:jc w:val="right"/>
              <w:rPr>
                <w:color w:val="000000"/>
                <w:sz w:val="20"/>
                <w:szCs w:val="20"/>
              </w:rPr>
            </w:pPr>
            <w:r w:rsidRPr="00D618B7">
              <w:rPr>
                <w:color w:val="000000"/>
                <w:sz w:val="20"/>
                <w:szCs w:val="20"/>
              </w:rPr>
              <w:t>425.79</w:t>
            </w:r>
          </w:p>
        </w:tc>
      </w:tr>
      <w:tr w:rsidR="004C396F" w:rsidRPr="00D618B7" w14:paraId="5C1DD39F" w14:textId="77777777" w:rsidTr="004C396F">
        <w:trPr>
          <w:trHeight w:val="192"/>
        </w:trPr>
        <w:tc>
          <w:tcPr>
            <w:tcW w:w="1329" w:type="dxa"/>
            <w:tcBorders>
              <w:top w:val="nil"/>
              <w:left w:val="nil"/>
              <w:bottom w:val="nil"/>
              <w:right w:val="nil"/>
            </w:tcBorders>
            <w:shd w:val="clear" w:color="000000" w:fill="FFFFFF"/>
            <w:vAlign w:val="center"/>
            <w:hideMark/>
          </w:tcPr>
          <w:p w14:paraId="4FB53AEA" w14:textId="77777777" w:rsidR="006C7206" w:rsidRPr="00D618B7" w:rsidRDefault="006C7206" w:rsidP="004B11B7">
            <w:pPr>
              <w:jc w:val="right"/>
              <w:rPr>
                <w:color w:val="000000"/>
                <w:sz w:val="20"/>
                <w:szCs w:val="20"/>
              </w:rPr>
            </w:pPr>
            <w:r w:rsidRPr="00D618B7">
              <w:rPr>
                <w:color w:val="000000"/>
                <w:sz w:val="20"/>
                <w:szCs w:val="20"/>
              </w:rPr>
              <w:t>-4</w:t>
            </w:r>
          </w:p>
        </w:tc>
        <w:tc>
          <w:tcPr>
            <w:tcW w:w="1026" w:type="dxa"/>
            <w:tcBorders>
              <w:top w:val="nil"/>
              <w:left w:val="nil"/>
              <w:bottom w:val="nil"/>
              <w:right w:val="nil"/>
            </w:tcBorders>
            <w:shd w:val="clear" w:color="000000" w:fill="FFFFFF"/>
            <w:noWrap/>
            <w:vAlign w:val="center"/>
            <w:hideMark/>
          </w:tcPr>
          <w:p w14:paraId="76A2157F" w14:textId="77777777" w:rsidR="006C7206" w:rsidRPr="00D618B7" w:rsidRDefault="006C7206" w:rsidP="004B11B7">
            <w:pPr>
              <w:jc w:val="right"/>
              <w:rPr>
                <w:color w:val="000000"/>
                <w:sz w:val="20"/>
                <w:szCs w:val="20"/>
              </w:rPr>
            </w:pPr>
            <w:r w:rsidRPr="00D618B7">
              <w:rPr>
                <w:color w:val="000000"/>
                <w:sz w:val="20"/>
                <w:szCs w:val="20"/>
              </w:rPr>
              <w:t>-230.05</w:t>
            </w:r>
          </w:p>
        </w:tc>
        <w:tc>
          <w:tcPr>
            <w:tcW w:w="1091" w:type="dxa"/>
            <w:tcBorders>
              <w:top w:val="nil"/>
              <w:left w:val="nil"/>
              <w:bottom w:val="nil"/>
              <w:right w:val="nil"/>
            </w:tcBorders>
            <w:shd w:val="clear" w:color="000000" w:fill="FFFFFF"/>
            <w:noWrap/>
            <w:vAlign w:val="center"/>
            <w:hideMark/>
          </w:tcPr>
          <w:p w14:paraId="431F97F5" w14:textId="77777777" w:rsidR="006C7206" w:rsidRPr="00D618B7" w:rsidRDefault="006C7206" w:rsidP="004B11B7">
            <w:pPr>
              <w:jc w:val="right"/>
              <w:rPr>
                <w:color w:val="000000"/>
                <w:sz w:val="20"/>
                <w:szCs w:val="20"/>
              </w:rPr>
            </w:pPr>
            <w:r w:rsidRPr="00D618B7">
              <w:rPr>
                <w:color w:val="000000"/>
                <w:sz w:val="20"/>
                <w:szCs w:val="20"/>
              </w:rPr>
              <w:t>449.19</w:t>
            </w:r>
          </w:p>
        </w:tc>
        <w:tc>
          <w:tcPr>
            <w:tcW w:w="1550" w:type="dxa"/>
            <w:tcBorders>
              <w:top w:val="nil"/>
              <w:left w:val="nil"/>
              <w:bottom w:val="nil"/>
              <w:right w:val="nil"/>
            </w:tcBorders>
            <w:shd w:val="clear" w:color="000000" w:fill="FFFFFF"/>
            <w:noWrap/>
            <w:vAlign w:val="center"/>
            <w:hideMark/>
          </w:tcPr>
          <w:p w14:paraId="2E155E5B" w14:textId="77777777" w:rsidR="006C7206" w:rsidRPr="00D618B7" w:rsidRDefault="006C7206" w:rsidP="004B11B7">
            <w:pPr>
              <w:jc w:val="right"/>
              <w:rPr>
                <w:color w:val="000000"/>
                <w:sz w:val="20"/>
                <w:szCs w:val="20"/>
              </w:rPr>
            </w:pPr>
            <w:r w:rsidRPr="00D618B7">
              <w:rPr>
                <w:color w:val="000000"/>
                <w:sz w:val="20"/>
                <w:szCs w:val="20"/>
              </w:rPr>
              <w:t>99.84</w:t>
            </w:r>
          </w:p>
        </w:tc>
        <w:tc>
          <w:tcPr>
            <w:tcW w:w="1080" w:type="dxa"/>
            <w:tcBorders>
              <w:top w:val="nil"/>
              <w:left w:val="nil"/>
              <w:bottom w:val="nil"/>
              <w:right w:val="nil"/>
            </w:tcBorders>
            <w:shd w:val="clear" w:color="000000" w:fill="FFFFFF"/>
            <w:noWrap/>
            <w:vAlign w:val="center"/>
            <w:hideMark/>
          </w:tcPr>
          <w:p w14:paraId="04D1A66C" w14:textId="77777777" w:rsidR="006C7206" w:rsidRPr="00D618B7" w:rsidRDefault="006C7206" w:rsidP="004B11B7">
            <w:pPr>
              <w:jc w:val="right"/>
              <w:rPr>
                <w:color w:val="000000"/>
                <w:sz w:val="20"/>
                <w:szCs w:val="20"/>
              </w:rPr>
            </w:pPr>
            <w:r w:rsidRPr="00D618B7">
              <w:rPr>
                <w:color w:val="000000"/>
                <w:sz w:val="20"/>
                <w:szCs w:val="20"/>
              </w:rPr>
              <w:t>435.46</w:t>
            </w:r>
          </w:p>
        </w:tc>
        <w:tc>
          <w:tcPr>
            <w:tcW w:w="1606" w:type="dxa"/>
            <w:tcBorders>
              <w:top w:val="nil"/>
              <w:left w:val="nil"/>
              <w:bottom w:val="nil"/>
              <w:right w:val="nil"/>
            </w:tcBorders>
            <w:shd w:val="clear" w:color="000000" w:fill="FFFFFF"/>
            <w:noWrap/>
            <w:vAlign w:val="center"/>
            <w:hideMark/>
          </w:tcPr>
          <w:p w14:paraId="79EA3D25" w14:textId="77777777" w:rsidR="006C7206" w:rsidRPr="00D618B7" w:rsidRDefault="006C7206" w:rsidP="004B11B7">
            <w:pPr>
              <w:jc w:val="right"/>
              <w:rPr>
                <w:color w:val="000000"/>
                <w:sz w:val="20"/>
                <w:szCs w:val="20"/>
              </w:rPr>
            </w:pPr>
            <w:r w:rsidRPr="00D618B7">
              <w:rPr>
                <w:color w:val="000000"/>
                <w:sz w:val="20"/>
                <w:szCs w:val="20"/>
              </w:rPr>
              <w:t>-370.59</w:t>
            </w:r>
          </w:p>
        </w:tc>
        <w:tc>
          <w:tcPr>
            <w:tcW w:w="1120" w:type="dxa"/>
            <w:tcBorders>
              <w:top w:val="nil"/>
              <w:left w:val="nil"/>
              <w:bottom w:val="nil"/>
              <w:right w:val="nil"/>
            </w:tcBorders>
            <w:shd w:val="clear" w:color="000000" w:fill="FFFFFF"/>
            <w:noWrap/>
            <w:vAlign w:val="center"/>
            <w:hideMark/>
          </w:tcPr>
          <w:p w14:paraId="2A38B253" w14:textId="77777777" w:rsidR="006C7206" w:rsidRPr="00D618B7" w:rsidRDefault="006C7206" w:rsidP="004B11B7">
            <w:pPr>
              <w:jc w:val="right"/>
              <w:rPr>
                <w:color w:val="000000"/>
                <w:sz w:val="20"/>
                <w:szCs w:val="20"/>
              </w:rPr>
            </w:pPr>
            <w:r w:rsidRPr="00D618B7">
              <w:rPr>
                <w:color w:val="000000"/>
                <w:sz w:val="20"/>
                <w:szCs w:val="20"/>
              </w:rPr>
              <w:t>439.76</w:t>
            </w:r>
          </w:p>
        </w:tc>
      </w:tr>
      <w:tr w:rsidR="004C396F" w:rsidRPr="00D618B7" w14:paraId="6567CDC6" w14:textId="77777777" w:rsidTr="004C396F">
        <w:trPr>
          <w:trHeight w:val="192"/>
        </w:trPr>
        <w:tc>
          <w:tcPr>
            <w:tcW w:w="1329" w:type="dxa"/>
            <w:tcBorders>
              <w:top w:val="nil"/>
              <w:left w:val="nil"/>
              <w:bottom w:val="nil"/>
              <w:right w:val="nil"/>
            </w:tcBorders>
            <w:shd w:val="clear" w:color="000000" w:fill="FFFFFF"/>
            <w:vAlign w:val="center"/>
            <w:hideMark/>
          </w:tcPr>
          <w:p w14:paraId="7F4C60CF" w14:textId="77777777" w:rsidR="006C7206" w:rsidRPr="00D618B7" w:rsidRDefault="006C7206" w:rsidP="004B11B7">
            <w:pPr>
              <w:jc w:val="right"/>
              <w:rPr>
                <w:color w:val="000000"/>
                <w:sz w:val="20"/>
                <w:szCs w:val="20"/>
              </w:rPr>
            </w:pPr>
            <w:r w:rsidRPr="00D618B7">
              <w:rPr>
                <w:color w:val="000000"/>
                <w:sz w:val="20"/>
                <w:szCs w:val="20"/>
              </w:rPr>
              <w:t>-3</w:t>
            </w:r>
          </w:p>
        </w:tc>
        <w:tc>
          <w:tcPr>
            <w:tcW w:w="1026" w:type="dxa"/>
            <w:tcBorders>
              <w:top w:val="nil"/>
              <w:left w:val="nil"/>
              <w:bottom w:val="nil"/>
              <w:right w:val="nil"/>
            </w:tcBorders>
            <w:shd w:val="clear" w:color="000000" w:fill="FFFFFF"/>
            <w:noWrap/>
            <w:vAlign w:val="center"/>
            <w:hideMark/>
          </w:tcPr>
          <w:p w14:paraId="302AF48A" w14:textId="77777777" w:rsidR="006C7206" w:rsidRPr="00D618B7" w:rsidRDefault="006C7206" w:rsidP="004B11B7">
            <w:pPr>
              <w:jc w:val="right"/>
              <w:rPr>
                <w:color w:val="000000"/>
                <w:sz w:val="20"/>
                <w:szCs w:val="20"/>
              </w:rPr>
            </w:pPr>
            <w:r w:rsidRPr="00D618B7">
              <w:rPr>
                <w:color w:val="000000"/>
                <w:sz w:val="20"/>
                <w:szCs w:val="20"/>
              </w:rPr>
              <w:t>424.17</w:t>
            </w:r>
          </w:p>
        </w:tc>
        <w:tc>
          <w:tcPr>
            <w:tcW w:w="1091" w:type="dxa"/>
            <w:tcBorders>
              <w:top w:val="nil"/>
              <w:left w:val="nil"/>
              <w:bottom w:val="nil"/>
              <w:right w:val="nil"/>
            </w:tcBorders>
            <w:shd w:val="clear" w:color="000000" w:fill="FFFFFF"/>
            <w:noWrap/>
            <w:vAlign w:val="center"/>
            <w:hideMark/>
          </w:tcPr>
          <w:p w14:paraId="7AF4180A" w14:textId="77777777" w:rsidR="006C7206" w:rsidRPr="00D618B7" w:rsidRDefault="006C7206" w:rsidP="004B11B7">
            <w:pPr>
              <w:jc w:val="right"/>
              <w:rPr>
                <w:color w:val="000000"/>
                <w:sz w:val="20"/>
                <w:szCs w:val="20"/>
              </w:rPr>
            </w:pPr>
            <w:r w:rsidRPr="00D618B7">
              <w:rPr>
                <w:color w:val="000000"/>
                <w:sz w:val="20"/>
                <w:szCs w:val="20"/>
              </w:rPr>
              <w:t>451.12</w:t>
            </w:r>
          </w:p>
        </w:tc>
        <w:tc>
          <w:tcPr>
            <w:tcW w:w="1550" w:type="dxa"/>
            <w:tcBorders>
              <w:top w:val="nil"/>
              <w:left w:val="nil"/>
              <w:bottom w:val="nil"/>
              <w:right w:val="nil"/>
            </w:tcBorders>
            <w:shd w:val="clear" w:color="000000" w:fill="FFFFFF"/>
            <w:noWrap/>
            <w:vAlign w:val="center"/>
            <w:hideMark/>
          </w:tcPr>
          <w:p w14:paraId="014B2389" w14:textId="77777777" w:rsidR="006C7206" w:rsidRPr="00D618B7" w:rsidRDefault="006C7206" w:rsidP="004B11B7">
            <w:pPr>
              <w:jc w:val="right"/>
              <w:rPr>
                <w:color w:val="000000"/>
                <w:sz w:val="20"/>
                <w:szCs w:val="20"/>
              </w:rPr>
            </w:pPr>
            <w:r w:rsidRPr="00D618B7">
              <w:rPr>
                <w:color w:val="000000"/>
                <w:sz w:val="20"/>
                <w:szCs w:val="20"/>
              </w:rPr>
              <w:t>-155.81</w:t>
            </w:r>
          </w:p>
        </w:tc>
        <w:tc>
          <w:tcPr>
            <w:tcW w:w="1080" w:type="dxa"/>
            <w:tcBorders>
              <w:top w:val="nil"/>
              <w:left w:val="nil"/>
              <w:bottom w:val="nil"/>
              <w:right w:val="nil"/>
            </w:tcBorders>
            <w:shd w:val="clear" w:color="000000" w:fill="FFFFFF"/>
            <w:noWrap/>
            <w:vAlign w:val="center"/>
            <w:hideMark/>
          </w:tcPr>
          <w:p w14:paraId="3A9EE176" w14:textId="77777777" w:rsidR="006C7206" w:rsidRPr="00D618B7" w:rsidRDefault="006C7206" w:rsidP="004B11B7">
            <w:pPr>
              <w:jc w:val="right"/>
              <w:rPr>
                <w:color w:val="000000"/>
                <w:sz w:val="20"/>
                <w:szCs w:val="20"/>
              </w:rPr>
            </w:pPr>
            <w:r w:rsidRPr="00D618B7">
              <w:rPr>
                <w:color w:val="000000"/>
                <w:sz w:val="20"/>
                <w:szCs w:val="20"/>
              </w:rPr>
              <w:t>437.28</w:t>
            </w:r>
          </w:p>
        </w:tc>
        <w:tc>
          <w:tcPr>
            <w:tcW w:w="1606" w:type="dxa"/>
            <w:tcBorders>
              <w:top w:val="nil"/>
              <w:left w:val="nil"/>
              <w:bottom w:val="nil"/>
              <w:right w:val="nil"/>
            </w:tcBorders>
            <w:shd w:val="clear" w:color="000000" w:fill="FFFFFF"/>
            <w:noWrap/>
            <w:vAlign w:val="center"/>
            <w:hideMark/>
          </w:tcPr>
          <w:p w14:paraId="7C3C4986" w14:textId="77777777" w:rsidR="006C7206" w:rsidRPr="00D618B7" w:rsidRDefault="006C7206" w:rsidP="004B11B7">
            <w:pPr>
              <w:jc w:val="right"/>
              <w:rPr>
                <w:color w:val="000000"/>
                <w:sz w:val="20"/>
                <w:szCs w:val="20"/>
              </w:rPr>
            </w:pPr>
            <w:r w:rsidRPr="00D618B7">
              <w:rPr>
                <w:color w:val="000000"/>
                <w:sz w:val="20"/>
                <w:szCs w:val="20"/>
              </w:rPr>
              <w:t>453.60</w:t>
            </w:r>
          </w:p>
        </w:tc>
        <w:tc>
          <w:tcPr>
            <w:tcW w:w="1120" w:type="dxa"/>
            <w:tcBorders>
              <w:top w:val="nil"/>
              <w:left w:val="nil"/>
              <w:bottom w:val="nil"/>
              <w:right w:val="nil"/>
            </w:tcBorders>
            <w:shd w:val="clear" w:color="000000" w:fill="FFFFFF"/>
            <w:noWrap/>
            <w:vAlign w:val="center"/>
            <w:hideMark/>
          </w:tcPr>
          <w:p w14:paraId="2FDDA74C" w14:textId="77777777" w:rsidR="006C7206" w:rsidRPr="00D618B7" w:rsidRDefault="006C7206" w:rsidP="004B11B7">
            <w:pPr>
              <w:jc w:val="right"/>
              <w:rPr>
                <w:color w:val="000000"/>
                <w:sz w:val="20"/>
                <w:szCs w:val="20"/>
              </w:rPr>
            </w:pPr>
            <w:r w:rsidRPr="00D618B7">
              <w:rPr>
                <w:color w:val="000000"/>
                <w:sz w:val="20"/>
                <w:szCs w:val="20"/>
              </w:rPr>
              <w:t>440.52</w:t>
            </w:r>
          </w:p>
        </w:tc>
      </w:tr>
      <w:tr w:rsidR="004C396F" w:rsidRPr="00D618B7" w14:paraId="3C506CB9" w14:textId="77777777" w:rsidTr="004C396F">
        <w:trPr>
          <w:trHeight w:val="192"/>
        </w:trPr>
        <w:tc>
          <w:tcPr>
            <w:tcW w:w="1329" w:type="dxa"/>
            <w:tcBorders>
              <w:top w:val="nil"/>
              <w:left w:val="nil"/>
              <w:bottom w:val="nil"/>
              <w:right w:val="nil"/>
            </w:tcBorders>
            <w:shd w:val="clear" w:color="000000" w:fill="FFFFFF"/>
            <w:vAlign w:val="center"/>
            <w:hideMark/>
          </w:tcPr>
          <w:p w14:paraId="5A4E037D" w14:textId="77777777" w:rsidR="006C7206" w:rsidRPr="00D618B7" w:rsidRDefault="006C7206" w:rsidP="004B11B7">
            <w:pPr>
              <w:jc w:val="right"/>
              <w:rPr>
                <w:color w:val="000000"/>
                <w:sz w:val="20"/>
                <w:szCs w:val="20"/>
              </w:rPr>
            </w:pPr>
            <w:r w:rsidRPr="00D618B7">
              <w:rPr>
                <w:color w:val="000000"/>
                <w:sz w:val="20"/>
                <w:szCs w:val="20"/>
              </w:rPr>
              <w:t>-2</w:t>
            </w:r>
          </w:p>
        </w:tc>
        <w:tc>
          <w:tcPr>
            <w:tcW w:w="1026" w:type="dxa"/>
            <w:tcBorders>
              <w:top w:val="nil"/>
              <w:left w:val="nil"/>
              <w:bottom w:val="nil"/>
              <w:right w:val="nil"/>
            </w:tcBorders>
            <w:shd w:val="clear" w:color="000000" w:fill="FFFFFF"/>
            <w:noWrap/>
            <w:vAlign w:val="center"/>
            <w:hideMark/>
          </w:tcPr>
          <w:p w14:paraId="7DE8B516" w14:textId="77777777" w:rsidR="006C7206" w:rsidRPr="00D618B7" w:rsidRDefault="006C7206" w:rsidP="004B11B7">
            <w:pPr>
              <w:jc w:val="right"/>
              <w:rPr>
                <w:color w:val="000000"/>
                <w:sz w:val="20"/>
                <w:szCs w:val="20"/>
              </w:rPr>
            </w:pPr>
            <w:r w:rsidRPr="00D618B7">
              <w:rPr>
                <w:color w:val="000000"/>
                <w:sz w:val="20"/>
                <w:szCs w:val="20"/>
              </w:rPr>
              <w:t>-281.94</w:t>
            </w:r>
          </w:p>
        </w:tc>
        <w:tc>
          <w:tcPr>
            <w:tcW w:w="1091" w:type="dxa"/>
            <w:tcBorders>
              <w:top w:val="nil"/>
              <w:left w:val="nil"/>
              <w:bottom w:val="nil"/>
              <w:right w:val="nil"/>
            </w:tcBorders>
            <w:shd w:val="clear" w:color="000000" w:fill="FFFFFF"/>
            <w:noWrap/>
            <w:vAlign w:val="center"/>
            <w:hideMark/>
          </w:tcPr>
          <w:p w14:paraId="637815A9" w14:textId="77777777" w:rsidR="006C7206" w:rsidRPr="00D618B7" w:rsidRDefault="006C7206" w:rsidP="004B11B7">
            <w:pPr>
              <w:jc w:val="right"/>
              <w:rPr>
                <w:color w:val="000000"/>
                <w:sz w:val="20"/>
                <w:szCs w:val="20"/>
              </w:rPr>
            </w:pPr>
            <w:r w:rsidRPr="00D618B7">
              <w:rPr>
                <w:color w:val="000000"/>
                <w:sz w:val="20"/>
                <w:szCs w:val="20"/>
              </w:rPr>
              <w:t>395.99</w:t>
            </w:r>
          </w:p>
        </w:tc>
        <w:tc>
          <w:tcPr>
            <w:tcW w:w="1550" w:type="dxa"/>
            <w:tcBorders>
              <w:top w:val="nil"/>
              <w:left w:val="nil"/>
              <w:bottom w:val="nil"/>
              <w:right w:val="nil"/>
            </w:tcBorders>
            <w:shd w:val="clear" w:color="000000" w:fill="FFFFFF"/>
            <w:noWrap/>
            <w:vAlign w:val="center"/>
            <w:hideMark/>
          </w:tcPr>
          <w:p w14:paraId="10E3DA3A" w14:textId="77777777" w:rsidR="006C7206" w:rsidRPr="00D618B7" w:rsidRDefault="006C7206" w:rsidP="004B11B7">
            <w:pPr>
              <w:jc w:val="right"/>
              <w:rPr>
                <w:color w:val="000000"/>
                <w:sz w:val="20"/>
                <w:szCs w:val="20"/>
              </w:rPr>
            </w:pPr>
            <w:r w:rsidRPr="00D618B7">
              <w:rPr>
                <w:color w:val="000000"/>
                <w:sz w:val="20"/>
                <w:szCs w:val="20"/>
              </w:rPr>
              <w:t>46.84</w:t>
            </w:r>
          </w:p>
        </w:tc>
        <w:tc>
          <w:tcPr>
            <w:tcW w:w="1080" w:type="dxa"/>
            <w:tcBorders>
              <w:top w:val="nil"/>
              <w:left w:val="nil"/>
              <w:bottom w:val="nil"/>
              <w:right w:val="nil"/>
            </w:tcBorders>
            <w:shd w:val="clear" w:color="000000" w:fill="FFFFFF"/>
            <w:noWrap/>
            <w:vAlign w:val="center"/>
            <w:hideMark/>
          </w:tcPr>
          <w:p w14:paraId="103790C8" w14:textId="77777777" w:rsidR="006C7206" w:rsidRPr="00D618B7" w:rsidRDefault="006C7206" w:rsidP="004B11B7">
            <w:pPr>
              <w:jc w:val="right"/>
              <w:rPr>
                <w:color w:val="000000"/>
                <w:sz w:val="20"/>
                <w:szCs w:val="20"/>
              </w:rPr>
            </w:pPr>
            <w:r w:rsidRPr="00D618B7">
              <w:rPr>
                <w:color w:val="000000"/>
                <w:sz w:val="20"/>
                <w:szCs w:val="20"/>
              </w:rPr>
              <w:t>380.83</w:t>
            </w:r>
          </w:p>
        </w:tc>
        <w:tc>
          <w:tcPr>
            <w:tcW w:w="1606" w:type="dxa"/>
            <w:tcBorders>
              <w:top w:val="nil"/>
              <w:left w:val="nil"/>
              <w:bottom w:val="nil"/>
              <w:right w:val="nil"/>
            </w:tcBorders>
            <w:shd w:val="clear" w:color="000000" w:fill="FFFFFF"/>
            <w:noWrap/>
            <w:vAlign w:val="center"/>
            <w:hideMark/>
          </w:tcPr>
          <w:p w14:paraId="3EB9F47D" w14:textId="77777777" w:rsidR="006C7206" w:rsidRPr="00D618B7" w:rsidRDefault="006C7206" w:rsidP="004B11B7">
            <w:pPr>
              <w:jc w:val="right"/>
              <w:rPr>
                <w:color w:val="000000"/>
                <w:sz w:val="20"/>
                <w:szCs w:val="20"/>
              </w:rPr>
            </w:pPr>
            <w:r w:rsidRPr="00D618B7">
              <w:rPr>
                <w:color w:val="000000"/>
                <w:sz w:val="20"/>
                <w:szCs w:val="20"/>
              </w:rPr>
              <w:t>-420.83</w:t>
            </w:r>
          </w:p>
        </w:tc>
        <w:tc>
          <w:tcPr>
            <w:tcW w:w="1120" w:type="dxa"/>
            <w:tcBorders>
              <w:top w:val="nil"/>
              <w:left w:val="nil"/>
              <w:bottom w:val="nil"/>
              <w:right w:val="nil"/>
            </w:tcBorders>
            <w:shd w:val="clear" w:color="000000" w:fill="FFFFFF"/>
            <w:noWrap/>
            <w:vAlign w:val="center"/>
            <w:hideMark/>
          </w:tcPr>
          <w:p w14:paraId="7EE54336" w14:textId="77777777" w:rsidR="006C7206" w:rsidRPr="00D618B7" w:rsidRDefault="006C7206" w:rsidP="004B11B7">
            <w:pPr>
              <w:jc w:val="right"/>
              <w:rPr>
                <w:color w:val="000000"/>
                <w:sz w:val="20"/>
                <w:szCs w:val="20"/>
              </w:rPr>
            </w:pPr>
            <w:r w:rsidRPr="00D618B7">
              <w:rPr>
                <w:color w:val="000000"/>
                <w:sz w:val="20"/>
                <w:szCs w:val="20"/>
              </w:rPr>
              <w:t>387.24</w:t>
            </w:r>
          </w:p>
        </w:tc>
      </w:tr>
      <w:tr w:rsidR="004C396F" w:rsidRPr="00D618B7" w14:paraId="4F1D20C8" w14:textId="77777777" w:rsidTr="004C396F">
        <w:trPr>
          <w:trHeight w:val="192"/>
        </w:trPr>
        <w:tc>
          <w:tcPr>
            <w:tcW w:w="1329" w:type="dxa"/>
            <w:tcBorders>
              <w:top w:val="nil"/>
              <w:left w:val="nil"/>
              <w:bottom w:val="nil"/>
              <w:right w:val="nil"/>
            </w:tcBorders>
            <w:shd w:val="clear" w:color="000000" w:fill="FFFFFF"/>
            <w:vAlign w:val="center"/>
            <w:hideMark/>
          </w:tcPr>
          <w:p w14:paraId="7467C3A7" w14:textId="77777777" w:rsidR="006C7206" w:rsidRPr="00D618B7" w:rsidRDefault="006C7206" w:rsidP="004B11B7">
            <w:pPr>
              <w:jc w:val="right"/>
              <w:rPr>
                <w:color w:val="000000"/>
                <w:sz w:val="20"/>
                <w:szCs w:val="20"/>
              </w:rPr>
            </w:pPr>
            <w:r w:rsidRPr="00D618B7">
              <w:rPr>
                <w:color w:val="000000"/>
                <w:sz w:val="20"/>
                <w:szCs w:val="20"/>
              </w:rPr>
              <w:t>-1</w:t>
            </w:r>
          </w:p>
        </w:tc>
        <w:tc>
          <w:tcPr>
            <w:tcW w:w="1026" w:type="dxa"/>
            <w:tcBorders>
              <w:top w:val="nil"/>
              <w:left w:val="nil"/>
              <w:bottom w:val="nil"/>
              <w:right w:val="nil"/>
            </w:tcBorders>
            <w:shd w:val="clear" w:color="000000" w:fill="FFFFFF"/>
            <w:noWrap/>
            <w:vAlign w:val="center"/>
            <w:hideMark/>
          </w:tcPr>
          <w:p w14:paraId="4BC9E4B0" w14:textId="77777777" w:rsidR="006C7206" w:rsidRPr="00D618B7" w:rsidRDefault="006C7206" w:rsidP="004B11B7">
            <w:pPr>
              <w:jc w:val="right"/>
              <w:rPr>
                <w:color w:val="000000"/>
                <w:sz w:val="20"/>
                <w:szCs w:val="20"/>
              </w:rPr>
            </w:pPr>
            <w:r w:rsidRPr="00D618B7">
              <w:rPr>
                <w:color w:val="000000"/>
                <w:sz w:val="20"/>
                <w:szCs w:val="20"/>
              </w:rPr>
              <w:t>71.46</w:t>
            </w:r>
          </w:p>
        </w:tc>
        <w:tc>
          <w:tcPr>
            <w:tcW w:w="1091" w:type="dxa"/>
            <w:tcBorders>
              <w:top w:val="nil"/>
              <w:left w:val="nil"/>
              <w:bottom w:val="nil"/>
              <w:right w:val="nil"/>
            </w:tcBorders>
            <w:shd w:val="clear" w:color="000000" w:fill="FFFFFF"/>
            <w:noWrap/>
            <w:vAlign w:val="center"/>
            <w:hideMark/>
          </w:tcPr>
          <w:p w14:paraId="1B571A11" w14:textId="77777777" w:rsidR="006C7206" w:rsidRPr="00D618B7" w:rsidRDefault="006C7206" w:rsidP="004B11B7">
            <w:pPr>
              <w:jc w:val="right"/>
              <w:rPr>
                <w:color w:val="000000"/>
                <w:sz w:val="20"/>
                <w:szCs w:val="20"/>
              </w:rPr>
            </w:pPr>
            <w:r w:rsidRPr="00D618B7">
              <w:rPr>
                <w:color w:val="000000"/>
                <w:sz w:val="20"/>
                <w:szCs w:val="20"/>
              </w:rPr>
              <w:t>403.56</w:t>
            </w:r>
          </w:p>
        </w:tc>
        <w:tc>
          <w:tcPr>
            <w:tcW w:w="1550" w:type="dxa"/>
            <w:tcBorders>
              <w:top w:val="nil"/>
              <w:left w:val="nil"/>
              <w:bottom w:val="nil"/>
              <w:right w:val="nil"/>
            </w:tcBorders>
            <w:shd w:val="clear" w:color="000000" w:fill="FFFFFF"/>
            <w:noWrap/>
            <w:vAlign w:val="center"/>
            <w:hideMark/>
          </w:tcPr>
          <w:p w14:paraId="778FC7C1" w14:textId="77777777" w:rsidR="006C7206" w:rsidRPr="00D618B7" w:rsidRDefault="006C7206" w:rsidP="004B11B7">
            <w:pPr>
              <w:jc w:val="right"/>
              <w:rPr>
                <w:color w:val="000000"/>
                <w:sz w:val="20"/>
                <w:szCs w:val="20"/>
              </w:rPr>
            </w:pPr>
            <w:r w:rsidRPr="00D618B7">
              <w:rPr>
                <w:color w:val="000000"/>
                <w:sz w:val="20"/>
                <w:szCs w:val="20"/>
              </w:rPr>
              <w:t>104.10</w:t>
            </w:r>
          </w:p>
        </w:tc>
        <w:tc>
          <w:tcPr>
            <w:tcW w:w="1080" w:type="dxa"/>
            <w:tcBorders>
              <w:top w:val="nil"/>
              <w:left w:val="nil"/>
              <w:bottom w:val="nil"/>
              <w:right w:val="nil"/>
            </w:tcBorders>
            <w:shd w:val="clear" w:color="000000" w:fill="FFFFFF"/>
            <w:noWrap/>
            <w:vAlign w:val="center"/>
            <w:hideMark/>
          </w:tcPr>
          <w:p w14:paraId="61EF1F30" w14:textId="77777777" w:rsidR="006C7206" w:rsidRPr="00D618B7" w:rsidRDefault="006C7206" w:rsidP="004B11B7">
            <w:pPr>
              <w:jc w:val="right"/>
              <w:rPr>
                <w:color w:val="000000"/>
                <w:sz w:val="20"/>
                <w:szCs w:val="20"/>
              </w:rPr>
            </w:pPr>
            <w:r w:rsidRPr="00D618B7">
              <w:rPr>
                <w:color w:val="000000"/>
                <w:sz w:val="20"/>
                <w:szCs w:val="20"/>
              </w:rPr>
              <w:t>392.60</w:t>
            </w:r>
          </w:p>
        </w:tc>
        <w:tc>
          <w:tcPr>
            <w:tcW w:w="1606" w:type="dxa"/>
            <w:tcBorders>
              <w:top w:val="nil"/>
              <w:left w:val="nil"/>
              <w:bottom w:val="nil"/>
              <w:right w:val="nil"/>
            </w:tcBorders>
            <w:shd w:val="clear" w:color="000000" w:fill="FFFFFF"/>
            <w:noWrap/>
            <w:vAlign w:val="center"/>
            <w:hideMark/>
          </w:tcPr>
          <w:p w14:paraId="2D8C59D1" w14:textId="77777777" w:rsidR="006C7206" w:rsidRPr="00D618B7" w:rsidRDefault="006C7206" w:rsidP="004B11B7">
            <w:pPr>
              <w:jc w:val="right"/>
              <w:rPr>
                <w:color w:val="000000"/>
                <w:sz w:val="20"/>
                <w:szCs w:val="20"/>
              </w:rPr>
            </w:pPr>
            <w:r w:rsidRPr="00D618B7">
              <w:rPr>
                <w:color w:val="000000"/>
                <w:sz w:val="20"/>
                <w:szCs w:val="20"/>
              </w:rPr>
              <w:t>2561.56</w:t>
            </w:r>
          </w:p>
        </w:tc>
        <w:tc>
          <w:tcPr>
            <w:tcW w:w="1120" w:type="dxa"/>
            <w:tcBorders>
              <w:top w:val="nil"/>
              <w:left w:val="nil"/>
              <w:bottom w:val="nil"/>
              <w:right w:val="nil"/>
            </w:tcBorders>
            <w:shd w:val="clear" w:color="000000" w:fill="FFFFFF"/>
            <w:noWrap/>
            <w:vAlign w:val="center"/>
            <w:hideMark/>
          </w:tcPr>
          <w:p w14:paraId="7C5E778C" w14:textId="77777777" w:rsidR="006C7206" w:rsidRPr="00D618B7" w:rsidRDefault="006C7206" w:rsidP="004B11B7">
            <w:pPr>
              <w:jc w:val="right"/>
              <w:rPr>
                <w:color w:val="000000"/>
                <w:sz w:val="20"/>
                <w:szCs w:val="20"/>
              </w:rPr>
            </w:pPr>
            <w:r w:rsidRPr="00D618B7">
              <w:rPr>
                <w:color w:val="000000"/>
                <w:sz w:val="20"/>
                <w:szCs w:val="20"/>
              </w:rPr>
              <w:t>397.97</w:t>
            </w:r>
          </w:p>
        </w:tc>
      </w:tr>
      <w:tr w:rsidR="004C396F" w:rsidRPr="00D618B7" w14:paraId="42DE6CB8" w14:textId="77777777" w:rsidTr="004C396F">
        <w:trPr>
          <w:trHeight w:val="192"/>
        </w:trPr>
        <w:tc>
          <w:tcPr>
            <w:tcW w:w="1329" w:type="dxa"/>
            <w:tcBorders>
              <w:top w:val="nil"/>
              <w:left w:val="nil"/>
              <w:bottom w:val="nil"/>
              <w:right w:val="nil"/>
            </w:tcBorders>
            <w:shd w:val="clear" w:color="000000" w:fill="FFFFFF"/>
            <w:vAlign w:val="center"/>
            <w:hideMark/>
          </w:tcPr>
          <w:p w14:paraId="2B7F7A4A" w14:textId="77777777" w:rsidR="006C7206" w:rsidRPr="00D618B7" w:rsidRDefault="006C7206" w:rsidP="004B11B7">
            <w:pPr>
              <w:jc w:val="right"/>
              <w:rPr>
                <w:color w:val="000000"/>
                <w:sz w:val="20"/>
                <w:szCs w:val="20"/>
              </w:rPr>
            </w:pPr>
            <w:r w:rsidRPr="00D618B7">
              <w:rPr>
                <w:color w:val="000000"/>
                <w:sz w:val="20"/>
                <w:szCs w:val="20"/>
              </w:rPr>
              <w:t>0</w:t>
            </w:r>
          </w:p>
        </w:tc>
        <w:tc>
          <w:tcPr>
            <w:tcW w:w="1026" w:type="dxa"/>
            <w:tcBorders>
              <w:top w:val="nil"/>
              <w:left w:val="nil"/>
              <w:bottom w:val="nil"/>
              <w:right w:val="nil"/>
            </w:tcBorders>
            <w:shd w:val="clear" w:color="000000" w:fill="FFFFFF"/>
            <w:noWrap/>
            <w:vAlign w:val="center"/>
            <w:hideMark/>
          </w:tcPr>
          <w:p w14:paraId="5483365C" w14:textId="77777777" w:rsidR="006C7206" w:rsidRPr="00D618B7" w:rsidRDefault="006C7206" w:rsidP="004B11B7">
            <w:pPr>
              <w:jc w:val="right"/>
              <w:rPr>
                <w:color w:val="000000"/>
                <w:sz w:val="20"/>
                <w:szCs w:val="20"/>
              </w:rPr>
            </w:pPr>
            <w:r w:rsidRPr="00D618B7">
              <w:rPr>
                <w:color w:val="000000"/>
                <w:sz w:val="20"/>
                <w:szCs w:val="20"/>
              </w:rPr>
              <w:t>120.61</w:t>
            </w:r>
          </w:p>
        </w:tc>
        <w:tc>
          <w:tcPr>
            <w:tcW w:w="1091" w:type="dxa"/>
            <w:tcBorders>
              <w:top w:val="nil"/>
              <w:left w:val="nil"/>
              <w:bottom w:val="nil"/>
              <w:right w:val="nil"/>
            </w:tcBorders>
            <w:shd w:val="clear" w:color="000000" w:fill="FFFFFF"/>
            <w:noWrap/>
            <w:vAlign w:val="center"/>
            <w:hideMark/>
          </w:tcPr>
          <w:p w14:paraId="48C93A38" w14:textId="77777777" w:rsidR="006C7206" w:rsidRPr="00D618B7" w:rsidRDefault="006C7206" w:rsidP="004B11B7">
            <w:pPr>
              <w:jc w:val="right"/>
              <w:rPr>
                <w:color w:val="000000"/>
                <w:sz w:val="20"/>
                <w:szCs w:val="20"/>
              </w:rPr>
            </w:pPr>
            <w:r w:rsidRPr="00D618B7">
              <w:rPr>
                <w:color w:val="000000"/>
                <w:sz w:val="20"/>
                <w:szCs w:val="20"/>
              </w:rPr>
              <w:t>362.75</w:t>
            </w:r>
          </w:p>
        </w:tc>
        <w:tc>
          <w:tcPr>
            <w:tcW w:w="1550" w:type="dxa"/>
            <w:tcBorders>
              <w:top w:val="nil"/>
              <w:left w:val="nil"/>
              <w:bottom w:val="nil"/>
              <w:right w:val="nil"/>
            </w:tcBorders>
            <w:shd w:val="clear" w:color="000000" w:fill="FFFFFF"/>
            <w:noWrap/>
            <w:vAlign w:val="center"/>
            <w:hideMark/>
          </w:tcPr>
          <w:p w14:paraId="6ACB452B" w14:textId="77777777" w:rsidR="006C7206" w:rsidRPr="00D618B7" w:rsidRDefault="006C7206" w:rsidP="004B11B7">
            <w:pPr>
              <w:jc w:val="right"/>
              <w:rPr>
                <w:color w:val="000000"/>
                <w:sz w:val="20"/>
                <w:szCs w:val="20"/>
              </w:rPr>
            </w:pPr>
            <w:r w:rsidRPr="00D618B7">
              <w:rPr>
                <w:color w:val="000000"/>
                <w:sz w:val="20"/>
                <w:szCs w:val="20"/>
              </w:rPr>
              <w:t>-160.80</w:t>
            </w:r>
          </w:p>
        </w:tc>
        <w:tc>
          <w:tcPr>
            <w:tcW w:w="1080" w:type="dxa"/>
            <w:tcBorders>
              <w:top w:val="nil"/>
              <w:left w:val="nil"/>
              <w:bottom w:val="nil"/>
              <w:right w:val="nil"/>
            </w:tcBorders>
            <w:shd w:val="clear" w:color="000000" w:fill="FFFFFF"/>
            <w:noWrap/>
            <w:vAlign w:val="center"/>
            <w:hideMark/>
          </w:tcPr>
          <w:p w14:paraId="13295FC3" w14:textId="77777777" w:rsidR="006C7206" w:rsidRPr="00D618B7" w:rsidRDefault="006C7206" w:rsidP="004B11B7">
            <w:pPr>
              <w:jc w:val="right"/>
              <w:rPr>
                <w:color w:val="000000"/>
                <w:sz w:val="20"/>
                <w:szCs w:val="20"/>
              </w:rPr>
            </w:pPr>
            <w:r w:rsidRPr="00D618B7">
              <w:rPr>
                <w:color w:val="000000"/>
                <w:sz w:val="20"/>
                <w:szCs w:val="20"/>
              </w:rPr>
              <w:t>356.36</w:t>
            </w:r>
          </w:p>
        </w:tc>
        <w:tc>
          <w:tcPr>
            <w:tcW w:w="1606" w:type="dxa"/>
            <w:tcBorders>
              <w:top w:val="nil"/>
              <w:left w:val="nil"/>
              <w:bottom w:val="nil"/>
              <w:right w:val="nil"/>
            </w:tcBorders>
            <w:shd w:val="clear" w:color="000000" w:fill="FFFFFF"/>
            <w:noWrap/>
            <w:vAlign w:val="center"/>
            <w:hideMark/>
          </w:tcPr>
          <w:p w14:paraId="354B66ED" w14:textId="77777777" w:rsidR="006C7206" w:rsidRPr="00D618B7" w:rsidRDefault="006C7206" w:rsidP="004B11B7">
            <w:pPr>
              <w:jc w:val="right"/>
              <w:rPr>
                <w:color w:val="000000"/>
                <w:sz w:val="20"/>
                <w:szCs w:val="20"/>
              </w:rPr>
            </w:pPr>
            <w:r w:rsidRPr="00D618B7">
              <w:rPr>
                <w:color w:val="000000"/>
                <w:sz w:val="20"/>
                <w:szCs w:val="20"/>
              </w:rPr>
              <w:t>-560.34</w:t>
            </w:r>
          </w:p>
        </w:tc>
        <w:tc>
          <w:tcPr>
            <w:tcW w:w="1120" w:type="dxa"/>
            <w:tcBorders>
              <w:top w:val="nil"/>
              <w:left w:val="nil"/>
              <w:bottom w:val="nil"/>
              <w:right w:val="nil"/>
            </w:tcBorders>
            <w:shd w:val="clear" w:color="000000" w:fill="FFFFFF"/>
            <w:noWrap/>
            <w:vAlign w:val="center"/>
            <w:hideMark/>
          </w:tcPr>
          <w:p w14:paraId="28B85695" w14:textId="77777777" w:rsidR="006C7206" w:rsidRPr="00D618B7" w:rsidRDefault="006C7206" w:rsidP="004B11B7">
            <w:pPr>
              <w:jc w:val="right"/>
              <w:rPr>
                <w:color w:val="000000"/>
                <w:sz w:val="20"/>
                <w:szCs w:val="20"/>
              </w:rPr>
            </w:pPr>
            <w:r w:rsidRPr="00D618B7">
              <w:rPr>
                <w:color w:val="000000"/>
                <w:sz w:val="20"/>
                <w:szCs w:val="20"/>
              </w:rPr>
              <w:t>362.16</w:t>
            </w:r>
          </w:p>
        </w:tc>
      </w:tr>
      <w:tr w:rsidR="004C396F" w:rsidRPr="00D618B7" w14:paraId="2BDEE586" w14:textId="77777777" w:rsidTr="004C396F">
        <w:trPr>
          <w:trHeight w:val="192"/>
        </w:trPr>
        <w:tc>
          <w:tcPr>
            <w:tcW w:w="1329" w:type="dxa"/>
            <w:tcBorders>
              <w:top w:val="nil"/>
              <w:left w:val="nil"/>
              <w:bottom w:val="nil"/>
              <w:right w:val="nil"/>
            </w:tcBorders>
            <w:shd w:val="clear" w:color="000000" w:fill="FFFFFF"/>
            <w:vAlign w:val="center"/>
            <w:hideMark/>
          </w:tcPr>
          <w:p w14:paraId="69FD9978" w14:textId="77777777" w:rsidR="006C7206" w:rsidRPr="00D618B7" w:rsidRDefault="006C7206" w:rsidP="004B11B7">
            <w:pPr>
              <w:jc w:val="right"/>
              <w:rPr>
                <w:color w:val="000000"/>
                <w:sz w:val="20"/>
                <w:szCs w:val="20"/>
              </w:rPr>
            </w:pPr>
            <w:r w:rsidRPr="00D618B7">
              <w:rPr>
                <w:color w:val="000000"/>
                <w:sz w:val="20"/>
                <w:szCs w:val="20"/>
              </w:rPr>
              <w:t>1</w:t>
            </w:r>
          </w:p>
        </w:tc>
        <w:tc>
          <w:tcPr>
            <w:tcW w:w="1026" w:type="dxa"/>
            <w:tcBorders>
              <w:top w:val="nil"/>
              <w:left w:val="nil"/>
              <w:bottom w:val="nil"/>
              <w:right w:val="nil"/>
            </w:tcBorders>
            <w:shd w:val="clear" w:color="000000" w:fill="FFFFFF"/>
            <w:noWrap/>
            <w:vAlign w:val="center"/>
            <w:hideMark/>
          </w:tcPr>
          <w:p w14:paraId="40F58D80" w14:textId="77777777" w:rsidR="006C7206" w:rsidRPr="00D618B7" w:rsidRDefault="006C7206" w:rsidP="004B11B7">
            <w:pPr>
              <w:jc w:val="right"/>
              <w:rPr>
                <w:color w:val="000000"/>
                <w:sz w:val="20"/>
                <w:szCs w:val="20"/>
              </w:rPr>
            </w:pPr>
            <w:r w:rsidRPr="00D618B7">
              <w:rPr>
                <w:color w:val="000000"/>
                <w:sz w:val="20"/>
                <w:szCs w:val="20"/>
              </w:rPr>
              <w:t>-126.87</w:t>
            </w:r>
          </w:p>
        </w:tc>
        <w:tc>
          <w:tcPr>
            <w:tcW w:w="1091" w:type="dxa"/>
            <w:tcBorders>
              <w:top w:val="nil"/>
              <w:left w:val="nil"/>
              <w:bottom w:val="nil"/>
              <w:right w:val="nil"/>
            </w:tcBorders>
            <w:shd w:val="clear" w:color="000000" w:fill="FFFFFF"/>
            <w:noWrap/>
            <w:vAlign w:val="center"/>
            <w:hideMark/>
          </w:tcPr>
          <w:p w14:paraId="27423979" w14:textId="77777777" w:rsidR="006C7206" w:rsidRPr="00D618B7" w:rsidRDefault="006C7206" w:rsidP="004B11B7">
            <w:pPr>
              <w:jc w:val="right"/>
              <w:rPr>
                <w:color w:val="000000"/>
                <w:sz w:val="20"/>
                <w:szCs w:val="20"/>
              </w:rPr>
            </w:pPr>
            <w:r w:rsidRPr="00D618B7">
              <w:rPr>
                <w:color w:val="000000"/>
                <w:sz w:val="20"/>
                <w:szCs w:val="20"/>
              </w:rPr>
              <w:t>360.01</w:t>
            </w:r>
          </w:p>
        </w:tc>
        <w:tc>
          <w:tcPr>
            <w:tcW w:w="1550" w:type="dxa"/>
            <w:tcBorders>
              <w:top w:val="nil"/>
              <w:left w:val="nil"/>
              <w:bottom w:val="nil"/>
              <w:right w:val="nil"/>
            </w:tcBorders>
            <w:shd w:val="clear" w:color="000000" w:fill="FFFFFF"/>
            <w:noWrap/>
            <w:vAlign w:val="center"/>
            <w:hideMark/>
          </w:tcPr>
          <w:p w14:paraId="32A3A5DC" w14:textId="77777777" w:rsidR="006C7206" w:rsidRPr="00D618B7" w:rsidRDefault="006C7206" w:rsidP="004B11B7">
            <w:pPr>
              <w:jc w:val="right"/>
              <w:rPr>
                <w:color w:val="000000"/>
                <w:sz w:val="20"/>
                <w:szCs w:val="20"/>
              </w:rPr>
            </w:pPr>
            <w:r w:rsidRPr="00D618B7">
              <w:rPr>
                <w:color w:val="000000"/>
                <w:sz w:val="20"/>
                <w:szCs w:val="20"/>
              </w:rPr>
              <w:t>271.39</w:t>
            </w:r>
          </w:p>
        </w:tc>
        <w:tc>
          <w:tcPr>
            <w:tcW w:w="1080" w:type="dxa"/>
            <w:tcBorders>
              <w:top w:val="nil"/>
              <w:left w:val="nil"/>
              <w:bottom w:val="nil"/>
              <w:right w:val="nil"/>
            </w:tcBorders>
            <w:shd w:val="clear" w:color="000000" w:fill="FFFFFF"/>
            <w:noWrap/>
            <w:vAlign w:val="center"/>
            <w:hideMark/>
          </w:tcPr>
          <w:p w14:paraId="4B1EA6AA" w14:textId="77777777" w:rsidR="006C7206" w:rsidRPr="00D618B7" w:rsidRDefault="006C7206" w:rsidP="004B11B7">
            <w:pPr>
              <w:jc w:val="right"/>
              <w:rPr>
                <w:color w:val="000000"/>
                <w:sz w:val="20"/>
                <w:szCs w:val="20"/>
              </w:rPr>
            </w:pPr>
            <w:r w:rsidRPr="00D618B7">
              <w:rPr>
                <w:color w:val="000000"/>
                <w:sz w:val="20"/>
                <w:szCs w:val="20"/>
              </w:rPr>
              <w:t>354.67</w:t>
            </w:r>
          </w:p>
        </w:tc>
        <w:tc>
          <w:tcPr>
            <w:tcW w:w="1606" w:type="dxa"/>
            <w:tcBorders>
              <w:top w:val="nil"/>
              <w:left w:val="nil"/>
              <w:bottom w:val="nil"/>
              <w:right w:val="nil"/>
            </w:tcBorders>
            <w:shd w:val="clear" w:color="000000" w:fill="FFFFFF"/>
            <w:noWrap/>
            <w:vAlign w:val="center"/>
            <w:hideMark/>
          </w:tcPr>
          <w:p w14:paraId="71EC9502" w14:textId="77777777" w:rsidR="006C7206" w:rsidRPr="00D618B7" w:rsidRDefault="006C7206" w:rsidP="004B11B7">
            <w:pPr>
              <w:jc w:val="right"/>
              <w:rPr>
                <w:color w:val="000000"/>
                <w:sz w:val="20"/>
                <w:szCs w:val="20"/>
              </w:rPr>
            </w:pPr>
            <w:r w:rsidRPr="00D618B7">
              <w:rPr>
                <w:color w:val="000000"/>
                <w:sz w:val="20"/>
                <w:szCs w:val="20"/>
              </w:rPr>
              <w:t>511.85</w:t>
            </w:r>
          </w:p>
        </w:tc>
        <w:tc>
          <w:tcPr>
            <w:tcW w:w="1120" w:type="dxa"/>
            <w:tcBorders>
              <w:top w:val="nil"/>
              <w:left w:val="nil"/>
              <w:bottom w:val="nil"/>
              <w:right w:val="nil"/>
            </w:tcBorders>
            <w:shd w:val="clear" w:color="000000" w:fill="FFFFFF"/>
            <w:noWrap/>
            <w:vAlign w:val="center"/>
            <w:hideMark/>
          </w:tcPr>
          <w:p w14:paraId="1C1D51FC" w14:textId="77777777" w:rsidR="006C7206" w:rsidRPr="00D618B7" w:rsidRDefault="006C7206" w:rsidP="004B11B7">
            <w:pPr>
              <w:jc w:val="right"/>
              <w:rPr>
                <w:color w:val="000000"/>
                <w:sz w:val="20"/>
                <w:szCs w:val="20"/>
              </w:rPr>
            </w:pPr>
            <w:r w:rsidRPr="00D618B7">
              <w:rPr>
                <w:color w:val="000000"/>
                <w:sz w:val="20"/>
                <w:szCs w:val="20"/>
              </w:rPr>
              <w:t>366.02</w:t>
            </w:r>
          </w:p>
        </w:tc>
      </w:tr>
      <w:tr w:rsidR="004C396F" w:rsidRPr="00D618B7" w14:paraId="7CF53027" w14:textId="77777777" w:rsidTr="004C396F">
        <w:trPr>
          <w:trHeight w:val="192"/>
        </w:trPr>
        <w:tc>
          <w:tcPr>
            <w:tcW w:w="1329" w:type="dxa"/>
            <w:tcBorders>
              <w:top w:val="nil"/>
              <w:left w:val="nil"/>
              <w:bottom w:val="nil"/>
              <w:right w:val="nil"/>
            </w:tcBorders>
            <w:shd w:val="clear" w:color="000000" w:fill="FFFFFF"/>
            <w:vAlign w:val="center"/>
            <w:hideMark/>
          </w:tcPr>
          <w:p w14:paraId="21180944" w14:textId="77777777" w:rsidR="006C7206" w:rsidRPr="00D618B7" w:rsidRDefault="006C7206" w:rsidP="004B11B7">
            <w:pPr>
              <w:jc w:val="right"/>
              <w:rPr>
                <w:color w:val="000000"/>
                <w:sz w:val="20"/>
                <w:szCs w:val="20"/>
              </w:rPr>
            </w:pPr>
            <w:r w:rsidRPr="00D618B7">
              <w:rPr>
                <w:color w:val="000000"/>
                <w:sz w:val="20"/>
                <w:szCs w:val="20"/>
              </w:rPr>
              <w:t>2</w:t>
            </w:r>
          </w:p>
        </w:tc>
        <w:tc>
          <w:tcPr>
            <w:tcW w:w="1026" w:type="dxa"/>
            <w:tcBorders>
              <w:top w:val="nil"/>
              <w:left w:val="nil"/>
              <w:bottom w:val="nil"/>
              <w:right w:val="nil"/>
            </w:tcBorders>
            <w:shd w:val="clear" w:color="000000" w:fill="FFFFFF"/>
            <w:noWrap/>
            <w:vAlign w:val="center"/>
            <w:hideMark/>
          </w:tcPr>
          <w:p w14:paraId="32284966" w14:textId="77777777" w:rsidR="006C7206" w:rsidRPr="00D618B7" w:rsidRDefault="006C7206" w:rsidP="004B11B7">
            <w:pPr>
              <w:jc w:val="right"/>
              <w:rPr>
                <w:color w:val="000000"/>
                <w:sz w:val="20"/>
                <w:szCs w:val="20"/>
              </w:rPr>
            </w:pPr>
            <w:r w:rsidRPr="00D618B7">
              <w:rPr>
                <w:color w:val="000000"/>
                <w:sz w:val="20"/>
                <w:szCs w:val="20"/>
              </w:rPr>
              <w:t>90.30</w:t>
            </w:r>
          </w:p>
        </w:tc>
        <w:tc>
          <w:tcPr>
            <w:tcW w:w="1091" w:type="dxa"/>
            <w:tcBorders>
              <w:top w:val="nil"/>
              <w:left w:val="nil"/>
              <w:bottom w:val="nil"/>
              <w:right w:val="nil"/>
            </w:tcBorders>
            <w:shd w:val="clear" w:color="000000" w:fill="FFFFFF"/>
            <w:noWrap/>
            <w:vAlign w:val="center"/>
            <w:hideMark/>
          </w:tcPr>
          <w:p w14:paraId="4E94A3C6" w14:textId="77777777" w:rsidR="006C7206" w:rsidRPr="00D618B7" w:rsidRDefault="006C7206" w:rsidP="004B11B7">
            <w:pPr>
              <w:jc w:val="right"/>
              <w:rPr>
                <w:color w:val="000000"/>
                <w:sz w:val="20"/>
                <w:szCs w:val="20"/>
              </w:rPr>
            </w:pPr>
            <w:r w:rsidRPr="00D618B7">
              <w:rPr>
                <w:color w:val="000000"/>
                <w:sz w:val="20"/>
                <w:szCs w:val="20"/>
              </w:rPr>
              <w:t>450.98</w:t>
            </w:r>
          </w:p>
        </w:tc>
        <w:tc>
          <w:tcPr>
            <w:tcW w:w="1550" w:type="dxa"/>
            <w:tcBorders>
              <w:top w:val="nil"/>
              <w:left w:val="nil"/>
              <w:bottom w:val="nil"/>
              <w:right w:val="nil"/>
            </w:tcBorders>
            <w:shd w:val="clear" w:color="000000" w:fill="FFFFFF"/>
            <w:noWrap/>
            <w:vAlign w:val="center"/>
            <w:hideMark/>
          </w:tcPr>
          <w:p w14:paraId="375BB4FA" w14:textId="77777777" w:rsidR="006C7206" w:rsidRPr="00D618B7" w:rsidRDefault="006C7206" w:rsidP="004B11B7">
            <w:pPr>
              <w:jc w:val="right"/>
              <w:rPr>
                <w:color w:val="000000"/>
                <w:sz w:val="20"/>
                <w:szCs w:val="20"/>
              </w:rPr>
            </w:pPr>
            <w:r w:rsidRPr="00D618B7">
              <w:rPr>
                <w:color w:val="000000"/>
                <w:sz w:val="20"/>
                <w:szCs w:val="20"/>
              </w:rPr>
              <w:t>-197.47</w:t>
            </w:r>
          </w:p>
        </w:tc>
        <w:tc>
          <w:tcPr>
            <w:tcW w:w="1080" w:type="dxa"/>
            <w:tcBorders>
              <w:top w:val="nil"/>
              <w:left w:val="nil"/>
              <w:bottom w:val="nil"/>
              <w:right w:val="nil"/>
            </w:tcBorders>
            <w:shd w:val="clear" w:color="000000" w:fill="FFFFFF"/>
            <w:noWrap/>
            <w:vAlign w:val="center"/>
            <w:hideMark/>
          </w:tcPr>
          <w:p w14:paraId="543AB0B0" w14:textId="77777777" w:rsidR="006C7206" w:rsidRPr="00D618B7" w:rsidRDefault="006C7206" w:rsidP="004B11B7">
            <w:pPr>
              <w:jc w:val="right"/>
              <w:rPr>
                <w:color w:val="000000"/>
                <w:sz w:val="20"/>
                <w:szCs w:val="20"/>
              </w:rPr>
            </w:pPr>
            <w:r w:rsidRPr="00D618B7">
              <w:rPr>
                <w:color w:val="000000"/>
                <w:sz w:val="20"/>
                <w:szCs w:val="20"/>
              </w:rPr>
              <w:t>448.66</w:t>
            </w:r>
          </w:p>
        </w:tc>
        <w:tc>
          <w:tcPr>
            <w:tcW w:w="1606" w:type="dxa"/>
            <w:tcBorders>
              <w:top w:val="nil"/>
              <w:left w:val="nil"/>
              <w:bottom w:val="nil"/>
              <w:right w:val="nil"/>
            </w:tcBorders>
            <w:shd w:val="clear" w:color="000000" w:fill="FFFFFF"/>
            <w:noWrap/>
            <w:vAlign w:val="center"/>
            <w:hideMark/>
          </w:tcPr>
          <w:p w14:paraId="6A992FEB" w14:textId="77777777" w:rsidR="006C7206" w:rsidRPr="00D618B7" w:rsidRDefault="006C7206" w:rsidP="004B11B7">
            <w:pPr>
              <w:jc w:val="right"/>
              <w:rPr>
                <w:color w:val="000000"/>
                <w:sz w:val="20"/>
                <w:szCs w:val="20"/>
              </w:rPr>
            </w:pPr>
            <w:r w:rsidRPr="00D618B7">
              <w:rPr>
                <w:color w:val="000000"/>
                <w:sz w:val="20"/>
                <w:szCs w:val="20"/>
              </w:rPr>
              <w:t>-577.78</w:t>
            </w:r>
          </w:p>
        </w:tc>
        <w:tc>
          <w:tcPr>
            <w:tcW w:w="1120" w:type="dxa"/>
            <w:tcBorders>
              <w:top w:val="nil"/>
              <w:left w:val="nil"/>
              <w:bottom w:val="nil"/>
              <w:right w:val="nil"/>
            </w:tcBorders>
            <w:shd w:val="clear" w:color="000000" w:fill="FFFFFF"/>
            <w:noWrap/>
            <w:vAlign w:val="center"/>
            <w:hideMark/>
          </w:tcPr>
          <w:p w14:paraId="11D03E5D" w14:textId="77777777" w:rsidR="006C7206" w:rsidRPr="00D618B7" w:rsidRDefault="006C7206" w:rsidP="004B11B7">
            <w:pPr>
              <w:jc w:val="right"/>
              <w:rPr>
                <w:color w:val="000000"/>
                <w:sz w:val="20"/>
                <w:szCs w:val="20"/>
              </w:rPr>
            </w:pPr>
            <w:r w:rsidRPr="00D618B7">
              <w:rPr>
                <w:color w:val="000000"/>
                <w:sz w:val="20"/>
                <w:szCs w:val="20"/>
              </w:rPr>
              <w:t>453.37</w:t>
            </w:r>
          </w:p>
        </w:tc>
      </w:tr>
      <w:tr w:rsidR="004C396F" w:rsidRPr="00D618B7" w14:paraId="0BE15546" w14:textId="77777777" w:rsidTr="004C396F">
        <w:trPr>
          <w:trHeight w:val="192"/>
        </w:trPr>
        <w:tc>
          <w:tcPr>
            <w:tcW w:w="1329" w:type="dxa"/>
            <w:tcBorders>
              <w:top w:val="nil"/>
              <w:left w:val="nil"/>
              <w:bottom w:val="nil"/>
              <w:right w:val="nil"/>
            </w:tcBorders>
            <w:shd w:val="clear" w:color="000000" w:fill="FFFFFF"/>
            <w:vAlign w:val="center"/>
            <w:hideMark/>
          </w:tcPr>
          <w:p w14:paraId="6545351D" w14:textId="77777777" w:rsidR="006C7206" w:rsidRPr="00D618B7" w:rsidRDefault="006C7206" w:rsidP="004B11B7">
            <w:pPr>
              <w:jc w:val="right"/>
              <w:rPr>
                <w:color w:val="000000"/>
                <w:sz w:val="20"/>
                <w:szCs w:val="20"/>
              </w:rPr>
            </w:pPr>
            <w:r w:rsidRPr="00D618B7">
              <w:rPr>
                <w:color w:val="000000"/>
                <w:sz w:val="20"/>
                <w:szCs w:val="20"/>
              </w:rPr>
              <w:t>3</w:t>
            </w:r>
          </w:p>
        </w:tc>
        <w:tc>
          <w:tcPr>
            <w:tcW w:w="1026" w:type="dxa"/>
            <w:tcBorders>
              <w:top w:val="nil"/>
              <w:left w:val="nil"/>
              <w:bottom w:val="nil"/>
              <w:right w:val="nil"/>
            </w:tcBorders>
            <w:shd w:val="clear" w:color="000000" w:fill="FFFFFF"/>
            <w:noWrap/>
            <w:vAlign w:val="center"/>
            <w:hideMark/>
          </w:tcPr>
          <w:p w14:paraId="2B137792" w14:textId="77777777" w:rsidR="006C7206" w:rsidRPr="00D618B7" w:rsidRDefault="006C7206" w:rsidP="004B11B7">
            <w:pPr>
              <w:jc w:val="right"/>
              <w:rPr>
                <w:color w:val="000000"/>
                <w:sz w:val="20"/>
                <w:szCs w:val="20"/>
              </w:rPr>
            </w:pPr>
            <w:r w:rsidRPr="00D618B7">
              <w:rPr>
                <w:color w:val="000000"/>
                <w:sz w:val="20"/>
                <w:szCs w:val="20"/>
              </w:rPr>
              <w:t>21.62</w:t>
            </w:r>
          </w:p>
        </w:tc>
        <w:tc>
          <w:tcPr>
            <w:tcW w:w="1091" w:type="dxa"/>
            <w:tcBorders>
              <w:top w:val="nil"/>
              <w:left w:val="nil"/>
              <w:bottom w:val="nil"/>
              <w:right w:val="nil"/>
            </w:tcBorders>
            <w:shd w:val="clear" w:color="000000" w:fill="FFFFFF"/>
            <w:noWrap/>
            <w:vAlign w:val="center"/>
            <w:hideMark/>
          </w:tcPr>
          <w:p w14:paraId="24DEF44E" w14:textId="77777777" w:rsidR="006C7206" w:rsidRPr="00D618B7" w:rsidRDefault="006C7206" w:rsidP="004B11B7">
            <w:pPr>
              <w:jc w:val="right"/>
              <w:rPr>
                <w:color w:val="000000"/>
                <w:sz w:val="20"/>
                <w:szCs w:val="20"/>
              </w:rPr>
            </w:pPr>
            <w:r w:rsidRPr="00D618B7">
              <w:rPr>
                <w:color w:val="000000"/>
                <w:sz w:val="20"/>
                <w:szCs w:val="20"/>
              </w:rPr>
              <w:t>361.56</w:t>
            </w:r>
          </w:p>
        </w:tc>
        <w:tc>
          <w:tcPr>
            <w:tcW w:w="1550" w:type="dxa"/>
            <w:tcBorders>
              <w:top w:val="nil"/>
              <w:left w:val="nil"/>
              <w:bottom w:val="nil"/>
              <w:right w:val="nil"/>
            </w:tcBorders>
            <w:shd w:val="clear" w:color="000000" w:fill="FFFFFF"/>
            <w:noWrap/>
            <w:vAlign w:val="center"/>
            <w:hideMark/>
          </w:tcPr>
          <w:p w14:paraId="184F2D21" w14:textId="77777777" w:rsidR="006C7206" w:rsidRPr="00D618B7" w:rsidRDefault="006C7206" w:rsidP="004B11B7">
            <w:pPr>
              <w:jc w:val="right"/>
              <w:rPr>
                <w:color w:val="000000"/>
                <w:sz w:val="20"/>
                <w:szCs w:val="20"/>
              </w:rPr>
            </w:pPr>
            <w:r w:rsidRPr="00D618B7">
              <w:rPr>
                <w:color w:val="000000"/>
                <w:sz w:val="20"/>
                <w:szCs w:val="20"/>
              </w:rPr>
              <w:t>12.17</w:t>
            </w:r>
          </w:p>
        </w:tc>
        <w:tc>
          <w:tcPr>
            <w:tcW w:w="1080" w:type="dxa"/>
            <w:tcBorders>
              <w:top w:val="nil"/>
              <w:left w:val="nil"/>
              <w:bottom w:val="nil"/>
              <w:right w:val="nil"/>
            </w:tcBorders>
            <w:shd w:val="clear" w:color="000000" w:fill="FFFFFF"/>
            <w:noWrap/>
            <w:vAlign w:val="center"/>
            <w:hideMark/>
          </w:tcPr>
          <w:p w14:paraId="308307D5" w14:textId="77777777" w:rsidR="006C7206" w:rsidRPr="00D618B7" w:rsidRDefault="006C7206" w:rsidP="004B11B7">
            <w:pPr>
              <w:jc w:val="right"/>
              <w:rPr>
                <w:color w:val="000000"/>
                <w:sz w:val="20"/>
                <w:szCs w:val="20"/>
              </w:rPr>
            </w:pPr>
            <w:r w:rsidRPr="00D618B7">
              <w:rPr>
                <w:color w:val="000000"/>
                <w:sz w:val="20"/>
                <w:szCs w:val="20"/>
              </w:rPr>
              <w:t>358.70</w:t>
            </w:r>
          </w:p>
        </w:tc>
        <w:tc>
          <w:tcPr>
            <w:tcW w:w="1606" w:type="dxa"/>
            <w:tcBorders>
              <w:top w:val="nil"/>
              <w:left w:val="nil"/>
              <w:bottom w:val="nil"/>
              <w:right w:val="nil"/>
            </w:tcBorders>
            <w:shd w:val="clear" w:color="000000" w:fill="FFFFFF"/>
            <w:noWrap/>
            <w:vAlign w:val="center"/>
            <w:hideMark/>
          </w:tcPr>
          <w:p w14:paraId="2DD03CBD" w14:textId="77777777" w:rsidR="006C7206" w:rsidRPr="00D618B7" w:rsidRDefault="006C7206" w:rsidP="004B11B7">
            <w:pPr>
              <w:jc w:val="right"/>
              <w:rPr>
                <w:color w:val="000000"/>
                <w:sz w:val="20"/>
                <w:szCs w:val="20"/>
              </w:rPr>
            </w:pPr>
            <w:r w:rsidRPr="00D618B7">
              <w:rPr>
                <w:color w:val="000000"/>
                <w:sz w:val="20"/>
                <w:szCs w:val="20"/>
              </w:rPr>
              <w:t>501.94</w:t>
            </w:r>
          </w:p>
        </w:tc>
        <w:tc>
          <w:tcPr>
            <w:tcW w:w="1120" w:type="dxa"/>
            <w:tcBorders>
              <w:top w:val="nil"/>
              <w:left w:val="nil"/>
              <w:bottom w:val="nil"/>
              <w:right w:val="nil"/>
            </w:tcBorders>
            <w:shd w:val="clear" w:color="000000" w:fill="FFFFFF"/>
            <w:noWrap/>
            <w:vAlign w:val="center"/>
            <w:hideMark/>
          </w:tcPr>
          <w:p w14:paraId="28B6E7A4" w14:textId="77777777" w:rsidR="006C7206" w:rsidRPr="00D618B7" w:rsidRDefault="006C7206" w:rsidP="004B11B7">
            <w:pPr>
              <w:jc w:val="right"/>
              <w:rPr>
                <w:color w:val="000000"/>
                <w:sz w:val="20"/>
                <w:szCs w:val="20"/>
              </w:rPr>
            </w:pPr>
            <w:r w:rsidRPr="00D618B7">
              <w:rPr>
                <w:color w:val="000000"/>
                <w:sz w:val="20"/>
                <w:szCs w:val="20"/>
              </w:rPr>
              <w:t>368.52</w:t>
            </w:r>
          </w:p>
        </w:tc>
      </w:tr>
      <w:tr w:rsidR="004C396F" w:rsidRPr="00D618B7" w14:paraId="4CE0F326" w14:textId="77777777" w:rsidTr="004C396F">
        <w:trPr>
          <w:trHeight w:val="192"/>
        </w:trPr>
        <w:tc>
          <w:tcPr>
            <w:tcW w:w="1329" w:type="dxa"/>
            <w:tcBorders>
              <w:top w:val="nil"/>
              <w:left w:val="nil"/>
              <w:right w:val="nil"/>
            </w:tcBorders>
            <w:shd w:val="clear" w:color="000000" w:fill="FFFFFF"/>
            <w:vAlign w:val="center"/>
            <w:hideMark/>
          </w:tcPr>
          <w:p w14:paraId="5E9117F9" w14:textId="77777777" w:rsidR="006C7206" w:rsidRPr="00D618B7" w:rsidRDefault="006C7206" w:rsidP="004B11B7">
            <w:pPr>
              <w:jc w:val="right"/>
              <w:rPr>
                <w:color w:val="000000"/>
                <w:sz w:val="20"/>
                <w:szCs w:val="20"/>
              </w:rPr>
            </w:pPr>
            <w:r w:rsidRPr="00D618B7">
              <w:rPr>
                <w:color w:val="000000"/>
                <w:sz w:val="20"/>
                <w:szCs w:val="20"/>
              </w:rPr>
              <w:t>4</w:t>
            </w:r>
          </w:p>
        </w:tc>
        <w:tc>
          <w:tcPr>
            <w:tcW w:w="1026" w:type="dxa"/>
            <w:tcBorders>
              <w:top w:val="nil"/>
              <w:left w:val="nil"/>
              <w:right w:val="nil"/>
            </w:tcBorders>
            <w:shd w:val="clear" w:color="000000" w:fill="FFFFFF"/>
            <w:noWrap/>
            <w:vAlign w:val="center"/>
            <w:hideMark/>
          </w:tcPr>
          <w:p w14:paraId="7F519879" w14:textId="77777777" w:rsidR="006C7206" w:rsidRPr="00D618B7" w:rsidRDefault="006C7206" w:rsidP="004B11B7">
            <w:pPr>
              <w:jc w:val="right"/>
              <w:rPr>
                <w:color w:val="000000"/>
                <w:sz w:val="20"/>
                <w:szCs w:val="20"/>
              </w:rPr>
            </w:pPr>
            <w:r w:rsidRPr="00D618B7">
              <w:rPr>
                <w:color w:val="000000"/>
                <w:sz w:val="20"/>
                <w:szCs w:val="20"/>
              </w:rPr>
              <w:t>18.58</w:t>
            </w:r>
          </w:p>
        </w:tc>
        <w:tc>
          <w:tcPr>
            <w:tcW w:w="1091" w:type="dxa"/>
            <w:tcBorders>
              <w:top w:val="nil"/>
              <w:left w:val="nil"/>
              <w:right w:val="nil"/>
            </w:tcBorders>
            <w:shd w:val="clear" w:color="000000" w:fill="FFFFFF"/>
            <w:noWrap/>
            <w:vAlign w:val="center"/>
            <w:hideMark/>
          </w:tcPr>
          <w:p w14:paraId="7853652C" w14:textId="77777777" w:rsidR="006C7206" w:rsidRPr="00D618B7" w:rsidRDefault="006C7206" w:rsidP="004B11B7">
            <w:pPr>
              <w:jc w:val="right"/>
              <w:rPr>
                <w:color w:val="000000"/>
                <w:sz w:val="20"/>
                <w:szCs w:val="20"/>
              </w:rPr>
            </w:pPr>
            <w:r w:rsidRPr="00D618B7">
              <w:rPr>
                <w:color w:val="000000"/>
                <w:sz w:val="20"/>
                <w:szCs w:val="20"/>
              </w:rPr>
              <w:t>394.46</w:t>
            </w:r>
          </w:p>
        </w:tc>
        <w:tc>
          <w:tcPr>
            <w:tcW w:w="1550" w:type="dxa"/>
            <w:tcBorders>
              <w:top w:val="nil"/>
              <w:left w:val="nil"/>
              <w:right w:val="nil"/>
            </w:tcBorders>
            <w:shd w:val="clear" w:color="000000" w:fill="FFFFFF"/>
            <w:noWrap/>
            <w:vAlign w:val="center"/>
            <w:hideMark/>
          </w:tcPr>
          <w:p w14:paraId="325D35B5" w14:textId="77777777" w:rsidR="006C7206" w:rsidRPr="00D618B7" w:rsidRDefault="006C7206" w:rsidP="004B11B7">
            <w:pPr>
              <w:jc w:val="right"/>
              <w:rPr>
                <w:color w:val="000000"/>
                <w:sz w:val="20"/>
                <w:szCs w:val="20"/>
              </w:rPr>
            </w:pPr>
            <w:r w:rsidRPr="00D618B7">
              <w:rPr>
                <w:color w:val="000000"/>
                <w:sz w:val="20"/>
                <w:szCs w:val="20"/>
              </w:rPr>
              <w:t>-87.85</w:t>
            </w:r>
          </w:p>
        </w:tc>
        <w:tc>
          <w:tcPr>
            <w:tcW w:w="1080" w:type="dxa"/>
            <w:tcBorders>
              <w:top w:val="nil"/>
              <w:left w:val="nil"/>
              <w:right w:val="nil"/>
            </w:tcBorders>
            <w:shd w:val="clear" w:color="000000" w:fill="FFFFFF"/>
            <w:noWrap/>
            <w:vAlign w:val="center"/>
            <w:hideMark/>
          </w:tcPr>
          <w:p w14:paraId="3CE229CF" w14:textId="77777777" w:rsidR="006C7206" w:rsidRPr="00D618B7" w:rsidRDefault="006C7206" w:rsidP="004B11B7">
            <w:pPr>
              <w:jc w:val="right"/>
              <w:rPr>
                <w:color w:val="000000"/>
                <w:sz w:val="20"/>
                <w:szCs w:val="20"/>
              </w:rPr>
            </w:pPr>
            <w:r w:rsidRPr="00D618B7">
              <w:rPr>
                <w:color w:val="000000"/>
                <w:sz w:val="20"/>
                <w:szCs w:val="20"/>
              </w:rPr>
              <w:t>391.24</w:t>
            </w:r>
          </w:p>
        </w:tc>
        <w:tc>
          <w:tcPr>
            <w:tcW w:w="1606" w:type="dxa"/>
            <w:tcBorders>
              <w:top w:val="nil"/>
              <w:left w:val="nil"/>
              <w:right w:val="nil"/>
            </w:tcBorders>
            <w:shd w:val="clear" w:color="000000" w:fill="FFFFFF"/>
            <w:noWrap/>
            <w:vAlign w:val="center"/>
            <w:hideMark/>
          </w:tcPr>
          <w:p w14:paraId="4B6AC7DC" w14:textId="77777777" w:rsidR="006C7206" w:rsidRPr="00D618B7" w:rsidRDefault="006C7206" w:rsidP="004B11B7">
            <w:pPr>
              <w:jc w:val="right"/>
              <w:rPr>
                <w:color w:val="000000"/>
                <w:sz w:val="20"/>
                <w:szCs w:val="20"/>
              </w:rPr>
            </w:pPr>
            <w:r w:rsidRPr="00D618B7">
              <w:rPr>
                <w:color w:val="000000"/>
                <w:sz w:val="20"/>
                <w:szCs w:val="20"/>
              </w:rPr>
              <w:t>153.60</w:t>
            </w:r>
          </w:p>
        </w:tc>
        <w:tc>
          <w:tcPr>
            <w:tcW w:w="1120" w:type="dxa"/>
            <w:tcBorders>
              <w:top w:val="nil"/>
              <w:left w:val="nil"/>
              <w:right w:val="nil"/>
            </w:tcBorders>
            <w:shd w:val="clear" w:color="000000" w:fill="FFFFFF"/>
            <w:noWrap/>
            <w:vAlign w:val="center"/>
            <w:hideMark/>
          </w:tcPr>
          <w:p w14:paraId="5A821EB5" w14:textId="77777777" w:rsidR="006C7206" w:rsidRPr="00D618B7" w:rsidRDefault="006C7206" w:rsidP="004B11B7">
            <w:pPr>
              <w:jc w:val="right"/>
              <w:rPr>
                <w:color w:val="000000"/>
                <w:sz w:val="20"/>
                <w:szCs w:val="20"/>
              </w:rPr>
            </w:pPr>
            <w:r w:rsidRPr="00D618B7">
              <w:rPr>
                <w:color w:val="000000"/>
                <w:sz w:val="20"/>
                <w:szCs w:val="20"/>
              </w:rPr>
              <w:t>406.38</w:t>
            </w:r>
          </w:p>
        </w:tc>
      </w:tr>
      <w:tr w:rsidR="004C396F" w:rsidRPr="00D618B7" w14:paraId="161E294F" w14:textId="77777777" w:rsidTr="004C396F">
        <w:trPr>
          <w:trHeight w:val="201"/>
        </w:trPr>
        <w:tc>
          <w:tcPr>
            <w:tcW w:w="1329" w:type="dxa"/>
            <w:tcBorders>
              <w:top w:val="nil"/>
              <w:left w:val="nil"/>
              <w:bottom w:val="single" w:sz="18" w:space="0" w:color="auto"/>
              <w:right w:val="nil"/>
            </w:tcBorders>
            <w:shd w:val="clear" w:color="000000" w:fill="FFFFFF"/>
            <w:vAlign w:val="center"/>
            <w:hideMark/>
          </w:tcPr>
          <w:p w14:paraId="6CDCDA22" w14:textId="77777777" w:rsidR="006C7206" w:rsidRPr="00D618B7" w:rsidRDefault="006C7206" w:rsidP="004B11B7">
            <w:pPr>
              <w:jc w:val="right"/>
              <w:rPr>
                <w:color w:val="000000"/>
                <w:sz w:val="20"/>
                <w:szCs w:val="20"/>
              </w:rPr>
            </w:pPr>
            <w:r w:rsidRPr="00D618B7">
              <w:rPr>
                <w:color w:val="000000"/>
                <w:sz w:val="20"/>
                <w:szCs w:val="20"/>
              </w:rPr>
              <w:t>5</w:t>
            </w:r>
          </w:p>
        </w:tc>
        <w:tc>
          <w:tcPr>
            <w:tcW w:w="1026" w:type="dxa"/>
            <w:tcBorders>
              <w:top w:val="nil"/>
              <w:left w:val="nil"/>
              <w:bottom w:val="single" w:sz="18" w:space="0" w:color="auto"/>
              <w:right w:val="nil"/>
            </w:tcBorders>
            <w:shd w:val="clear" w:color="000000" w:fill="FFFFFF"/>
            <w:noWrap/>
            <w:vAlign w:val="center"/>
            <w:hideMark/>
          </w:tcPr>
          <w:p w14:paraId="6FA948AE" w14:textId="77777777" w:rsidR="006C7206" w:rsidRPr="00D618B7" w:rsidRDefault="006C7206" w:rsidP="004B11B7">
            <w:pPr>
              <w:jc w:val="right"/>
              <w:rPr>
                <w:color w:val="000000"/>
                <w:sz w:val="20"/>
                <w:szCs w:val="20"/>
              </w:rPr>
            </w:pPr>
            <w:r w:rsidRPr="00D618B7">
              <w:rPr>
                <w:color w:val="000000"/>
                <w:sz w:val="20"/>
                <w:szCs w:val="20"/>
              </w:rPr>
              <w:t>-200.36</w:t>
            </w:r>
          </w:p>
        </w:tc>
        <w:tc>
          <w:tcPr>
            <w:tcW w:w="1091" w:type="dxa"/>
            <w:tcBorders>
              <w:top w:val="nil"/>
              <w:left w:val="nil"/>
              <w:bottom w:val="single" w:sz="18" w:space="0" w:color="auto"/>
              <w:right w:val="nil"/>
            </w:tcBorders>
            <w:shd w:val="clear" w:color="000000" w:fill="FFFFFF"/>
            <w:noWrap/>
            <w:vAlign w:val="center"/>
            <w:hideMark/>
          </w:tcPr>
          <w:p w14:paraId="4C561EA4" w14:textId="77777777" w:rsidR="006C7206" w:rsidRPr="00D618B7" w:rsidRDefault="006C7206" w:rsidP="004B11B7">
            <w:pPr>
              <w:jc w:val="right"/>
              <w:rPr>
                <w:color w:val="000000"/>
                <w:sz w:val="20"/>
                <w:szCs w:val="20"/>
              </w:rPr>
            </w:pPr>
            <w:r w:rsidRPr="00D618B7">
              <w:rPr>
                <w:color w:val="000000"/>
                <w:sz w:val="20"/>
                <w:szCs w:val="20"/>
              </w:rPr>
              <w:t>429.73</w:t>
            </w:r>
          </w:p>
        </w:tc>
        <w:tc>
          <w:tcPr>
            <w:tcW w:w="1550" w:type="dxa"/>
            <w:tcBorders>
              <w:top w:val="nil"/>
              <w:left w:val="nil"/>
              <w:bottom w:val="single" w:sz="18" w:space="0" w:color="auto"/>
              <w:right w:val="nil"/>
            </w:tcBorders>
            <w:shd w:val="clear" w:color="000000" w:fill="FFFFFF"/>
            <w:noWrap/>
            <w:vAlign w:val="center"/>
            <w:hideMark/>
          </w:tcPr>
          <w:p w14:paraId="1EE254EB" w14:textId="77777777" w:rsidR="006C7206" w:rsidRPr="00D618B7" w:rsidRDefault="006C7206" w:rsidP="004B11B7">
            <w:pPr>
              <w:jc w:val="right"/>
              <w:rPr>
                <w:color w:val="000000"/>
                <w:sz w:val="20"/>
                <w:szCs w:val="20"/>
              </w:rPr>
            </w:pPr>
            <w:r w:rsidRPr="00D618B7">
              <w:rPr>
                <w:color w:val="000000"/>
                <w:sz w:val="20"/>
                <w:szCs w:val="20"/>
              </w:rPr>
              <w:t>244.43</w:t>
            </w:r>
          </w:p>
        </w:tc>
        <w:tc>
          <w:tcPr>
            <w:tcW w:w="1080" w:type="dxa"/>
            <w:tcBorders>
              <w:top w:val="nil"/>
              <w:left w:val="nil"/>
              <w:bottom w:val="single" w:sz="18" w:space="0" w:color="auto"/>
              <w:right w:val="nil"/>
            </w:tcBorders>
            <w:shd w:val="clear" w:color="000000" w:fill="FFFFFF"/>
            <w:noWrap/>
            <w:vAlign w:val="center"/>
            <w:hideMark/>
          </w:tcPr>
          <w:p w14:paraId="6BE07EF4" w14:textId="77777777" w:rsidR="006C7206" w:rsidRPr="00D618B7" w:rsidRDefault="006C7206" w:rsidP="004B11B7">
            <w:pPr>
              <w:jc w:val="right"/>
              <w:rPr>
                <w:color w:val="000000"/>
                <w:sz w:val="20"/>
                <w:szCs w:val="20"/>
              </w:rPr>
            </w:pPr>
            <w:r w:rsidRPr="00D618B7">
              <w:rPr>
                <w:color w:val="000000"/>
                <w:sz w:val="20"/>
                <w:szCs w:val="20"/>
              </w:rPr>
              <w:t>422.11</w:t>
            </w:r>
          </w:p>
        </w:tc>
        <w:tc>
          <w:tcPr>
            <w:tcW w:w="1606" w:type="dxa"/>
            <w:tcBorders>
              <w:top w:val="nil"/>
              <w:left w:val="nil"/>
              <w:bottom w:val="single" w:sz="18" w:space="0" w:color="auto"/>
              <w:right w:val="nil"/>
            </w:tcBorders>
            <w:shd w:val="clear" w:color="000000" w:fill="FFFFFF"/>
            <w:noWrap/>
            <w:vAlign w:val="center"/>
            <w:hideMark/>
          </w:tcPr>
          <w:p w14:paraId="1E7350B4" w14:textId="77777777" w:rsidR="006C7206" w:rsidRPr="00D618B7" w:rsidRDefault="006C7206" w:rsidP="004B11B7">
            <w:pPr>
              <w:jc w:val="right"/>
              <w:rPr>
                <w:color w:val="000000"/>
                <w:sz w:val="20"/>
                <w:szCs w:val="20"/>
              </w:rPr>
            </w:pPr>
            <w:r w:rsidRPr="00D618B7">
              <w:rPr>
                <w:color w:val="000000"/>
                <w:sz w:val="20"/>
                <w:szCs w:val="20"/>
              </w:rPr>
              <w:t>-127.21</w:t>
            </w:r>
          </w:p>
        </w:tc>
        <w:tc>
          <w:tcPr>
            <w:tcW w:w="1120" w:type="dxa"/>
            <w:tcBorders>
              <w:top w:val="nil"/>
              <w:left w:val="nil"/>
              <w:bottom w:val="single" w:sz="18" w:space="0" w:color="auto"/>
              <w:right w:val="nil"/>
            </w:tcBorders>
            <w:shd w:val="clear" w:color="000000" w:fill="FFFFFF"/>
            <w:noWrap/>
            <w:vAlign w:val="center"/>
            <w:hideMark/>
          </w:tcPr>
          <w:p w14:paraId="48EBB8D2" w14:textId="77777777" w:rsidR="006C7206" w:rsidRPr="00D618B7" w:rsidRDefault="006C7206" w:rsidP="004B11B7">
            <w:pPr>
              <w:jc w:val="right"/>
              <w:rPr>
                <w:color w:val="000000"/>
                <w:sz w:val="20"/>
                <w:szCs w:val="20"/>
              </w:rPr>
            </w:pPr>
            <w:r w:rsidRPr="00D618B7">
              <w:rPr>
                <w:color w:val="000000"/>
                <w:sz w:val="20"/>
                <w:szCs w:val="20"/>
              </w:rPr>
              <w:t>444.47</w:t>
            </w:r>
          </w:p>
        </w:tc>
      </w:tr>
      <w:tr w:rsidR="006C7206" w:rsidRPr="00D618B7" w14:paraId="76996403" w14:textId="77777777" w:rsidTr="004C396F">
        <w:trPr>
          <w:trHeight w:val="192"/>
        </w:trPr>
        <w:tc>
          <w:tcPr>
            <w:tcW w:w="1329" w:type="dxa"/>
            <w:tcBorders>
              <w:top w:val="single" w:sz="18" w:space="0" w:color="auto"/>
              <w:left w:val="nil"/>
              <w:bottom w:val="nil"/>
              <w:right w:val="nil"/>
            </w:tcBorders>
            <w:shd w:val="clear" w:color="000000" w:fill="FFFFFF"/>
            <w:noWrap/>
            <w:vAlign w:val="bottom"/>
            <w:hideMark/>
          </w:tcPr>
          <w:p w14:paraId="1E236716" w14:textId="77777777" w:rsidR="006C7206" w:rsidRPr="00D618B7" w:rsidRDefault="006C7206" w:rsidP="004B11B7">
            <w:pPr>
              <w:rPr>
                <w:color w:val="000000"/>
                <w:sz w:val="20"/>
                <w:szCs w:val="20"/>
              </w:rPr>
            </w:pPr>
            <w:r w:rsidRPr="00D618B7">
              <w:rPr>
                <w:color w:val="000000"/>
                <w:sz w:val="20"/>
                <w:szCs w:val="20"/>
              </w:rPr>
              <w:t> </w:t>
            </w:r>
          </w:p>
        </w:tc>
        <w:tc>
          <w:tcPr>
            <w:tcW w:w="7476" w:type="dxa"/>
            <w:gridSpan w:val="6"/>
            <w:tcBorders>
              <w:top w:val="single" w:sz="18" w:space="0" w:color="auto"/>
              <w:left w:val="nil"/>
              <w:bottom w:val="nil"/>
              <w:right w:val="nil"/>
            </w:tcBorders>
            <w:shd w:val="clear" w:color="000000" w:fill="FFFFFF"/>
            <w:noWrap/>
            <w:vAlign w:val="center"/>
            <w:hideMark/>
          </w:tcPr>
          <w:p w14:paraId="4F3670FC" w14:textId="77777777" w:rsidR="006C7206" w:rsidRPr="00D618B7" w:rsidRDefault="006C7206" w:rsidP="004B11B7">
            <w:pPr>
              <w:jc w:val="center"/>
              <w:rPr>
                <w:color w:val="000000"/>
                <w:sz w:val="20"/>
                <w:szCs w:val="20"/>
              </w:rPr>
            </w:pPr>
            <w:r w:rsidRPr="00D618B7">
              <w:rPr>
                <w:color w:val="000000"/>
                <w:sz w:val="20"/>
                <w:szCs w:val="20"/>
              </w:rPr>
              <w:t>Toy-in-Reach</w:t>
            </w:r>
          </w:p>
        </w:tc>
      </w:tr>
      <w:tr w:rsidR="004C396F" w:rsidRPr="00D618B7" w14:paraId="48285189" w14:textId="77777777" w:rsidTr="004C396F">
        <w:trPr>
          <w:trHeight w:val="192"/>
        </w:trPr>
        <w:tc>
          <w:tcPr>
            <w:tcW w:w="1329" w:type="dxa"/>
            <w:tcBorders>
              <w:top w:val="nil"/>
              <w:left w:val="nil"/>
              <w:bottom w:val="nil"/>
              <w:right w:val="nil"/>
            </w:tcBorders>
            <w:shd w:val="clear" w:color="000000" w:fill="FFFFFF"/>
            <w:vAlign w:val="center"/>
            <w:hideMark/>
          </w:tcPr>
          <w:p w14:paraId="759EB994" w14:textId="77777777" w:rsidR="006C7206" w:rsidRPr="00D618B7" w:rsidRDefault="006C7206" w:rsidP="004B11B7">
            <w:pPr>
              <w:jc w:val="right"/>
              <w:rPr>
                <w:color w:val="000000"/>
                <w:sz w:val="20"/>
                <w:szCs w:val="20"/>
              </w:rPr>
            </w:pPr>
            <w:r w:rsidRPr="00D618B7">
              <w:rPr>
                <w:color w:val="000000"/>
                <w:sz w:val="20"/>
                <w:szCs w:val="20"/>
              </w:rPr>
              <w:t>-5</w:t>
            </w:r>
          </w:p>
        </w:tc>
        <w:tc>
          <w:tcPr>
            <w:tcW w:w="1026" w:type="dxa"/>
            <w:tcBorders>
              <w:top w:val="nil"/>
              <w:left w:val="nil"/>
              <w:bottom w:val="nil"/>
              <w:right w:val="nil"/>
            </w:tcBorders>
            <w:shd w:val="clear" w:color="000000" w:fill="FFFFFF"/>
            <w:noWrap/>
            <w:vAlign w:val="center"/>
            <w:hideMark/>
          </w:tcPr>
          <w:p w14:paraId="65425195" w14:textId="77777777" w:rsidR="006C7206" w:rsidRPr="00D618B7" w:rsidRDefault="006C7206" w:rsidP="004B11B7">
            <w:pPr>
              <w:jc w:val="right"/>
              <w:rPr>
                <w:color w:val="000000"/>
                <w:sz w:val="20"/>
                <w:szCs w:val="20"/>
              </w:rPr>
            </w:pPr>
            <w:r w:rsidRPr="00D618B7">
              <w:rPr>
                <w:color w:val="000000"/>
                <w:sz w:val="20"/>
                <w:szCs w:val="20"/>
              </w:rPr>
              <w:t>255.82</w:t>
            </w:r>
          </w:p>
        </w:tc>
        <w:tc>
          <w:tcPr>
            <w:tcW w:w="1091" w:type="dxa"/>
            <w:tcBorders>
              <w:top w:val="nil"/>
              <w:left w:val="nil"/>
              <w:bottom w:val="nil"/>
              <w:right w:val="nil"/>
            </w:tcBorders>
            <w:shd w:val="clear" w:color="000000" w:fill="FFFFFF"/>
            <w:noWrap/>
            <w:vAlign w:val="center"/>
            <w:hideMark/>
          </w:tcPr>
          <w:p w14:paraId="3C40B3D8" w14:textId="77777777" w:rsidR="006C7206" w:rsidRPr="00D618B7" w:rsidRDefault="006C7206" w:rsidP="004B11B7">
            <w:pPr>
              <w:jc w:val="right"/>
              <w:rPr>
                <w:color w:val="000000"/>
                <w:sz w:val="20"/>
                <w:szCs w:val="20"/>
              </w:rPr>
            </w:pPr>
            <w:r w:rsidRPr="00D618B7">
              <w:rPr>
                <w:color w:val="000000"/>
                <w:sz w:val="20"/>
                <w:szCs w:val="20"/>
              </w:rPr>
              <w:t>468.20</w:t>
            </w:r>
          </w:p>
        </w:tc>
        <w:tc>
          <w:tcPr>
            <w:tcW w:w="1550" w:type="dxa"/>
            <w:tcBorders>
              <w:top w:val="nil"/>
              <w:left w:val="nil"/>
              <w:bottom w:val="nil"/>
              <w:right w:val="nil"/>
            </w:tcBorders>
            <w:shd w:val="clear" w:color="000000" w:fill="FFFFFF"/>
            <w:noWrap/>
            <w:vAlign w:val="center"/>
            <w:hideMark/>
          </w:tcPr>
          <w:p w14:paraId="194042D5" w14:textId="77777777" w:rsidR="006C7206" w:rsidRPr="00D618B7" w:rsidRDefault="006C7206" w:rsidP="004B11B7">
            <w:pPr>
              <w:jc w:val="right"/>
              <w:rPr>
                <w:color w:val="000000"/>
                <w:sz w:val="20"/>
                <w:szCs w:val="20"/>
              </w:rPr>
            </w:pPr>
            <w:r w:rsidRPr="00D618B7">
              <w:rPr>
                <w:color w:val="000000"/>
                <w:sz w:val="20"/>
                <w:szCs w:val="20"/>
              </w:rPr>
              <w:t>30.39</w:t>
            </w:r>
          </w:p>
        </w:tc>
        <w:tc>
          <w:tcPr>
            <w:tcW w:w="1080" w:type="dxa"/>
            <w:tcBorders>
              <w:top w:val="nil"/>
              <w:left w:val="nil"/>
              <w:bottom w:val="nil"/>
              <w:right w:val="nil"/>
            </w:tcBorders>
            <w:shd w:val="clear" w:color="000000" w:fill="FFFFFF"/>
            <w:noWrap/>
            <w:vAlign w:val="center"/>
            <w:hideMark/>
          </w:tcPr>
          <w:p w14:paraId="5150A54B" w14:textId="77777777" w:rsidR="006C7206" w:rsidRPr="00D618B7" w:rsidRDefault="006C7206" w:rsidP="004B11B7">
            <w:pPr>
              <w:jc w:val="right"/>
              <w:rPr>
                <w:color w:val="000000"/>
                <w:sz w:val="20"/>
                <w:szCs w:val="20"/>
              </w:rPr>
            </w:pPr>
            <w:r w:rsidRPr="00D618B7">
              <w:rPr>
                <w:color w:val="000000"/>
                <w:sz w:val="20"/>
                <w:szCs w:val="20"/>
              </w:rPr>
              <w:t>420.82</w:t>
            </w:r>
          </w:p>
        </w:tc>
        <w:tc>
          <w:tcPr>
            <w:tcW w:w="1606" w:type="dxa"/>
            <w:tcBorders>
              <w:top w:val="nil"/>
              <w:left w:val="nil"/>
              <w:bottom w:val="nil"/>
              <w:right w:val="nil"/>
            </w:tcBorders>
            <w:shd w:val="clear" w:color="000000" w:fill="FFFFFF"/>
            <w:noWrap/>
            <w:vAlign w:val="center"/>
            <w:hideMark/>
          </w:tcPr>
          <w:p w14:paraId="1DE205C4" w14:textId="77777777" w:rsidR="006C7206" w:rsidRPr="00D618B7" w:rsidRDefault="006C7206" w:rsidP="004B11B7">
            <w:pPr>
              <w:jc w:val="right"/>
              <w:rPr>
                <w:color w:val="000000"/>
                <w:sz w:val="20"/>
                <w:szCs w:val="20"/>
              </w:rPr>
            </w:pPr>
            <w:r w:rsidRPr="00D618B7">
              <w:rPr>
                <w:color w:val="000000"/>
                <w:sz w:val="20"/>
                <w:szCs w:val="20"/>
              </w:rPr>
              <w:t>-70.11</w:t>
            </w:r>
          </w:p>
        </w:tc>
        <w:tc>
          <w:tcPr>
            <w:tcW w:w="1120" w:type="dxa"/>
            <w:tcBorders>
              <w:top w:val="nil"/>
              <w:left w:val="nil"/>
              <w:bottom w:val="nil"/>
              <w:right w:val="nil"/>
            </w:tcBorders>
            <w:shd w:val="clear" w:color="000000" w:fill="FFFFFF"/>
            <w:noWrap/>
            <w:vAlign w:val="center"/>
            <w:hideMark/>
          </w:tcPr>
          <w:p w14:paraId="0303E9AD" w14:textId="77777777" w:rsidR="006C7206" w:rsidRPr="00D618B7" w:rsidRDefault="006C7206" w:rsidP="004B11B7">
            <w:pPr>
              <w:jc w:val="right"/>
              <w:rPr>
                <w:color w:val="000000"/>
                <w:sz w:val="20"/>
                <w:szCs w:val="20"/>
              </w:rPr>
            </w:pPr>
            <w:r w:rsidRPr="00D618B7">
              <w:rPr>
                <w:color w:val="000000"/>
                <w:sz w:val="20"/>
                <w:szCs w:val="20"/>
              </w:rPr>
              <w:t>420.36</w:t>
            </w:r>
          </w:p>
        </w:tc>
      </w:tr>
      <w:tr w:rsidR="004C396F" w:rsidRPr="00D618B7" w14:paraId="0DC305F6" w14:textId="77777777" w:rsidTr="004C396F">
        <w:trPr>
          <w:trHeight w:val="192"/>
        </w:trPr>
        <w:tc>
          <w:tcPr>
            <w:tcW w:w="1329" w:type="dxa"/>
            <w:tcBorders>
              <w:top w:val="nil"/>
              <w:left w:val="nil"/>
              <w:bottom w:val="nil"/>
              <w:right w:val="nil"/>
            </w:tcBorders>
            <w:shd w:val="clear" w:color="000000" w:fill="FFFFFF"/>
            <w:vAlign w:val="center"/>
            <w:hideMark/>
          </w:tcPr>
          <w:p w14:paraId="4DCCDDBF" w14:textId="77777777" w:rsidR="006C7206" w:rsidRPr="00D618B7" w:rsidRDefault="006C7206" w:rsidP="004B11B7">
            <w:pPr>
              <w:jc w:val="right"/>
              <w:rPr>
                <w:color w:val="000000"/>
                <w:sz w:val="20"/>
                <w:szCs w:val="20"/>
              </w:rPr>
            </w:pPr>
            <w:r w:rsidRPr="00D618B7">
              <w:rPr>
                <w:color w:val="000000"/>
                <w:sz w:val="20"/>
                <w:szCs w:val="20"/>
              </w:rPr>
              <w:t>-4</w:t>
            </w:r>
          </w:p>
        </w:tc>
        <w:tc>
          <w:tcPr>
            <w:tcW w:w="1026" w:type="dxa"/>
            <w:tcBorders>
              <w:top w:val="nil"/>
              <w:left w:val="nil"/>
              <w:bottom w:val="nil"/>
              <w:right w:val="nil"/>
            </w:tcBorders>
            <w:shd w:val="clear" w:color="000000" w:fill="FFFFFF"/>
            <w:noWrap/>
            <w:vAlign w:val="center"/>
            <w:hideMark/>
          </w:tcPr>
          <w:p w14:paraId="4763C539" w14:textId="77777777" w:rsidR="006C7206" w:rsidRPr="00D618B7" w:rsidRDefault="006C7206" w:rsidP="004B11B7">
            <w:pPr>
              <w:jc w:val="right"/>
              <w:rPr>
                <w:color w:val="000000"/>
                <w:sz w:val="20"/>
                <w:szCs w:val="20"/>
              </w:rPr>
            </w:pPr>
            <w:r w:rsidRPr="00D618B7">
              <w:rPr>
                <w:color w:val="000000"/>
                <w:sz w:val="20"/>
                <w:szCs w:val="20"/>
              </w:rPr>
              <w:t>15.66</w:t>
            </w:r>
          </w:p>
        </w:tc>
        <w:tc>
          <w:tcPr>
            <w:tcW w:w="1091" w:type="dxa"/>
            <w:tcBorders>
              <w:top w:val="nil"/>
              <w:left w:val="nil"/>
              <w:bottom w:val="nil"/>
              <w:right w:val="nil"/>
            </w:tcBorders>
            <w:shd w:val="clear" w:color="000000" w:fill="FFFFFF"/>
            <w:noWrap/>
            <w:vAlign w:val="center"/>
            <w:hideMark/>
          </w:tcPr>
          <w:p w14:paraId="5991F791" w14:textId="77777777" w:rsidR="006C7206" w:rsidRPr="00D618B7" w:rsidRDefault="006C7206" w:rsidP="004B11B7">
            <w:pPr>
              <w:jc w:val="right"/>
              <w:rPr>
                <w:color w:val="000000"/>
                <w:sz w:val="20"/>
                <w:szCs w:val="20"/>
              </w:rPr>
            </w:pPr>
            <w:r w:rsidRPr="00D618B7">
              <w:rPr>
                <w:color w:val="000000"/>
                <w:sz w:val="20"/>
                <w:szCs w:val="20"/>
              </w:rPr>
              <w:t>473.38</w:t>
            </w:r>
          </w:p>
        </w:tc>
        <w:tc>
          <w:tcPr>
            <w:tcW w:w="1550" w:type="dxa"/>
            <w:tcBorders>
              <w:top w:val="nil"/>
              <w:left w:val="nil"/>
              <w:bottom w:val="nil"/>
              <w:right w:val="nil"/>
            </w:tcBorders>
            <w:shd w:val="clear" w:color="000000" w:fill="FFFFFF"/>
            <w:noWrap/>
            <w:vAlign w:val="center"/>
            <w:hideMark/>
          </w:tcPr>
          <w:p w14:paraId="4FD36A0A" w14:textId="77777777" w:rsidR="006C7206" w:rsidRPr="00D618B7" w:rsidRDefault="006C7206" w:rsidP="004B11B7">
            <w:pPr>
              <w:jc w:val="right"/>
              <w:rPr>
                <w:color w:val="000000"/>
                <w:sz w:val="20"/>
                <w:szCs w:val="20"/>
              </w:rPr>
            </w:pPr>
            <w:r w:rsidRPr="00D618B7">
              <w:rPr>
                <w:color w:val="000000"/>
                <w:sz w:val="20"/>
                <w:szCs w:val="20"/>
              </w:rPr>
              <w:t>96.41</w:t>
            </w:r>
          </w:p>
        </w:tc>
        <w:tc>
          <w:tcPr>
            <w:tcW w:w="1080" w:type="dxa"/>
            <w:tcBorders>
              <w:top w:val="nil"/>
              <w:left w:val="nil"/>
              <w:bottom w:val="nil"/>
              <w:right w:val="nil"/>
            </w:tcBorders>
            <w:shd w:val="clear" w:color="000000" w:fill="FFFFFF"/>
            <w:noWrap/>
            <w:vAlign w:val="center"/>
            <w:hideMark/>
          </w:tcPr>
          <w:p w14:paraId="7C97DED7" w14:textId="77777777" w:rsidR="006C7206" w:rsidRPr="00D618B7" w:rsidRDefault="006C7206" w:rsidP="004B11B7">
            <w:pPr>
              <w:jc w:val="right"/>
              <w:rPr>
                <w:color w:val="000000"/>
                <w:sz w:val="20"/>
                <w:szCs w:val="20"/>
              </w:rPr>
            </w:pPr>
            <w:r w:rsidRPr="00D618B7">
              <w:rPr>
                <w:color w:val="000000"/>
                <w:sz w:val="20"/>
                <w:szCs w:val="20"/>
              </w:rPr>
              <w:t>436.17</w:t>
            </w:r>
          </w:p>
        </w:tc>
        <w:tc>
          <w:tcPr>
            <w:tcW w:w="1606" w:type="dxa"/>
            <w:tcBorders>
              <w:top w:val="nil"/>
              <w:left w:val="nil"/>
              <w:bottom w:val="nil"/>
              <w:right w:val="nil"/>
            </w:tcBorders>
            <w:shd w:val="clear" w:color="000000" w:fill="FFFFFF"/>
            <w:noWrap/>
            <w:vAlign w:val="center"/>
            <w:hideMark/>
          </w:tcPr>
          <w:p w14:paraId="694CDCCF" w14:textId="77777777" w:rsidR="006C7206" w:rsidRPr="00D618B7" w:rsidRDefault="006C7206" w:rsidP="004B11B7">
            <w:pPr>
              <w:jc w:val="right"/>
              <w:rPr>
                <w:color w:val="000000"/>
                <w:sz w:val="20"/>
                <w:szCs w:val="20"/>
              </w:rPr>
            </w:pPr>
            <w:r w:rsidRPr="00D618B7">
              <w:rPr>
                <w:color w:val="000000"/>
                <w:sz w:val="20"/>
                <w:szCs w:val="20"/>
              </w:rPr>
              <w:t>83.67</w:t>
            </w:r>
          </w:p>
        </w:tc>
        <w:tc>
          <w:tcPr>
            <w:tcW w:w="1120" w:type="dxa"/>
            <w:tcBorders>
              <w:top w:val="nil"/>
              <w:left w:val="nil"/>
              <w:bottom w:val="nil"/>
              <w:right w:val="nil"/>
            </w:tcBorders>
            <w:shd w:val="clear" w:color="000000" w:fill="FFFFFF"/>
            <w:noWrap/>
            <w:vAlign w:val="center"/>
            <w:hideMark/>
          </w:tcPr>
          <w:p w14:paraId="44BFD108" w14:textId="77777777" w:rsidR="006C7206" w:rsidRPr="00D618B7" w:rsidRDefault="006C7206" w:rsidP="004B11B7">
            <w:pPr>
              <w:jc w:val="right"/>
              <w:rPr>
                <w:color w:val="000000"/>
                <w:sz w:val="20"/>
                <w:szCs w:val="20"/>
              </w:rPr>
            </w:pPr>
            <w:r w:rsidRPr="00D618B7">
              <w:rPr>
                <w:color w:val="000000"/>
                <w:sz w:val="20"/>
                <w:szCs w:val="20"/>
              </w:rPr>
              <w:t>436.65</w:t>
            </w:r>
          </w:p>
        </w:tc>
      </w:tr>
      <w:tr w:rsidR="004C396F" w:rsidRPr="00D618B7" w14:paraId="0FF04E98" w14:textId="77777777" w:rsidTr="004C396F">
        <w:trPr>
          <w:trHeight w:val="192"/>
        </w:trPr>
        <w:tc>
          <w:tcPr>
            <w:tcW w:w="1329" w:type="dxa"/>
            <w:tcBorders>
              <w:top w:val="nil"/>
              <w:left w:val="nil"/>
              <w:bottom w:val="nil"/>
              <w:right w:val="nil"/>
            </w:tcBorders>
            <w:shd w:val="clear" w:color="000000" w:fill="FFFFFF"/>
            <w:vAlign w:val="center"/>
            <w:hideMark/>
          </w:tcPr>
          <w:p w14:paraId="0DC870FB" w14:textId="77777777" w:rsidR="006C7206" w:rsidRPr="00D618B7" w:rsidRDefault="006C7206" w:rsidP="004B11B7">
            <w:pPr>
              <w:jc w:val="right"/>
              <w:rPr>
                <w:color w:val="000000"/>
                <w:sz w:val="20"/>
                <w:szCs w:val="20"/>
              </w:rPr>
            </w:pPr>
            <w:r w:rsidRPr="00D618B7">
              <w:rPr>
                <w:color w:val="000000"/>
                <w:sz w:val="20"/>
                <w:szCs w:val="20"/>
              </w:rPr>
              <w:t>-3</w:t>
            </w:r>
          </w:p>
        </w:tc>
        <w:tc>
          <w:tcPr>
            <w:tcW w:w="1026" w:type="dxa"/>
            <w:tcBorders>
              <w:top w:val="nil"/>
              <w:left w:val="nil"/>
              <w:bottom w:val="nil"/>
              <w:right w:val="nil"/>
            </w:tcBorders>
            <w:shd w:val="clear" w:color="000000" w:fill="FFFFFF"/>
            <w:noWrap/>
            <w:vAlign w:val="center"/>
            <w:hideMark/>
          </w:tcPr>
          <w:p w14:paraId="5DA31304" w14:textId="77777777" w:rsidR="006C7206" w:rsidRPr="00D618B7" w:rsidRDefault="006C7206" w:rsidP="004B11B7">
            <w:pPr>
              <w:jc w:val="right"/>
              <w:rPr>
                <w:color w:val="000000"/>
                <w:sz w:val="20"/>
                <w:szCs w:val="20"/>
              </w:rPr>
            </w:pPr>
            <w:r w:rsidRPr="00D618B7">
              <w:rPr>
                <w:color w:val="000000"/>
                <w:sz w:val="20"/>
                <w:szCs w:val="20"/>
              </w:rPr>
              <w:t>26.67</w:t>
            </w:r>
          </w:p>
        </w:tc>
        <w:tc>
          <w:tcPr>
            <w:tcW w:w="1091" w:type="dxa"/>
            <w:tcBorders>
              <w:top w:val="nil"/>
              <w:left w:val="nil"/>
              <w:bottom w:val="nil"/>
              <w:right w:val="nil"/>
            </w:tcBorders>
            <w:shd w:val="clear" w:color="000000" w:fill="FFFFFF"/>
            <w:noWrap/>
            <w:vAlign w:val="center"/>
            <w:hideMark/>
          </w:tcPr>
          <w:p w14:paraId="541D6561" w14:textId="77777777" w:rsidR="006C7206" w:rsidRPr="00D618B7" w:rsidRDefault="006C7206" w:rsidP="004B11B7">
            <w:pPr>
              <w:jc w:val="right"/>
              <w:rPr>
                <w:color w:val="000000"/>
                <w:sz w:val="20"/>
                <w:szCs w:val="20"/>
              </w:rPr>
            </w:pPr>
            <w:r w:rsidRPr="00D618B7">
              <w:rPr>
                <w:color w:val="000000"/>
                <w:sz w:val="20"/>
                <w:szCs w:val="20"/>
              </w:rPr>
              <w:t>472.56</w:t>
            </w:r>
          </w:p>
        </w:tc>
        <w:tc>
          <w:tcPr>
            <w:tcW w:w="1550" w:type="dxa"/>
            <w:tcBorders>
              <w:top w:val="nil"/>
              <w:left w:val="nil"/>
              <w:bottom w:val="nil"/>
              <w:right w:val="nil"/>
            </w:tcBorders>
            <w:shd w:val="clear" w:color="000000" w:fill="FFFFFF"/>
            <w:noWrap/>
            <w:vAlign w:val="center"/>
            <w:hideMark/>
          </w:tcPr>
          <w:p w14:paraId="06C72DC8" w14:textId="77777777" w:rsidR="006C7206" w:rsidRPr="00D618B7" w:rsidRDefault="006C7206" w:rsidP="004B11B7">
            <w:pPr>
              <w:jc w:val="right"/>
              <w:rPr>
                <w:color w:val="000000"/>
                <w:sz w:val="20"/>
                <w:szCs w:val="20"/>
              </w:rPr>
            </w:pPr>
            <w:r w:rsidRPr="00D618B7">
              <w:rPr>
                <w:color w:val="000000"/>
                <w:sz w:val="20"/>
                <w:szCs w:val="20"/>
              </w:rPr>
              <w:t>214.48</w:t>
            </w:r>
          </w:p>
        </w:tc>
        <w:tc>
          <w:tcPr>
            <w:tcW w:w="1080" w:type="dxa"/>
            <w:tcBorders>
              <w:top w:val="nil"/>
              <w:left w:val="nil"/>
              <w:bottom w:val="nil"/>
              <w:right w:val="nil"/>
            </w:tcBorders>
            <w:shd w:val="clear" w:color="000000" w:fill="FFFFFF"/>
            <w:noWrap/>
            <w:vAlign w:val="center"/>
            <w:hideMark/>
          </w:tcPr>
          <w:p w14:paraId="22340895" w14:textId="77777777" w:rsidR="006C7206" w:rsidRPr="00D618B7" w:rsidRDefault="006C7206" w:rsidP="004B11B7">
            <w:pPr>
              <w:jc w:val="right"/>
              <w:rPr>
                <w:color w:val="000000"/>
                <w:sz w:val="20"/>
                <w:szCs w:val="20"/>
              </w:rPr>
            </w:pPr>
            <w:r w:rsidRPr="00D618B7">
              <w:rPr>
                <w:color w:val="000000"/>
                <w:sz w:val="20"/>
                <w:szCs w:val="20"/>
              </w:rPr>
              <w:t>438.02</w:t>
            </w:r>
          </w:p>
        </w:tc>
        <w:tc>
          <w:tcPr>
            <w:tcW w:w="1606" w:type="dxa"/>
            <w:tcBorders>
              <w:top w:val="nil"/>
              <w:left w:val="nil"/>
              <w:bottom w:val="nil"/>
              <w:right w:val="nil"/>
            </w:tcBorders>
            <w:shd w:val="clear" w:color="000000" w:fill="FFFFFF"/>
            <w:noWrap/>
            <w:vAlign w:val="center"/>
            <w:hideMark/>
          </w:tcPr>
          <w:p w14:paraId="4139F513" w14:textId="77777777" w:rsidR="006C7206" w:rsidRPr="00D618B7" w:rsidRDefault="006C7206" w:rsidP="004B11B7">
            <w:pPr>
              <w:jc w:val="right"/>
              <w:rPr>
                <w:color w:val="000000"/>
                <w:sz w:val="20"/>
                <w:szCs w:val="20"/>
              </w:rPr>
            </w:pPr>
            <w:r w:rsidRPr="00D618B7">
              <w:rPr>
                <w:color w:val="000000"/>
                <w:sz w:val="20"/>
                <w:szCs w:val="20"/>
              </w:rPr>
              <w:t>1420.74</w:t>
            </w:r>
          </w:p>
        </w:tc>
        <w:tc>
          <w:tcPr>
            <w:tcW w:w="1120" w:type="dxa"/>
            <w:tcBorders>
              <w:top w:val="nil"/>
              <w:left w:val="nil"/>
              <w:bottom w:val="nil"/>
              <w:right w:val="nil"/>
            </w:tcBorders>
            <w:shd w:val="clear" w:color="000000" w:fill="FFFFFF"/>
            <w:noWrap/>
            <w:vAlign w:val="center"/>
            <w:hideMark/>
          </w:tcPr>
          <w:p w14:paraId="677BB58A" w14:textId="77777777" w:rsidR="006C7206" w:rsidRPr="00D618B7" w:rsidRDefault="006C7206" w:rsidP="004B11B7">
            <w:pPr>
              <w:jc w:val="right"/>
              <w:rPr>
                <w:color w:val="000000"/>
                <w:sz w:val="20"/>
                <w:szCs w:val="20"/>
              </w:rPr>
            </w:pPr>
            <w:r w:rsidRPr="00D618B7">
              <w:rPr>
                <w:color w:val="000000"/>
                <w:sz w:val="20"/>
                <w:szCs w:val="20"/>
              </w:rPr>
              <w:t>437.55</w:t>
            </w:r>
          </w:p>
        </w:tc>
      </w:tr>
      <w:tr w:rsidR="004C396F" w:rsidRPr="00D618B7" w14:paraId="5A8313DC" w14:textId="77777777" w:rsidTr="004C396F">
        <w:trPr>
          <w:trHeight w:val="192"/>
        </w:trPr>
        <w:tc>
          <w:tcPr>
            <w:tcW w:w="1329" w:type="dxa"/>
            <w:tcBorders>
              <w:top w:val="nil"/>
              <w:left w:val="nil"/>
              <w:bottom w:val="nil"/>
              <w:right w:val="nil"/>
            </w:tcBorders>
            <w:shd w:val="clear" w:color="000000" w:fill="FFFFFF"/>
            <w:vAlign w:val="center"/>
            <w:hideMark/>
          </w:tcPr>
          <w:p w14:paraId="1103E06F" w14:textId="77777777" w:rsidR="006C7206" w:rsidRPr="00D618B7" w:rsidRDefault="006C7206" w:rsidP="004B11B7">
            <w:pPr>
              <w:jc w:val="right"/>
              <w:rPr>
                <w:color w:val="000000"/>
                <w:sz w:val="20"/>
                <w:szCs w:val="20"/>
              </w:rPr>
            </w:pPr>
            <w:r w:rsidRPr="00D618B7">
              <w:rPr>
                <w:color w:val="000000"/>
                <w:sz w:val="20"/>
                <w:szCs w:val="20"/>
              </w:rPr>
              <w:t>-2</w:t>
            </w:r>
          </w:p>
        </w:tc>
        <w:tc>
          <w:tcPr>
            <w:tcW w:w="1026" w:type="dxa"/>
            <w:tcBorders>
              <w:top w:val="nil"/>
              <w:left w:val="nil"/>
              <w:bottom w:val="nil"/>
              <w:right w:val="nil"/>
            </w:tcBorders>
            <w:shd w:val="clear" w:color="000000" w:fill="FFFFFF"/>
            <w:noWrap/>
            <w:vAlign w:val="center"/>
            <w:hideMark/>
          </w:tcPr>
          <w:p w14:paraId="5CC5B32D" w14:textId="77777777" w:rsidR="006C7206" w:rsidRPr="00D618B7" w:rsidRDefault="006C7206" w:rsidP="004B11B7">
            <w:pPr>
              <w:jc w:val="right"/>
              <w:rPr>
                <w:color w:val="000000"/>
                <w:sz w:val="20"/>
                <w:szCs w:val="20"/>
              </w:rPr>
            </w:pPr>
            <w:r w:rsidRPr="00D618B7">
              <w:rPr>
                <w:color w:val="000000"/>
                <w:sz w:val="20"/>
                <w:szCs w:val="20"/>
              </w:rPr>
              <w:t>926.56</w:t>
            </w:r>
          </w:p>
        </w:tc>
        <w:tc>
          <w:tcPr>
            <w:tcW w:w="1091" w:type="dxa"/>
            <w:tcBorders>
              <w:top w:val="nil"/>
              <w:left w:val="nil"/>
              <w:bottom w:val="nil"/>
              <w:right w:val="nil"/>
            </w:tcBorders>
            <w:shd w:val="clear" w:color="000000" w:fill="FFFFFF"/>
            <w:noWrap/>
            <w:vAlign w:val="center"/>
            <w:hideMark/>
          </w:tcPr>
          <w:p w14:paraId="2777AFAC" w14:textId="77777777" w:rsidR="006C7206" w:rsidRPr="00D618B7" w:rsidRDefault="006C7206" w:rsidP="004B11B7">
            <w:pPr>
              <w:jc w:val="right"/>
              <w:rPr>
                <w:color w:val="000000"/>
                <w:sz w:val="20"/>
                <w:szCs w:val="20"/>
              </w:rPr>
            </w:pPr>
            <w:r w:rsidRPr="00D618B7">
              <w:rPr>
                <w:color w:val="000000"/>
                <w:sz w:val="20"/>
                <w:szCs w:val="20"/>
              </w:rPr>
              <w:t>416.69</w:t>
            </w:r>
          </w:p>
        </w:tc>
        <w:tc>
          <w:tcPr>
            <w:tcW w:w="1550" w:type="dxa"/>
            <w:tcBorders>
              <w:top w:val="nil"/>
              <w:left w:val="nil"/>
              <w:bottom w:val="nil"/>
              <w:right w:val="nil"/>
            </w:tcBorders>
            <w:shd w:val="clear" w:color="000000" w:fill="FFFFFF"/>
            <w:noWrap/>
            <w:vAlign w:val="center"/>
            <w:hideMark/>
          </w:tcPr>
          <w:p w14:paraId="359B29A9" w14:textId="77777777" w:rsidR="006C7206" w:rsidRPr="00D618B7" w:rsidRDefault="006C7206" w:rsidP="004B11B7">
            <w:pPr>
              <w:jc w:val="right"/>
              <w:rPr>
                <w:color w:val="000000"/>
                <w:sz w:val="20"/>
                <w:szCs w:val="20"/>
              </w:rPr>
            </w:pPr>
            <w:r w:rsidRPr="00D618B7">
              <w:rPr>
                <w:color w:val="000000"/>
                <w:sz w:val="20"/>
                <w:szCs w:val="20"/>
              </w:rPr>
              <w:t>-106.75</w:t>
            </w:r>
          </w:p>
        </w:tc>
        <w:tc>
          <w:tcPr>
            <w:tcW w:w="1080" w:type="dxa"/>
            <w:tcBorders>
              <w:top w:val="nil"/>
              <w:left w:val="nil"/>
              <w:bottom w:val="nil"/>
              <w:right w:val="nil"/>
            </w:tcBorders>
            <w:shd w:val="clear" w:color="000000" w:fill="FFFFFF"/>
            <w:noWrap/>
            <w:vAlign w:val="center"/>
            <w:hideMark/>
          </w:tcPr>
          <w:p w14:paraId="1C99F982" w14:textId="77777777" w:rsidR="006C7206" w:rsidRPr="00D618B7" w:rsidRDefault="006C7206" w:rsidP="004B11B7">
            <w:pPr>
              <w:jc w:val="right"/>
              <w:rPr>
                <w:color w:val="000000"/>
                <w:sz w:val="20"/>
                <w:szCs w:val="20"/>
              </w:rPr>
            </w:pPr>
            <w:r w:rsidRPr="00D618B7">
              <w:rPr>
                <w:color w:val="000000"/>
                <w:sz w:val="20"/>
                <w:szCs w:val="20"/>
              </w:rPr>
              <w:t>381.73</w:t>
            </w:r>
          </w:p>
        </w:tc>
        <w:tc>
          <w:tcPr>
            <w:tcW w:w="1606" w:type="dxa"/>
            <w:tcBorders>
              <w:top w:val="nil"/>
              <w:left w:val="nil"/>
              <w:bottom w:val="nil"/>
              <w:right w:val="nil"/>
            </w:tcBorders>
            <w:shd w:val="clear" w:color="000000" w:fill="FFFFFF"/>
            <w:noWrap/>
            <w:vAlign w:val="center"/>
            <w:hideMark/>
          </w:tcPr>
          <w:p w14:paraId="5A05C425" w14:textId="77777777" w:rsidR="006C7206" w:rsidRPr="00D618B7" w:rsidRDefault="006C7206" w:rsidP="004B11B7">
            <w:pPr>
              <w:jc w:val="right"/>
              <w:rPr>
                <w:color w:val="000000"/>
                <w:sz w:val="20"/>
                <w:szCs w:val="20"/>
              </w:rPr>
            </w:pPr>
            <w:r w:rsidRPr="00D618B7">
              <w:rPr>
                <w:color w:val="000000"/>
                <w:sz w:val="20"/>
                <w:szCs w:val="20"/>
              </w:rPr>
              <w:t>618.16</w:t>
            </w:r>
          </w:p>
        </w:tc>
        <w:tc>
          <w:tcPr>
            <w:tcW w:w="1120" w:type="dxa"/>
            <w:tcBorders>
              <w:top w:val="nil"/>
              <w:left w:val="nil"/>
              <w:bottom w:val="nil"/>
              <w:right w:val="nil"/>
            </w:tcBorders>
            <w:shd w:val="clear" w:color="000000" w:fill="FFFFFF"/>
            <w:noWrap/>
            <w:vAlign w:val="center"/>
            <w:hideMark/>
          </w:tcPr>
          <w:p w14:paraId="2A42AA11" w14:textId="77777777" w:rsidR="006C7206" w:rsidRPr="00D618B7" w:rsidRDefault="006C7206" w:rsidP="004B11B7">
            <w:pPr>
              <w:jc w:val="right"/>
              <w:rPr>
                <w:color w:val="000000"/>
                <w:sz w:val="20"/>
                <w:szCs w:val="20"/>
              </w:rPr>
            </w:pPr>
            <w:r w:rsidRPr="00D618B7">
              <w:rPr>
                <w:color w:val="000000"/>
                <w:sz w:val="20"/>
                <w:szCs w:val="20"/>
              </w:rPr>
              <w:t>382.65</w:t>
            </w:r>
          </w:p>
        </w:tc>
      </w:tr>
      <w:tr w:rsidR="004C396F" w:rsidRPr="00D618B7" w14:paraId="5010D753" w14:textId="77777777" w:rsidTr="004C396F">
        <w:trPr>
          <w:trHeight w:val="192"/>
        </w:trPr>
        <w:tc>
          <w:tcPr>
            <w:tcW w:w="1329" w:type="dxa"/>
            <w:tcBorders>
              <w:top w:val="nil"/>
              <w:left w:val="nil"/>
              <w:bottom w:val="nil"/>
              <w:right w:val="nil"/>
            </w:tcBorders>
            <w:shd w:val="clear" w:color="000000" w:fill="FFFFFF"/>
            <w:vAlign w:val="center"/>
            <w:hideMark/>
          </w:tcPr>
          <w:p w14:paraId="719DB5E9" w14:textId="77777777" w:rsidR="006C7206" w:rsidRPr="00D618B7" w:rsidRDefault="006C7206" w:rsidP="004B11B7">
            <w:pPr>
              <w:jc w:val="right"/>
              <w:rPr>
                <w:color w:val="000000"/>
                <w:sz w:val="20"/>
                <w:szCs w:val="20"/>
              </w:rPr>
            </w:pPr>
            <w:r w:rsidRPr="00D618B7">
              <w:rPr>
                <w:color w:val="000000"/>
                <w:sz w:val="20"/>
                <w:szCs w:val="20"/>
              </w:rPr>
              <w:t>-1</w:t>
            </w:r>
          </w:p>
        </w:tc>
        <w:tc>
          <w:tcPr>
            <w:tcW w:w="1026" w:type="dxa"/>
            <w:tcBorders>
              <w:top w:val="nil"/>
              <w:left w:val="nil"/>
              <w:bottom w:val="nil"/>
              <w:right w:val="nil"/>
            </w:tcBorders>
            <w:shd w:val="clear" w:color="000000" w:fill="FFFFFF"/>
            <w:noWrap/>
            <w:vAlign w:val="center"/>
            <w:hideMark/>
          </w:tcPr>
          <w:p w14:paraId="4A58A76D" w14:textId="77777777" w:rsidR="006C7206" w:rsidRPr="00D618B7" w:rsidRDefault="006C7206" w:rsidP="004B11B7">
            <w:pPr>
              <w:jc w:val="right"/>
              <w:rPr>
                <w:color w:val="000000"/>
                <w:sz w:val="20"/>
                <w:szCs w:val="20"/>
              </w:rPr>
            </w:pPr>
            <w:r w:rsidRPr="00D618B7">
              <w:rPr>
                <w:color w:val="000000"/>
                <w:sz w:val="20"/>
                <w:szCs w:val="20"/>
              </w:rPr>
              <w:t>-23.22</w:t>
            </w:r>
          </w:p>
        </w:tc>
        <w:tc>
          <w:tcPr>
            <w:tcW w:w="1091" w:type="dxa"/>
            <w:tcBorders>
              <w:top w:val="nil"/>
              <w:left w:val="nil"/>
              <w:bottom w:val="nil"/>
              <w:right w:val="nil"/>
            </w:tcBorders>
            <w:shd w:val="clear" w:color="000000" w:fill="FFFFFF"/>
            <w:noWrap/>
            <w:vAlign w:val="center"/>
            <w:hideMark/>
          </w:tcPr>
          <w:p w14:paraId="461BDD22" w14:textId="77777777" w:rsidR="006C7206" w:rsidRPr="00D618B7" w:rsidRDefault="006C7206" w:rsidP="004B11B7">
            <w:pPr>
              <w:jc w:val="right"/>
              <w:rPr>
                <w:color w:val="000000"/>
                <w:sz w:val="20"/>
                <w:szCs w:val="20"/>
              </w:rPr>
            </w:pPr>
            <w:r w:rsidRPr="00D618B7">
              <w:rPr>
                <w:color w:val="000000"/>
                <w:sz w:val="20"/>
                <w:szCs w:val="20"/>
              </w:rPr>
              <w:t>419.19</w:t>
            </w:r>
          </w:p>
        </w:tc>
        <w:tc>
          <w:tcPr>
            <w:tcW w:w="1550" w:type="dxa"/>
            <w:tcBorders>
              <w:top w:val="nil"/>
              <w:left w:val="nil"/>
              <w:bottom w:val="nil"/>
              <w:right w:val="nil"/>
            </w:tcBorders>
            <w:shd w:val="clear" w:color="000000" w:fill="FFFFFF"/>
            <w:noWrap/>
            <w:vAlign w:val="center"/>
            <w:hideMark/>
          </w:tcPr>
          <w:p w14:paraId="35FF47B4" w14:textId="77777777" w:rsidR="006C7206" w:rsidRPr="00D618B7" w:rsidRDefault="006C7206" w:rsidP="004B11B7">
            <w:pPr>
              <w:jc w:val="right"/>
              <w:rPr>
                <w:color w:val="000000"/>
                <w:sz w:val="20"/>
                <w:szCs w:val="20"/>
              </w:rPr>
            </w:pPr>
            <w:r w:rsidRPr="00D618B7">
              <w:rPr>
                <w:color w:val="000000"/>
                <w:sz w:val="20"/>
                <w:szCs w:val="20"/>
              </w:rPr>
              <w:t>-13.94</w:t>
            </w:r>
          </w:p>
        </w:tc>
        <w:tc>
          <w:tcPr>
            <w:tcW w:w="1080" w:type="dxa"/>
            <w:tcBorders>
              <w:top w:val="nil"/>
              <w:left w:val="nil"/>
              <w:bottom w:val="nil"/>
              <w:right w:val="nil"/>
            </w:tcBorders>
            <w:shd w:val="clear" w:color="000000" w:fill="FFFFFF"/>
            <w:noWrap/>
            <w:vAlign w:val="center"/>
            <w:hideMark/>
          </w:tcPr>
          <w:p w14:paraId="1D6EA2E1" w14:textId="77777777" w:rsidR="006C7206" w:rsidRPr="00D618B7" w:rsidRDefault="006C7206" w:rsidP="004B11B7">
            <w:pPr>
              <w:jc w:val="right"/>
              <w:rPr>
                <w:color w:val="000000"/>
                <w:sz w:val="20"/>
                <w:szCs w:val="20"/>
              </w:rPr>
            </w:pPr>
            <w:r w:rsidRPr="00D618B7">
              <w:rPr>
                <w:color w:val="000000"/>
                <w:sz w:val="20"/>
                <w:szCs w:val="20"/>
              </w:rPr>
              <w:t>393.58</w:t>
            </w:r>
          </w:p>
        </w:tc>
        <w:tc>
          <w:tcPr>
            <w:tcW w:w="1606" w:type="dxa"/>
            <w:tcBorders>
              <w:top w:val="nil"/>
              <w:left w:val="nil"/>
              <w:bottom w:val="nil"/>
              <w:right w:val="nil"/>
            </w:tcBorders>
            <w:shd w:val="clear" w:color="000000" w:fill="FFFFFF"/>
            <w:noWrap/>
            <w:vAlign w:val="center"/>
            <w:hideMark/>
          </w:tcPr>
          <w:p w14:paraId="386B4717" w14:textId="77777777" w:rsidR="006C7206" w:rsidRPr="00D618B7" w:rsidRDefault="006C7206" w:rsidP="004B11B7">
            <w:pPr>
              <w:jc w:val="right"/>
              <w:rPr>
                <w:color w:val="000000"/>
                <w:sz w:val="20"/>
                <w:szCs w:val="20"/>
              </w:rPr>
            </w:pPr>
            <w:r w:rsidRPr="00D618B7">
              <w:rPr>
                <w:color w:val="000000"/>
                <w:sz w:val="20"/>
                <w:szCs w:val="20"/>
              </w:rPr>
              <w:t>2401.07</w:t>
            </w:r>
          </w:p>
        </w:tc>
        <w:tc>
          <w:tcPr>
            <w:tcW w:w="1120" w:type="dxa"/>
            <w:tcBorders>
              <w:top w:val="nil"/>
              <w:left w:val="nil"/>
              <w:bottom w:val="nil"/>
              <w:right w:val="nil"/>
            </w:tcBorders>
            <w:shd w:val="clear" w:color="000000" w:fill="FFFFFF"/>
            <w:noWrap/>
            <w:vAlign w:val="center"/>
            <w:hideMark/>
          </w:tcPr>
          <w:p w14:paraId="0692FD6C" w14:textId="77777777" w:rsidR="006C7206" w:rsidRPr="00D618B7" w:rsidRDefault="006C7206" w:rsidP="004B11B7">
            <w:pPr>
              <w:jc w:val="right"/>
              <w:rPr>
                <w:color w:val="000000"/>
                <w:sz w:val="20"/>
                <w:szCs w:val="20"/>
              </w:rPr>
            </w:pPr>
            <w:r w:rsidRPr="00D618B7">
              <w:rPr>
                <w:color w:val="000000"/>
                <w:sz w:val="20"/>
                <w:szCs w:val="20"/>
              </w:rPr>
              <w:t>394.16</w:t>
            </w:r>
          </w:p>
        </w:tc>
      </w:tr>
      <w:tr w:rsidR="004C396F" w:rsidRPr="00D618B7" w14:paraId="179A34F5" w14:textId="77777777" w:rsidTr="004C396F">
        <w:trPr>
          <w:trHeight w:val="192"/>
        </w:trPr>
        <w:tc>
          <w:tcPr>
            <w:tcW w:w="1329" w:type="dxa"/>
            <w:tcBorders>
              <w:top w:val="nil"/>
              <w:left w:val="nil"/>
              <w:bottom w:val="nil"/>
              <w:right w:val="nil"/>
            </w:tcBorders>
            <w:shd w:val="clear" w:color="000000" w:fill="FFFFFF"/>
            <w:vAlign w:val="center"/>
            <w:hideMark/>
          </w:tcPr>
          <w:p w14:paraId="312162BF" w14:textId="77777777" w:rsidR="006C7206" w:rsidRPr="00D618B7" w:rsidRDefault="006C7206" w:rsidP="004B11B7">
            <w:pPr>
              <w:jc w:val="right"/>
              <w:rPr>
                <w:color w:val="000000"/>
                <w:sz w:val="20"/>
                <w:szCs w:val="20"/>
              </w:rPr>
            </w:pPr>
            <w:r w:rsidRPr="00D618B7">
              <w:rPr>
                <w:color w:val="000000"/>
                <w:sz w:val="20"/>
                <w:szCs w:val="20"/>
              </w:rPr>
              <w:t>0</w:t>
            </w:r>
          </w:p>
        </w:tc>
        <w:tc>
          <w:tcPr>
            <w:tcW w:w="1026" w:type="dxa"/>
            <w:tcBorders>
              <w:top w:val="nil"/>
              <w:left w:val="nil"/>
              <w:bottom w:val="nil"/>
              <w:right w:val="nil"/>
            </w:tcBorders>
            <w:shd w:val="clear" w:color="000000" w:fill="FFFFFF"/>
            <w:noWrap/>
            <w:vAlign w:val="center"/>
            <w:hideMark/>
          </w:tcPr>
          <w:p w14:paraId="68D5F9D3" w14:textId="77777777" w:rsidR="006C7206" w:rsidRPr="00D618B7" w:rsidRDefault="006C7206" w:rsidP="004B11B7">
            <w:pPr>
              <w:jc w:val="right"/>
              <w:rPr>
                <w:color w:val="000000"/>
                <w:sz w:val="20"/>
                <w:szCs w:val="20"/>
              </w:rPr>
            </w:pPr>
            <w:r w:rsidRPr="00D618B7">
              <w:rPr>
                <w:color w:val="000000"/>
                <w:sz w:val="20"/>
                <w:szCs w:val="20"/>
              </w:rPr>
              <w:t>65.53</w:t>
            </w:r>
          </w:p>
        </w:tc>
        <w:tc>
          <w:tcPr>
            <w:tcW w:w="1091" w:type="dxa"/>
            <w:tcBorders>
              <w:top w:val="nil"/>
              <w:left w:val="nil"/>
              <w:bottom w:val="nil"/>
              <w:right w:val="nil"/>
            </w:tcBorders>
            <w:shd w:val="clear" w:color="000000" w:fill="FFFFFF"/>
            <w:noWrap/>
            <w:vAlign w:val="center"/>
            <w:hideMark/>
          </w:tcPr>
          <w:p w14:paraId="73DDF595" w14:textId="77777777" w:rsidR="006C7206" w:rsidRPr="00D618B7" w:rsidRDefault="006C7206" w:rsidP="004B11B7">
            <w:pPr>
              <w:jc w:val="right"/>
              <w:rPr>
                <w:color w:val="000000"/>
                <w:sz w:val="20"/>
                <w:szCs w:val="20"/>
              </w:rPr>
            </w:pPr>
            <w:r w:rsidRPr="00D618B7">
              <w:rPr>
                <w:color w:val="000000"/>
                <w:sz w:val="20"/>
                <w:szCs w:val="20"/>
              </w:rPr>
              <w:t>381.90</w:t>
            </w:r>
          </w:p>
        </w:tc>
        <w:tc>
          <w:tcPr>
            <w:tcW w:w="1550" w:type="dxa"/>
            <w:tcBorders>
              <w:top w:val="nil"/>
              <w:left w:val="nil"/>
              <w:bottom w:val="nil"/>
              <w:right w:val="nil"/>
            </w:tcBorders>
            <w:shd w:val="clear" w:color="000000" w:fill="FFFFFF"/>
            <w:noWrap/>
            <w:vAlign w:val="center"/>
            <w:hideMark/>
          </w:tcPr>
          <w:p w14:paraId="25233E7B" w14:textId="77777777" w:rsidR="006C7206" w:rsidRPr="00D618B7" w:rsidRDefault="006C7206" w:rsidP="004B11B7">
            <w:pPr>
              <w:jc w:val="right"/>
              <w:rPr>
                <w:color w:val="000000"/>
                <w:sz w:val="20"/>
                <w:szCs w:val="20"/>
              </w:rPr>
            </w:pPr>
            <w:r w:rsidRPr="00D618B7">
              <w:rPr>
                <w:color w:val="000000"/>
                <w:sz w:val="20"/>
                <w:szCs w:val="20"/>
              </w:rPr>
              <w:t>-33.79</w:t>
            </w:r>
          </w:p>
        </w:tc>
        <w:tc>
          <w:tcPr>
            <w:tcW w:w="1080" w:type="dxa"/>
            <w:tcBorders>
              <w:top w:val="nil"/>
              <w:left w:val="nil"/>
              <w:bottom w:val="nil"/>
              <w:right w:val="nil"/>
            </w:tcBorders>
            <w:shd w:val="clear" w:color="000000" w:fill="FFFFFF"/>
            <w:noWrap/>
            <w:vAlign w:val="center"/>
            <w:hideMark/>
          </w:tcPr>
          <w:p w14:paraId="5420B725" w14:textId="77777777" w:rsidR="006C7206" w:rsidRPr="00D618B7" w:rsidRDefault="006C7206" w:rsidP="004B11B7">
            <w:pPr>
              <w:jc w:val="right"/>
              <w:rPr>
                <w:color w:val="000000"/>
                <w:sz w:val="20"/>
                <w:szCs w:val="20"/>
              </w:rPr>
            </w:pPr>
            <w:r w:rsidRPr="00D618B7">
              <w:rPr>
                <w:color w:val="000000"/>
                <w:sz w:val="20"/>
                <w:szCs w:val="20"/>
              </w:rPr>
              <w:t>357.11</w:t>
            </w:r>
          </w:p>
        </w:tc>
        <w:tc>
          <w:tcPr>
            <w:tcW w:w="1606" w:type="dxa"/>
            <w:tcBorders>
              <w:top w:val="nil"/>
              <w:left w:val="nil"/>
              <w:bottom w:val="nil"/>
              <w:right w:val="nil"/>
            </w:tcBorders>
            <w:shd w:val="clear" w:color="000000" w:fill="FFFFFF"/>
            <w:noWrap/>
            <w:vAlign w:val="center"/>
            <w:hideMark/>
          </w:tcPr>
          <w:p w14:paraId="061EE4B4" w14:textId="77777777" w:rsidR="006C7206" w:rsidRPr="00D618B7" w:rsidRDefault="006C7206" w:rsidP="004B11B7">
            <w:pPr>
              <w:jc w:val="right"/>
              <w:rPr>
                <w:color w:val="000000"/>
                <w:sz w:val="20"/>
                <w:szCs w:val="20"/>
              </w:rPr>
            </w:pPr>
            <w:r w:rsidRPr="00D618B7">
              <w:rPr>
                <w:color w:val="000000"/>
                <w:sz w:val="20"/>
                <w:szCs w:val="20"/>
              </w:rPr>
              <w:t>253.15</w:t>
            </w:r>
          </w:p>
        </w:tc>
        <w:tc>
          <w:tcPr>
            <w:tcW w:w="1120" w:type="dxa"/>
            <w:tcBorders>
              <w:top w:val="nil"/>
              <w:left w:val="nil"/>
              <w:bottom w:val="nil"/>
              <w:right w:val="nil"/>
            </w:tcBorders>
            <w:shd w:val="clear" w:color="000000" w:fill="FFFFFF"/>
            <w:noWrap/>
            <w:vAlign w:val="center"/>
            <w:hideMark/>
          </w:tcPr>
          <w:p w14:paraId="6A389432" w14:textId="77777777" w:rsidR="006C7206" w:rsidRPr="00D618B7" w:rsidRDefault="006C7206" w:rsidP="004B11B7">
            <w:pPr>
              <w:jc w:val="right"/>
              <w:rPr>
                <w:color w:val="000000"/>
                <w:sz w:val="20"/>
                <w:szCs w:val="20"/>
              </w:rPr>
            </w:pPr>
            <w:r w:rsidRPr="00D618B7">
              <w:rPr>
                <w:color w:val="000000"/>
                <w:sz w:val="20"/>
                <w:szCs w:val="20"/>
              </w:rPr>
              <w:t>358.55</w:t>
            </w:r>
          </w:p>
        </w:tc>
      </w:tr>
      <w:tr w:rsidR="004C396F" w:rsidRPr="00D618B7" w14:paraId="6067FB19" w14:textId="77777777" w:rsidTr="004C396F">
        <w:trPr>
          <w:trHeight w:val="192"/>
        </w:trPr>
        <w:tc>
          <w:tcPr>
            <w:tcW w:w="1329" w:type="dxa"/>
            <w:tcBorders>
              <w:top w:val="nil"/>
              <w:left w:val="nil"/>
              <w:bottom w:val="nil"/>
              <w:right w:val="nil"/>
            </w:tcBorders>
            <w:shd w:val="clear" w:color="000000" w:fill="FFFFFF"/>
            <w:vAlign w:val="center"/>
            <w:hideMark/>
          </w:tcPr>
          <w:p w14:paraId="11EE58F9" w14:textId="77777777" w:rsidR="006C7206" w:rsidRPr="00D618B7" w:rsidRDefault="006C7206" w:rsidP="004B11B7">
            <w:pPr>
              <w:jc w:val="right"/>
              <w:rPr>
                <w:color w:val="000000"/>
                <w:sz w:val="20"/>
                <w:szCs w:val="20"/>
              </w:rPr>
            </w:pPr>
            <w:r w:rsidRPr="00D618B7">
              <w:rPr>
                <w:color w:val="000000"/>
                <w:sz w:val="20"/>
                <w:szCs w:val="20"/>
              </w:rPr>
              <w:t>1</w:t>
            </w:r>
          </w:p>
        </w:tc>
        <w:tc>
          <w:tcPr>
            <w:tcW w:w="1026" w:type="dxa"/>
            <w:tcBorders>
              <w:top w:val="nil"/>
              <w:left w:val="nil"/>
              <w:bottom w:val="nil"/>
              <w:right w:val="nil"/>
            </w:tcBorders>
            <w:shd w:val="clear" w:color="000000" w:fill="FFFFFF"/>
            <w:noWrap/>
            <w:vAlign w:val="center"/>
            <w:hideMark/>
          </w:tcPr>
          <w:p w14:paraId="7FD8043F" w14:textId="77777777" w:rsidR="006C7206" w:rsidRPr="00D618B7" w:rsidRDefault="006C7206" w:rsidP="004B11B7">
            <w:pPr>
              <w:jc w:val="right"/>
              <w:rPr>
                <w:color w:val="000000"/>
                <w:sz w:val="20"/>
                <w:szCs w:val="20"/>
              </w:rPr>
            </w:pPr>
            <w:r w:rsidRPr="00D618B7">
              <w:rPr>
                <w:color w:val="000000"/>
                <w:sz w:val="20"/>
                <w:szCs w:val="20"/>
              </w:rPr>
              <w:t>-157.80</w:t>
            </w:r>
          </w:p>
        </w:tc>
        <w:tc>
          <w:tcPr>
            <w:tcW w:w="1091" w:type="dxa"/>
            <w:tcBorders>
              <w:top w:val="nil"/>
              <w:left w:val="nil"/>
              <w:bottom w:val="nil"/>
              <w:right w:val="nil"/>
            </w:tcBorders>
            <w:shd w:val="clear" w:color="000000" w:fill="FFFFFF"/>
            <w:noWrap/>
            <w:vAlign w:val="center"/>
            <w:hideMark/>
          </w:tcPr>
          <w:p w14:paraId="1D27E325" w14:textId="77777777" w:rsidR="006C7206" w:rsidRPr="00D618B7" w:rsidRDefault="006C7206" w:rsidP="004B11B7">
            <w:pPr>
              <w:jc w:val="right"/>
              <w:rPr>
                <w:color w:val="000000"/>
                <w:sz w:val="20"/>
                <w:szCs w:val="20"/>
              </w:rPr>
            </w:pPr>
            <w:r w:rsidRPr="00D618B7">
              <w:rPr>
                <w:color w:val="000000"/>
                <w:sz w:val="20"/>
                <w:szCs w:val="20"/>
              </w:rPr>
              <w:t>380.82</w:t>
            </w:r>
          </w:p>
        </w:tc>
        <w:tc>
          <w:tcPr>
            <w:tcW w:w="1550" w:type="dxa"/>
            <w:tcBorders>
              <w:top w:val="nil"/>
              <w:left w:val="nil"/>
              <w:bottom w:val="nil"/>
              <w:right w:val="nil"/>
            </w:tcBorders>
            <w:shd w:val="clear" w:color="000000" w:fill="FFFFFF"/>
            <w:noWrap/>
            <w:vAlign w:val="center"/>
            <w:hideMark/>
          </w:tcPr>
          <w:p w14:paraId="1E41B878" w14:textId="77777777" w:rsidR="006C7206" w:rsidRPr="00D618B7" w:rsidRDefault="006C7206" w:rsidP="004B11B7">
            <w:pPr>
              <w:jc w:val="right"/>
              <w:rPr>
                <w:color w:val="000000"/>
                <w:sz w:val="20"/>
                <w:szCs w:val="20"/>
              </w:rPr>
            </w:pPr>
            <w:r w:rsidRPr="00D618B7">
              <w:rPr>
                <w:color w:val="000000"/>
                <w:sz w:val="20"/>
                <w:szCs w:val="20"/>
              </w:rPr>
              <w:t>8.84</w:t>
            </w:r>
          </w:p>
        </w:tc>
        <w:tc>
          <w:tcPr>
            <w:tcW w:w="1080" w:type="dxa"/>
            <w:tcBorders>
              <w:top w:val="nil"/>
              <w:left w:val="nil"/>
              <w:bottom w:val="nil"/>
              <w:right w:val="nil"/>
            </w:tcBorders>
            <w:shd w:val="clear" w:color="000000" w:fill="FFFFFF"/>
            <w:noWrap/>
            <w:vAlign w:val="center"/>
            <w:hideMark/>
          </w:tcPr>
          <w:p w14:paraId="5A4E85A5" w14:textId="77777777" w:rsidR="006C7206" w:rsidRPr="00D618B7" w:rsidRDefault="006C7206" w:rsidP="004B11B7">
            <w:pPr>
              <w:jc w:val="right"/>
              <w:rPr>
                <w:color w:val="000000"/>
                <w:sz w:val="20"/>
                <w:szCs w:val="20"/>
              </w:rPr>
            </w:pPr>
            <w:r w:rsidRPr="00D618B7">
              <w:rPr>
                <w:color w:val="000000"/>
                <w:sz w:val="20"/>
                <w:szCs w:val="20"/>
              </w:rPr>
              <w:t>355.21</w:t>
            </w:r>
          </w:p>
        </w:tc>
        <w:tc>
          <w:tcPr>
            <w:tcW w:w="1606" w:type="dxa"/>
            <w:tcBorders>
              <w:top w:val="nil"/>
              <w:left w:val="nil"/>
              <w:bottom w:val="nil"/>
              <w:right w:val="nil"/>
            </w:tcBorders>
            <w:shd w:val="clear" w:color="000000" w:fill="FFFFFF"/>
            <w:noWrap/>
            <w:vAlign w:val="center"/>
            <w:hideMark/>
          </w:tcPr>
          <w:p w14:paraId="1169F1AC" w14:textId="77777777" w:rsidR="006C7206" w:rsidRPr="00D618B7" w:rsidRDefault="006C7206" w:rsidP="004B11B7">
            <w:pPr>
              <w:jc w:val="right"/>
              <w:rPr>
                <w:color w:val="000000"/>
                <w:sz w:val="20"/>
                <w:szCs w:val="20"/>
              </w:rPr>
            </w:pPr>
            <w:r w:rsidRPr="00D618B7">
              <w:rPr>
                <w:color w:val="000000"/>
                <w:sz w:val="20"/>
                <w:szCs w:val="20"/>
              </w:rPr>
              <w:t>817.12</w:t>
            </w:r>
          </w:p>
        </w:tc>
        <w:tc>
          <w:tcPr>
            <w:tcW w:w="1120" w:type="dxa"/>
            <w:tcBorders>
              <w:top w:val="nil"/>
              <w:left w:val="nil"/>
              <w:bottom w:val="nil"/>
              <w:right w:val="nil"/>
            </w:tcBorders>
            <w:shd w:val="clear" w:color="000000" w:fill="FFFFFF"/>
            <w:noWrap/>
            <w:vAlign w:val="center"/>
            <w:hideMark/>
          </w:tcPr>
          <w:p w14:paraId="28690816" w14:textId="77777777" w:rsidR="006C7206" w:rsidRPr="00D618B7" w:rsidRDefault="006C7206" w:rsidP="004B11B7">
            <w:pPr>
              <w:jc w:val="right"/>
              <w:rPr>
                <w:color w:val="000000"/>
                <w:sz w:val="20"/>
                <w:szCs w:val="20"/>
              </w:rPr>
            </w:pPr>
            <w:r w:rsidRPr="00D618B7">
              <w:rPr>
                <w:color w:val="000000"/>
                <w:sz w:val="20"/>
                <w:szCs w:val="20"/>
              </w:rPr>
              <w:t>357.87</w:t>
            </w:r>
          </w:p>
        </w:tc>
      </w:tr>
      <w:tr w:rsidR="004C396F" w:rsidRPr="00D618B7" w14:paraId="2A7BC5ED" w14:textId="77777777" w:rsidTr="004C396F">
        <w:trPr>
          <w:trHeight w:val="192"/>
        </w:trPr>
        <w:tc>
          <w:tcPr>
            <w:tcW w:w="1329" w:type="dxa"/>
            <w:tcBorders>
              <w:top w:val="nil"/>
              <w:left w:val="nil"/>
              <w:bottom w:val="nil"/>
              <w:right w:val="nil"/>
            </w:tcBorders>
            <w:shd w:val="clear" w:color="000000" w:fill="FFFFFF"/>
            <w:vAlign w:val="center"/>
            <w:hideMark/>
          </w:tcPr>
          <w:p w14:paraId="1018D663" w14:textId="77777777" w:rsidR="006C7206" w:rsidRPr="00D618B7" w:rsidRDefault="006C7206" w:rsidP="004B11B7">
            <w:pPr>
              <w:jc w:val="right"/>
              <w:rPr>
                <w:color w:val="000000"/>
                <w:sz w:val="20"/>
                <w:szCs w:val="20"/>
              </w:rPr>
            </w:pPr>
            <w:r w:rsidRPr="00D618B7">
              <w:rPr>
                <w:color w:val="000000"/>
                <w:sz w:val="20"/>
                <w:szCs w:val="20"/>
              </w:rPr>
              <w:t>2</w:t>
            </w:r>
          </w:p>
        </w:tc>
        <w:tc>
          <w:tcPr>
            <w:tcW w:w="1026" w:type="dxa"/>
            <w:tcBorders>
              <w:top w:val="nil"/>
              <w:left w:val="nil"/>
              <w:bottom w:val="nil"/>
              <w:right w:val="nil"/>
            </w:tcBorders>
            <w:shd w:val="clear" w:color="000000" w:fill="FFFFFF"/>
            <w:noWrap/>
            <w:vAlign w:val="center"/>
            <w:hideMark/>
          </w:tcPr>
          <w:p w14:paraId="23E54173" w14:textId="77777777" w:rsidR="006C7206" w:rsidRPr="00D618B7" w:rsidRDefault="006C7206" w:rsidP="004B11B7">
            <w:pPr>
              <w:jc w:val="right"/>
              <w:rPr>
                <w:color w:val="000000"/>
                <w:sz w:val="20"/>
                <w:szCs w:val="20"/>
              </w:rPr>
            </w:pPr>
            <w:r w:rsidRPr="00D618B7">
              <w:rPr>
                <w:color w:val="000000"/>
                <w:sz w:val="20"/>
                <w:szCs w:val="20"/>
              </w:rPr>
              <w:t>156.90</w:t>
            </w:r>
          </w:p>
        </w:tc>
        <w:tc>
          <w:tcPr>
            <w:tcW w:w="1091" w:type="dxa"/>
            <w:tcBorders>
              <w:top w:val="nil"/>
              <w:left w:val="nil"/>
              <w:bottom w:val="nil"/>
              <w:right w:val="nil"/>
            </w:tcBorders>
            <w:shd w:val="clear" w:color="000000" w:fill="FFFFFF"/>
            <w:noWrap/>
            <w:vAlign w:val="center"/>
            <w:hideMark/>
          </w:tcPr>
          <w:p w14:paraId="2D0C9612" w14:textId="77777777" w:rsidR="006C7206" w:rsidRPr="00D618B7" w:rsidRDefault="006C7206" w:rsidP="004B11B7">
            <w:pPr>
              <w:jc w:val="right"/>
              <w:rPr>
                <w:color w:val="000000"/>
                <w:sz w:val="20"/>
                <w:szCs w:val="20"/>
              </w:rPr>
            </w:pPr>
            <w:r w:rsidRPr="00D618B7">
              <w:rPr>
                <w:color w:val="000000"/>
                <w:sz w:val="20"/>
                <w:szCs w:val="20"/>
              </w:rPr>
              <w:t>469.86</w:t>
            </w:r>
          </w:p>
        </w:tc>
        <w:tc>
          <w:tcPr>
            <w:tcW w:w="1550" w:type="dxa"/>
            <w:tcBorders>
              <w:top w:val="nil"/>
              <w:left w:val="nil"/>
              <w:bottom w:val="nil"/>
              <w:right w:val="nil"/>
            </w:tcBorders>
            <w:shd w:val="clear" w:color="000000" w:fill="FFFFFF"/>
            <w:noWrap/>
            <w:vAlign w:val="center"/>
            <w:hideMark/>
          </w:tcPr>
          <w:p w14:paraId="56E5FA58" w14:textId="77777777" w:rsidR="006C7206" w:rsidRPr="00D618B7" w:rsidRDefault="006C7206" w:rsidP="004B11B7">
            <w:pPr>
              <w:jc w:val="right"/>
              <w:rPr>
                <w:color w:val="000000"/>
                <w:sz w:val="20"/>
                <w:szCs w:val="20"/>
              </w:rPr>
            </w:pPr>
            <w:r w:rsidRPr="00D618B7">
              <w:rPr>
                <w:color w:val="000000"/>
                <w:sz w:val="20"/>
                <w:szCs w:val="20"/>
              </w:rPr>
              <w:t>53.33</w:t>
            </w:r>
          </w:p>
        </w:tc>
        <w:tc>
          <w:tcPr>
            <w:tcW w:w="1080" w:type="dxa"/>
            <w:tcBorders>
              <w:top w:val="nil"/>
              <w:left w:val="nil"/>
              <w:bottom w:val="nil"/>
              <w:right w:val="nil"/>
            </w:tcBorders>
            <w:shd w:val="clear" w:color="000000" w:fill="FFFFFF"/>
            <w:noWrap/>
            <w:vAlign w:val="center"/>
            <w:hideMark/>
          </w:tcPr>
          <w:p w14:paraId="4FC1D896" w14:textId="77777777" w:rsidR="006C7206" w:rsidRPr="00D618B7" w:rsidRDefault="006C7206" w:rsidP="004B11B7">
            <w:pPr>
              <w:jc w:val="right"/>
              <w:rPr>
                <w:color w:val="000000"/>
                <w:sz w:val="20"/>
                <w:szCs w:val="20"/>
              </w:rPr>
            </w:pPr>
            <w:r w:rsidRPr="00D618B7">
              <w:rPr>
                <w:color w:val="000000"/>
                <w:sz w:val="20"/>
                <w:szCs w:val="20"/>
              </w:rPr>
              <w:t>448.60</w:t>
            </w:r>
          </w:p>
        </w:tc>
        <w:tc>
          <w:tcPr>
            <w:tcW w:w="1606" w:type="dxa"/>
            <w:tcBorders>
              <w:top w:val="nil"/>
              <w:left w:val="nil"/>
              <w:bottom w:val="nil"/>
              <w:right w:val="nil"/>
            </w:tcBorders>
            <w:shd w:val="clear" w:color="000000" w:fill="FFFFFF"/>
            <w:noWrap/>
            <w:vAlign w:val="center"/>
            <w:hideMark/>
          </w:tcPr>
          <w:p w14:paraId="5A9ECB6E" w14:textId="77777777" w:rsidR="006C7206" w:rsidRPr="00D618B7" w:rsidRDefault="006C7206" w:rsidP="004B11B7">
            <w:pPr>
              <w:jc w:val="right"/>
              <w:rPr>
                <w:color w:val="000000"/>
                <w:sz w:val="20"/>
                <w:szCs w:val="20"/>
              </w:rPr>
            </w:pPr>
            <w:r w:rsidRPr="00D618B7">
              <w:rPr>
                <w:color w:val="000000"/>
                <w:sz w:val="20"/>
                <w:szCs w:val="20"/>
              </w:rPr>
              <w:t>-481.04</w:t>
            </w:r>
          </w:p>
        </w:tc>
        <w:tc>
          <w:tcPr>
            <w:tcW w:w="1120" w:type="dxa"/>
            <w:tcBorders>
              <w:top w:val="nil"/>
              <w:left w:val="nil"/>
              <w:bottom w:val="nil"/>
              <w:right w:val="nil"/>
            </w:tcBorders>
            <w:shd w:val="clear" w:color="000000" w:fill="FFFFFF"/>
            <w:noWrap/>
            <w:vAlign w:val="center"/>
            <w:hideMark/>
          </w:tcPr>
          <w:p w14:paraId="18EF2C1B" w14:textId="77777777" w:rsidR="006C7206" w:rsidRPr="00D618B7" w:rsidRDefault="006C7206" w:rsidP="004B11B7">
            <w:pPr>
              <w:jc w:val="right"/>
              <w:rPr>
                <w:color w:val="000000"/>
                <w:sz w:val="20"/>
                <w:szCs w:val="20"/>
              </w:rPr>
            </w:pPr>
            <w:r w:rsidRPr="00D618B7">
              <w:rPr>
                <w:color w:val="000000"/>
                <w:sz w:val="20"/>
                <w:szCs w:val="20"/>
              </w:rPr>
              <w:t>450.21</w:t>
            </w:r>
          </w:p>
        </w:tc>
      </w:tr>
      <w:tr w:rsidR="004C396F" w:rsidRPr="00D618B7" w14:paraId="0615ECD5" w14:textId="77777777" w:rsidTr="004C396F">
        <w:trPr>
          <w:trHeight w:val="192"/>
        </w:trPr>
        <w:tc>
          <w:tcPr>
            <w:tcW w:w="1329" w:type="dxa"/>
            <w:tcBorders>
              <w:top w:val="nil"/>
              <w:left w:val="nil"/>
              <w:bottom w:val="nil"/>
              <w:right w:val="nil"/>
            </w:tcBorders>
            <w:shd w:val="clear" w:color="000000" w:fill="FFFFFF"/>
            <w:vAlign w:val="center"/>
            <w:hideMark/>
          </w:tcPr>
          <w:p w14:paraId="6964DED3" w14:textId="77777777" w:rsidR="006C7206" w:rsidRPr="00D618B7" w:rsidRDefault="006C7206" w:rsidP="004B11B7">
            <w:pPr>
              <w:jc w:val="right"/>
              <w:rPr>
                <w:color w:val="000000"/>
                <w:sz w:val="20"/>
                <w:szCs w:val="20"/>
              </w:rPr>
            </w:pPr>
            <w:r w:rsidRPr="00D618B7">
              <w:rPr>
                <w:color w:val="000000"/>
                <w:sz w:val="20"/>
                <w:szCs w:val="20"/>
              </w:rPr>
              <w:t>3</w:t>
            </w:r>
          </w:p>
        </w:tc>
        <w:tc>
          <w:tcPr>
            <w:tcW w:w="1026" w:type="dxa"/>
            <w:tcBorders>
              <w:top w:val="nil"/>
              <w:left w:val="nil"/>
              <w:bottom w:val="nil"/>
              <w:right w:val="nil"/>
            </w:tcBorders>
            <w:shd w:val="clear" w:color="000000" w:fill="FFFFFF"/>
            <w:noWrap/>
            <w:vAlign w:val="center"/>
            <w:hideMark/>
          </w:tcPr>
          <w:p w14:paraId="5DC53AAA" w14:textId="77777777" w:rsidR="006C7206" w:rsidRPr="00D618B7" w:rsidRDefault="006C7206" w:rsidP="004B11B7">
            <w:pPr>
              <w:jc w:val="right"/>
              <w:rPr>
                <w:color w:val="000000"/>
                <w:sz w:val="20"/>
                <w:szCs w:val="20"/>
              </w:rPr>
            </w:pPr>
            <w:r w:rsidRPr="00D618B7">
              <w:rPr>
                <w:color w:val="000000"/>
                <w:sz w:val="20"/>
                <w:szCs w:val="20"/>
              </w:rPr>
              <w:t>-30.36</w:t>
            </w:r>
          </w:p>
        </w:tc>
        <w:tc>
          <w:tcPr>
            <w:tcW w:w="1091" w:type="dxa"/>
            <w:tcBorders>
              <w:top w:val="nil"/>
              <w:left w:val="nil"/>
              <w:bottom w:val="nil"/>
              <w:right w:val="nil"/>
            </w:tcBorders>
            <w:shd w:val="clear" w:color="000000" w:fill="FFFFFF"/>
            <w:noWrap/>
            <w:vAlign w:val="center"/>
            <w:hideMark/>
          </w:tcPr>
          <w:p w14:paraId="726868D1" w14:textId="77777777" w:rsidR="006C7206" w:rsidRPr="00D618B7" w:rsidRDefault="006C7206" w:rsidP="004B11B7">
            <w:pPr>
              <w:jc w:val="right"/>
              <w:rPr>
                <w:color w:val="000000"/>
                <w:sz w:val="20"/>
                <w:szCs w:val="20"/>
              </w:rPr>
            </w:pPr>
            <w:r w:rsidRPr="00D618B7">
              <w:rPr>
                <w:color w:val="000000"/>
                <w:sz w:val="20"/>
                <w:szCs w:val="20"/>
              </w:rPr>
              <w:t>379.05</w:t>
            </w:r>
          </w:p>
        </w:tc>
        <w:tc>
          <w:tcPr>
            <w:tcW w:w="1550" w:type="dxa"/>
            <w:tcBorders>
              <w:top w:val="nil"/>
              <w:left w:val="nil"/>
              <w:bottom w:val="nil"/>
              <w:right w:val="nil"/>
            </w:tcBorders>
            <w:shd w:val="clear" w:color="000000" w:fill="FFFFFF"/>
            <w:noWrap/>
            <w:vAlign w:val="center"/>
            <w:hideMark/>
          </w:tcPr>
          <w:p w14:paraId="2A8A0AB2" w14:textId="77777777" w:rsidR="006C7206" w:rsidRPr="00D618B7" w:rsidRDefault="006C7206" w:rsidP="004B11B7">
            <w:pPr>
              <w:jc w:val="right"/>
              <w:rPr>
                <w:color w:val="000000"/>
                <w:sz w:val="20"/>
                <w:szCs w:val="20"/>
              </w:rPr>
            </w:pPr>
            <w:r w:rsidRPr="00D618B7">
              <w:rPr>
                <w:color w:val="000000"/>
                <w:sz w:val="20"/>
                <w:szCs w:val="20"/>
              </w:rPr>
              <w:t>-43.94</w:t>
            </w:r>
          </w:p>
        </w:tc>
        <w:tc>
          <w:tcPr>
            <w:tcW w:w="1080" w:type="dxa"/>
            <w:tcBorders>
              <w:top w:val="nil"/>
              <w:left w:val="nil"/>
              <w:bottom w:val="nil"/>
              <w:right w:val="nil"/>
            </w:tcBorders>
            <w:shd w:val="clear" w:color="000000" w:fill="FFFFFF"/>
            <w:noWrap/>
            <w:vAlign w:val="center"/>
            <w:hideMark/>
          </w:tcPr>
          <w:p w14:paraId="0CC91061" w14:textId="77777777" w:rsidR="006C7206" w:rsidRPr="00D618B7" w:rsidRDefault="006C7206" w:rsidP="004B11B7">
            <w:pPr>
              <w:jc w:val="right"/>
              <w:rPr>
                <w:color w:val="000000"/>
                <w:sz w:val="20"/>
                <w:szCs w:val="20"/>
              </w:rPr>
            </w:pPr>
            <w:r w:rsidRPr="00D618B7">
              <w:rPr>
                <w:color w:val="000000"/>
                <w:sz w:val="20"/>
                <w:szCs w:val="20"/>
              </w:rPr>
              <w:t>358.69</w:t>
            </w:r>
          </w:p>
        </w:tc>
        <w:tc>
          <w:tcPr>
            <w:tcW w:w="1606" w:type="dxa"/>
            <w:tcBorders>
              <w:top w:val="nil"/>
              <w:left w:val="nil"/>
              <w:bottom w:val="nil"/>
              <w:right w:val="nil"/>
            </w:tcBorders>
            <w:shd w:val="clear" w:color="000000" w:fill="FFFFFF"/>
            <w:noWrap/>
            <w:vAlign w:val="center"/>
            <w:hideMark/>
          </w:tcPr>
          <w:p w14:paraId="1886182E" w14:textId="77777777" w:rsidR="006C7206" w:rsidRPr="00D618B7" w:rsidRDefault="006C7206" w:rsidP="004B11B7">
            <w:pPr>
              <w:jc w:val="right"/>
              <w:rPr>
                <w:color w:val="000000"/>
                <w:sz w:val="20"/>
                <w:szCs w:val="20"/>
              </w:rPr>
            </w:pPr>
            <w:r w:rsidRPr="00D618B7">
              <w:rPr>
                <w:color w:val="000000"/>
                <w:sz w:val="20"/>
                <w:szCs w:val="20"/>
              </w:rPr>
              <w:t>143.45</w:t>
            </w:r>
          </w:p>
        </w:tc>
        <w:tc>
          <w:tcPr>
            <w:tcW w:w="1120" w:type="dxa"/>
            <w:tcBorders>
              <w:top w:val="nil"/>
              <w:left w:val="nil"/>
              <w:bottom w:val="nil"/>
              <w:right w:val="nil"/>
            </w:tcBorders>
            <w:shd w:val="clear" w:color="000000" w:fill="FFFFFF"/>
            <w:noWrap/>
            <w:vAlign w:val="center"/>
            <w:hideMark/>
          </w:tcPr>
          <w:p w14:paraId="6B5A665D" w14:textId="77777777" w:rsidR="006C7206" w:rsidRPr="00D618B7" w:rsidRDefault="006C7206" w:rsidP="004B11B7">
            <w:pPr>
              <w:jc w:val="right"/>
              <w:rPr>
                <w:color w:val="000000"/>
                <w:sz w:val="20"/>
                <w:szCs w:val="20"/>
              </w:rPr>
            </w:pPr>
            <w:r w:rsidRPr="00D618B7">
              <w:rPr>
                <w:color w:val="000000"/>
                <w:sz w:val="20"/>
                <w:szCs w:val="20"/>
              </w:rPr>
              <w:t>361.71</w:t>
            </w:r>
          </w:p>
        </w:tc>
      </w:tr>
      <w:tr w:rsidR="004C396F" w:rsidRPr="00D618B7" w14:paraId="0D4FA9DB" w14:textId="77777777" w:rsidTr="004C396F">
        <w:trPr>
          <w:trHeight w:val="192"/>
        </w:trPr>
        <w:tc>
          <w:tcPr>
            <w:tcW w:w="1329" w:type="dxa"/>
            <w:tcBorders>
              <w:top w:val="nil"/>
              <w:left w:val="nil"/>
              <w:right w:val="nil"/>
            </w:tcBorders>
            <w:shd w:val="clear" w:color="000000" w:fill="FFFFFF"/>
            <w:vAlign w:val="center"/>
            <w:hideMark/>
          </w:tcPr>
          <w:p w14:paraId="122B625A" w14:textId="77777777" w:rsidR="006C7206" w:rsidRPr="00D618B7" w:rsidRDefault="006C7206" w:rsidP="004B11B7">
            <w:pPr>
              <w:jc w:val="right"/>
              <w:rPr>
                <w:color w:val="000000"/>
                <w:sz w:val="20"/>
                <w:szCs w:val="20"/>
              </w:rPr>
            </w:pPr>
            <w:r w:rsidRPr="00D618B7">
              <w:rPr>
                <w:color w:val="000000"/>
                <w:sz w:val="20"/>
                <w:szCs w:val="20"/>
              </w:rPr>
              <w:t>4</w:t>
            </w:r>
          </w:p>
        </w:tc>
        <w:tc>
          <w:tcPr>
            <w:tcW w:w="1026" w:type="dxa"/>
            <w:tcBorders>
              <w:top w:val="nil"/>
              <w:left w:val="nil"/>
              <w:right w:val="nil"/>
            </w:tcBorders>
            <w:shd w:val="clear" w:color="000000" w:fill="FFFFFF"/>
            <w:noWrap/>
            <w:vAlign w:val="center"/>
            <w:hideMark/>
          </w:tcPr>
          <w:p w14:paraId="2568C84D" w14:textId="77777777" w:rsidR="006C7206" w:rsidRPr="00D618B7" w:rsidRDefault="006C7206" w:rsidP="004B11B7">
            <w:pPr>
              <w:jc w:val="right"/>
              <w:rPr>
                <w:color w:val="000000"/>
                <w:sz w:val="20"/>
                <w:szCs w:val="20"/>
              </w:rPr>
            </w:pPr>
            <w:r w:rsidRPr="00D618B7">
              <w:rPr>
                <w:color w:val="000000"/>
                <w:sz w:val="20"/>
                <w:szCs w:val="20"/>
              </w:rPr>
              <w:t>105.86</w:t>
            </w:r>
          </w:p>
        </w:tc>
        <w:tc>
          <w:tcPr>
            <w:tcW w:w="1091" w:type="dxa"/>
            <w:tcBorders>
              <w:top w:val="nil"/>
              <w:left w:val="nil"/>
              <w:right w:val="nil"/>
            </w:tcBorders>
            <w:shd w:val="clear" w:color="000000" w:fill="FFFFFF"/>
            <w:noWrap/>
            <w:vAlign w:val="center"/>
            <w:hideMark/>
          </w:tcPr>
          <w:p w14:paraId="3FD8EEE4" w14:textId="77777777" w:rsidR="006C7206" w:rsidRPr="00D618B7" w:rsidRDefault="006C7206" w:rsidP="004B11B7">
            <w:pPr>
              <w:jc w:val="right"/>
              <w:rPr>
                <w:color w:val="000000"/>
                <w:sz w:val="20"/>
                <w:szCs w:val="20"/>
              </w:rPr>
            </w:pPr>
            <w:r w:rsidRPr="00D618B7">
              <w:rPr>
                <w:color w:val="000000"/>
                <w:sz w:val="20"/>
                <w:szCs w:val="20"/>
              </w:rPr>
              <w:t>412.64</w:t>
            </w:r>
          </w:p>
        </w:tc>
        <w:tc>
          <w:tcPr>
            <w:tcW w:w="1550" w:type="dxa"/>
            <w:tcBorders>
              <w:top w:val="nil"/>
              <w:left w:val="nil"/>
              <w:right w:val="nil"/>
            </w:tcBorders>
            <w:shd w:val="clear" w:color="000000" w:fill="FFFFFF"/>
            <w:noWrap/>
            <w:vAlign w:val="center"/>
            <w:hideMark/>
          </w:tcPr>
          <w:p w14:paraId="00516E29" w14:textId="77777777" w:rsidR="006C7206" w:rsidRPr="00D618B7" w:rsidRDefault="006C7206" w:rsidP="004B11B7">
            <w:pPr>
              <w:jc w:val="right"/>
              <w:rPr>
                <w:color w:val="000000"/>
                <w:sz w:val="20"/>
                <w:szCs w:val="20"/>
              </w:rPr>
            </w:pPr>
            <w:r w:rsidRPr="00D618B7">
              <w:rPr>
                <w:color w:val="000000"/>
                <w:sz w:val="20"/>
                <w:szCs w:val="20"/>
              </w:rPr>
              <w:t>-94.20</w:t>
            </w:r>
          </w:p>
        </w:tc>
        <w:tc>
          <w:tcPr>
            <w:tcW w:w="1080" w:type="dxa"/>
            <w:tcBorders>
              <w:top w:val="nil"/>
              <w:left w:val="nil"/>
              <w:right w:val="nil"/>
            </w:tcBorders>
            <w:shd w:val="clear" w:color="000000" w:fill="FFFFFF"/>
            <w:noWrap/>
            <w:vAlign w:val="center"/>
            <w:hideMark/>
          </w:tcPr>
          <w:p w14:paraId="4EFBB964" w14:textId="77777777" w:rsidR="006C7206" w:rsidRPr="00D618B7" w:rsidRDefault="006C7206" w:rsidP="004B11B7">
            <w:pPr>
              <w:jc w:val="right"/>
              <w:rPr>
                <w:color w:val="000000"/>
                <w:sz w:val="20"/>
                <w:szCs w:val="20"/>
              </w:rPr>
            </w:pPr>
            <w:r w:rsidRPr="00D618B7">
              <w:rPr>
                <w:color w:val="000000"/>
                <w:sz w:val="20"/>
                <w:szCs w:val="20"/>
              </w:rPr>
              <w:t>390.94</w:t>
            </w:r>
          </w:p>
        </w:tc>
        <w:tc>
          <w:tcPr>
            <w:tcW w:w="1606" w:type="dxa"/>
            <w:tcBorders>
              <w:top w:val="nil"/>
              <w:left w:val="nil"/>
              <w:right w:val="nil"/>
            </w:tcBorders>
            <w:shd w:val="clear" w:color="000000" w:fill="FFFFFF"/>
            <w:noWrap/>
            <w:vAlign w:val="center"/>
            <w:hideMark/>
          </w:tcPr>
          <w:p w14:paraId="2A040866" w14:textId="77777777" w:rsidR="006C7206" w:rsidRPr="00D618B7" w:rsidRDefault="006C7206" w:rsidP="004B11B7">
            <w:pPr>
              <w:jc w:val="right"/>
              <w:rPr>
                <w:color w:val="000000"/>
                <w:sz w:val="20"/>
                <w:szCs w:val="20"/>
              </w:rPr>
            </w:pPr>
            <w:r w:rsidRPr="00D618B7">
              <w:rPr>
                <w:color w:val="000000"/>
                <w:sz w:val="20"/>
                <w:szCs w:val="20"/>
              </w:rPr>
              <w:t>43.32</w:t>
            </w:r>
          </w:p>
        </w:tc>
        <w:tc>
          <w:tcPr>
            <w:tcW w:w="1120" w:type="dxa"/>
            <w:tcBorders>
              <w:top w:val="nil"/>
              <w:left w:val="nil"/>
              <w:right w:val="nil"/>
            </w:tcBorders>
            <w:shd w:val="clear" w:color="000000" w:fill="FFFFFF"/>
            <w:noWrap/>
            <w:vAlign w:val="center"/>
            <w:hideMark/>
          </w:tcPr>
          <w:p w14:paraId="77C2F576" w14:textId="77777777" w:rsidR="006C7206" w:rsidRPr="00D618B7" w:rsidRDefault="006C7206" w:rsidP="004B11B7">
            <w:pPr>
              <w:jc w:val="right"/>
              <w:rPr>
                <w:color w:val="000000"/>
                <w:sz w:val="20"/>
                <w:szCs w:val="20"/>
              </w:rPr>
            </w:pPr>
            <w:r w:rsidRPr="00D618B7">
              <w:rPr>
                <w:color w:val="000000"/>
                <w:sz w:val="20"/>
                <w:szCs w:val="20"/>
              </w:rPr>
              <w:t>395.54</w:t>
            </w:r>
          </w:p>
        </w:tc>
      </w:tr>
      <w:tr w:rsidR="004C396F" w:rsidRPr="00D618B7" w14:paraId="07E0EE45" w14:textId="77777777" w:rsidTr="004C396F">
        <w:trPr>
          <w:trHeight w:val="201"/>
        </w:trPr>
        <w:tc>
          <w:tcPr>
            <w:tcW w:w="1329" w:type="dxa"/>
            <w:tcBorders>
              <w:top w:val="nil"/>
              <w:left w:val="nil"/>
              <w:bottom w:val="single" w:sz="18" w:space="0" w:color="auto"/>
              <w:right w:val="nil"/>
            </w:tcBorders>
            <w:shd w:val="clear" w:color="000000" w:fill="FFFFFF"/>
            <w:vAlign w:val="center"/>
            <w:hideMark/>
          </w:tcPr>
          <w:p w14:paraId="4433DEF2" w14:textId="77777777" w:rsidR="006C7206" w:rsidRPr="00D618B7" w:rsidRDefault="006C7206" w:rsidP="004B11B7">
            <w:pPr>
              <w:jc w:val="right"/>
              <w:rPr>
                <w:color w:val="000000"/>
                <w:sz w:val="20"/>
                <w:szCs w:val="20"/>
              </w:rPr>
            </w:pPr>
            <w:r w:rsidRPr="00D618B7">
              <w:rPr>
                <w:color w:val="000000"/>
                <w:sz w:val="20"/>
                <w:szCs w:val="20"/>
              </w:rPr>
              <w:t>5</w:t>
            </w:r>
          </w:p>
        </w:tc>
        <w:tc>
          <w:tcPr>
            <w:tcW w:w="1026" w:type="dxa"/>
            <w:tcBorders>
              <w:top w:val="nil"/>
              <w:left w:val="nil"/>
              <w:bottom w:val="single" w:sz="18" w:space="0" w:color="auto"/>
              <w:right w:val="nil"/>
            </w:tcBorders>
            <w:shd w:val="clear" w:color="000000" w:fill="FFFFFF"/>
            <w:noWrap/>
            <w:vAlign w:val="center"/>
            <w:hideMark/>
          </w:tcPr>
          <w:p w14:paraId="14FCC016" w14:textId="77777777" w:rsidR="006C7206" w:rsidRPr="00D618B7" w:rsidRDefault="006C7206" w:rsidP="004B11B7">
            <w:pPr>
              <w:jc w:val="right"/>
              <w:rPr>
                <w:color w:val="000000"/>
                <w:sz w:val="20"/>
                <w:szCs w:val="20"/>
              </w:rPr>
            </w:pPr>
            <w:r w:rsidRPr="00D618B7">
              <w:rPr>
                <w:color w:val="000000"/>
                <w:sz w:val="20"/>
                <w:szCs w:val="20"/>
              </w:rPr>
              <w:t>-79.91</w:t>
            </w:r>
          </w:p>
        </w:tc>
        <w:tc>
          <w:tcPr>
            <w:tcW w:w="1091" w:type="dxa"/>
            <w:tcBorders>
              <w:top w:val="nil"/>
              <w:left w:val="nil"/>
              <w:bottom w:val="single" w:sz="18" w:space="0" w:color="auto"/>
              <w:right w:val="nil"/>
            </w:tcBorders>
            <w:shd w:val="clear" w:color="000000" w:fill="FFFFFF"/>
            <w:noWrap/>
            <w:vAlign w:val="center"/>
            <w:hideMark/>
          </w:tcPr>
          <w:p w14:paraId="3F61BB1F" w14:textId="77777777" w:rsidR="006C7206" w:rsidRPr="00D618B7" w:rsidRDefault="006C7206" w:rsidP="004B11B7">
            <w:pPr>
              <w:jc w:val="right"/>
              <w:rPr>
                <w:color w:val="000000"/>
                <w:sz w:val="20"/>
                <w:szCs w:val="20"/>
              </w:rPr>
            </w:pPr>
            <w:r w:rsidRPr="00D618B7">
              <w:rPr>
                <w:color w:val="000000"/>
                <w:sz w:val="20"/>
                <w:szCs w:val="20"/>
              </w:rPr>
              <w:t>450.72</w:t>
            </w:r>
          </w:p>
        </w:tc>
        <w:tc>
          <w:tcPr>
            <w:tcW w:w="1550" w:type="dxa"/>
            <w:tcBorders>
              <w:top w:val="nil"/>
              <w:left w:val="nil"/>
              <w:bottom w:val="single" w:sz="18" w:space="0" w:color="auto"/>
              <w:right w:val="nil"/>
            </w:tcBorders>
            <w:shd w:val="clear" w:color="000000" w:fill="FFFFFF"/>
            <w:noWrap/>
            <w:vAlign w:val="center"/>
            <w:hideMark/>
          </w:tcPr>
          <w:p w14:paraId="235477C5" w14:textId="77777777" w:rsidR="006C7206" w:rsidRPr="00D618B7" w:rsidRDefault="006C7206" w:rsidP="004B11B7">
            <w:pPr>
              <w:jc w:val="right"/>
              <w:rPr>
                <w:color w:val="000000"/>
                <w:sz w:val="20"/>
                <w:szCs w:val="20"/>
              </w:rPr>
            </w:pPr>
            <w:r w:rsidRPr="00D618B7">
              <w:rPr>
                <w:color w:val="000000"/>
                <w:sz w:val="20"/>
                <w:szCs w:val="20"/>
              </w:rPr>
              <w:t>281.07</w:t>
            </w:r>
          </w:p>
        </w:tc>
        <w:tc>
          <w:tcPr>
            <w:tcW w:w="1080" w:type="dxa"/>
            <w:tcBorders>
              <w:top w:val="nil"/>
              <w:left w:val="nil"/>
              <w:bottom w:val="single" w:sz="18" w:space="0" w:color="auto"/>
              <w:right w:val="nil"/>
            </w:tcBorders>
            <w:shd w:val="clear" w:color="000000" w:fill="FFFFFF"/>
            <w:noWrap/>
            <w:vAlign w:val="center"/>
            <w:hideMark/>
          </w:tcPr>
          <w:p w14:paraId="7A837C6E" w14:textId="77777777" w:rsidR="006C7206" w:rsidRPr="00D618B7" w:rsidRDefault="006C7206" w:rsidP="004B11B7">
            <w:pPr>
              <w:jc w:val="right"/>
              <w:rPr>
                <w:color w:val="000000"/>
                <w:sz w:val="20"/>
                <w:szCs w:val="20"/>
              </w:rPr>
            </w:pPr>
            <w:r w:rsidRPr="00D618B7">
              <w:rPr>
                <w:color w:val="000000"/>
                <w:sz w:val="20"/>
                <w:szCs w:val="20"/>
              </w:rPr>
              <w:t>422.16</w:t>
            </w:r>
          </w:p>
        </w:tc>
        <w:tc>
          <w:tcPr>
            <w:tcW w:w="1606" w:type="dxa"/>
            <w:tcBorders>
              <w:top w:val="nil"/>
              <w:left w:val="nil"/>
              <w:bottom w:val="single" w:sz="18" w:space="0" w:color="auto"/>
              <w:right w:val="nil"/>
            </w:tcBorders>
            <w:shd w:val="clear" w:color="000000" w:fill="FFFFFF"/>
            <w:noWrap/>
            <w:vAlign w:val="center"/>
            <w:hideMark/>
          </w:tcPr>
          <w:p w14:paraId="21498D30" w14:textId="77777777" w:rsidR="006C7206" w:rsidRPr="00D618B7" w:rsidRDefault="006C7206" w:rsidP="004B11B7">
            <w:pPr>
              <w:jc w:val="right"/>
              <w:rPr>
                <w:color w:val="000000"/>
                <w:sz w:val="20"/>
                <w:szCs w:val="20"/>
              </w:rPr>
            </w:pPr>
            <w:r w:rsidRPr="00D618B7">
              <w:rPr>
                <w:color w:val="000000"/>
                <w:sz w:val="20"/>
                <w:szCs w:val="20"/>
              </w:rPr>
              <w:t>-224.14</w:t>
            </w:r>
          </w:p>
        </w:tc>
        <w:tc>
          <w:tcPr>
            <w:tcW w:w="1120" w:type="dxa"/>
            <w:tcBorders>
              <w:top w:val="nil"/>
              <w:left w:val="nil"/>
              <w:bottom w:val="single" w:sz="18" w:space="0" w:color="auto"/>
              <w:right w:val="nil"/>
            </w:tcBorders>
            <w:shd w:val="clear" w:color="000000" w:fill="FFFFFF"/>
            <w:noWrap/>
            <w:vAlign w:val="center"/>
            <w:hideMark/>
          </w:tcPr>
          <w:p w14:paraId="1DBA1C6B" w14:textId="77777777" w:rsidR="006C7206" w:rsidRPr="00D618B7" w:rsidRDefault="006C7206" w:rsidP="004B11B7">
            <w:pPr>
              <w:jc w:val="right"/>
              <w:rPr>
                <w:color w:val="000000"/>
                <w:sz w:val="20"/>
                <w:szCs w:val="20"/>
              </w:rPr>
            </w:pPr>
            <w:r w:rsidRPr="00D618B7">
              <w:rPr>
                <w:color w:val="000000"/>
                <w:sz w:val="20"/>
                <w:szCs w:val="20"/>
              </w:rPr>
              <w:t>430.09</w:t>
            </w:r>
          </w:p>
        </w:tc>
      </w:tr>
    </w:tbl>
    <w:p w14:paraId="5B2185C9" w14:textId="77777777" w:rsidR="006C7206" w:rsidRPr="00D618B7" w:rsidRDefault="006C7206" w:rsidP="006C7206">
      <w:pPr>
        <w:rPr>
          <w:i/>
          <w:iCs/>
        </w:rPr>
      </w:pPr>
    </w:p>
    <w:p w14:paraId="30165D1E" w14:textId="6C321068" w:rsidR="0072245D" w:rsidRPr="00D618B7" w:rsidRDefault="006C7206" w:rsidP="006C7206">
      <w:r w:rsidRPr="00D618B7">
        <w:rPr>
          <w:i/>
          <w:iCs/>
        </w:rPr>
        <w:t>Note</w:t>
      </w:r>
      <w:r w:rsidRPr="00D618B7">
        <w:t>: This table lists the estimated mean average duration and standard error in milliseconds for face, hand, and mouth events for toy-out-of-reach, toy-moving-into-reach, and toy-in-reach for each week of observation around reach-onset.</w:t>
      </w:r>
    </w:p>
    <w:p w14:paraId="57AC440A" w14:textId="77777777" w:rsidR="0072245D" w:rsidRPr="00D618B7" w:rsidRDefault="0072245D">
      <w:r w:rsidRPr="00D618B7">
        <w:br w:type="page"/>
      </w:r>
    </w:p>
    <w:p w14:paraId="7C26F1EE" w14:textId="77777777" w:rsidR="0072245D" w:rsidRPr="00D618B7" w:rsidRDefault="0072245D" w:rsidP="0072245D">
      <w:r w:rsidRPr="00D618B7">
        <w:rPr>
          <w:noProof/>
        </w:rPr>
        <w:lastRenderedPageBreak/>
        <w:drawing>
          <wp:inline distT="0" distB="0" distL="0" distR="0" wp14:anchorId="3D9911A1" wp14:editId="71E503B3">
            <wp:extent cx="5645426" cy="4657725"/>
            <wp:effectExtent l="0" t="0" r="0" b="0"/>
            <wp:docPr id="470998276" name="Chart 1">
              <a:extLst xmlns:a="http://schemas.openxmlformats.org/drawingml/2006/main">
                <a:ext uri="{FF2B5EF4-FFF2-40B4-BE49-F238E27FC236}">
                  <a16:creationId xmlns:a16="http://schemas.microsoft.com/office/drawing/2014/main" id="{83E6FA9A-7F59-49CB-B857-F3D6C11C90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4DAB28C" w14:textId="77777777" w:rsidR="000118CE" w:rsidRPr="00D618B7" w:rsidRDefault="000118CE" w:rsidP="007C5074">
      <w:pPr>
        <w:pStyle w:val="Caption"/>
        <w:rPr>
          <w:rFonts w:eastAsia="Aptos"/>
          <w:kern w:val="2"/>
          <w:sz w:val="22"/>
          <w:szCs w:val="22"/>
        </w:rPr>
      </w:pPr>
      <w:bookmarkStart w:id="165" w:name="_Toc172716953"/>
      <w:r w:rsidRPr="00D618B7">
        <w:t xml:space="preserve">Figure </w:t>
      </w:r>
      <w:r>
        <w:fldChar w:fldCharType="begin"/>
      </w:r>
      <w:r>
        <w:instrText xml:space="preserve"> SEQ Figure \* ARABIC </w:instrText>
      </w:r>
      <w:r>
        <w:fldChar w:fldCharType="separate"/>
      </w:r>
      <w:r>
        <w:rPr>
          <w:noProof/>
        </w:rPr>
        <w:t>13</w:t>
      </w:r>
      <w:r>
        <w:rPr>
          <w:noProof/>
        </w:rPr>
        <w:fldChar w:fldCharType="end"/>
      </w:r>
      <w:r w:rsidRPr="00D618B7">
        <w:t>: Event average duration by week and type</w:t>
      </w:r>
      <w:bookmarkEnd w:id="165"/>
    </w:p>
    <w:p w14:paraId="350094E1" w14:textId="77777777" w:rsidR="000118CE" w:rsidRPr="00D618B7" w:rsidRDefault="000118CE" w:rsidP="000118CE">
      <w:r w:rsidRPr="00D618B7">
        <w:t>Estimated Mean Average Durations of Events by Type and Week</w:t>
      </w:r>
    </w:p>
    <w:p w14:paraId="7D1C3137" w14:textId="1937DB32" w:rsidR="0072245D" w:rsidRPr="00D618B7" w:rsidRDefault="0072245D" w:rsidP="0072245D">
      <w:r w:rsidRPr="00D618B7">
        <w:rPr>
          <w:i/>
          <w:iCs/>
        </w:rPr>
        <w:t>Note</w:t>
      </w:r>
      <w:r w:rsidRPr="00D618B7">
        <w:t>. This figure illustrates the estimated mean average duration in milliseconds of face, hand, and mouth events for each week of observation around reach-onset. Error bars show standard error.</w:t>
      </w:r>
    </w:p>
    <w:p w14:paraId="54AF8299" w14:textId="3C223AEF" w:rsidR="006000FB" w:rsidRPr="00D618B7" w:rsidRDefault="006000FB">
      <w:r w:rsidRPr="00D618B7">
        <w:br w:type="page"/>
      </w:r>
    </w:p>
    <w:p w14:paraId="477E24C1" w14:textId="5F18D758" w:rsidR="006000FB" w:rsidRPr="00D618B7" w:rsidRDefault="00447989" w:rsidP="006000FB">
      <w:r w:rsidRPr="00D618B7">
        <w:rPr>
          <w:noProof/>
        </w:rPr>
        <w:lastRenderedPageBreak/>
        <mc:AlternateContent>
          <mc:Choice Requires="wpg">
            <w:drawing>
              <wp:anchor distT="0" distB="0" distL="114300" distR="114300" simplePos="0" relativeHeight="252033536" behindDoc="0" locked="0" layoutInCell="1" allowOverlap="1" wp14:anchorId="048AD2E6" wp14:editId="2CFAA172">
                <wp:simplePos x="0" y="0"/>
                <wp:positionH relativeFrom="column">
                  <wp:posOffset>605790</wp:posOffset>
                </wp:positionH>
                <wp:positionV relativeFrom="paragraph">
                  <wp:posOffset>52705</wp:posOffset>
                </wp:positionV>
                <wp:extent cx="4438650" cy="6241415"/>
                <wp:effectExtent l="0" t="0" r="0" b="6985"/>
                <wp:wrapTopAndBottom/>
                <wp:docPr id="1291405016" name="Group 7"/>
                <wp:cNvGraphicFramePr/>
                <a:graphic xmlns:a="http://schemas.openxmlformats.org/drawingml/2006/main">
                  <a:graphicData uri="http://schemas.microsoft.com/office/word/2010/wordprocessingGroup">
                    <wpg:wgp>
                      <wpg:cNvGrpSpPr/>
                      <wpg:grpSpPr>
                        <a:xfrm>
                          <a:off x="0" y="0"/>
                          <a:ext cx="4438650" cy="6241415"/>
                          <a:chOff x="0" y="0"/>
                          <a:chExt cx="4382770" cy="6706870"/>
                        </a:xfrm>
                      </wpg:grpSpPr>
                      <pic:pic xmlns:pic="http://schemas.openxmlformats.org/drawingml/2006/picture">
                        <pic:nvPicPr>
                          <pic:cNvPr id="875792696" name="Picture 1" descr="A diagram of a clock&#10;&#10;Description automatically generated with medium confidence"/>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382770" cy="6706870"/>
                          </a:xfrm>
                          <a:prstGeom prst="rect">
                            <a:avLst/>
                          </a:prstGeom>
                        </pic:spPr>
                      </pic:pic>
                      <wps:wsp>
                        <wps:cNvPr id="1558541989" name="Rectangle 6"/>
                        <wps:cNvSpPr/>
                        <wps:spPr>
                          <a:xfrm>
                            <a:off x="257175" y="247650"/>
                            <a:ext cx="933450" cy="3238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7F72F1" id="Group 7" o:spid="_x0000_s1026" style="position:absolute;margin-left:47.7pt;margin-top:4.15pt;width:349.5pt;height:491.45pt;z-index:252033536;mso-width-relative:margin;mso-height-relative:margin" coordsize="43827,67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">
                <v:shape id="Picture 1" o:spid="_x0000_s1027" type="#_x0000_t75" alt="A diagram of a clock&#10;&#10;Description automatically generated with medium confidence" style="position:absolute;width:43827;height:67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">
                  <v:imagedata r:id="rId32" o:title="A diagram of a clock&#10;&#10;Description automatically generated with medium confidence"/>
                </v:shape>
                <v:rect id="Rectangle 6" o:spid="_x0000_s1028" style="position:absolute;left:2571;top:2476;width:9335;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" fillcolor="white [3212]" strokecolor="white [3212]" strokeweight="2pt"/>
                <w10:wrap type="topAndBottom"/>
              </v:group>
            </w:pict>
          </mc:Fallback>
        </mc:AlternateContent>
      </w:r>
    </w:p>
    <w:p w14:paraId="543B4780" w14:textId="77777777" w:rsidR="007C5074" w:rsidRDefault="007C5074" w:rsidP="006000FB">
      <w:pPr>
        <w:rPr>
          <w:i/>
          <w:iCs/>
        </w:rPr>
      </w:pPr>
    </w:p>
    <w:p w14:paraId="1FFF236B" w14:textId="77777777" w:rsidR="007C5074" w:rsidRPr="00D618B7" w:rsidRDefault="007C5074" w:rsidP="007C5074">
      <w:pPr>
        <w:pStyle w:val="Caption"/>
      </w:pPr>
      <w:bookmarkStart w:id="166" w:name="_Toc172716954"/>
      <w:r w:rsidRPr="00D618B7">
        <w:t xml:space="preserve">Figure </w:t>
      </w:r>
      <w:r>
        <w:fldChar w:fldCharType="begin"/>
      </w:r>
      <w:r>
        <w:instrText xml:space="preserve"> SEQ Figure \* ARABIC </w:instrText>
      </w:r>
      <w:r>
        <w:fldChar w:fldCharType="separate"/>
      </w:r>
      <w:r>
        <w:rPr>
          <w:noProof/>
        </w:rPr>
        <w:t>14</w:t>
      </w:r>
      <w:r>
        <w:rPr>
          <w:noProof/>
        </w:rPr>
        <w:fldChar w:fldCharType="end"/>
      </w:r>
      <w:r w:rsidRPr="00D618B7">
        <w:t>: Event average duration by week, proximity, and type</w:t>
      </w:r>
      <w:bookmarkEnd w:id="166"/>
    </w:p>
    <w:p w14:paraId="153EA9A7" w14:textId="4FE9C831" w:rsidR="007C5074" w:rsidRDefault="007C5074" w:rsidP="006000FB">
      <w:pPr>
        <w:rPr>
          <w:i/>
          <w:iCs/>
        </w:rPr>
      </w:pPr>
      <w:r w:rsidRPr="00D618B7">
        <w:t>Estimated Mean Average Duration of Event by Type, Proximity, and</w:t>
      </w:r>
      <w:r>
        <w:t xml:space="preserve"> Week.</w:t>
      </w:r>
    </w:p>
    <w:p w14:paraId="6C2D73BA" w14:textId="58E4FB99" w:rsidR="006C7206" w:rsidRPr="00D618B7" w:rsidRDefault="006000FB" w:rsidP="006C7206">
      <w:r w:rsidRPr="00D618B7">
        <w:rPr>
          <w:i/>
          <w:iCs/>
        </w:rPr>
        <w:t>Note</w:t>
      </w:r>
      <w:r w:rsidRPr="00D618B7">
        <w:t>. This figure illustrates the estimated mean average duration in milliseconds of face, hand, and mouth events for toy-out-of-reach, toy-moving-into-reach, and toy-in-reach for each week of observation around reach-onset.</w:t>
      </w:r>
    </w:p>
    <w:p w14:paraId="11974191" w14:textId="77777777" w:rsidR="00CB4778" w:rsidRPr="00D618B7" w:rsidRDefault="00CB4778" w:rsidP="00CB4778">
      <w:r w:rsidRPr="00D618B7">
        <w:rPr>
          <w:noProof/>
        </w:rPr>
        <w:lastRenderedPageBreak/>
        <w:drawing>
          <wp:inline distT="0" distB="0" distL="0" distR="0" wp14:anchorId="3A9762E5" wp14:editId="5CB9CDA5">
            <wp:extent cx="5943600" cy="3638550"/>
            <wp:effectExtent l="0" t="0" r="0" b="0"/>
            <wp:docPr id="1674688292" name="Chart 1">
              <a:extLst xmlns:a="http://schemas.openxmlformats.org/drawingml/2006/main">
                <a:ext uri="{FF2B5EF4-FFF2-40B4-BE49-F238E27FC236}">
                  <a16:creationId xmlns:a16="http://schemas.microsoft.com/office/drawing/2014/main" id="{A8661253-0A21-4EB7-A98E-90C9082C5E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4DB1D9C" w14:textId="77777777" w:rsidR="007C5074" w:rsidRDefault="007C5074" w:rsidP="00CB4778">
      <w:pPr>
        <w:rPr>
          <w:i/>
          <w:iCs/>
        </w:rPr>
      </w:pPr>
    </w:p>
    <w:p w14:paraId="41DF5A8F" w14:textId="77777777" w:rsidR="007C5074" w:rsidRPr="00D618B7" w:rsidRDefault="007C5074" w:rsidP="007C5074">
      <w:pPr>
        <w:pStyle w:val="Caption"/>
      </w:pPr>
      <w:bookmarkStart w:id="167" w:name="_Toc172716955"/>
      <w:r w:rsidRPr="00D618B7">
        <w:t xml:space="preserve">Figure </w:t>
      </w:r>
      <w:r>
        <w:fldChar w:fldCharType="begin"/>
      </w:r>
      <w:r>
        <w:instrText xml:space="preserve"> SEQ Figure \* ARABIC </w:instrText>
      </w:r>
      <w:r>
        <w:fldChar w:fldCharType="separate"/>
      </w:r>
      <w:r>
        <w:rPr>
          <w:noProof/>
        </w:rPr>
        <w:t>15</w:t>
      </w:r>
      <w:r>
        <w:rPr>
          <w:noProof/>
        </w:rPr>
        <w:fldChar w:fldCharType="end"/>
      </w:r>
      <w:r w:rsidRPr="00D618B7">
        <w:t>: Reach proportion and latency</w:t>
      </w:r>
      <w:bookmarkEnd w:id="167"/>
    </w:p>
    <w:p w14:paraId="30A20421" w14:textId="77777777" w:rsidR="007C5074" w:rsidRPr="00D618B7" w:rsidRDefault="007C5074" w:rsidP="007C5074">
      <w:r w:rsidRPr="00D618B7">
        <w:t>Estimated Proportion of reach overlayed with Latency to Reach by Week</w:t>
      </w:r>
    </w:p>
    <w:p w14:paraId="72BB0621" w14:textId="450BE694" w:rsidR="00CB4778" w:rsidRPr="00D618B7" w:rsidRDefault="00CB4778" w:rsidP="00CB4778">
      <w:r w:rsidRPr="00D618B7">
        <w:rPr>
          <w:i/>
          <w:iCs/>
        </w:rPr>
        <w:t>Note</w:t>
      </w:r>
      <w:r w:rsidRPr="00D618B7">
        <w:t>. This figure illustrates the estimated proportion of reach and latency to reach in milliseconds for each week following reach-onset. Bars show the proportion of reach. Error bars show the standard error of proportion. The line shows the latency to reach.</w:t>
      </w:r>
    </w:p>
    <w:p w14:paraId="0BE71182" w14:textId="77777777" w:rsidR="00CB4778" w:rsidRPr="00D618B7" w:rsidRDefault="00CB4778" w:rsidP="00CB4778">
      <w:r w:rsidRPr="00D618B7">
        <w:br w:type="page"/>
      </w:r>
    </w:p>
    <w:p w14:paraId="1E79269C" w14:textId="4BF86FF7" w:rsidR="00CB4778" w:rsidRPr="00D618B7" w:rsidRDefault="00CB4778" w:rsidP="007C5074">
      <w:pPr>
        <w:pStyle w:val="Caption"/>
      </w:pPr>
      <w:bookmarkStart w:id="168" w:name="_Toc172716862"/>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34</w:t>
      </w:r>
      <w:r w:rsidR="00000000">
        <w:rPr>
          <w:noProof/>
        </w:rPr>
        <w:fldChar w:fldCharType="end"/>
      </w:r>
      <w:r w:rsidR="009172A2" w:rsidRPr="00D618B7">
        <w:t>:</w:t>
      </w:r>
      <w:r w:rsidRPr="00D618B7">
        <w:t xml:space="preserve"> </w:t>
      </w:r>
      <w:r w:rsidR="00353820">
        <w:t>Reach proportion</w:t>
      </w:r>
      <w:bookmarkEnd w:id="168"/>
      <w:r w:rsidRPr="00D618B7">
        <w:t xml:space="preserve"> </w:t>
      </w:r>
    </w:p>
    <w:p w14:paraId="28CAF03C" w14:textId="0492EF9D" w:rsidR="00CB4778" w:rsidRPr="00D618B7" w:rsidRDefault="00CB4778" w:rsidP="00CB4778">
      <w:r w:rsidRPr="00D618B7">
        <w:t xml:space="preserve">Estimated Proportion of Reaches </w:t>
      </w:r>
      <w:r w:rsidR="00353820">
        <w:t>per</w:t>
      </w:r>
      <w:r w:rsidRPr="00D618B7">
        <w:t xml:space="preserve"> Week Following Reach-onset.</w:t>
      </w:r>
    </w:p>
    <w:tbl>
      <w:tblPr>
        <w:tblW w:w="5000" w:type="pct"/>
        <w:tblLook w:val="04A0" w:firstRow="1" w:lastRow="0" w:firstColumn="1" w:lastColumn="0" w:noHBand="0" w:noVBand="1"/>
      </w:tblPr>
      <w:tblGrid>
        <w:gridCol w:w="2584"/>
        <w:gridCol w:w="3303"/>
        <w:gridCol w:w="2753"/>
      </w:tblGrid>
      <w:tr w:rsidR="00CB4778" w:rsidRPr="00D618B7" w14:paraId="54D26317" w14:textId="77777777" w:rsidTr="004B11B7">
        <w:trPr>
          <w:trHeight w:val="411"/>
        </w:trPr>
        <w:tc>
          <w:tcPr>
            <w:tcW w:w="1495" w:type="pct"/>
            <w:tcBorders>
              <w:top w:val="single" w:sz="4" w:space="0" w:color="auto"/>
              <w:left w:val="nil"/>
              <w:right w:val="nil"/>
            </w:tcBorders>
            <w:shd w:val="clear" w:color="000000" w:fill="FFFFFF"/>
            <w:noWrap/>
            <w:vAlign w:val="bottom"/>
            <w:hideMark/>
          </w:tcPr>
          <w:p w14:paraId="0C6F052B" w14:textId="77777777" w:rsidR="00CB4778" w:rsidRPr="00D618B7" w:rsidRDefault="00CB4778" w:rsidP="004B11B7">
            <w:pPr>
              <w:jc w:val="center"/>
              <w:rPr>
                <w:color w:val="000000"/>
              </w:rPr>
            </w:pPr>
            <w:r w:rsidRPr="00D618B7">
              <w:rPr>
                <w:color w:val="000000"/>
              </w:rPr>
              <w:t>Week</w:t>
            </w:r>
          </w:p>
        </w:tc>
        <w:tc>
          <w:tcPr>
            <w:tcW w:w="1911" w:type="pct"/>
            <w:tcBorders>
              <w:top w:val="single" w:sz="4" w:space="0" w:color="auto"/>
              <w:left w:val="nil"/>
              <w:bottom w:val="single" w:sz="4" w:space="0" w:color="auto"/>
              <w:right w:val="nil"/>
            </w:tcBorders>
            <w:shd w:val="clear" w:color="000000" w:fill="FFFFFF"/>
            <w:noWrap/>
            <w:vAlign w:val="center"/>
            <w:hideMark/>
          </w:tcPr>
          <w:p w14:paraId="1A25EE28" w14:textId="77777777" w:rsidR="00CB4778" w:rsidRPr="00D618B7" w:rsidRDefault="00CB4778" w:rsidP="004B11B7">
            <w:pPr>
              <w:jc w:val="right"/>
              <w:rPr>
                <w:color w:val="000000"/>
              </w:rPr>
            </w:pPr>
            <w:r w:rsidRPr="00D618B7">
              <w:rPr>
                <w:color w:val="000000"/>
              </w:rPr>
              <w:t>Mean</w:t>
            </w:r>
          </w:p>
        </w:tc>
        <w:tc>
          <w:tcPr>
            <w:tcW w:w="1593" w:type="pct"/>
            <w:tcBorders>
              <w:top w:val="single" w:sz="4" w:space="0" w:color="auto"/>
              <w:left w:val="nil"/>
              <w:bottom w:val="single" w:sz="4" w:space="0" w:color="auto"/>
              <w:right w:val="nil"/>
            </w:tcBorders>
            <w:shd w:val="clear" w:color="000000" w:fill="FFFFFF"/>
            <w:noWrap/>
            <w:vAlign w:val="center"/>
            <w:hideMark/>
          </w:tcPr>
          <w:p w14:paraId="3C2E3C77" w14:textId="77777777" w:rsidR="00CB4778" w:rsidRPr="00D618B7" w:rsidRDefault="00CB4778" w:rsidP="004B11B7">
            <w:pPr>
              <w:jc w:val="right"/>
              <w:rPr>
                <w:color w:val="000000"/>
              </w:rPr>
            </w:pPr>
            <w:r w:rsidRPr="00D618B7">
              <w:rPr>
                <w:color w:val="000000"/>
              </w:rPr>
              <w:t>Std. Error</w:t>
            </w:r>
          </w:p>
        </w:tc>
      </w:tr>
      <w:tr w:rsidR="00CB4778" w:rsidRPr="00D618B7" w14:paraId="61E1D050" w14:textId="77777777" w:rsidTr="004B11B7">
        <w:trPr>
          <w:trHeight w:val="391"/>
        </w:trPr>
        <w:tc>
          <w:tcPr>
            <w:tcW w:w="1495" w:type="pct"/>
            <w:tcBorders>
              <w:left w:val="nil"/>
              <w:bottom w:val="nil"/>
              <w:right w:val="nil"/>
            </w:tcBorders>
            <w:shd w:val="clear" w:color="000000" w:fill="FFFFFF"/>
            <w:vAlign w:val="center"/>
            <w:hideMark/>
          </w:tcPr>
          <w:p w14:paraId="26305C99" w14:textId="77777777" w:rsidR="00CB4778" w:rsidRPr="00D618B7" w:rsidRDefault="00CB4778" w:rsidP="004B11B7">
            <w:pPr>
              <w:jc w:val="center"/>
              <w:rPr>
                <w:color w:val="000000"/>
              </w:rPr>
            </w:pPr>
            <w:r w:rsidRPr="00D618B7">
              <w:rPr>
                <w:color w:val="000000"/>
              </w:rPr>
              <w:t>0</w:t>
            </w:r>
          </w:p>
        </w:tc>
        <w:tc>
          <w:tcPr>
            <w:tcW w:w="1911" w:type="pct"/>
            <w:tcBorders>
              <w:top w:val="single" w:sz="4" w:space="0" w:color="auto"/>
              <w:left w:val="nil"/>
              <w:bottom w:val="nil"/>
              <w:right w:val="nil"/>
            </w:tcBorders>
            <w:shd w:val="clear" w:color="000000" w:fill="FFFFFF"/>
            <w:noWrap/>
            <w:vAlign w:val="bottom"/>
            <w:hideMark/>
          </w:tcPr>
          <w:p w14:paraId="285D1AFF" w14:textId="77777777" w:rsidR="00CB4778" w:rsidRPr="00D618B7" w:rsidRDefault="00CB4778" w:rsidP="004B11B7">
            <w:pPr>
              <w:jc w:val="right"/>
              <w:rPr>
                <w:color w:val="000000"/>
              </w:rPr>
            </w:pPr>
            <w:r w:rsidRPr="00D618B7">
              <w:rPr>
                <w:color w:val="000000"/>
              </w:rPr>
              <w:t>66.91</w:t>
            </w:r>
          </w:p>
        </w:tc>
        <w:tc>
          <w:tcPr>
            <w:tcW w:w="1593" w:type="pct"/>
            <w:tcBorders>
              <w:top w:val="single" w:sz="4" w:space="0" w:color="auto"/>
              <w:left w:val="nil"/>
              <w:bottom w:val="nil"/>
              <w:right w:val="nil"/>
            </w:tcBorders>
            <w:shd w:val="clear" w:color="000000" w:fill="FFFFFF"/>
            <w:noWrap/>
            <w:vAlign w:val="bottom"/>
            <w:hideMark/>
          </w:tcPr>
          <w:p w14:paraId="16E17212" w14:textId="77777777" w:rsidR="00CB4778" w:rsidRPr="00D618B7" w:rsidRDefault="00CB4778" w:rsidP="004B11B7">
            <w:pPr>
              <w:jc w:val="right"/>
              <w:rPr>
                <w:color w:val="000000"/>
              </w:rPr>
            </w:pPr>
            <w:r w:rsidRPr="00D618B7">
              <w:rPr>
                <w:color w:val="000000"/>
              </w:rPr>
              <w:t>9.95</w:t>
            </w:r>
          </w:p>
        </w:tc>
      </w:tr>
      <w:tr w:rsidR="00CB4778" w:rsidRPr="00D618B7" w14:paraId="61641B70" w14:textId="77777777" w:rsidTr="004B11B7">
        <w:trPr>
          <w:trHeight w:val="391"/>
        </w:trPr>
        <w:tc>
          <w:tcPr>
            <w:tcW w:w="1495" w:type="pct"/>
            <w:tcBorders>
              <w:top w:val="nil"/>
              <w:left w:val="nil"/>
              <w:bottom w:val="nil"/>
              <w:right w:val="nil"/>
            </w:tcBorders>
            <w:shd w:val="clear" w:color="000000" w:fill="FFFFFF"/>
            <w:vAlign w:val="center"/>
            <w:hideMark/>
          </w:tcPr>
          <w:p w14:paraId="2F017A9C" w14:textId="77777777" w:rsidR="00CB4778" w:rsidRPr="00D618B7" w:rsidRDefault="00CB4778" w:rsidP="004B11B7">
            <w:pPr>
              <w:jc w:val="center"/>
              <w:rPr>
                <w:color w:val="000000"/>
              </w:rPr>
            </w:pPr>
            <w:r w:rsidRPr="00D618B7">
              <w:rPr>
                <w:color w:val="000000"/>
              </w:rPr>
              <w:t>1</w:t>
            </w:r>
          </w:p>
        </w:tc>
        <w:tc>
          <w:tcPr>
            <w:tcW w:w="1911" w:type="pct"/>
            <w:tcBorders>
              <w:top w:val="nil"/>
              <w:left w:val="nil"/>
              <w:bottom w:val="nil"/>
              <w:right w:val="nil"/>
            </w:tcBorders>
            <w:shd w:val="clear" w:color="000000" w:fill="FFFFFF"/>
            <w:noWrap/>
            <w:vAlign w:val="bottom"/>
            <w:hideMark/>
          </w:tcPr>
          <w:p w14:paraId="66C97B93" w14:textId="77777777" w:rsidR="00CB4778" w:rsidRPr="00D618B7" w:rsidRDefault="00CB4778" w:rsidP="004B11B7">
            <w:pPr>
              <w:jc w:val="right"/>
              <w:rPr>
                <w:color w:val="000000"/>
              </w:rPr>
            </w:pPr>
            <w:r w:rsidRPr="00D618B7">
              <w:rPr>
                <w:color w:val="000000"/>
              </w:rPr>
              <w:t>84.11</w:t>
            </w:r>
          </w:p>
        </w:tc>
        <w:tc>
          <w:tcPr>
            <w:tcW w:w="1593" w:type="pct"/>
            <w:tcBorders>
              <w:top w:val="nil"/>
              <w:left w:val="nil"/>
              <w:bottom w:val="nil"/>
              <w:right w:val="nil"/>
            </w:tcBorders>
            <w:shd w:val="clear" w:color="000000" w:fill="FFFFFF"/>
            <w:noWrap/>
            <w:vAlign w:val="bottom"/>
            <w:hideMark/>
          </w:tcPr>
          <w:p w14:paraId="5A96AC7D" w14:textId="77777777" w:rsidR="00CB4778" w:rsidRPr="00D618B7" w:rsidRDefault="00CB4778" w:rsidP="004B11B7">
            <w:pPr>
              <w:jc w:val="right"/>
              <w:rPr>
                <w:color w:val="000000"/>
              </w:rPr>
            </w:pPr>
            <w:r w:rsidRPr="00D618B7">
              <w:rPr>
                <w:color w:val="000000"/>
              </w:rPr>
              <w:t>5.61</w:t>
            </w:r>
          </w:p>
        </w:tc>
      </w:tr>
      <w:tr w:rsidR="00CB4778" w:rsidRPr="00D618B7" w14:paraId="33698E22" w14:textId="77777777" w:rsidTr="004B11B7">
        <w:trPr>
          <w:trHeight w:val="391"/>
        </w:trPr>
        <w:tc>
          <w:tcPr>
            <w:tcW w:w="1495" w:type="pct"/>
            <w:tcBorders>
              <w:top w:val="nil"/>
              <w:left w:val="nil"/>
              <w:bottom w:val="nil"/>
              <w:right w:val="nil"/>
            </w:tcBorders>
            <w:shd w:val="clear" w:color="000000" w:fill="FFFFFF"/>
            <w:vAlign w:val="center"/>
            <w:hideMark/>
          </w:tcPr>
          <w:p w14:paraId="587D8455" w14:textId="77777777" w:rsidR="00CB4778" w:rsidRPr="00D618B7" w:rsidRDefault="00CB4778" w:rsidP="004B11B7">
            <w:pPr>
              <w:jc w:val="center"/>
              <w:rPr>
                <w:color w:val="000000"/>
              </w:rPr>
            </w:pPr>
            <w:r w:rsidRPr="00D618B7">
              <w:rPr>
                <w:color w:val="000000"/>
              </w:rPr>
              <w:t>2</w:t>
            </w:r>
          </w:p>
        </w:tc>
        <w:tc>
          <w:tcPr>
            <w:tcW w:w="1911" w:type="pct"/>
            <w:tcBorders>
              <w:top w:val="nil"/>
              <w:left w:val="nil"/>
              <w:bottom w:val="nil"/>
              <w:right w:val="nil"/>
            </w:tcBorders>
            <w:shd w:val="clear" w:color="000000" w:fill="FFFFFF"/>
            <w:noWrap/>
            <w:vAlign w:val="bottom"/>
            <w:hideMark/>
          </w:tcPr>
          <w:p w14:paraId="624A9941" w14:textId="77777777" w:rsidR="00CB4778" w:rsidRPr="00D618B7" w:rsidRDefault="00CB4778" w:rsidP="004B11B7">
            <w:pPr>
              <w:jc w:val="right"/>
              <w:rPr>
                <w:color w:val="000000"/>
              </w:rPr>
            </w:pPr>
            <w:r w:rsidRPr="00D618B7">
              <w:rPr>
                <w:color w:val="000000"/>
              </w:rPr>
              <w:t>89.16</w:t>
            </w:r>
          </w:p>
        </w:tc>
        <w:tc>
          <w:tcPr>
            <w:tcW w:w="1593" w:type="pct"/>
            <w:tcBorders>
              <w:top w:val="nil"/>
              <w:left w:val="nil"/>
              <w:bottom w:val="nil"/>
              <w:right w:val="nil"/>
            </w:tcBorders>
            <w:shd w:val="clear" w:color="000000" w:fill="FFFFFF"/>
            <w:noWrap/>
            <w:vAlign w:val="bottom"/>
            <w:hideMark/>
          </w:tcPr>
          <w:p w14:paraId="62E62D6D" w14:textId="77777777" w:rsidR="00CB4778" w:rsidRPr="00D618B7" w:rsidRDefault="00CB4778" w:rsidP="004B11B7">
            <w:pPr>
              <w:jc w:val="right"/>
              <w:rPr>
                <w:color w:val="000000"/>
              </w:rPr>
            </w:pPr>
            <w:r w:rsidRPr="00D618B7">
              <w:rPr>
                <w:color w:val="000000"/>
              </w:rPr>
              <w:t>8.41</w:t>
            </w:r>
          </w:p>
        </w:tc>
      </w:tr>
      <w:tr w:rsidR="00CB4778" w:rsidRPr="00D618B7" w14:paraId="4D24920D" w14:textId="77777777" w:rsidTr="004B11B7">
        <w:trPr>
          <w:trHeight w:val="391"/>
        </w:trPr>
        <w:tc>
          <w:tcPr>
            <w:tcW w:w="1495" w:type="pct"/>
            <w:tcBorders>
              <w:top w:val="nil"/>
              <w:left w:val="nil"/>
              <w:bottom w:val="nil"/>
              <w:right w:val="nil"/>
            </w:tcBorders>
            <w:shd w:val="clear" w:color="000000" w:fill="FFFFFF"/>
            <w:vAlign w:val="center"/>
            <w:hideMark/>
          </w:tcPr>
          <w:p w14:paraId="737E7887" w14:textId="77777777" w:rsidR="00CB4778" w:rsidRPr="00D618B7" w:rsidRDefault="00CB4778" w:rsidP="004B11B7">
            <w:pPr>
              <w:jc w:val="center"/>
              <w:rPr>
                <w:color w:val="000000"/>
              </w:rPr>
            </w:pPr>
            <w:r w:rsidRPr="00D618B7">
              <w:rPr>
                <w:color w:val="000000"/>
              </w:rPr>
              <w:t>3</w:t>
            </w:r>
          </w:p>
        </w:tc>
        <w:tc>
          <w:tcPr>
            <w:tcW w:w="1911" w:type="pct"/>
            <w:tcBorders>
              <w:top w:val="nil"/>
              <w:left w:val="nil"/>
              <w:bottom w:val="nil"/>
              <w:right w:val="nil"/>
            </w:tcBorders>
            <w:shd w:val="clear" w:color="000000" w:fill="FFFFFF"/>
            <w:noWrap/>
            <w:vAlign w:val="bottom"/>
            <w:hideMark/>
          </w:tcPr>
          <w:p w14:paraId="55E2CC80" w14:textId="77777777" w:rsidR="00CB4778" w:rsidRPr="00D618B7" w:rsidRDefault="00CB4778" w:rsidP="004B11B7">
            <w:pPr>
              <w:jc w:val="right"/>
              <w:rPr>
                <w:color w:val="000000"/>
              </w:rPr>
            </w:pPr>
            <w:r w:rsidRPr="00D618B7">
              <w:rPr>
                <w:color w:val="000000"/>
              </w:rPr>
              <w:t>93.35</w:t>
            </w:r>
          </w:p>
        </w:tc>
        <w:tc>
          <w:tcPr>
            <w:tcW w:w="1593" w:type="pct"/>
            <w:tcBorders>
              <w:top w:val="nil"/>
              <w:left w:val="nil"/>
              <w:bottom w:val="nil"/>
              <w:right w:val="nil"/>
            </w:tcBorders>
            <w:shd w:val="clear" w:color="000000" w:fill="FFFFFF"/>
            <w:noWrap/>
            <w:vAlign w:val="bottom"/>
            <w:hideMark/>
          </w:tcPr>
          <w:p w14:paraId="78CC3545" w14:textId="77777777" w:rsidR="00CB4778" w:rsidRPr="00D618B7" w:rsidRDefault="00CB4778" w:rsidP="004B11B7">
            <w:pPr>
              <w:jc w:val="right"/>
              <w:rPr>
                <w:color w:val="000000"/>
              </w:rPr>
            </w:pPr>
            <w:r w:rsidRPr="00D618B7">
              <w:rPr>
                <w:color w:val="000000"/>
              </w:rPr>
              <w:t>4.72</w:t>
            </w:r>
          </w:p>
        </w:tc>
      </w:tr>
      <w:tr w:rsidR="00CB4778" w:rsidRPr="00D618B7" w14:paraId="51728E67" w14:textId="77777777" w:rsidTr="004B11B7">
        <w:trPr>
          <w:trHeight w:val="391"/>
        </w:trPr>
        <w:tc>
          <w:tcPr>
            <w:tcW w:w="1495" w:type="pct"/>
            <w:tcBorders>
              <w:top w:val="nil"/>
              <w:left w:val="nil"/>
              <w:right w:val="nil"/>
            </w:tcBorders>
            <w:shd w:val="clear" w:color="000000" w:fill="FFFFFF"/>
            <w:vAlign w:val="center"/>
            <w:hideMark/>
          </w:tcPr>
          <w:p w14:paraId="0F03CB7A" w14:textId="77777777" w:rsidR="00CB4778" w:rsidRPr="00D618B7" w:rsidRDefault="00CB4778" w:rsidP="004B11B7">
            <w:pPr>
              <w:jc w:val="center"/>
              <w:rPr>
                <w:color w:val="000000"/>
              </w:rPr>
            </w:pPr>
            <w:r w:rsidRPr="00D618B7">
              <w:rPr>
                <w:color w:val="000000"/>
              </w:rPr>
              <w:t>4</w:t>
            </w:r>
          </w:p>
        </w:tc>
        <w:tc>
          <w:tcPr>
            <w:tcW w:w="1911" w:type="pct"/>
            <w:tcBorders>
              <w:top w:val="nil"/>
              <w:left w:val="nil"/>
              <w:right w:val="nil"/>
            </w:tcBorders>
            <w:shd w:val="clear" w:color="000000" w:fill="FFFFFF"/>
            <w:noWrap/>
            <w:vAlign w:val="bottom"/>
            <w:hideMark/>
          </w:tcPr>
          <w:p w14:paraId="1FA1B720" w14:textId="77777777" w:rsidR="00CB4778" w:rsidRPr="00D618B7" w:rsidRDefault="00CB4778" w:rsidP="004B11B7">
            <w:pPr>
              <w:jc w:val="right"/>
              <w:rPr>
                <w:color w:val="000000"/>
              </w:rPr>
            </w:pPr>
            <w:r w:rsidRPr="00D618B7">
              <w:rPr>
                <w:color w:val="000000"/>
              </w:rPr>
              <w:t>88.60</w:t>
            </w:r>
          </w:p>
        </w:tc>
        <w:tc>
          <w:tcPr>
            <w:tcW w:w="1593" w:type="pct"/>
            <w:tcBorders>
              <w:top w:val="nil"/>
              <w:left w:val="nil"/>
              <w:right w:val="nil"/>
            </w:tcBorders>
            <w:shd w:val="clear" w:color="000000" w:fill="FFFFFF"/>
            <w:noWrap/>
            <w:vAlign w:val="bottom"/>
            <w:hideMark/>
          </w:tcPr>
          <w:p w14:paraId="19FB1C1F" w14:textId="77777777" w:rsidR="00CB4778" w:rsidRPr="00D618B7" w:rsidRDefault="00CB4778" w:rsidP="004B11B7">
            <w:pPr>
              <w:jc w:val="right"/>
              <w:rPr>
                <w:color w:val="000000"/>
              </w:rPr>
            </w:pPr>
            <w:r w:rsidRPr="00D618B7">
              <w:rPr>
                <w:color w:val="000000"/>
              </w:rPr>
              <w:t>5.95</w:t>
            </w:r>
          </w:p>
        </w:tc>
      </w:tr>
      <w:tr w:rsidR="00CB4778" w:rsidRPr="00D618B7" w14:paraId="37673E9A" w14:textId="77777777" w:rsidTr="004B11B7">
        <w:trPr>
          <w:trHeight w:val="411"/>
        </w:trPr>
        <w:tc>
          <w:tcPr>
            <w:tcW w:w="1495" w:type="pct"/>
            <w:tcBorders>
              <w:top w:val="nil"/>
              <w:left w:val="nil"/>
              <w:bottom w:val="single" w:sz="4" w:space="0" w:color="auto"/>
              <w:right w:val="nil"/>
            </w:tcBorders>
            <w:shd w:val="clear" w:color="000000" w:fill="FFFFFF"/>
            <w:vAlign w:val="center"/>
            <w:hideMark/>
          </w:tcPr>
          <w:p w14:paraId="32CDE7A6" w14:textId="77777777" w:rsidR="00CB4778" w:rsidRPr="00D618B7" w:rsidRDefault="00CB4778" w:rsidP="004B11B7">
            <w:pPr>
              <w:jc w:val="center"/>
              <w:rPr>
                <w:color w:val="000000"/>
              </w:rPr>
            </w:pPr>
            <w:r w:rsidRPr="00D618B7">
              <w:rPr>
                <w:color w:val="000000"/>
              </w:rPr>
              <w:t>5</w:t>
            </w:r>
          </w:p>
        </w:tc>
        <w:tc>
          <w:tcPr>
            <w:tcW w:w="1911" w:type="pct"/>
            <w:tcBorders>
              <w:top w:val="nil"/>
              <w:left w:val="nil"/>
              <w:bottom w:val="single" w:sz="4" w:space="0" w:color="auto"/>
              <w:right w:val="nil"/>
            </w:tcBorders>
            <w:shd w:val="clear" w:color="000000" w:fill="FFFFFF"/>
            <w:noWrap/>
            <w:vAlign w:val="bottom"/>
            <w:hideMark/>
          </w:tcPr>
          <w:p w14:paraId="203CAA2B" w14:textId="77777777" w:rsidR="00CB4778" w:rsidRPr="00D618B7" w:rsidRDefault="00CB4778" w:rsidP="004B11B7">
            <w:pPr>
              <w:jc w:val="right"/>
              <w:rPr>
                <w:color w:val="000000"/>
              </w:rPr>
            </w:pPr>
            <w:r w:rsidRPr="00D618B7">
              <w:rPr>
                <w:color w:val="000000"/>
              </w:rPr>
              <w:t>90.93</w:t>
            </w:r>
          </w:p>
        </w:tc>
        <w:tc>
          <w:tcPr>
            <w:tcW w:w="1593" w:type="pct"/>
            <w:tcBorders>
              <w:top w:val="nil"/>
              <w:left w:val="nil"/>
              <w:bottom w:val="single" w:sz="4" w:space="0" w:color="auto"/>
              <w:right w:val="nil"/>
            </w:tcBorders>
            <w:shd w:val="clear" w:color="000000" w:fill="FFFFFF"/>
            <w:noWrap/>
            <w:vAlign w:val="bottom"/>
            <w:hideMark/>
          </w:tcPr>
          <w:p w14:paraId="5258E573" w14:textId="77777777" w:rsidR="00CB4778" w:rsidRPr="00D618B7" w:rsidRDefault="00CB4778" w:rsidP="004B11B7">
            <w:pPr>
              <w:jc w:val="right"/>
              <w:rPr>
                <w:color w:val="000000"/>
              </w:rPr>
            </w:pPr>
            <w:r w:rsidRPr="00D618B7">
              <w:rPr>
                <w:color w:val="000000"/>
              </w:rPr>
              <w:t>5.57</w:t>
            </w:r>
          </w:p>
        </w:tc>
      </w:tr>
    </w:tbl>
    <w:p w14:paraId="0ED95AE9" w14:textId="77777777" w:rsidR="00CB4778" w:rsidRPr="00D618B7" w:rsidRDefault="00CB4778" w:rsidP="00CB4778"/>
    <w:p w14:paraId="438162A1" w14:textId="2ABDF909" w:rsidR="00CB4778" w:rsidRPr="00D618B7" w:rsidRDefault="00CB4778" w:rsidP="00CB4778">
      <w:r w:rsidRPr="00D618B7">
        <w:rPr>
          <w:i/>
          <w:iCs/>
        </w:rPr>
        <w:t>Note</w:t>
      </w:r>
      <w:r w:rsidRPr="00D618B7">
        <w:t xml:space="preserve">: This table lists the estimated mean proportion and standard error of reaches completed </w:t>
      </w:r>
      <w:r w:rsidR="00353820">
        <w:t>each</w:t>
      </w:r>
      <w:r w:rsidRPr="00D618B7">
        <w:t xml:space="preserve"> week following reach onset.</w:t>
      </w:r>
    </w:p>
    <w:p w14:paraId="4AE7B949" w14:textId="77777777" w:rsidR="00CB4778" w:rsidRPr="00D618B7" w:rsidRDefault="00CB4778" w:rsidP="007C5074">
      <w:pPr>
        <w:pStyle w:val="Caption"/>
        <w:rPr>
          <w:rFonts w:eastAsia="Aptos"/>
        </w:rPr>
      </w:pPr>
    </w:p>
    <w:p w14:paraId="65825B1E" w14:textId="77777777" w:rsidR="00CB4778" w:rsidRPr="00D618B7" w:rsidRDefault="00CB4778" w:rsidP="007C5074">
      <w:pPr>
        <w:pStyle w:val="Caption"/>
        <w:rPr>
          <w:rFonts w:eastAsia="Aptos"/>
        </w:rPr>
      </w:pPr>
    </w:p>
    <w:p w14:paraId="1048CEFE" w14:textId="09DC2929" w:rsidR="00CB4778" w:rsidRPr="00D618B7" w:rsidRDefault="00CB4778" w:rsidP="007C5074">
      <w:pPr>
        <w:pStyle w:val="Caption"/>
      </w:pPr>
      <w:bookmarkStart w:id="169" w:name="_Toc172716863"/>
      <w:r w:rsidRPr="00D618B7">
        <w:t xml:space="preserve">Table </w:t>
      </w:r>
      <w:r w:rsidR="00000000">
        <w:fldChar w:fldCharType="begin"/>
      </w:r>
      <w:r w:rsidR="00000000">
        <w:instrText xml:space="preserve"> SEQ Table \* ARABIC </w:instrText>
      </w:r>
      <w:r w:rsidR="00000000">
        <w:fldChar w:fldCharType="separate"/>
      </w:r>
      <w:r w:rsidR="000C6E43">
        <w:rPr>
          <w:noProof/>
        </w:rPr>
        <w:t>35</w:t>
      </w:r>
      <w:r w:rsidR="00000000">
        <w:rPr>
          <w:noProof/>
        </w:rPr>
        <w:fldChar w:fldCharType="end"/>
      </w:r>
      <w:r w:rsidR="009172A2" w:rsidRPr="00D618B7">
        <w:t>:</w:t>
      </w:r>
      <w:r w:rsidRPr="00D618B7">
        <w:t xml:space="preserve"> Reach latency</w:t>
      </w:r>
      <w:bookmarkEnd w:id="169"/>
    </w:p>
    <w:p w14:paraId="68D0C1FE" w14:textId="77777777" w:rsidR="00CB4778" w:rsidRPr="00D618B7" w:rsidRDefault="00CB4778" w:rsidP="00CB4778">
      <w:r w:rsidRPr="00D618B7">
        <w:t>Estimated Latency of Reaches by Week Following Reach-onset.</w:t>
      </w:r>
    </w:p>
    <w:tbl>
      <w:tblPr>
        <w:tblW w:w="9425" w:type="dxa"/>
        <w:tblLook w:val="04A0" w:firstRow="1" w:lastRow="0" w:firstColumn="1" w:lastColumn="0" w:noHBand="0" w:noVBand="1"/>
      </w:tblPr>
      <w:tblGrid>
        <w:gridCol w:w="2819"/>
        <w:gridCol w:w="3603"/>
        <w:gridCol w:w="3003"/>
      </w:tblGrid>
      <w:tr w:rsidR="00CB4778" w:rsidRPr="00D618B7" w14:paraId="148495D8" w14:textId="77777777" w:rsidTr="004B11B7">
        <w:trPr>
          <w:trHeight w:val="411"/>
        </w:trPr>
        <w:tc>
          <w:tcPr>
            <w:tcW w:w="2819" w:type="dxa"/>
            <w:tcBorders>
              <w:top w:val="single" w:sz="4" w:space="0" w:color="auto"/>
              <w:left w:val="nil"/>
              <w:right w:val="nil"/>
            </w:tcBorders>
            <w:shd w:val="clear" w:color="000000" w:fill="FFFFFF"/>
            <w:noWrap/>
            <w:vAlign w:val="bottom"/>
            <w:hideMark/>
          </w:tcPr>
          <w:p w14:paraId="2BAF0C82" w14:textId="77777777" w:rsidR="00CB4778" w:rsidRPr="00D618B7" w:rsidRDefault="00CB4778" w:rsidP="004B11B7">
            <w:pPr>
              <w:jc w:val="center"/>
              <w:rPr>
                <w:color w:val="000000"/>
              </w:rPr>
            </w:pPr>
            <w:r w:rsidRPr="00D618B7">
              <w:rPr>
                <w:color w:val="000000"/>
              </w:rPr>
              <w:t>Week</w:t>
            </w:r>
          </w:p>
        </w:tc>
        <w:tc>
          <w:tcPr>
            <w:tcW w:w="3603" w:type="dxa"/>
            <w:tcBorders>
              <w:top w:val="single" w:sz="4" w:space="0" w:color="auto"/>
              <w:left w:val="nil"/>
              <w:bottom w:val="single" w:sz="4" w:space="0" w:color="auto"/>
              <w:right w:val="nil"/>
            </w:tcBorders>
            <w:shd w:val="clear" w:color="000000" w:fill="FFFFFF"/>
            <w:noWrap/>
            <w:vAlign w:val="center"/>
            <w:hideMark/>
          </w:tcPr>
          <w:p w14:paraId="757FABE5" w14:textId="77777777" w:rsidR="00CB4778" w:rsidRPr="00D618B7" w:rsidRDefault="00CB4778" w:rsidP="004B11B7">
            <w:pPr>
              <w:jc w:val="right"/>
              <w:rPr>
                <w:color w:val="000000"/>
              </w:rPr>
            </w:pPr>
            <w:r w:rsidRPr="00D618B7">
              <w:rPr>
                <w:color w:val="000000"/>
              </w:rPr>
              <w:t>Mean</w:t>
            </w:r>
          </w:p>
        </w:tc>
        <w:tc>
          <w:tcPr>
            <w:tcW w:w="3003" w:type="dxa"/>
            <w:tcBorders>
              <w:top w:val="single" w:sz="4" w:space="0" w:color="auto"/>
              <w:left w:val="nil"/>
              <w:bottom w:val="single" w:sz="4" w:space="0" w:color="auto"/>
              <w:right w:val="nil"/>
            </w:tcBorders>
            <w:shd w:val="clear" w:color="000000" w:fill="FFFFFF"/>
            <w:noWrap/>
            <w:vAlign w:val="center"/>
            <w:hideMark/>
          </w:tcPr>
          <w:p w14:paraId="3DF253C6" w14:textId="77777777" w:rsidR="00CB4778" w:rsidRPr="00D618B7" w:rsidRDefault="00CB4778" w:rsidP="004B11B7">
            <w:pPr>
              <w:jc w:val="right"/>
              <w:rPr>
                <w:color w:val="000000"/>
              </w:rPr>
            </w:pPr>
            <w:r w:rsidRPr="00D618B7">
              <w:rPr>
                <w:color w:val="000000"/>
              </w:rPr>
              <w:t>Std. Error</w:t>
            </w:r>
          </w:p>
        </w:tc>
      </w:tr>
      <w:tr w:rsidR="00CB4778" w:rsidRPr="00D618B7" w14:paraId="49072F9E" w14:textId="77777777" w:rsidTr="004B11B7">
        <w:trPr>
          <w:trHeight w:val="391"/>
        </w:trPr>
        <w:tc>
          <w:tcPr>
            <w:tcW w:w="2819" w:type="dxa"/>
            <w:tcBorders>
              <w:left w:val="nil"/>
              <w:bottom w:val="nil"/>
              <w:right w:val="nil"/>
            </w:tcBorders>
            <w:shd w:val="clear" w:color="000000" w:fill="FFFFFF"/>
            <w:vAlign w:val="center"/>
            <w:hideMark/>
          </w:tcPr>
          <w:p w14:paraId="3D753AD0" w14:textId="77777777" w:rsidR="00CB4778" w:rsidRPr="00D618B7" w:rsidRDefault="00CB4778" w:rsidP="004B11B7">
            <w:pPr>
              <w:jc w:val="center"/>
              <w:rPr>
                <w:color w:val="000000"/>
              </w:rPr>
            </w:pPr>
            <w:r w:rsidRPr="00D618B7">
              <w:rPr>
                <w:color w:val="000000"/>
              </w:rPr>
              <w:t>0</w:t>
            </w:r>
          </w:p>
        </w:tc>
        <w:tc>
          <w:tcPr>
            <w:tcW w:w="3603" w:type="dxa"/>
            <w:tcBorders>
              <w:top w:val="single" w:sz="4" w:space="0" w:color="auto"/>
              <w:left w:val="nil"/>
              <w:bottom w:val="nil"/>
              <w:right w:val="nil"/>
            </w:tcBorders>
            <w:shd w:val="clear" w:color="000000" w:fill="FFFFFF"/>
            <w:noWrap/>
            <w:vAlign w:val="bottom"/>
            <w:hideMark/>
          </w:tcPr>
          <w:p w14:paraId="555E1201" w14:textId="77777777" w:rsidR="00CB4778" w:rsidRPr="00D618B7" w:rsidRDefault="00CB4778" w:rsidP="004B11B7">
            <w:pPr>
              <w:jc w:val="right"/>
              <w:rPr>
                <w:color w:val="000000"/>
              </w:rPr>
            </w:pPr>
            <w:r w:rsidRPr="00D618B7">
              <w:rPr>
                <w:color w:val="000000"/>
              </w:rPr>
              <w:t>5024.49</w:t>
            </w:r>
          </w:p>
        </w:tc>
        <w:tc>
          <w:tcPr>
            <w:tcW w:w="3003" w:type="dxa"/>
            <w:tcBorders>
              <w:top w:val="single" w:sz="4" w:space="0" w:color="auto"/>
              <w:left w:val="nil"/>
              <w:bottom w:val="nil"/>
              <w:right w:val="nil"/>
            </w:tcBorders>
            <w:shd w:val="clear" w:color="000000" w:fill="FFFFFF"/>
            <w:noWrap/>
            <w:vAlign w:val="bottom"/>
            <w:hideMark/>
          </w:tcPr>
          <w:p w14:paraId="14E5A567" w14:textId="77777777" w:rsidR="00CB4778" w:rsidRPr="00D618B7" w:rsidRDefault="00CB4778" w:rsidP="004B11B7">
            <w:pPr>
              <w:jc w:val="right"/>
              <w:rPr>
                <w:color w:val="000000"/>
              </w:rPr>
            </w:pPr>
            <w:r w:rsidRPr="00D618B7">
              <w:rPr>
                <w:color w:val="000000"/>
              </w:rPr>
              <w:t>2069.67</w:t>
            </w:r>
          </w:p>
        </w:tc>
      </w:tr>
      <w:tr w:rsidR="00CB4778" w:rsidRPr="00D618B7" w14:paraId="13B3F630" w14:textId="77777777" w:rsidTr="004B11B7">
        <w:trPr>
          <w:trHeight w:val="391"/>
        </w:trPr>
        <w:tc>
          <w:tcPr>
            <w:tcW w:w="2819" w:type="dxa"/>
            <w:tcBorders>
              <w:top w:val="nil"/>
              <w:left w:val="nil"/>
              <w:bottom w:val="nil"/>
              <w:right w:val="nil"/>
            </w:tcBorders>
            <w:shd w:val="clear" w:color="000000" w:fill="FFFFFF"/>
            <w:vAlign w:val="center"/>
            <w:hideMark/>
          </w:tcPr>
          <w:p w14:paraId="33BA9A04" w14:textId="77777777" w:rsidR="00CB4778" w:rsidRPr="00D618B7" w:rsidRDefault="00CB4778" w:rsidP="004B11B7">
            <w:pPr>
              <w:jc w:val="center"/>
              <w:rPr>
                <w:color w:val="000000"/>
              </w:rPr>
            </w:pPr>
            <w:r w:rsidRPr="00D618B7">
              <w:rPr>
                <w:color w:val="000000"/>
              </w:rPr>
              <w:t>1</w:t>
            </w:r>
          </w:p>
        </w:tc>
        <w:tc>
          <w:tcPr>
            <w:tcW w:w="3603" w:type="dxa"/>
            <w:tcBorders>
              <w:top w:val="nil"/>
              <w:left w:val="nil"/>
              <w:bottom w:val="nil"/>
              <w:right w:val="nil"/>
            </w:tcBorders>
            <w:shd w:val="clear" w:color="000000" w:fill="FFFFFF"/>
            <w:noWrap/>
            <w:vAlign w:val="bottom"/>
            <w:hideMark/>
          </w:tcPr>
          <w:p w14:paraId="18B34839" w14:textId="77777777" w:rsidR="00CB4778" w:rsidRPr="00D618B7" w:rsidRDefault="00CB4778" w:rsidP="004B11B7">
            <w:pPr>
              <w:jc w:val="right"/>
              <w:rPr>
                <w:color w:val="000000"/>
              </w:rPr>
            </w:pPr>
            <w:r w:rsidRPr="00D618B7">
              <w:rPr>
                <w:color w:val="000000"/>
              </w:rPr>
              <w:t>2988.47</w:t>
            </w:r>
          </w:p>
        </w:tc>
        <w:tc>
          <w:tcPr>
            <w:tcW w:w="3003" w:type="dxa"/>
            <w:tcBorders>
              <w:top w:val="nil"/>
              <w:left w:val="nil"/>
              <w:bottom w:val="nil"/>
              <w:right w:val="nil"/>
            </w:tcBorders>
            <w:shd w:val="clear" w:color="000000" w:fill="FFFFFF"/>
            <w:noWrap/>
            <w:vAlign w:val="bottom"/>
            <w:hideMark/>
          </w:tcPr>
          <w:p w14:paraId="30E67219" w14:textId="77777777" w:rsidR="00CB4778" w:rsidRPr="00D618B7" w:rsidRDefault="00CB4778" w:rsidP="004B11B7">
            <w:pPr>
              <w:jc w:val="right"/>
              <w:rPr>
                <w:color w:val="000000"/>
              </w:rPr>
            </w:pPr>
            <w:r w:rsidRPr="00D618B7">
              <w:rPr>
                <w:color w:val="000000"/>
              </w:rPr>
              <w:t>1256.96</w:t>
            </w:r>
          </w:p>
        </w:tc>
      </w:tr>
      <w:tr w:rsidR="00CB4778" w:rsidRPr="00D618B7" w14:paraId="302B8083" w14:textId="77777777" w:rsidTr="004B11B7">
        <w:trPr>
          <w:trHeight w:val="391"/>
        </w:trPr>
        <w:tc>
          <w:tcPr>
            <w:tcW w:w="2819" w:type="dxa"/>
            <w:tcBorders>
              <w:top w:val="nil"/>
              <w:left w:val="nil"/>
              <w:bottom w:val="nil"/>
              <w:right w:val="nil"/>
            </w:tcBorders>
            <w:shd w:val="clear" w:color="000000" w:fill="FFFFFF"/>
            <w:vAlign w:val="center"/>
            <w:hideMark/>
          </w:tcPr>
          <w:p w14:paraId="79F83F63" w14:textId="77777777" w:rsidR="00CB4778" w:rsidRPr="00D618B7" w:rsidRDefault="00CB4778" w:rsidP="004B11B7">
            <w:pPr>
              <w:jc w:val="center"/>
              <w:rPr>
                <w:color w:val="000000"/>
              </w:rPr>
            </w:pPr>
            <w:r w:rsidRPr="00D618B7">
              <w:rPr>
                <w:color w:val="000000"/>
              </w:rPr>
              <w:t>2</w:t>
            </w:r>
          </w:p>
        </w:tc>
        <w:tc>
          <w:tcPr>
            <w:tcW w:w="3603" w:type="dxa"/>
            <w:tcBorders>
              <w:top w:val="nil"/>
              <w:left w:val="nil"/>
              <w:bottom w:val="nil"/>
              <w:right w:val="nil"/>
            </w:tcBorders>
            <w:shd w:val="clear" w:color="000000" w:fill="FFFFFF"/>
            <w:noWrap/>
            <w:vAlign w:val="bottom"/>
            <w:hideMark/>
          </w:tcPr>
          <w:p w14:paraId="43A4C2C2" w14:textId="77777777" w:rsidR="00CB4778" w:rsidRPr="00D618B7" w:rsidRDefault="00CB4778" w:rsidP="004B11B7">
            <w:pPr>
              <w:jc w:val="right"/>
              <w:rPr>
                <w:color w:val="000000"/>
              </w:rPr>
            </w:pPr>
            <w:r w:rsidRPr="00D618B7">
              <w:rPr>
                <w:color w:val="000000"/>
              </w:rPr>
              <w:t>-137.16</w:t>
            </w:r>
          </w:p>
        </w:tc>
        <w:tc>
          <w:tcPr>
            <w:tcW w:w="3003" w:type="dxa"/>
            <w:tcBorders>
              <w:top w:val="nil"/>
              <w:left w:val="nil"/>
              <w:bottom w:val="nil"/>
              <w:right w:val="nil"/>
            </w:tcBorders>
            <w:shd w:val="clear" w:color="000000" w:fill="FFFFFF"/>
            <w:noWrap/>
            <w:vAlign w:val="bottom"/>
            <w:hideMark/>
          </w:tcPr>
          <w:p w14:paraId="22D067D1" w14:textId="77777777" w:rsidR="00CB4778" w:rsidRPr="00D618B7" w:rsidRDefault="00CB4778" w:rsidP="004B11B7">
            <w:pPr>
              <w:jc w:val="right"/>
              <w:rPr>
                <w:color w:val="000000"/>
              </w:rPr>
            </w:pPr>
            <w:r w:rsidRPr="00D618B7">
              <w:rPr>
                <w:color w:val="000000"/>
              </w:rPr>
              <w:t>94.10</w:t>
            </w:r>
          </w:p>
        </w:tc>
      </w:tr>
      <w:tr w:rsidR="00CB4778" w:rsidRPr="00D618B7" w14:paraId="6779641F" w14:textId="77777777" w:rsidTr="004B11B7">
        <w:trPr>
          <w:trHeight w:val="391"/>
        </w:trPr>
        <w:tc>
          <w:tcPr>
            <w:tcW w:w="2819" w:type="dxa"/>
            <w:tcBorders>
              <w:top w:val="nil"/>
              <w:left w:val="nil"/>
              <w:bottom w:val="nil"/>
              <w:right w:val="nil"/>
            </w:tcBorders>
            <w:shd w:val="clear" w:color="000000" w:fill="FFFFFF"/>
            <w:vAlign w:val="center"/>
            <w:hideMark/>
          </w:tcPr>
          <w:p w14:paraId="0FEDF54A" w14:textId="77777777" w:rsidR="00CB4778" w:rsidRPr="00D618B7" w:rsidRDefault="00CB4778" w:rsidP="004B11B7">
            <w:pPr>
              <w:jc w:val="center"/>
              <w:rPr>
                <w:color w:val="000000"/>
              </w:rPr>
            </w:pPr>
            <w:r w:rsidRPr="00D618B7">
              <w:rPr>
                <w:color w:val="000000"/>
              </w:rPr>
              <w:t>3</w:t>
            </w:r>
          </w:p>
        </w:tc>
        <w:tc>
          <w:tcPr>
            <w:tcW w:w="3603" w:type="dxa"/>
            <w:tcBorders>
              <w:top w:val="nil"/>
              <w:left w:val="nil"/>
              <w:bottom w:val="nil"/>
              <w:right w:val="nil"/>
            </w:tcBorders>
            <w:shd w:val="clear" w:color="000000" w:fill="FFFFFF"/>
            <w:noWrap/>
            <w:vAlign w:val="bottom"/>
            <w:hideMark/>
          </w:tcPr>
          <w:p w14:paraId="36E7C73D" w14:textId="77777777" w:rsidR="00CB4778" w:rsidRPr="00D618B7" w:rsidRDefault="00CB4778" w:rsidP="004B11B7">
            <w:pPr>
              <w:jc w:val="right"/>
              <w:rPr>
                <w:color w:val="000000"/>
              </w:rPr>
            </w:pPr>
            <w:r w:rsidRPr="00D618B7">
              <w:rPr>
                <w:color w:val="000000"/>
              </w:rPr>
              <w:t>1112.46</w:t>
            </w:r>
          </w:p>
        </w:tc>
        <w:tc>
          <w:tcPr>
            <w:tcW w:w="3003" w:type="dxa"/>
            <w:tcBorders>
              <w:top w:val="nil"/>
              <w:left w:val="nil"/>
              <w:bottom w:val="nil"/>
              <w:right w:val="nil"/>
            </w:tcBorders>
            <w:shd w:val="clear" w:color="000000" w:fill="FFFFFF"/>
            <w:noWrap/>
            <w:vAlign w:val="bottom"/>
            <w:hideMark/>
          </w:tcPr>
          <w:p w14:paraId="74D34134" w14:textId="77777777" w:rsidR="00CB4778" w:rsidRPr="00D618B7" w:rsidRDefault="00CB4778" w:rsidP="004B11B7">
            <w:pPr>
              <w:jc w:val="right"/>
              <w:rPr>
                <w:color w:val="000000"/>
              </w:rPr>
            </w:pPr>
            <w:r w:rsidRPr="00D618B7">
              <w:rPr>
                <w:color w:val="000000"/>
              </w:rPr>
              <w:t>467.83</w:t>
            </w:r>
          </w:p>
        </w:tc>
      </w:tr>
      <w:tr w:rsidR="00CB4778" w:rsidRPr="00D618B7" w14:paraId="699FFC23" w14:textId="77777777" w:rsidTr="004B11B7">
        <w:trPr>
          <w:trHeight w:val="391"/>
        </w:trPr>
        <w:tc>
          <w:tcPr>
            <w:tcW w:w="2819" w:type="dxa"/>
            <w:tcBorders>
              <w:top w:val="nil"/>
              <w:left w:val="nil"/>
              <w:right w:val="nil"/>
            </w:tcBorders>
            <w:shd w:val="clear" w:color="000000" w:fill="FFFFFF"/>
            <w:vAlign w:val="center"/>
            <w:hideMark/>
          </w:tcPr>
          <w:p w14:paraId="3702D965" w14:textId="77777777" w:rsidR="00CB4778" w:rsidRPr="00D618B7" w:rsidRDefault="00CB4778" w:rsidP="004B11B7">
            <w:pPr>
              <w:jc w:val="center"/>
              <w:rPr>
                <w:color w:val="000000"/>
              </w:rPr>
            </w:pPr>
            <w:r w:rsidRPr="00D618B7">
              <w:rPr>
                <w:color w:val="000000"/>
              </w:rPr>
              <w:t>4</w:t>
            </w:r>
          </w:p>
        </w:tc>
        <w:tc>
          <w:tcPr>
            <w:tcW w:w="3603" w:type="dxa"/>
            <w:tcBorders>
              <w:top w:val="nil"/>
              <w:left w:val="nil"/>
              <w:right w:val="nil"/>
            </w:tcBorders>
            <w:shd w:val="clear" w:color="000000" w:fill="FFFFFF"/>
            <w:noWrap/>
            <w:vAlign w:val="bottom"/>
            <w:hideMark/>
          </w:tcPr>
          <w:p w14:paraId="035AD342" w14:textId="77777777" w:rsidR="00CB4778" w:rsidRPr="00D618B7" w:rsidRDefault="00CB4778" w:rsidP="004B11B7">
            <w:pPr>
              <w:jc w:val="right"/>
              <w:rPr>
                <w:color w:val="000000"/>
              </w:rPr>
            </w:pPr>
            <w:r w:rsidRPr="00D618B7">
              <w:rPr>
                <w:color w:val="000000"/>
              </w:rPr>
              <w:t>72.32</w:t>
            </w:r>
          </w:p>
        </w:tc>
        <w:tc>
          <w:tcPr>
            <w:tcW w:w="3003" w:type="dxa"/>
            <w:tcBorders>
              <w:top w:val="nil"/>
              <w:left w:val="nil"/>
              <w:right w:val="nil"/>
            </w:tcBorders>
            <w:shd w:val="clear" w:color="000000" w:fill="FFFFFF"/>
            <w:noWrap/>
            <w:vAlign w:val="bottom"/>
            <w:hideMark/>
          </w:tcPr>
          <w:p w14:paraId="4E673D1A" w14:textId="77777777" w:rsidR="00CB4778" w:rsidRPr="00D618B7" w:rsidRDefault="00CB4778" w:rsidP="004B11B7">
            <w:pPr>
              <w:jc w:val="right"/>
              <w:rPr>
                <w:color w:val="000000"/>
              </w:rPr>
            </w:pPr>
            <w:r w:rsidRPr="00D618B7">
              <w:rPr>
                <w:color w:val="000000"/>
              </w:rPr>
              <w:t>464.42</w:t>
            </w:r>
          </w:p>
        </w:tc>
      </w:tr>
      <w:tr w:rsidR="00CB4778" w:rsidRPr="00D618B7" w14:paraId="14754215" w14:textId="77777777" w:rsidTr="004B11B7">
        <w:trPr>
          <w:trHeight w:val="411"/>
        </w:trPr>
        <w:tc>
          <w:tcPr>
            <w:tcW w:w="2819" w:type="dxa"/>
            <w:tcBorders>
              <w:top w:val="nil"/>
              <w:left w:val="nil"/>
              <w:bottom w:val="single" w:sz="4" w:space="0" w:color="auto"/>
              <w:right w:val="nil"/>
            </w:tcBorders>
            <w:shd w:val="clear" w:color="000000" w:fill="FFFFFF"/>
            <w:vAlign w:val="center"/>
            <w:hideMark/>
          </w:tcPr>
          <w:p w14:paraId="3998C7EC" w14:textId="77777777" w:rsidR="00CB4778" w:rsidRPr="00D618B7" w:rsidRDefault="00CB4778" w:rsidP="004B11B7">
            <w:pPr>
              <w:jc w:val="center"/>
              <w:rPr>
                <w:color w:val="000000"/>
              </w:rPr>
            </w:pPr>
            <w:r w:rsidRPr="00D618B7">
              <w:rPr>
                <w:color w:val="000000"/>
              </w:rPr>
              <w:t>5</w:t>
            </w:r>
          </w:p>
        </w:tc>
        <w:tc>
          <w:tcPr>
            <w:tcW w:w="3603" w:type="dxa"/>
            <w:tcBorders>
              <w:top w:val="nil"/>
              <w:left w:val="nil"/>
              <w:bottom w:val="single" w:sz="4" w:space="0" w:color="auto"/>
              <w:right w:val="nil"/>
            </w:tcBorders>
            <w:shd w:val="clear" w:color="000000" w:fill="FFFFFF"/>
            <w:noWrap/>
            <w:vAlign w:val="bottom"/>
            <w:hideMark/>
          </w:tcPr>
          <w:p w14:paraId="353A7038" w14:textId="77777777" w:rsidR="00CB4778" w:rsidRPr="00D618B7" w:rsidRDefault="00CB4778" w:rsidP="004B11B7">
            <w:pPr>
              <w:jc w:val="right"/>
              <w:rPr>
                <w:color w:val="000000"/>
              </w:rPr>
            </w:pPr>
            <w:r w:rsidRPr="00D618B7">
              <w:rPr>
                <w:color w:val="000000"/>
              </w:rPr>
              <w:t>-828.82</w:t>
            </w:r>
          </w:p>
        </w:tc>
        <w:tc>
          <w:tcPr>
            <w:tcW w:w="3003" w:type="dxa"/>
            <w:tcBorders>
              <w:top w:val="nil"/>
              <w:left w:val="nil"/>
              <w:bottom w:val="single" w:sz="4" w:space="0" w:color="auto"/>
              <w:right w:val="nil"/>
            </w:tcBorders>
            <w:shd w:val="clear" w:color="000000" w:fill="FFFFFF"/>
            <w:noWrap/>
            <w:vAlign w:val="bottom"/>
            <w:hideMark/>
          </w:tcPr>
          <w:p w14:paraId="1DEFD2C3" w14:textId="77777777" w:rsidR="00CB4778" w:rsidRPr="00D618B7" w:rsidRDefault="00CB4778" w:rsidP="004B11B7">
            <w:pPr>
              <w:jc w:val="right"/>
              <w:rPr>
                <w:color w:val="000000"/>
              </w:rPr>
            </w:pPr>
            <w:r w:rsidRPr="00D618B7">
              <w:rPr>
                <w:color w:val="000000"/>
              </w:rPr>
              <w:t>221.04</w:t>
            </w:r>
          </w:p>
        </w:tc>
      </w:tr>
    </w:tbl>
    <w:p w14:paraId="7174DECA" w14:textId="77777777" w:rsidR="00CB4778" w:rsidRPr="00D618B7" w:rsidRDefault="00CB4778" w:rsidP="00CB4778"/>
    <w:p w14:paraId="2B93F04F" w14:textId="23642478" w:rsidR="009172A2" w:rsidRPr="00D618B7" w:rsidRDefault="00CB4778" w:rsidP="00CB4778">
      <w:r w:rsidRPr="00D618B7">
        <w:rPr>
          <w:i/>
          <w:iCs/>
        </w:rPr>
        <w:t>Note</w:t>
      </w:r>
      <w:r w:rsidRPr="00D618B7">
        <w:t>: This table lists the estimated mean duration and standard error or reach latency per week following reach onset.</w:t>
      </w:r>
    </w:p>
    <w:p w14:paraId="53D7CA30" w14:textId="77777777" w:rsidR="009172A2" w:rsidRPr="00D618B7" w:rsidRDefault="009172A2">
      <w:r w:rsidRPr="00D618B7">
        <w:br w:type="page"/>
      </w:r>
    </w:p>
    <w:p w14:paraId="50E1CCE5" w14:textId="21457CC5" w:rsidR="009172A2" w:rsidRPr="00D618B7" w:rsidRDefault="009172A2" w:rsidP="009172A2">
      <w:r w:rsidRPr="00D618B7">
        <w:rPr>
          <w:noProof/>
        </w:rPr>
        <w:lastRenderedPageBreak/>
        <w:drawing>
          <wp:inline distT="0" distB="0" distL="0" distR="0" wp14:anchorId="67660DD2" wp14:editId="047E059E">
            <wp:extent cx="5867400" cy="3400425"/>
            <wp:effectExtent l="0" t="0" r="0" b="0"/>
            <wp:docPr id="1523641444" name="Chart 1">
              <a:extLst xmlns:a="http://schemas.openxmlformats.org/drawingml/2006/main">
                <a:ext uri="{FF2B5EF4-FFF2-40B4-BE49-F238E27FC236}">
                  <a16:creationId xmlns:a16="http://schemas.microsoft.com/office/drawing/2014/main" id="{B80CABF5-71DD-4CC3-8D20-C73815D805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D618B7">
        <w:t xml:space="preserve"> </w:t>
      </w:r>
    </w:p>
    <w:p w14:paraId="218B1617" w14:textId="77777777" w:rsidR="007C5074" w:rsidRPr="00D618B7" w:rsidRDefault="007C5074" w:rsidP="007C5074">
      <w:pPr>
        <w:pStyle w:val="Caption"/>
      </w:pPr>
      <w:bookmarkStart w:id="170" w:name="_Toc172716956"/>
      <w:r w:rsidRPr="00D618B7">
        <w:t xml:space="preserve">Figure </w:t>
      </w:r>
      <w:r>
        <w:fldChar w:fldCharType="begin"/>
      </w:r>
      <w:r>
        <w:instrText xml:space="preserve"> SEQ Figure \* ARABIC </w:instrText>
      </w:r>
      <w:r>
        <w:fldChar w:fldCharType="separate"/>
      </w:r>
      <w:r>
        <w:rPr>
          <w:noProof/>
        </w:rPr>
        <w:t>16</w:t>
      </w:r>
      <w:r>
        <w:rPr>
          <w:noProof/>
        </w:rPr>
        <w:fldChar w:fldCharType="end"/>
      </w:r>
      <w:r w:rsidRPr="00D618B7">
        <w:t xml:space="preserve">: </w:t>
      </w:r>
      <w:r>
        <w:t>A</w:t>
      </w:r>
      <w:r w:rsidRPr="00D618B7">
        <w:t>verage velocity by week</w:t>
      </w:r>
      <w:bookmarkEnd w:id="170"/>
    </w:p>
    <w:p w14:paraId="6FDB3FB4" w14:textId="4927C3F1" w:rsidR="007C5074" w:rsidRPr="00D618B7" w:rsidRDefault="007C5074" w:rsidP="007C5074">
      <w:r w:rsidRPr="00D618B7">
        <w:t>Estimated Mean Average Velocity per Week</w:t>
      </w:r>
      <w:r>
        <w:t>.</w:t>
      </w:r>
    </w:p>
    <w:p w14:paraId="017E5A97" w14:textId="72A35A86" w:rsidR="009172A2" w:rsidRPr="00D618B7" w:rsidRDefault="009172A2" w:rsidP="009172A2">
      <w:r w:rsidRPr="00D618B7">
        <w:rPr>
          <w:i/>
          <w:iCs/>
        </w:rPr>
        <w:t>Note</w:t>
      </w:r>
      <w:r w:rsidRPr="00D618B7">
        <w:t>. This figure illustrates the estimated mean average velocity per week of observation around reach-onset. Error bars show standard error.</w:t>
      </w:r>
    </w:p>
    <w:p w14:paraId="4785B742" w14:textId="77777777" w:rsidR="009172A2" w:rsidRPr="00D618B7" w:rsidRDefault="009172A2" w:rsidP="009172A2"/>
    <w:p w14:paraId="38F6B9BB" w14:textId="44620F1B" w:rsidR="009172A2" w:rsidRPr="00D618B7" w:rsidRDefault="009172A2" w:rsidP="007C5074">
      <w:pPr>
        <w:pStyle w:val="Caption"/>
      </w:pPr>
      <w:bookmarkStart w:id="171" w:name="_Toc172716864"/>
      <w:r w:rsidRPr="00D618B7">
        <w:t xml:space="preserve">Table </w:t>
      </w:r>
      <w:r w:rsidR="00000000">
        <w:fldChar w:fldCharType="begin"/>
      </w:r>
      <w:r w:rsidR="00000000">
        <w:instrText xml:space="preserve"> SEQ Table \* ARABIC </w:instrText>
      </w:r>
      <w:r w:rsidR="00000000">
        <w:fldChar w:fldCharType="separate"/>
      </w:r>
      <w:r w:rsidR="000C6E43">
        <w:rPr>
          <w:noProof/>
        </w:rPr>
        <w:t>36</w:t>
      </w:r>
      <w:r w:rsidR="00000000">
        <w:rPr>
          <w:noProof/>
        </w:rPr>
        <w:fldChar w:fldCharType="end"/>
      </w:r>
      <w:r w:rsidRPr="00D618B7">
        <w:t xml:space="preserve">: </w:t>
      </w:r>
      <w:r w:rsidR="00F767C9">
        <w:t>A</w:t>
      </w:r>
      <w:r w:rsidRPr="00D618B7">
        <w:t>verage velocity by week</w:t>
      </w:r>
      <w:bookmarkEnd w:id="171"/>
    </w:p>
    <w:p w14:paraId="027D39C6" w14:textId="77777777" w:rsidR="009172A2" w:rsidRPr="00D618B7" w:rsidRDefault="009172A2" w:rsidP="009172A2">
      <w:r w:rsidRPr="00D618B7">
        <w:t>Estimated Mean Average Velocity per Week</w:t>
      </w:r>
    </w:p>
    <w:tbl>
      <w:tblPr>
        <w:tblW w:w="9295" w:type="dxa"/>
        <w:tblLook w:val="04A0" w:firstRow="1" w:lastRow="0" w:firstColumn="1" w:lastColumn="0" w:noHBand="0" w:noVBand="1"/>
      </w:tblPr>
      <w:tblGrid>
        <w:gridCol w:w="2336"/>
        <w:gridCol w:w="3861"/>
        <w:gridCol w:w="3098"/>
      </w:tblGrid>
      <w:tr w:rsidR="009172A2" w:rsidRPr="00D618B7" w14:paraId="0FA33300" w14:textId="77777777" w:rsidTr="009172A2">
        <w:trPr>
          <w:trHeight w:val="296"/>
        </w:trPr>
        <w:tc>
          <w:tcPr>
            <w:tcW w:w="2336" w:type="dxa"/>
            <w:tcBorders>
              <w:top w:val="single" w:sz="4" w:space="0" w:color="auto"/>
              <w:left w:val="nil"/>
              <w:bottom w:val="nil"/>
              <w:right w:val="nil"/>
            </w:tcBorders>
            <w:shd w:val="clear" w:color="000000" w:fill="FFFFFF"/>
            <w:vAlign w:val="center"/>
            <w:hideMark/>
          </w:tcPr>
          <w:p w14:paraId="191E0606" w14:textId="77777777" w:rsidR="009172A2" w:rsidRPr="00D618B7" w:rsidRDefault="009172A2" w:rsidP="004B11B7">
            <w:pPr>
              <w:jc w:val="center"/>
              <w:rPr>
                <w:color w:val="000000"/>
              </w:rPr>
            </w:pPr>
            <w:r w:rsidRPr="00D618B7">
              <w:rPr>
                <w:color w:val="000000"/>
              </w:rPr>
              <w:t>Week</w:t>
            </w:r>
          </w:p>
        </w:tc>
        <w:tc>
          <w:tcPr>
            <w:tcW w:w="3861" w:type="dxa"/>
            <w:tcBorders>
              <w:top w:val="single" w:sz="4" w:space="0" w:color="auto"/>
              <w:left w:val="nil"/>
              <w:bottom w:val="single" w:sz="8" w:space="0" w:color="auto"/>
              <w:right w:val="nil"/>
            </w:tcBorders>
            <w:shd w:val="clear" w:color="000000" w:fill="FFFFFF"/>
            <w:noWrap/>
            <w:vAlign w:val="center"/>
            <w:hideMark/>
          </w:tcPr>
          <w:p w14:paraId="2FD9C44A" w14:textId="77777777" w:rsidR="009172A2" w:rsidRPr="00D618B7" w:rsidRDefault="009172A2" w:rsidP="004B11B7">
            <w:pPr>
              <w:jc w:val="right"/>
              <w:rPr>
                <w:color w:val="000000"/>
              </w:rPr>
            </w:pPr>
            <w:r w:rsidRPr="00D618B7">
              <w:rPr>
                <w:color w:val="000000"/>
              </w:rPr>
              <w:t>Mean</w:t>
            </w:r>
          </w:p>
        </w:tc>
        <w:tc>
          <w:tcPr>
            <w:tcW w:w="3098" w:type="dxa"/>
            <w:tcBorders>
              <w:top w:val="single" w:sz="4" w:space="0" w:color="auto"/>
              <w:left w:val="nil"/>
              <w:bottom w:val="single" w:sz="8" w:space="0" w:color="auto"/>
              <w:right w:val="nil"/>
            </w:tcBorders>
            <w:shd w:val="clear" w:color="000000" w:fill="FFFFFF"/>
            <w:noWrap/>
            <w:vAlign w:val="center"/>
            <w:hideMark/>
          </w:tcPr>
          <w:p w14:paraId="504C0686" w14:textId="77777777" w:rsidR="009172A2" w:rsidRPr="00D618B7" w:rsidRDefault="009172A2" w:rsidP="004B11B7">
            <w:pPr>
              <w:jc w:val="right"/>
              <w:rPr>
                <w:color w:val="000000"/>
              </w:rPr>
            </w:pPr>
            <w:r w:rsidRPr="00D618B7">
              <w:rPr>
                <w:color w:val="000000"/>
              </w:rPr>
              <w:t>Std. Error</w:t>
            </w:r>
          </w:p>
        </w:tc>
      </w:tr>
      <w:tr w:rsidR="009172A2" w:rsidRPr="00D618B7" w14:paraId="149493FC" w14:textId="77777777" w:rsidTr="009172A2">
        <w:trPr>
          <w:trHeight w:val="282"/>
        </w:trPr>
        <w:tc>
          <w:tcPr>
            <w:tcW w:w="2336" w:type="dxa"/>
            <w:tcBorders>
              <w:top w:val="nil"/>
              <w:left w:val="nil"/>
              <w:bottom w:val="nil"/>
              <w:right w:val="nil"/>
            </w:tcBorders>
            <w:shd w:val="clear" w:color="000000" w:fill="FFFFFF"/>
            <w:vAlign w:val="center"/>
            <w:hideMark/>
          </w:tcPr>
          <w:p w14:paraId="02E84532" w14:textId="77777777" w:rsidR="009172A2" w:rsidRPr="00D618B7" w:rsidRDefault="009172A2" w:rsidP="004B11B7">
            <w:pPr>
              <w:jc w:val="center"/>
              <w:rPr>
                <w:color w:val="000000"/>
              </w:rPr>
            </w:pPr>
            <w:r w:rsidRPr="00D618B7">
              <w:rPr>
                <w:color w:val="000000"/>
              </w:rPr>
              <w:t>-5</w:t>
            </w:r>
          </w:p>
        </w:tc>
        <w:tc>
          <w:tcPr>
            <w:tcW w:w="3861" w:type="dxa"/>
            <w:tcBorders>
              <w:top w:val="nil"/>
              <w:left w:val="nil"/>
              <w:bottom w:val="nil"/>
              <w:right w:val="nil"/>
            </w:tcBorders>
            <w:shd w:val="clear" w:color="000000" w:fill="FFFFFF"/>
            <w:noWrap/>
            <w:vAlign w:val="center"/>
            <w:hideMark/>
          </w:tcPr>
          <w:p w14:paraId="23B33980" w14:textId="77777777" w:rsidR="009172A2" w:rsidRPr="00D618B7" w:rsidRDefault="009172A2" w:rsidP="004B11B7">
            <w:pPr>
              <w:jc w:val="right"/>
              <w:rPr>
                <w:color w:val="000000"/>
              </w:rPr>
            </w:pPr>
            <w:r w:rsidRPr="00D618B7">
              <w:rPr>
                <w:color w:val="000000"/>
              </w:rPr>
              <w:t>7.1687</w:t>
            </w:r>
          </w:p>
        </w:tc>
        <w:tc>
          <w:tcPr>
            <w:tcW w:w="3098" w:type="dxa"/>
            <w:tcBorders>
              <w:top w:val="nil"/>
              <w:left w:val="nil"/>
              <w:bottom w:val="nil"/>
              <w:right w:val="nil"/>
            </w:tcBorders>
            <w:shd w:val="clear" w:color="000000" w:fill="FFFFFF"/>
            <w:noWrap/>
            <w:vAlign w:val="center"/>
            <w:hideMark/>
          </w:tcPr>
          <w:p w14:paraId="2DB1AF08" w14:textId="77777777" w:rsidR="009172A2" w:rsidRPr="00D618B7" w:rsidRDefault="009172A2" w:rsidP="004B11B7">
            <w:pPr>
              <w:jc w:val="right"/>
              <w:rPr>
                <w:color w:val="000000"/>
              </w:rPr>
            </w:pPr>
            <w:r w:rsidRPr="00D618B7">
              <w:rPr>
                <w:color w:val="000000"/>
              </w:rPr>
              <w:t>1.04102</w:t>
            </w:r>
          </w:p>
        </w:tc>
      </w:tr>
      <w:tr w:rsidR="009172A2" w:rsidRPr="00D618B7" w14:paraId="68AC7DB3" w14:textId="77777777" w:rsidTr="009172A2">
        <w:trPr>
          <w:trHeight w:val="282"/>
        </w:trPr>
        <w:tc>
          <w:tcPr>
            <w:tcW w:w="2336" w:type="dxa"/>
            <w:tcBorders>
              <w:top w:val="nil"/>
              <w:left w:val="nil"/>
              <w:bottom w:val="nil"/>
              <w:right w:val="nil"/>
            </w:tcBorders>
            <w:shd w:val="clear" w:color="000000" w:fill="FFFFFF"/>
            <w:vAlign w:val="center"/>
            <w:hideMark/>
          </w:tcPr>
          <w:p w14:paraId="22FDE85D" w14:textId="77777777" w:rsidR="009172A2" w:rsidRPr="00D618B7" w:rsidRDefault="009172A2" w:rsidP="004B11B7">
            <w:pPr>
              <w:jc w:val="center"/>
              <w:rPr>
                <w:color w:val="000000"/>
              </w:rPr>
            </w:pPr>
            <w:r w:rsidRPr="00D618B7">
              <w:rPr>
                <w:color w:val="000000"/>
              </w:rPr>
              <w:t>-4</w:t>
            </w:r>
          </w:p>
        </w:tc>
        <w:tc>
          <w:tcPr>
            <w:tcW w:w="3861" w:type="dxa"/>
            <w:tcBorders>
              <w:top w:val="nil"/>
              <w:left w:val="nil"/>
              <w:bottom w:val="nil"/>
              <w:right w:val="nil"/>
            </w:tcBorders>
            <w:shd w:val="clear" w:color="000000" w:fill="FFFFFF"/>
            <w:noWrap/>
            <w:vAlign w:val="center"/>
            <w:hideMark/>
          </w:tcPr>
          <w:p w14:paraId="01C80C02" w14:textId="77777777" w:rsidR="009172A2" w:rsidRPr="00D618B7" w:rsidRDefault="009172A2" w:rsidP="004B11B7">
            <w:pPr>
              <w:jc w:val="right"/>
              <w:rPr>
                <w:color w:val="000000"/>
              </w:rPr>
            </w:pPr>
            <w:r w:rsidRPr="00D618B7">
              <w:rPr>
                <w:color w:val="000000"/>
              </w:rPr>
              <w:t>7.6588</w:t>
            </w:r>
          </w:p>
        </w:tc>
        <w:tc>
          <w:tcPr>
            <w:tcW w:w="3098" w:type="dxa"/>
            <w:tcBorders>
              <w:top w:val="nil"/>
              <w:left w:val="nil"/>
              <w:bottom w:val="nil"/>
              <w:right w:val="nil"/>
            </w:tcBorders>
            <w:shd w:val="clear" w:color="000000" w:fill="FFFFFF"/>
            <w:noWrap/>
            <w:vAlign w:val="center"/>
            <w:hideMark/>
          </w:tcPr>
          <w:p w14:paraId="7281627E" w14:textId="77777777" w:rsidR="009172A2" w:rsidRPr="00D618B7" w:rsidRDefault="009172A2" w:rsidP="004B11B7">
            <w:pPr>
              <w:jc w:val="right"/>
              <w:rPr>
                <w:color w:val="000000"/>
              </w:rPr>
            </w:pPr>
            <w:r w:rsidRPr="00D618B7">
              <w:rPr>
                <w:color w:val="000000"/>
              </w:rPr>
              <w:t>1.14959</w:t>
            </w:r>
          </w:p>
        </w:tc>
      </w:tr>
      <w:tr w:rsidR="009172A2" w:rsidRPr="00D618B7" w14:paraId="778AF3BC" w14:textId="77777777" w:rsidTr="009172A2">
        <w:trPr>
          <w:trHeight w:val="282"/>
        </w:trPr>
        <w:tc>
          <w:tcPr>
            <w:tcW w:w="2336" w:type="dxa"/>
            <w:tcBorders>
              <w:top w:val="nil"/>
              <w:left w:val="nil"/>
              <w:bottom w:val="nil"/>
              <w:right w:val="nil"/>
            </w:tcBorders>
            <w:shd w:val="clear" w:color="000000" w:fill="FFFFFF"/>
            <w:vAlign w:val="center"/>
            <w:hideMark/>
          </w:tcPr>
          <w:p w14:paraId="3C5F2B99" w14:textId="77777777" w:rsidR="009172A2" w:rsidRPr="00D618B7" w:rsidRDefault="009172A2" w:rsidP="004B11B7">
            <w:pPr>
              <w:jc w:val="center"/>
              <w:rPr>
                <w:color w:val="000000"/>
              </w:rPr>
            </w:pPr>
            <w:r w:rsidRPr="00D618B7">
              <w:rPr>
                <w:color w:val="000000"/>
              </w:rPr>
              <w:t>-3</w:t>
            </w:r>
          </w:p>
        </w:tc>
        <w:tc>
          <w:tcPr>
            <w:tcW w:w="3861" w:type="dxa"/>
            <w:tcBorders>
              <w:top w:val="nil"/>
              <w:left w:val="nil"/>
              <w:bottom w:val="nil"/>
              <w:right w:val="nil"/>
            </w:tcBorders>
            <w:shd w:val="clear" w:color="000000" w:fill="FFFFFF"/>
            <w:noWrap/>
            <w:vAlign w:val="center"/>
            <w:hideMark/>
          </w:tcPr>
          <w:p w14:paraId="2A1851D1" w14:textId="77777777" w:rsidR="009172A2" w:rsidRPr="00D618B7" w:rsidRDefault="009172A2" w:rsidP="004B11B7">
            <w:pPr>
              <w:jc w:val="right"/>
              <w:rPr>
                <w:color w:val="000000"/>
              </w:rPr>
            </w:pPr>
            <w:r w:rsidRPr="00D618B7">
              <w:rPr>
                <w:color w:val="000000"/>
              </w:rPr>
              <w:t>8.6227</w:t>
            </w:r>
          </w:p>
        </w:tc>
        <w:tc>
          <w:tcPr>
            <w:tcW w:w="3098" w:type="dxa"/>
            <w:tcBorders>
              <w:top w:val="nil"/>
              <w:left w:val="nil"/>
              <w:bottom w:val="nil"/>
              <w:right w:val="nil"/>
            </w:tcBorders>
            <w:shd w:val="clear" w:color="000000" w:fill="FFFFFF"/>
            <w:noWrap/>
            <w:vAlign w:val="center"/>
            <w:hideMark/>
          </w:tcPr>
          <w:p w14:paraId="0207927A" w14:textId="77777777" w:rsidR="009172A2" w:rsidRPr="00D618B7" w:rsidRDefault="009172A2" w:rsidP="004B11B7">
            <w:pPr>
              <w:jc w:val="right"/>
              <w:rPr>
                <w:color w:val="000000"/>
              </w:rPr>
            </w:pPr>
            <w:r w:rsidRPr="00D618B7">
              <w:rPr>
                <w:color w:val="000000"/>
              </w:rPr>
              <w:t>1.2017</w:t>
            </w:r>
          </w:p>
        </w:tc>
      </w:tr>
      <w:tr w:rsidR="009172A2" w:rsidRPr="00D618B7" w14:paraId="68AF5AC0" w14:textId="77777777" w:rsidTr="009172A2">
        <w:trPr>
          <w:trHeight w:val="282"/>
        </w:trPr>
        <w:tc>
          <w:tcPr>
            <w:tcW w:w="2336" w:type="dxa"/>
            <w:tcBorders>
              <w:top w:val="nil"/>
              <w:left w:val="nil"/>
              <w:bottom w:val="nil"/>
              <w:right w:val="nil"/>
            </w:tcBorders>
            <w:shd w:val="clear" w:color="000000" w:fill="FFFFFF"/>
            <w:vAlign w:val="center"/>
            <w:hideMark/>
          </w:tcPr>
          <w:p w14:paraId="28B573F4" w14:textId="77777777" w:rsidR="009172A2" w:rsidRPr="00D618B7" w:rsidRDefault="009172A2" w:rsidP="004B11B7">
            <w:pPr>
              <w:jc w:val="center"/>
              <w:rPr>
                <w:color w:val="000000"/>
              </w:rPr>
            </w:pPr>
            <w:r w:rsidRPr="00D618B7">
              <w:rPr>
                <w:color w:val="000000"/>
              </w:rPr>
              <w:t>-2</w:t>
            </w:r>
          </w:p>
        </w:tc>
        <w:tc>
          <w:tcPr>
            <w:tcW w:w="3861" w:type="dxa"/>
            <w:tcBorders>
              <w:top w:val="nil"/>
              <w:left w:val="nil"/>
              <w:bottom w:val="nil"/>
              <w:right w:val="nil"/>
            </w:tcBorders>
            <w:shd w:val="clear" w:color="000000" w:fill="FFFFFF"/>
            <w:noWrap/>
            <w:vAlign w:val="center"/>
            <w:hideMark/>
          </w:tcPr>
          <w:p w14:paraId="542E1D66" w14:textId="77777777" w:rsidR="009172A2" w:rsidRPr="00D618B7" w:rsidRDefault="009172A2" w:rsidP="004B11B7">
            <w:pPr>
              <w:jc w:val="right"/>
              <w:rPr>
                <w:color w:val="000000"/>
              </w:rPr>
            </w:pPr>
            <w:r w:rsidRPr="00D618B7">
              <w:rPr>
                <w:color w:val="000000"/>
              </w:rPr>
              <w:t>8.4787</w:t>
            </w:r>
          </w:p>
        </w:tc>
        <w:tc>
          <w:tcPr>
            <w:tcW w:w="3098" w:type="dxa"/>
            <w:tcBorders>
              <w:top w:val="nil"/>
              <w:left w:val="nil"/>
              <w:bottom w:val="nil"/>
              <w:right w:val="nil"/>
            </w:tcBorders>
            <w:shd w:val="clear" w:color="000000" w:fill="FFFFFF"/>
            <w:noWrap/>
            <w:vAlign w:val="center"/>
            <w:hideMark/>
          </w:tcPr>
          <w:p w14:paraId="082AB005" w14:textId="77777777" w:rsidR="009172A2" w:rsidRPr="00D618B7" w:rsidRDefault="009172A2" w:rsidP="004B11B7">
            <w:pPr>
              <w:jc w:val="right"/>
              <w:rPr>
                <w:color w:val="000000"/>
              </w:rPr>
            </w:pPr>
            <w:r w:rsidRPr="00D618B7">
              <w:rPr>
                <w:color w:val="000000"/>
              </w:rPr>
              <w:t>1.09449</w:t>
            </w:r>
          </w:p>
        </w:tc>
      </w:tr>
      <w:tr w:rsidR="009172A2" w:rsidRPr="00D618B7" w14:paraId="4BB7A403" w14:textId="77777777" w:rsidTr="009172A2">
        <w:trPr>
          <w:trHeight w:val="282"/>
        </w:trPr>
        <w:tc>
          <w:tcPr>
            <w:tcW w:w="2336" w:type="dxa"/>
            <w:tcBorders>
              <w:top w:val="nil"/>
              <w:left w:val="nil"/>
              <w:bottom w:val="nil"/>
              <w:right w:val="nil"/>
            </w:tcBorders>
            <w:shd w:val="clear" w:color="000000" w:fill="FFFFFF"/>
            <w:vAlign w:val="center"/>
            <w:hideMark/>
          </w:tcPr>
          <w:p w14:paraId="2A3954AA" w14:textId="77777777" w:rsidR="009172A2" w:rsidRPr="00D618B7" w:rsidRDefault="009172A2" w:rsidP="004B11B7">
            <w:pPr>
              <w:jc w:val="center"/>
              <w:rPr>
                <w:color w:val="000000"/>
              </w:rPr>
            </w:pPr>
            <w:r w:rsidRPr="00D618B7">
              <w:rPr>
                <w:color w:val="000000"/>
              </w:rPr>
              <w:t>-1</w:t>
            </w:r>
          </w:p>
        </w:tc>
        <w:tc>
          <w:tcPr>
            <w:tcW w:w="3861" w:type="dxa"/>
            <w:tcBorders>
              <w:top w:val="nil"/>
              <w:left w:val="nil"/>
              <w:bottom w:val="nil"/>
              <w:right w:val="nil"/>
            </w:tcBorders>
            <w:shd w:val="clear" w:color="000000" w:fill="FFFFFF"/>
            <w:noWrap/>
            <w:vAlign w:val="center"/>
            <w:hideMark/>
          </w:tcPr>
          <w:p w14:paraId="7471BA39" w14:textId="77777777" w:rsidR="009172A2" w:rsidRPr="00D618B7" w:rsidRDefault="009172A2" w:rsidP="004B11B7">
            <w:pPr>
              <w:jc w:val="right"/>
              <w:rPr>
                <w:color w:val="000000"/>
              </w:rPr>
            </w:pPr>
            <w:r w:rsidRPr="00D618B7">
              <w:rPr>
                <w:color w:val="000000"/>
              </w:rPr>
              <w:t>8.2616</w:t>
            </w:r>
          </w:p>
        </w:tc>
        <w:tc>
          <w:tcPr>
            <w:tcW w:w="3098" w:type="dxa"/>
            <w:tcBorders>
              <w:top w:val="nil"/>
              <w:left w:val="nil"/>
              <w:bottom w:val="nil"/>
              <w:right w:val="nil"/>
            </w:tcBorders>
            <w:shd w:val="clear" w:color="000000" w:fill="FFFFFF"/>
            <w:noWrap/>
            <w:vAlign w:val="center"/>
            <w:hideMark/>
          </w:tcPr>
          <w:p w14:paraId="4A020CF3" w14:textId="77777777" w:rsidR="009172A2" w:rsidRPr="00D618B7" w:rsidRDefault="009172A2" w:rsidP="004B11B7">
            <w:pPr>
              <w:jc w:val="right"/>
              <w:rPr>
                <w:color w:val="000000"/>
              </w:rPr>
            </w:pPr>
            <w:r w:rsidRPr="00D618B7">
              <w:rPr>
                <w:color w:val="000000"/>
              </w:rPr>
              <w:t>1.11565</w:t>
            </w:r>
          </w:p>
        </w:tc>
      </w:tr>
      <w:tr w:rsidR="009172A2" w:rsidRPr="00D618B7" w14:paraId="0E15D862" w14:textId="77777777" w:rsidTr="009172A2">
        <w:trPr>
          <w:trHeight w:val="282"/>
        </w:trPr>
        <w:tc>
          <w:tcPr>
            <w:tcW w:w="2336" w:type="dxa"/>
            <w:tcBorders>
              <w:top w:val="nil"/>
              <w:left w:val="nil"/>
              <w:bottom w:val="nil"/>
              <w:right w:val="nil"/>
            </w:tcBorders>
            <w:shd w:val="clear" w:color="000000" w:fill="FFFFFF"/>
            <w:vAlign w:val="center"/>
            <w:hideMark/>
          </w:tcPr>
          <w:p w14:paraId="5F1BE9D8" w14:textId="77777777" w:rsidR="009172A2" w:rsidRPr="00D618B7" w:rsidRDefault="009172A2" w:rsidP="004B11B7">
            <w:pPr>
              <w:jc w:val="center"/>
              <w:rPr>
                <w:color w:val="000000"/>
              </w:rPr>
            </w:pPr>
            <w:r w:rsidRPr="00D618B7">
              <w:rPr>
                <w:color w:val="000000"/>
              </w:rPr>
              <w:t>0</w:t>
            </w:r>
          </w:p>
        </w:tc>
        <w:tc>
          <w:tcPr>
            <w:tcW w:w="3861" w:type="dxa"/>
            <w:tcBorders>
              <w:top w:val="nil"/>
              <w:left w:val="nil"/>
              <w:bottom w:val="nil"/>
              <w:right w:val="nil"/>
            </w:tcBorders>
            <w:shd w:val="clear" w:color="000000" w:fill="FFFFFF"/>
            <w:noWrap/>
            <w:vAlign w:val="center"/>
            <w:hideMark/>
          </w:tcPr>
          <w:p w14:paraId="4CE6ECBE" w14:textId="77777777" w:rsidR="009172A2" w:rsidRPr="00D618B7" w:rsidRDefault="009172A2" w:rsidP="004B11B7">
            <w:pPr>
              <w:jc w:val="right"/>
              <w:rPr>
                <w:color w:val="000000"/>
              </w:rPr>
            </w:pPr>
            <w:r w:rsidRPr="00D618B7">
              <w:rPr>
                <w:color w:val="000000"/>
              </w:rPr>
              <w:t>10.787</w:t>
            </w:r>
          </w:p>
        </w:tc>
        <w:tc>
          <w:tcPr>
            <w:tcW w:w="3098" w:type="dxa"/>
            <w:tcBorders>
              <w:top w:val="nil"/>
              <w:left w:val="nil"/>
              <w:bottom w:val="nil"/>
              <w:right w:val="nil"/>
            </w:tcBorders>
            <w:shd w:val="clear" w:color="000000" w:fill="FFFFFF"/>
            <w:noWrap/>
            <w:vAlign w:val="center"/>
            <w:hideMark/>
          </w:tcPr>
          <w:p w14:paraId="521516BB" w14:textId="77777777" w:rsidR="009172A2" w:rsidRPr="00D618B7" w:rsidRDefault="009172A2" w:rsidP="004B11B7">
            <w:pPr>
              <w:jc w:val="right"/>
              <w:rPr>
                <w:color w:val="000000"/>
              </w:rPr>
            </w:pPr>
            <w:r w:rsidRPr="00D618B7">
              <w:rPr>
                <w:color w:val="000000"/>
              </w:rPr>
              <w:t>0.99276</w:t>
            </w:r>
          </w:p>
        </w:tc>
      </w:tr>
      <w:tr w:rsidR="009172A2" w:rsidRPr="00D618B7" w14:paraId="3AEF54A6" w14:textId="77777777" w:rsidTr="009172A2">
        <w:trPr>
          <w:trHeight w:val="282"/>
        </w:trPr>
        <w:tc>
          <w:tcPr>
            <w:tcW w:w="2336" w:type="dxa"/>
            <w:tcBorders>
              <w:top w:val="nil"/>
              <w:left w:val="nil"/>
              <w:bottom w:val="nil"/>
              <w:right w:val="nil"/>
            </w:tcBorders>
            <w:shd w:val="clear" w:color="000000" w:fill="FFFFFF"/>
            <w:vAlign w:val="center"/>
            <w:hideMark/>
          </w:tcPr>
          <w:p w14:paraId="771ACFE9" w14:textId="77777777" w:rsidR="009172A2" w:rsidRPr="00D618B7" w:rsidRDefault="009172A2" w:rsidP="004B11B7">
            <w:pPr>
              <w:jc w:val="center"/>
              <w:rPr>
                <w:color w:val="000000"/>
              </w:rPr>
            </w:pPr>
            <w:r w:rsidRPr="00D618B7">
              <w:rPr>
                <w:color w:val="000000"/>
              </w:rPr>
              <w:t>1</w:t>
            </w:r>
          </w:p>
        </w:tc>
        <w:tc>
          <w:tcPr>
            <w:tcW w:w="3861" w:type="dxa"/>
            <w:tcBorders>
              <w:top w:val="nil"/>
              <w:left w:val="nil"/>
              <w:bottom w:val="nil"/>
              <w:right w:val="nil"/>
            </w:tcBorders>
            <w:shd w:val="clear" w:color="000000" w:fill="FFFFFF"/>
            <w:noWrap/>
            <w:vAlign w:val="center"/>
            <w:hideMark/>
          </w:tcPr>
          <w:p w14:paraId="5AA71335" w14:textId="77777777" w:rsidR="009172A2" w:rsidRPr="00D618B7" w:rsidRDefault="009172A2" w:rsidP="004B11B7">
            <w:pPr>
              <w:jc w:val="right"/>
              <w:rPr>
                <w:color w:val="000000"/>
              </w:rPr>
            </w:pPr>
            <w:r w:rsidRPr="00D618B7">
              <w:rPr>
                <w:color w:val="000000"/>
              </w:rPr>
              <w:t>6.2397</w:t>
            </w:r>
          </w:p>
        </w:tc>
        <w:tc>
          <w:tcPr>
            <w:tcW w:w="3098" w:type="dxa"/>
            <w:tcBorders>
              <w:top w:val="nil"/>
              <w:left w:val="nil"/>
              <w:bottom w:val="nil"/>
              <w:right w:val="nil"/>
            </w:tcBorders>
            <w:shd w:val="clear" w:color="000000" w:fill="FFFFFF"/>
            <w:noWrap/>
            <w:vAlign w:val="center"/>
            <w:hideMark/>
          </w:tcPr>
          <w:p w14:paraId="5698B1F1" w14:textId="77777777" w:rsidR="009172A2" w:rsidRPr="00D618B7" w:rsidRDefault="009172A2" w:rsidP="004B11B7">
            <w:pPr>
              <w:jc w:val="right"/>
              <w:rPr>
                <w:color w:val="000000"/>
              </w:rPr>
            </w:pPr>
            <w:r w:rsidRPr="00D618B7">
              <w:rPr>
                <w:color w:val="000000"/>
              </w:rPr>
              <w:t>1.01206</w:t>
            </w:r>
          </w:p>
        </w:tc>
      </w:tr>
      <w:tr w:rsidR="009172A2" w:rsidRPr="00D618B7" w14:paraId="3F05EF69" w14:textId="77777777" w:rsidTr="009172A2">
        <w:trPr>
          <w:trHeight w:val="282"/>
        </w:trPr>
        <w:tc>
          <w:tcPr>
            <w:tcW w:w="2336" w:type="dxa"/>
            <w:tcBorders>
              <w:top w:val="nil"/>
              <w:left w:val="nil"/>
              <w:bottom w:val="nil"/>
              <w:right w:val="nil"/>
            </w:tcBorders>
            <w:shd w:val="clear" w:color="000000" w:fill="FFFFFF"/>
            <w:vAlign w:val="center"/>
            <w:hideMark/>
          </w:tcPr>
          <w:p w14:paraId="0A8F45F1" w14:textId="77777777" w:rsidR="009172A2" w:rsidRPr="00D618B7" w:rsidRDefault="009172A2" w:rsidP="004B11B7">
            <w:pPr>
              <w:jc w:val="center"/>
              <w:rPr>
                <w:color w:val="000000"/>
              </w:rPr>
            </w:pPr>
            <w:r w:rsidRPr="00D618B7">
              <w:rPr>
                <w:color w:val="000000"/>
              </w:rPr>
              <w:t>2</w:t>
            </w:r>
          </w:p>
        </w:tc>
        <w:tc>
          <w:tcPr>
            <w:tcW w:w="3861" w:type="dxa"/>
            <w:tcBorders>
              <w:top w:val="nil"/>
              <w:left w:val="nil"/>
              <w:bottom w:val="nil"/>
              <w:right w:val="nil"/>
            </w:tcBorders>
            <w:shd w:val="clear" w:color="000000" w:fill="FFFFFF"/>
            <w:noWrap/>
            <w:vAlign w:val="center"/>
            <w:hideMark/>
          </w:tcPr>
          <w:p w14:paraId="357AD5AA" w14:textId="77777777" w:rsidR="009172A2" w:rsidRPr="00D618B7" w:rsidRDefault="009172A2" w:rsidP="004B11B7">
            <w:pPr>
              <w:jc w:val="right"/>
              <w:rPr>
                <w:color w:val="000000"/>
              </w:rPr>
            </w:pPr>
            <w:r w:rsidRPr="00D618B7">
              <w:rPr>
                <w:color w:val="000000"/>
              </w:rPr>
              <w:t>11.0845</w:t>
            </w:r>
          </w:p>
        </w:tc>
        <w:tc>
          <w:tcPr>
            <w:tcW w:w="3098" w:type="dxa"/>
            <w:tcBorders>
              <w:top w:val="nil"/>
              <w:left w:val="nil"/>
              <w:bottom w:val="nil"/>
              <w:right w:val="nil"/>
            </w:tcBorders>
            <w:shd w:val="clear" w:color="000000" w:fill="FFFFFF"/>
            <w:noWrap/>
            <w:vAlign w:val="center"/>
            <w:hideMark/>
          </w:tcPr>
          <w:p w14:paraId="4463AD8E" w14:textId="77777777" w:rsidR="009172A2" w:rsidRPr="00D618B7" w:rsidRDefault="009172A2" w:rsidP="004B11B7">
            <w:pPr>
              <w:jc w:val="right"/>
              <w:rPr>
                <w:color w:val="000000"/>
              </w:rPr>
            </w:pPr>
            <w:r w:rsidRPr="00D618B7">
              <w:rPr>
                <w:color w:val="000000"/>
              </w:rPr>
              <w:t>1.21333</w:t>
            </w:r>
          </w:p>
        </w:tc>
      </w:tr>
      <w:tr w:rsidR="009172A2" w:rsidRPr="00D618B7" w14:paraId="69BBF171" w14:textId="77777777" w:rsidTr="009172A2">
        <w:trPr>
          <w:trHeight w:val="282"/>
        </w:trPr>
        <w:tc>
          <w:tcPr>
            <w:tcW w:w="2336" w:type="dxa"/>
            <w:tcBorders>
              <w:top w:val="nil"/>
              <w:left w:val="nil"/>
              <w:bottom w:val="nil"/>
              <w:right w:val="nil"/>
            </w:tcBorders>
            <w:shd w:val="clear" w:color="000000" w:fill="FFFFFF"/>
            <w:vAlign w:val="center"/>
            <w:hideMark/>
          </w:tcPr>
          <w:p w14:paraId="61BE6C47" w14:textId="77777777" w:rsidR="009172A2" w:rsidRPr="00D618B7" w:rsidRDefault="009172A2" w:rsidP="004B11B7">
            <w:pPr>
              <w:jc w:val="center"/>
              <w:rPr>
                <w:color w:val="000000"/>
              </w:rPr>
            </w:pPr>
            <w:r w:rsidRPr="00D618B7">
              <w:rPr>
                <w:color w:val="000000"/>
              </w:rPr>
              <w:t>3</w:t>
            </w:r>
          </w:p>
        </w:tc>
        <w:tc>
          <w:tcPr>
            <w:tcW w:w="3861" w:type="dxa"/>
            <w:tcBorders>
              <w:top w:val="nil"/>
              <w:left w:val="nil"/>
              <w:bottom w:val="nil"/>
              <w:right w:val="nil"/>
            </w:tcBorders>
            <w:shd w:val="clear" w:color="000000" w:fill="FFFFFF"/>
            <w:noWrap/>
            <w:vAlign w:val="center"/>
            <w:hideMark/>
          </w:tcPr>
          <w:p w14:paraId="614CD787" w14:textId="77777777" w:rsidR="009172A2" w:rsidRPr="00D618B7" w:rsidRDefault="009172A2" w:rsidP="004B11B7">
            <w:pPr>
              <w:jc w:val="right"/>
              <w:rPr>
                <w:color w:val="000000"/>
              </w:rPr>
            </w:pPr>
            <w:r w:rsidRPr="00D618B7">
              <w:rPr>
                <w:color w:val="000000"/>
              </w:rPr>
              <w:t>9.1306</w:t>
            </w:r>
          </w:p>
        </w:tc>
        <w:tc>
          <w:tcPr>
            <w:tcW w:w="3098" w:type="dxa"/>
            <w:tcBorders>
              <w:top w:val="nil"/>
              <w:left w:val="nil"/>
              <w:bottom w:val="nil"/>
              <w:right w:val="nil"/>
            </w:tcBorders>
            <w:shd w:val="clear" w:color="000000" w:fill="FFFFFF"/>
            <w:noWrap/>
            <w:vAlign w:val="center"/>
            <w:hideMark/>
          </w:tcPr>
          <w:p w14:paraId="5BF539EC" w14:textId="77777777" w:rsidR="009172A2" w:rsidRPr="00D618B7" w:rsidRDefault="009172A2" w:rsidP="004B11B7">
            <w:pPr>
              <w:jc w:val="right"/>
              <w:rPr>
                <w:color w:val="000000"/>
              </w:rPr>
            </w:pPr>
            <w:r w:rsidRPr="00D618B7">
              <w:rPr>
                <w:color w:val="000000"/>
              </w:rPr>
              <w:t>1.0197</w:t>
            </w:r>
          </w:p>
        </w:tc>
      </w:tr>
      <w:tr w:rsidR="009172A2" w:rsidRPr="00D618B7" w14:paraId="61A646C4" w14:textId="77777777" w:rsidTr="009172A2">
        <w:trPr>
          <w:trHeight w:val="282"/>
        </w:trPr>
        <w:tc>
          <w:tcPr>
            <w:tcW w:w="2336" w:type="dxa"/>
            <w:tcBorders>
              <w:top w:val="nil"/>
              <w:left w:val="nil"/>
              <w:bottom w:val="nil"/>
              <w:right w:val="nil"/>
            </w:tcBorders>
            <w:shd w:val="clear" w:color="000000" w:fill="FFFFFF"/>
            <w:vAlign w:val="center"/>
            <w:hideMark/>
          </w:tcPr>
          <w:p w14:paraId="6A2A6CAA" w14:textId="77777777" w:rsidR="009172A2" w:rsidRPr="00D618B7" w:rsidRDefault="009172A2" w:rsidP="004B11B7">
            <w:pPr>
              <w:jc w:val="center"/>
              <w:rPr>
                <w:color w:val="000000"/>
              </w:rPr>
            </w:pPr>
            <w:r w:rsidRPr="00D618B7">
              <w:rPr>
                <w:color w:val="000000"/>
              </w:rPr>
              <w:t>4</w:t>
            </w:r>
          </w:p>
        </w:tc>
        <w:tc>
          <w:tcPr>
            <w:tcW w:w="3861" w:type="dxa"/>
            <w:tcBorders>
              <w:top w:val="nil"/>
              <w:left w:val="nil"/>
              <w:bottom w:val="nil"/>
              <w:right w:val="nil"/>
            </w:tcBorders>
            <w:shd w:val="clear" w:color="000000" w:fill="FFFFFF"/>
            <w:noWrap/>
            <w:vAlign w:val="center"/>
            <w:hideMark/>
          </w:tcPr>
          <w:p w14:paraId="7897B62F" w14:textId="77777777" w:rsidR="009172A2" w:rsidRPr="00D618B7" w:rsidRDefault="009172A2" w:rsidP="004B11B7">
            <w:pPr>
              <w:jc w:val="right"/>
              <w:rPr>
                <w:color w:val="000000"/>
              </w:rPr>
            </w:pPr>
            <w:r w:rsidRPr="00D618B7">
              <w:rPr>
                <w:color w:val="000000"/>
              </w:rPr>
              <w:t>6.8035</w:t>
            </w:r>
          </w:p>
        </w:tc>
        <w:tc>
          <w:tcPr>
            <w:tcW w:w="3098" w:type="dxa"/>
            <w:tcBorders>
              <w:top w:val="nil"/>
              <w:left w:val="nil"/>
              <w:bottom w:val="nil"/>
              <w:right w:val="nil"/>
            </w:tcBorders>
            <w:shd w:val="clear" w:color="000000" w:fill="FFFFFF"/>
            <w:noWrap/>
            <w:vAlign w:val="center"/>
            <w:hideMark/>
          </w:tcPr>
          <w:p w14:paraId="6F350FA6" w14:textId="77777777" w:rsidR="009172A2" w:rsidRPr="00D618B7" w:rsidRDefault="009172A2" w:rsidP="004B11B7">
            <w:pPr>
              <w:jc w:val="right"/>
              <w:rPr>
                <w:color w:val="000000"/>
              </w:rPr>
            </w:pPr>
            <w:r w:rsidRPr="00D618B7">
              <w:rPr>
                <w:color w:val="000000"/>
              </w:rPr>
              <w:t>1.10002</w:t>
            </w:r>
          </w:p>
        </w:tc>
      </w:tr>
      <w:tr w:rsidR="009172A2" w:rsidRPr="00D618B7" w14:paraId="4275154E" w14:textId="77777777" w:rsidTr="009172A2">
        <w:trPr>
          <w:trHeight w:val="296"/>
        </w:trPr>
        <w:tc>
          <w:tcPr>
            <w:tcW w:w="2336" w:type="dxa"/>
            <w:tcBorders>
              <w:top w:val="nil"/>
              <w:left w:val="nil"/>
              <w:bottom w:val="single" w:sz="8" w:space="0" w:color="auto"/>
              <w:right w:val="nil"/>
            </w:tcBorders>
            <w:shd w:val="clear" w:color="000000" w:fill="FFFFFF"/>
            <w:vAlign w:val="center"/>
            <w:hideMark/>
          </w:tcPr>
          <w:p w14:paraId="42F5C9F5" w14:textId="77777777" w:rsidR="009172A2" w:rsidRPr="00D618B7" w:rsidRDefault="009172A2" w:rsidP="004B11B7">
            <w:pPr>
              <w:jc w:val="center"/>
              <w:rPr>
                <w:color w:val="000000"/>
              </w:rPr>
            </w:pPr>
            <w:r w:rsidRPr="00D618B7">
              <w:rPr>
                <w:color w:val="000000"/>
              </w:rPr>
              <w:t>5</w:t>
            </w:r>
          </w:p>
        </w:tc>
        <w:tc>
          <w:tcPr>
            <w:tcW w:w="3861" w:type="dxa"/>
            <w:tcBorders>
              <w:top w:val="nil"/>
              <w:left w:val="nil"/>
              <w:bottom w:val="single" w:sz="8" w:space="0" w:color="auto"/>
              <w:right w:val="nil"/>
            </w:tcBorders>
            <w:shd w:val="clear" w:color="000000" w:fill="FFFFFF"/>
            <w:noWrap/>
            <w:vAlign w:val="center"/>
            <w:hideMark/>
          </w:tcPr>
          <w:p w14:paraId="6A51A666" w14:textId="77777777" w:rsidR="009172A2" w:rsidRPr="00D618B7" w:rsidRDefault="009172A2" w:rsidP="004B11B7">
            <w:pPr>
              <w:jc w:val="right"/>
              <w:rPr>
                <w:color w:val="000000"/>
              </w:rPr>
            </w:pPr>
            <w:r w:rsidRPr="00D618B7">
              <w:rPr>
                <w:color w:val="000000"/>
              </w:rPr>
              <w:t>10.7918</w:t>
            </w:r>
          </w:p>
        </w:tc>
        <w:tc>
          <w:tcPr>
            <w:tcW w:w="3098" w:type="dxa"/>
            <w:tcBorders>
              <w:top w:val="nil"/>
              <w:left w:val="nil"/>
              <w:bottom w:val="single" w:sz="8" w:space="0" w:color="auto"/>
              <w:right w:val="nil"/>
            </w:tcBorders>
            <w:shd w:val="clear" w:color="000000" w:fill="FFFFFF"/>
            <w:noWrap/>
            <w:vAlign w:val="center"/>
            <w:hideMark/>
          </w:tcPr>
          <w:p w14:paraId="5969948F" w14:textId="77777777" w:rsidR="009172A2" w:rsidRPr="00D618B7" w:rsidRDefault="009172A2" w:rsidP="004B11B7">
            <w:pPr>
              <w:jc w:val="right"/>
              <w:rPr>
                <w:color w:val="000000"/>
              </w:rPr>
            </w:pPr>
            <w:r w:rsidRPr="00D618B7">
              <w:rPr>
                <w:color w:val="000000"/>
              </w:rPr>
              <w:t>1.10443</w:t>
            </w:r>
          </w:p>
        </w:tc>
      </w:tr>
    </w:tbl>
    <w:p w14:paraId="20BF25A2" w14:textId="77777777" w:rsidR="009172A2" w:rsidRPr="00D618B7" w:rsidRDefault="009172A2" w:rsidP="009172A2"/>
    <w:p w14:paraId="60137897" w14:textId="77777777" w:rsidR="009172A2" w:rsidRPr="00D618B7" w:rsidRDefault="009172A2" w:rsidP="009172A2">
      <w:r w:rsidRPr="00D618B7">
        <w:rPr>
          <w:i/>
          <w:iCs/>
        </w:rPr>
        <w:t>Note</w:t>
      </w:r>
      <w:r w:rsidRPr="00D618B7">
        <w:t>: This table shows the estimated mean average velocity and standard errors per week of observation around reach-onset.</w:t>
      </w:r>
    </w:p>
    <w:p w14:paraId="13240CCD" w14:textId="77777777" w:rsidR="000B5C72" w:rsidRDefault="000B5C72">
      <w:pPr>
        <w:rPr>
          <w:b/>
          <w:bCs/>
          <w:i/>
          <w:iCs/>
          <w:color w:val="000000" w:themeColor="text1"/>
        </w:rPr>
      </w:pPr>
      <w:bookmarkStart w:id="172" w:name="_Toc172716865"/>
      <w:r>
        <w:br w:type="page"/>
      </w:r>
    </w:p>
    <w:p w14:paraId="71C7365B" w14:textId="31AE9F5A" w:rsidR="009172A2" w:rsidRPr="00D618B7" w:rsidRDefault="009172A2" w:rsidP="007C5074">
      <w:pPr>
        <w:pStyle w:val="Caption"/>
      </w:pPr>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37</w:t>
      </w:r>
      <w:r w:rsidR="00000000">
        <w:rPr>
          <w:noProof/>
        </w:rPr>
        <w:fldChar w:fldCharType="end"/>
      </w:r>
      <w:r w:rsidR="00940E58">
        <w:rPr>
          <w:noProof/>
        </w:rPr>
        <w:t>:</w:t>
      </w:r>
      <w:r w:rsidRPr="00D618B7">
        <w:t xml:space="preserve"> </w:t>
      </w:r>
      <w:r w:rsidR="00F767C9">
        <w:t>A</w:t>
      </w:r>
      <w:r w:rsidRPr="00D618B7">
        <w:t>verage velocity by proximity</w:t>
      </w:r>
      <w:bookmarkEnd w:id="172"/>
    </w:p>
    <w:p w14:paraId="0D3FA479" w14:textId="77777777" w:rsidR="009172A2" w:rsidRPr="00D618B7" w:rsidRDefault="009172A2" w:rsidP="009172A2">
      <w:r w:rsidRPr="00D618B7">
        <w:t>Estimated Mean Average Velocity of Events by Proximity</w:t>
      </w:r>
    </w:p>
    <w:tbl>
      <w:tblPr>
        <w:tblW w:w="5000" w:type="pct"/>
        <w:tblLook w:val="04A0" w:firstRow="1" w:lastRow="0" w:firstColumn="1" w:lastColumn="0" w:noHBand="0" w:noVBand="1"/>
      </w:tblPr>
      <w:tblGrid>
        <w:gridCol w:w="3074"/>
        <w:gridCol w:w="2409"/>
        <w:gridCol w:w="3157"/>
      </w:tblGrid>
      <w:tr w:rsidR="009172A2" w:rsidRPr="00D618B7" w14:paraId="00347297" w14:textId="77777777" w:rsidTr="004B11B7">
        <w:trPr>
          <w:trHeight w:val="386"/>
        </w:trPr>
        <w:tc>
          <w:tcPr>
            <w:tcW w:w="1779" w:type="pct"/>
            <w:tcBorders>
              <w:top w:val="single" w:sz="4" w:space="0" w:color="auto"/>
              <w:left w:val="nil"/>
              <w:bottom w:val="single" w:sz="8" w:space="0" w:color="auto"/>
              <w:right w:val="nil"/>
            </w:tcBorders>
            <w:shd w:val="clear" w:color="000000" w:fill="FFFFFF"/>
            <w:vAlign w:val="center"/>
            <w:hideMark/>
          </w:tcPr>
          <w:p w14:paraId="5D956F47" w14:textId="77777777" w:rsidR="009172A2" w:rsidRPr="00D618B7" w:rsidRDefault="009172A2" w:rsidP="004B11B7">
            <w:pPr>
              <w:rPr>
                <w:color w:val="000000"/>
              </w:rPr>
            </w:pPr>
            <w:r w:rsidRPr="00D618B7">
              <w:rPr>
                <w:color w:val="000000"/>
              </w:rPr>
              <w:t>Week</w:t>
            </w:r>
          </w:p>
        </w:tc>
        <w:tc>
          <w:tcPr>
            <w:tcW w:w="1394" w:type="pct"/>
            <w:tcBorders>
              <w:top w:val="single" w:sz="4" w:space="0" w:color="auto"/>
              <w:left w:val="nil"/>
              <w:bottom w:val="single" w:sz="8" w:space="0" w:color="auto"/>
              <w:right w:val="nil"/>
            </w:tcBorders>
            <w:shd w:val="clear" w:color="000000" w:fill="FFFFFF"/>
            <w:noWrap/>
            <w:vAlign w:val="center"/>
            <w:hideMark/>
          </w:tcPr>
          <w:p w14:paraId="48DACEE9" w14:textId="77777777" w:rsidR="009172A2" w:rsidRPr="00D618B7" w:rsidRDefault="009172A2" w:rsidP="004B11B7">
            <w:pPr>
              <w:jc w:val="right"/>
              <w:rPr>
                <w:color w:val="000000"/>
              </w:rPr>
            </w:pPr>
            <w:r w:rsidRPr="00D618B7">
              <w:rPr>
                <w:color w:val="000000"/>
              </w:rPr>
              <w:t>Mean</w:t>
            </w:r>
          </w:p>
        </w:tc>
        <w:tc>
          <w:tcPr>
            <w:tcW w:w="1827" w:type="pct"/>
            <w:tcBorders>
              <w:top w:val="single" w:sz="4" w:space="0" w:color="auto"/>
              <w:left w:val="nil"/>
              <w:bottom w:val="single" w:sz="8" w:space="0" w:color="auto"/>
              <w:right w:val="nil"/>
            </w:tcBorders>
            <w:shd w:val="clear" w:color="000000" w:fill="FFFFFF"/>
            <w:noWrap/>
            <w:vAlign w:val="center"/>
            <w:hideMark/>
          </w:tcPr>
          <w:p w14:paraId="0D408B80" w14:textId="77777777" w:rsidR="009172A2" w:rsidRPr="00D618B7" w:rsidRDefault="009172A2" w:rsidP="004B11B7">
            <w:pPr>
              <w:jc w:val="right"/>
              <w:rPr>
                <w:color w:val="000000"/>
              </w:rPr>
            </w:pPr>
            <w:r w:rsidRPr="00D618B7">
              <w:rPr>
                <w:color w:val="000000"/>
              </w:rPr>
              <w:t>Std. Error</w:t>
            </w:r>
          </w:p>
        </w:tc>
      </w:tr>
      <w:tr w:rsidR="009172A2" w:rsidRPr="00D618B7" w14:paraId="0229ABB0" w14:textId="77777777" w:rsidTr="004B11B7">
        <w:trPr>
          <w:trHeight w:val="386"/>
        </w:trPr>
        <w:tc>
          <w:tcPr>
            <w:tcW w:w="1779" w:type="pct"/>
            <w:tcBorders>
              <w:top w:val="nil"/>
              <w:left w:val="nil"/>
              <w:bottom w:val="nil"/>
              <w:right w:val="nil"/>
            </w:tcBorders>
            <w:shd w:val="clear" w:color="000000" w:fill="FFFFFF"/>
            <w:vAlign w:val="center"/>
            <w:hideMark/>
          </w:tcPr>
          <w:p w14:paraId="771CAA19" w14:textId="77777777" w:rsidR="009172A2" w:rsidRPr="00D618B7" w:rsidRDefault="009172A2" w:rsidP="004B11B7">
            <w:pPr>
              <w:rPr>
                <w:color w:val="000000"/>
              </w:rPr>
            </w:pPr>
            <w:r w:rsidRPr="00D618B7">
              <w:rPr>
                <w:color w:val="000000"/>
              </w:rPr>
              <w:t>Toy-out-of-Reach</w:t>
            </w:r>
          </w:p>
        </w:tc>
        <w:tc>
          <w:tcPr>
            <w:tcW w:w="1394" w:type="pct"/>
            <w:tcBorders>
              <w:top w:val="nil"/>
              <w:left w:val="nil"/>
              <w:bottom w:val="nil"/>
              <w:right w:val="nil"/>
            </w:tcBorders>
            <w:shd w:val="clear" w:color="000000" w:fill="FFFFFF"/>
            <w:noWrap/>
            <w:vAlign w:val="center"/>
            <w:hideMark/>
          </w:tcPr>
          <w:p w14:paraId="21B67779" w14:textId="77777777" w:rsidR="009172A2" w:rsidRPr="00D618B7" w:rsidRDefault="009172A2" w:rsidP="004B11B7">
            <w:pPr>
              <w:jc w:val="right"/>
              <w:rPr>
                <w:color w:val="000000"/>
              </w:rPr>
            </w:pPr>
            <w:r w:rsidRPr="00D618B7">
              <w:rPr>
                <w:color w:val="000000"/>
              </w:rPr>
              <w:t>7.1687</w:t>
            </w:r>
          </w:p>
        </w:tc>
        <w:tc>
          <w:tcPr>
            <w:tcW w:w="1827" w:type="pct"/>
            <w:tcBorders>
              <w:top w:val="nil"/>
              <w:left w:val="nil"/>
              <w:bottom w:val="nil"/>
              <w:right w:val="nil"/>
            </w:tcBorders>
            <w:shd w:val="clear" w:color="000000" w:fill="FFFFFF"/>
            <w:noWrap/>
            <w:vAlign w:val="center"/>
            <w:hideMark/>
          </w:tcPr>
          <w:p w14:paraId="70121E84" w14:textId="77777777" w:rsidR="009172A2" w:rsidRPr="00D618B7" w:rsidRDefault="009172A2" w:rsidP="004B11B7">
            <w:pPr>
              <w:jc w:val="right"/>
              <w:rPr>
                <w:color w:val="000000"/>
              </w:rPr>
            </w:pPr>
            <w:r w:rsidRPr="00D618B7">
              <w:rPr>
                <w:color w:val="000000"/>
              </w:rPr>
              <w:t>1.04102</w:t>
            </w:r>
          </w:p>
        </w:tc>
      </w:tr>
      <w:tr w:rsidR="009172A2" w:rsidRPr="00D618B7" w14:paraId="71BCEAE1" w14:textId="77777777" w:rsidTr="004B11B7">
        <w:trPr>
          <w:trHeight w:val="386"/>
        </w:trPr>
        <w:tc>
          <w:tcPr>
            <w:tcW w:w="1779" w:type="pct"/>
            <w:tcBorders>
              <w:top w:val="nil"/>
              <w:left w:val="nil"/>
              <w:bottom w:val="nil"/>
              <w:right w:val="nil"/>
            </w:tcBorders>
            <w:shd w:val="clear" w:color="000000" w:fill="FFFFFF"/>
            <w:vAlign w:val="center"/>
            <w:hideMark/>
          </w:tcPr>
          <w:p w14:paraId="13AC2AA0" w14:textId="77777777" w:rsidR="009172A2" w:rsidRPr="00D618B7" w:rsidRDefault="009172A2" w:rsidP="004B11B7">
            <w:pPr>
              <w:rPr>
                <w:color w:val="000000"/>
              </w:rPr>
            </w:pPr>
            <w:r w:rsidRPr="00D618B7">
              <w:rPr>
                <w:color w:val="000000"/>
              </w:rPr>
              <w:t>Toy-Moving-into-Reach</w:t>
            </w:r>
          </w:p>
        </w:tc>
        <w:tc>
          <w:tcPr>
            <w:tcW w:w="1394" w:type="pct"/>
            <w:tcBorders>
              <w:top w:val="nil"/>
              <w:left w:val="nil"/>
              <w:bottom w:val="nil"/>
              <w:right w:val="nil"/>
            </w:tcBorders>
            <w:shd w:val="clear" w:color="000000" w:fill="FFFFFF"/>
            <w:noWrap/>
            <w:vAlign w:val="center"/>
            <w:hideMark/>
          </w:tcPr>
          <w:p w14:paraId="4EEBEBA2" w14:textId="77777777" w:rsidR="009172A2" w:rsidRPr="00D618B7" w:rsidRDefault="009172A2" w:rsidP="004B11B7">
            <w:pPr>
              <w:jc w:val="right"/>
              <w:rPr>
                <w:color w:val="000000"/>
              </w:rPr>
            </w:pPr>
            <w:r w:rsidRPr="00D618B7">
              <w:rPr>
                <w:color w:val="000000"/>
              </w:rPr>
              <w:t>7.6588</w:t>
            </w:r>
          </w:p>
        </w:tc>
        <w:tc>
          <w:tcPr>
            <w:tcW w:w="1827" w:type="pct"/>
            <w:tcBorders>
              <w:top w:val="nil"/>
              <w:left w:val="nil"/>
              <w:bottom w:val="nil"/>
              <w:right w:val="nil"/>
            </w:tcBorders>
            <w:shd w:val="clear" w:color="000000" w:fill="FFFFFF"/>
            <w:noWrap/>
            <w:vAlign w:val="center"/>
            <w:hideMark/>
          </w:tcPr>
          <w:p w14:paraId="4BBB7679" w14:textId="77777777" w:rsidR="009172A2" w:rsidRPr="00D618B7" w:rsidRDefault="009172A2" w:rsidP="004B11B7">
            <w:pPr>
              <w:jc w:val="right"/>
              <w:rPr>
                <w:color w:val="000000"/>
              </w:rPr>
            </w:pPr>
            <w:r w:rsidRPr="00D618B7">
              <w:rPr>
                <w:color w:val="000000"/>
              </w:rPr>
              <w:t>1.14959</w:t>
            </w:r>
          </w:p>
        </w:tc>
      </w:tr>
      <w:tr w:rsidR="009172A2" w:rsidRPr="00D618B7" w14:paraId="7A72B606" w14:textId="77777777" w:rsidTr="004B11B7">
        <w:trPr>
          <w:trHeight w:val="386"/>
        </w:trPr>
        <w:tc>
          <w:tcPr>
            <w:tcW w:w="1779" w:type="pct"/>
            <w:tcBorders>
              <w:top w:val="nil"/>
              <w:left w:val="nil"/>
              <w:bottom w:val="single" w:sz="8" w:space="0" w:color="auto"/>
              <w:right w:val="nil"/>
            </w:tcBorders>
            <w:shd w:val="clear" w:color="000000" w:fill="FFFFFF"/>
            <w:vAlign w:val="center"/>
            <w:hideMark/>
          </w:tcPr>
          <w:p w14:paraId="778B9B4B" w14:textId="77777777" w:rsidR="009172A2" w:rsidRPr="00D618B7" w:rsidRDefault="009172A2" w:rsidP="004B11B7">
            <w:pPr>
              <w:rPr>
                <w:color w:val="000000"/>
              </w:rPr>
            </w:pPr>
            <w:r w:rsidRPr="00D618B7">
              <w:rPr>
                <w:color w:val="000000"/>
              </w:rPr>
              <w:t>Toy-in-Reach</w:t>
            </w:r>
          </w:p>
        </w:tc>
        <w:tc>
          <w:tcPr>
            <w:tcW w:w="1394" w:type="pct"/>
            <w:tcBorders>
              <w:top w:val="nil"/>
              <w:left w:val="nil"/>
              <w:bottom w:val="single" w:sz="8" w:space="0" w:color="auto"/>
              <w:right w:val="nil"/>
            </w:tcBorders>
            <w:shd w:val="clear" w:color="000000" w:fill="FFFFFF"/>
            <w:noWrap/>
            <w:vAlign w:val="center"/>
            <w:hideMark/>
          </w:tcPr>
          <w:p w14:paraId="41D17944" w14:textId="77777777" w:rsidR="009172A2" w:rsidRPr="00D618B7" w:rsidRDefault="009172A2" w:rsidP="004B11B7">
            <w:pPr>
              <w:jc w:val="right"/>
              <w:rPr>
                <w:color w:val="000000"/>
              </w:rPr>
            </w:pPr>
            <w:r w:rsidRPr="00D618B7">
              <w:rPr>
                <w:color w:val="000000"/>
              </w:rPr>
              <w:t>8.6227</w:t>
            </w:r>
          </w:p>
        </w:tc>
        <w:tc>
          <w:tcPr>
            <w:tcW w:w="1827" w:type="pct"/>
            <w:tcBorders>
              <w:top w:val="nil"/>
              <w:left w:val="nil"/>
              <w:bottom w:val="single" w:sz="8" w:space="0" w:color="auto"/>
              <w:right w:val="nil"/>
            </w:tcBorders>
            <w:shd w:val="clear" w:color="000000" w:fill="FFFFFF"/>
            <w:noWrap/>
            <w:vAlign w:val="center"/>
            <w:hideMark/>
          </w:tcPr>
          <w:p w14:paraId="1C260AA2" w14:textId="77777777" w:rsidR="009172A2" w:rsidRPr="00D618B7" w:rsidRDefault="009172A2" w:rsidP="004B11B7">
            <w:pPr>
              <w:jc w:val="right"/>
              <w:rPr>
                <w:color w:val="000000"/>
              </w:rPr>
            </w:pPr>
            <w:r w:rsidRPr="00D618B7">
              <w:rPr>
                <w:color w:val="000000"/>
              </w:rPr>
              <w:t>1.2017</w:t>
            </w:r>
          </w:p>
        </w:tc>
      </w:tr>
    </w:tbl>
    <w:p w14:paraId="1DBE07D5" w14:textId="77777777" w:rsidR="009172A2" w:rsidRPr="00D618B7" w:rsidRDefault="009172A2" w:rsidP="009172A2">
      <w:pPr>
        <w:rPr>
          <w:i/>
          <w:iCs/>
        </w:rPr>
      </w:pPr>
    </w:p>
    <w:p w14:paraId="1E3F2F67" w14:textId="77777777" w:rsidR="009172A2" w:rsidRPr="00D618B7" w:rsidRDefault="009172A2" w:rsidP="009172A2">
      <w:r w:rsidRPr="00D618B7">
        <w:rPr>
          <w:i/>
          <w:iCs/>
        </w:rPr>
        <w:t>Note</w:t>
      </w:r>
      <w:r w:rsidRPr="00D618B7">
        <w:t>: This table lists the estimated mean Average Velocity and standard errors for toy-out-of-reach, toy-moving-into-reach, and toy-in-reach.</w:t>
      </w:r>
    </w:p>
    <w:p w14:paraId="2DE88539" w14:textId="77777777" w:rsidR="009172A2" w:rsidRPr="00D618B7" w:rsidRDefault="009172A2" w:rsidP="009172A2"/>
    <w:p w14:paraId="6576C32A" w14:textId="77777777" w:rsidR="00CB4778" w:rsidRPr="00D618B7" w:rsidRDefault="00CB4778" w:rsidP="00CB4778"/>
    <w:p w14:paraId="09605D54" w14:textId="3EBC40BC" w:rsidR="009172A2" w:rsidRPr="00D618B7" w:rsidRDefault="009172A2" w:rsidP="007C5074">
      <w:pPr>
        <w:pStyle w:val="Caption"/>
      </w:pPr>
      <w:bookmarkStart w:id="173" w:name="_Toc172716866"/>
      <w:r w:rsidRPr="00D618B7">
        <w:t xml:space="preserve">Table </w:t>
      </w:r>
      <w:r w:rsidR="00000000">
        <w:fldChar w:fldCharType="begin"/>
      </w:r>
      <w:r w:rsidR="00000000">
        <w:instrText xml:space="preserve"> SEQ Table \* ARABIC </w:instrText>
      </w:r>
      <w:r w:rsidR="00000000">
        <w:fldChar w:fldCharType="separate"/>
      </w:r>
      <w:r w:rsidR="000C6E43">
        <w:rPr>
          <w:noProof/>
        </w:rPr>
        <w:t>38</w:t>
      </w:r>
      <w:r w:rsidR="00000000">
        <w:rPr>
          <w:noProof/>
        </w:rPr>
        <w:fldChar w:fldCharType="end"/>
      </w:r>
      <w:r w:rsidRPr="00D618B7">
        <w:t xml:space="preserve">: </w:t>
      </w:r>
      <w:r w:rsidR="00F767C9">
        <w:t>A</w:t>
      </w:r>
      <w:r w:rsidRPr="00D618B7">
        <w:t>verage velocity by proximity and week</w:t>
      </w:r>
      <w:bookmarkEnd w:id="173"/>
    </w:p>
    <w:p w14:paraId="50E90E32" w14:textId="77777777" w:rsidR="009172A2" w:rsidRPr="00D618B7" w:rsidRDefault="009172A2" w:rsidP="009172A2">
      <w:r w:rsidRPr="00D618B7">
        <w:t>Estimated Mean Average Velocity per Proximity and Week</w:t>
      </w:r>
    </w:p>
    <w:tbl>
      <w:tblPr>
        <w:tblW w:w="8820" w:type="dxa"/>
        <w:tblLook w:val="04A0" w:firstRow="1" w:lastRow="0" w:firstColumn="1" w:lastColumn="0" w:noHBand="0" w:noVBand="1"/>
      </w:tblPr>
      <w:tblGrid>
        <w:gridCol w:w="1140"/>
        <w:gridCol w:w="1193"/>
        <w:gridCol w:w="1367"/>
        <w:gridCol w:w="1193"/>
        <w:gridCol w:w="1367"/>
        <w:gridCol w:w="1193"/>
        <w:gridCol w:w="1367"/>
      </w:tblGrid>
      <w:tr w:rsidR="009172A2" w:rsidRPr="00D618B7" w14:paraId="3C285824" w14:textId="77777777" w:rsidTr="004B11B7">
        <w:trPr>
          <w:trHeight w:val="615"/>
        </w:trPr>
        <w:tc>
          <w:tcPr>
            <w:tcW w:w="1140" w:type="dxa"/>
            <w:tcBorders>
              <w:top w:val="single" w:sz="18" w:space="0" w:color="auto"/>
              <w:left w:val="nil"/>
              <w:right w:val="nil"/>
            </w:tcBorders>
            <w:shd w:val="clear" w:color="000000" w:fill="FFFFFF"/>
            <w:vAlign w:val="center"/>
            <w:hideMark/>
          </w:tcPr>
          <w:p w14:paraId="17D2743A" w14:textId="77777777" w:rsidR="009172A2" w:rsidRPr="00D618B7" w:rsidRDefault="009172A2" w:rsidP="004B11B7">
            <w:pPr>
              <w:rPr>
                <w:color w:val="000000"/>
              </w:rPr>
            </w:pPr>
            <w:r w:rsidRPr="00D618B7">
              <w:rPr>
                <w:color w:val="000000"/>
              </w:rPr>
              <w:t>Week</w:t>
            </w:r>
          </w:p>
        </w:tc>
        <w:tc>
          <w:tcPr>
            <w:tcW w:w="2560" w:type="dxa"/>
            <w:gridSpan w:val="2"/>
            <w:tcBorders>
              <w:top w:val="single" w:sz="18" w:space="0" w:color="auto"/>
              <w:left w:val="nil"/>
              <w:bottom w:val="single" w:sz="18" w:space="0" w:color="auto"/>
              <w:right w:val="nil"/>
            </w:tcBorders>
            <w:shd w:val="clear" w:color="000000" w:fill="FFFFFF"/>
            <w:vAlign w:val="center"/>
            <w:hideMark/>
          </w:tcPr>
          <w:p w14:paraId="7FC1834C" w14:textId="77777777" w:rsidR="009172A2" w:rsidRPr="00D618B7" w:rsidRDefault="009172A2" w:rsidP="004B11B7">
            <w:pPr>
              <w:jc w:val="center"/>
              <w:rPr>
                <w:color w:val="000000"/>
              </w:rPr>
            </w:pPr>
            <w:r w:rsidRPr="00D618B7">
              <w:rPr>
                <w:color w:val="000000"/>
              </w:rPr>
              <w:t>Toy-Out-of-Reach</w:t>
            </w:r>
          </w:p>
        </w:tc>
        <w:tc>
          <w:tcPr>
            <w:tcW w:w="2560" w:type="dxa"/>
            <w:gridSpan w:val="2"/>
            <w:tcBorders>
              <w:top w:val="single" w:sz="18" w:space="0" w:color="auto"/>
              <w:left w:val="nil"/>
              <w:bottom w:val="single" w:sz="18" w:space="0" w:color="auto"/>
              <w:right w:val="nil"/>
            </w:tcBorders>
            <w:shd w:val="clear" w:color="000000" w:fill="FFFFFF"/>
            <w:vAlign w:val="center"/>
            <w:hideMark/>
          </w:tcPr>
          <w:p w14:paraId="3DD6FD96" w14:textId="77777777" w:rsidR="009172A2" w:rsidRPr="00D618B7" w:rsidRDefault="009172A2" w:rsidP="004B11B7">
            <w:pPr>
              <w:jc w:val="center"/>
              <w:rPr>
                <w:color w:val="000000"/>
              </w:rPr>
            </w:pPr>
            <w:r w:rsidRPr="00D618B7">
              <w:rPr>
                <w:color w:val="000000"/>
              </w:rPr>
              <w:t>Toy-Moving-into-Reach</w:t>
            </w:r>
          </w:p>
        </w:tc>
        <w:tc>
          <w:tcPr>
            <w:tcW w:w="2560" w:type="dxa"/>
            <w:gridSpan w:val="2"/>
            <w:tcBorders>
              <w:top w:val="single" w:sz="18" w:space="0" w:color="auto"/>
              <w:left w:val="nil"/>
              <w:bottom w:val="single" w:sz="18" w:space="0" w:color="auto"/>
              <w:right w:val="nil"/>
            </w:tcBorders>
            <w:shd w:val="clear" w:color="000000" w:fill="FFFFFF"/>
            <w:vAlign w:val="center"/>
            <w:hideMark/>
          </w:tcPr>
          <w:p w14:paraId="7BCB2A72" w14:textId="77777777" w:rsidR="009172A2" w:rsidRPr="00D618B7" w:rsidRDefault="009172A2" w:rsidP="004B11B7">
            <w:pPr>
              <w:jc w:val="center"/>
              <w:rPr>
                <w:color w:val="000000"/>
              </w:rPr>
            </w:pPr>
            <w:r w:rsidRPr="00D618B7">
              <w:rPr>
                <w:color w:val="000000"/>
              </w:rPr>
              <w:t>Toy-in-Reach</w:t>
            </w:r>
          </w:p>
        </w:tc>
      </w:tr>
      <w:tr w:rsidR="009172A2" w:rsidRPr="00D618B7" w14:paraId="36BB5709" w14:textId="77777777" w:rsidTr="004B11B7">
        <w:trPr>
          <w:trHeight w:val="315"/>
        </w:trPr>
        <w:tc>
          <w:tcPr>
            <w:tcW w:w="1140" w:type="dxa"/>
            <w:tcBorders>
              <w:top w:val="nil"/>
              <w:left w:val="nil"/>
              <w:bottom w:val="single" w:sz="18" w:space="0" w:color="auto"/>
              <w:right w:val="nil"/>
            </w:tcBorders>
            <w:shd w:val="clear" w:color="000000" w:fill="FFFFFF"/>
            <w:noWrap/>
            <w:vAlign w:val="bottom"/>
            <w:hideMark/>
          </w:tcPr>
          <w:p w14:paraId="72CA3950" w14:textId="77777777" w:rsidR="009172A2" w:rsidRPr="00D618B7" w:rsidRDefault="009172A2" w:rsidP="004B11B7">
            <w:pPr>
              <w:rPr>
                <w:color w:val="000000"/>
              </w:rPr>
            </w:pPr>
            <w:r w:rsidRPr="00D618B7">
              <w:rPr>
                <w:color w:val="000000"/>
              </w:rPr>
              <w:t> </w:t>
            </w:r>
          </w:p>
        </w:tc>
        <w:tc>
          <w:tcPr>
            <w:tcW w:w="1193" w:type="dxa"/>
            <w:tcBorders>
              <w:top w:val="single" w:sz="18" w:space="0" w:color="auto"/>
              <w:left w:val="nil"/>
              <w:bottom w:val="single" w:sz="18" w:space="0" w:color="auto"/>
              <w:right w:val="nil"/>
            </w:tcBorders>
            <w:shd w:val="clear" w:color="000000" w:fill="FFFFFF"/>
            <w:noWrap/>
            <w:vAlign w:val="center"/>
            <w:hideMark/>
          </w:tcPr>
          <w:p w14:paraId="5305A2E7" w14:textId="77777777" w:rsidR="009172A2" w:rsidRPr="00D618B7" w:rsidRDefault="009172A2" w:rsidP="004B11B7">
            <w:pPr>
              <w:jc w:val="right"/>
              <w:rPr>
                <w:color w:val="000000"/>
              </w:rPr>
            </w:pPr>
            <w:r w:rsidRPr="00D618B7">
              <w:rPr>
                <w:color w:val="000000"/>
              </w:rPr>
              <w:t>Mean</w:t>
            </w:r>
          </w:p>
        </w:tc>
        <w:tc>
          <w:tcPr>
            <w:tcW w:w="1367" w:type="dxa"/>
            <w:tcBorders>
              <w:top w:val="single" w:sz="18" w:space="0" w:color="auto"/>
              <w:left w:val="nil"/>
              <w:bottom w:val="single" w:sz="18" w:space="0" w:color="auto"/>
              <w:right w:val="nil"/>
            </w:tcBorders>
            <w:shd w:val="clear" w:color="000000" w:fill="FFFFFF"/>
            <w:noWrap/>
            <w:vAlign w:val="center"/>
            <w:hideMark/>
          </w:tcPr>
          <w:p w14:paraId="1A47670A" w14:textId="77777777" w:rsidR="009172A2" w:rsidRPr="00D618B7" w:rsidRDefault="009172A2" w:rsidP="004B11B7">
            <w:pPr>
              <w:jc w:val="right"/>
              <w:rPr>
                <w:color w:val="000000"/>
              </w:rPr>
            </w:pPr>
            <w:r w:rsidRPr="00D618B7">
              <w:rPr>
                <w:color w:val="000000"/>
              </w:rPr>
              <w:t>Std. Error</w:t>
            </w:r>
          </w:p>
        </w:tc>
        <w:tc>
          <w:tcPr>
            <w:tcW w:w="1193" w:type="dxa"/>
            <w:tcBorders>
              <w:top w:val="single" w:sz="18" w:space="0" w:color="auto"/>
              <w:left w:val="nil"/>
              <w:bottom w:val="single" w:sz="18" w:space="0" w:color="auto"/>
              <w:right w:val="nil"/>
            </w:tcBorders>
            <w:shd w:val="clear" w:color="000000" w:fill="FFFFFF"/>
            <w:noWrap/>
            <w:vAlign w:val="center"/>
            <w:hideMark/>
          </w:tcPr>
          <w:p w14:paraId="4048AC6C" w14:textId="77777777" w:rsidR="009172A2" w:rsidRPr="00D618B7" w:rsidRDefault="009172A2" w:rsidP="004B11B7">
            <w:pPr>
              <w:jc w:val="right"/>
              <w:rPr>
                <w:color w:val="000000"/>
              </w:rPr>
            </w:pPr>
            <w:r w:rsidRPr="00D618B7">
              <w:rPr>
                <w:color w:val="000000"/>
              </w:rPr>
              <w:t>Mean</w:t>
            </w:r>
          </w:p>
        </w:tc>
        <w:tc>
          <w:tcPr>
            <w:tcW w:w="1367" w:type="dxa"/>
            <w:tcBorders>
              <w:top w:val="single" w:sz="18" w:space="0" w:color="auto"/>
              <w:left w:val="nil"/>
              <w:bottom w:val="single" w:sz="18" w:space="0" w:color="auto"/>
              <w:right w:val="nil"/>
            </w:tcBorders>
            <w:shd w:val="clear" w:color="000000" w:fill="FFFFFF"/>
            <w:noWrap/>
            <w:vAlign w:val="center"/>
            <w:hideMark/>
          </w:tcPr>
          <w:p w14:paraId="3F0B7125" w14:textId="77777777" w:rsidR="009172A2" w:rsidRPr="00D618B7" w:rsidRDefault="009172A2" w:rsidP="004B11B7">
            <w:pPr>
              <w:jc w:val="right"/>
              <w:rPr>
                <w:color w:val="000000"/>
              </w:rPr>
            </w:pPr>
            <w:r w:rsidRPr="00D618B7">
              <w:rPr>
                <w:color w:val="000000"/>
              </w:rPr>
              <w:t>Std. Error</w:t>
            </w:r>
          </w:p>
        </w:tc>
        <w:tc>
          <w:tcPr>
            <w:tcW w:w="1193" w:type="dxa"/>
            <w:tcBorders>
              <w:top w:val="single" w:sz="18" w:space="0" w:color="auto"/>
              <w:left w:val="nil"/>
              <w:bottom w:val="single" w:sz="18" w:space="0" w:color="auto"/>
              <w:right w:val="nil"/>
            </w:tcBorders>
            <w:shd w:val="clear" w:color="000000" w:fill="FFFFFF"/>
            <w:noWrap/>
            <w:vAlign w:val="center"/>
            <w:hideMark/>
          </w:tcPr>
          <w:p w14:paraId="35005DFA" w14:textId="77777777" w:rsidR="009172A2" w:rsidRPr="00D618B7" w:rsidRDefault="009172A2" w:rsidP="004B11B7">
            <w:pPr>
              <w:jc w:val="right"/>
              <w:rPr>
                <w:color w:val="000000"/>
              </w:rPr>
            </w:pPr>
            <w:r w:rsidRPr="00D618B7">
              <w:rPr>
                <w:color w:val="000000"/>
              </w:rPr>
              <w:t>Mean</w:t>
            </w:r>
          </w:p>
        </w:tc>
        <w:tc>
          <w:tcPr>
            <w:tcW w:w="1367" w:type="dxa"/>
            <w:tcBorders>
              <w:top w:val="single" w:sz="18" w:space="0" w:color="auto"/>
              <w:left w:val="nil"/>
              <w:bottom w:val="single" w:sz="18" w:space="0" w:color="auto"/>
              <w:right w:val="nil"/>
            </w:tcBorders>
            <w:shd w:val="clear" w:color="000000" w:fill="FFFFFF"/>
            <w:noWrap/>
            <w:vAlign w:val="center"/>
            <w:hideMark/>
          </w:tcPr>
          <w:p w14:paraId="6A2208E0" w14:textId="77777777" w:rsidR="009172A2" w:rsidRPr="00D618B7" w:rsidRDefault="009172A2" w:rsidP="004B11B7">
            <w:pPr>
              <w:jc w:val="right"/>
              <w:rPr>
                <w:color w:val="000000"/>
              </w:rPr>
            </w:pPr>
            <w:r w:rsidRPr="00D618B7">
              <w:rPr>
                <w:color w:val="000000"/>
              </w:rPr>
              <w:t>Std. Error</w:t>
            </w:r>
          </w:p>
        </w:tc>
      </w:tr>
      <w:tr w:rsidR="009172A2" w:rsidRPr="00D618B7" w14:paraId="59B149B4" w14:textId="77777777" w:rsidTr="004B11B7">
        <w:trPr>
          <w:trHeight w:val="315"/>
        </w:trPr>
        <w:tc>
          <w:tcPr>
            <w:tcW w:w="1140" w:type="dxa"/>
            <w:tcBorders>
              <w:top w:val="single" w:sz="18" w:space="0" w:color="auto"/>
              <w:left w:val="nil"/>
              <w:bottom w:val="nil"/>
              <w:right w:val="nil"/>
            </w:tcBorders>
            <w:shd w:val="clear" w:color="000000" w:fill="FFFFFF"/>
            <w:vAlign w:val="center"/>
            <w:hideMark/>
          </w:tcPr>
          <w:p w14:paraId="4C06D00E" w14:textId="77777777" w:rsidR="009172A2" w:rsidRPr="00D618B7" w:rsidRDefault="009172A2" w:rsidP="004B11B7">
            <w:pPr>
              <w:jc w:val="right"/>
              <w:rPr>
                <w:color w:val="000000"/>
              </w:rPr>
            </w:pPr>
            <w:r w:rsidRPr="00D618B7">
              <w:rPr>
                <w:color w:val="000000"/>
              </w:rPr>
              <w:t>-5</w:t>
            </w:r>
          </w:p>
        </w:tc>
        <w:tc>
          <w:tcPr>
            <w:tcW w:w="1193" w:type="dxa"/>
            <w:tcBorders>
              <w:top w:val="single" w:sz="18" w:space="0" w:color="auto"/>
              <w:left w:val="nil"/>
              <w:bottom w:val="nil"/>
              <w:right w:val="nil"/>
            </w:tcBorders>
            <w:shd w:val="clear" w:color="000000" w:fill="FFFFFF"/>
            <w:noWrap/>
            <w:vAlign w:val="bottom"/>
            <w:hideMark/>
          </w:tcPr>
          <w:p w14:paraId="3C68967B" w14:textId="77777777" w:rsidR="009172A2" w:rsidRPr="00D618B7" w:rsidRDefault="009172A2" w:rsidP="004B11B7">
            <w:pPr>
              <w:jc w:val="right"/>
              <w:rPr>
                <w:color w:val="000000"/>
              </w:rPr>
            </w:pPr>
            <w:r w:rsidRPr="00D618B7">
              <w:rPr>
                <w:color w:val="000000"/>
              </w:rPr>
              <w:t>7.69</w:t>
            </w:r>
          </w:p>
        </w:tc>
        <w:tc>
          <w:tcPr>
            <w:tcW w:w="1367" w:type="dxa"/>
            <w:tcBorders>
              <w:top w:val="single" w:sz="18" w:space="0" w:color="auto"/>
              <w:left w:val="nil"/>
              <w:bottom w:val="nil"/>
              <w:right w:val="nil"/>
            </w:tcBorders>
            <w:shd w:val="clear" w:color="000000" w:fill="FFFFFF"/>
            <w:noWrap/>
            <w:vAlign w:val="bottom"/>
            <w:hideMark/>
          </w:tcPr>
          <w:p w14:paraId="1361CE05" w14:textId="77777777" w:rsidR="009172A2" w:rsidRPr="00D618B7" w:rsidRDefault="009172A2" w:rsidP="004B11B7">
            <w:pPr>
              <w:jc w:val="right"/>
              <w:rPr>
                <w:color w:val="000000"/>
              </w:rPr>
            </w:pPr>
            <w:r w:rsidRPr="00D618B7">
              <w:rPr>
                <w:color w:val="000000"/>
              </w:rPr>
              <w:t>1.69</w:t>
            </w:r>
          </w:p>
        </w:tc>
        <w:tc>
          <w:tcPr>
            <w:tcW w:w="1193" w:type="dxa"/>
            <w:tcBorders>
              <w:top w:val="single" w:sz="18" w:space="0" w:color="auto"/>
              <w:left w:val="nil"/>
              <w:bottom w:val="nil"/>
              <w:right w:val="nil"/>
            </w:tcBorders>
            <w:shd w:val="clear" w:color="000000" w:fill="FFFFFF"/>
            <w:noWrap/>
            <w:vAlign w:val="bottom"/>
            <w:hideMark/>
          </w:tcPr>
          <w:p w14:paraId="2A29476C" w14:textId="77777777" w:rsidR="009172A2" w:rsidRPr="00D618B7" w:rsidRDefault="009172A2" w:rsidP="004B11B7">
            <w:pPr>
              <w:jc w:val="right"/>
              <w:rPr>
                <w:color w:val="000000"/>
              </w:rPr>
            </w:pPr>
            <w:r w:rsidRPr="00D618B7">
              <w:rPr>
                <w:color w:val="000000"/>
              </w:rPr>
              <w:t>5.83</w:t>
            </w:r>
          </w:p>
        </w:tc>
        <w:tc>
          <w:tcPr>
            <w:tcW w:w="1367" w:type="dxa"/>
            <w:tcBorders>
              <w:top w:val="single" w:sz="18" w:space="0" w:color="auto"/>
              <w:left w:val="nil"/>
              <w:bottom w:val="nil"/>
              <w:right w:val="nil"/>
            </w:tcBorders>
            <w:shd w:val="clear" w:color="000000" w:fill="FFFFFF"/>
            <w:noWrap/>
            <w:vAlign w:val="bottom"/>
            <w:hideMark/>
          </w:tcPr>
          <w:p w14:paraId="0CA5B728" w14:textId="77777777" w:rsidR="009172A2" w:rsidRPr="00D618B7" w:rsidRDefault="009172A2" w:rsidP="004B11B7">
            <w:pPr>
              <w:jc w:val="right"/>
              <w:rPr>
                <w:color w:val="000000"/>
              </w:rPr>
            </w:pPr>
            <w:r w:rsidRPr="00D618B7">
              <w:rPr>
                <w:color w:val="000000"/>
              </w:rPr>
              <w:t>1.69</w:t>
            </w:r>
          </w:p>
        </w:tc>
        <w:tc>
          <w:tcPr>
            <w:tcW w:w="1193" w:type="dxa"/>
            <w:tcBorders>
              <w:top w:val="single" w:sz="18" w:space="0" w:color="auto"/>
              <w:left w:val="nil"/>
              <w:bottom w:val="nil"/>
              <w:right w:val="nil"/>
            </w:tcBorders>
            <w:shd w:val="clear" w:color="000000" w:fill="FFFFFF"/>
            <w:noWrap/>
            <w:vAlign w:val="bottom"/>
            <w:hideMark/>
          </w:tcPr>
          <w:p w14:paraId="4C70207E" w14:textId="77777777" w:rsidR="009172A2" w:rsidRPr="00D618B7" w:rsidRDefault="009172A2" w:rsidP="004B11B7">
            <w:pPr>
              <w:jc w:val="right"/>
              <w:rPr>
                <w:color w:val="000000"/>
              </w:rPr>
            </w:pPr>
            <w:r w:rsidRPr="00D618B7">
              <w:rPr>
                <w:color w:val="000000"/>
              </w:rPr>
              <w:t>7.98</w:t>
            </w:r>
          </w:p>
        </w:tc>
        <w:tc>
          <w:tcPr>
            <w:tcW w:w="1367" w:type="dxa"/>
            <w:tcBorders>
              <w:top w:val="single" w:sz="18" w:space="0" w:color="auto"/>
              <w:left w:val="nil"/>
              <w:bottom w:val="nil"/>
              <w:right w:val="nil"/>
            </w:tcBorders>
            <w:shd w:val="clear" w:color="000000" w:fill="FFFFFF"/>
            <w:noWrap/>
            <w:vAlign w:val="bottom"/>
            <w:hideMark/>
          </w:tcPr>
          <w:p w14:paraId="049B6D00" w14:textId="77777777" w:rsidR="009172A2" w:rsidRPr="00D618B7" w:rsidRDefault="009172A2" w:rsidP="004B11B7">
            <w:pPr>
              <w:jc w:val="right"/>
              <w:rPr>
                <w:color w:val="000000"/>
              </w:rPr>
            </w:pPr>
            <w:r w:rsidRPr="00D618B7">
              <w:rPr>
                <w:color w:val="000000"/>
              </w:rPr>
              <w:t>1.68</w:t>
            </w:r>
          </w:p>
        </w:tc>
      </w:tr>
      <w:tr w:rsidR="009172A2" w:rsidRPr="00D618B7" w14:paraId="7DDA91AB" w14:textId="77777777" w:rsidTr="004B11B7">
        <w:trPr>
          <w:trHeight w:val="300"/>
        </w:trPr>
        <w:tc>
          <w:tcPr>
            <w:tcW w:w="1140" w:type="dxa"/>
            <w:tcBorders>
              <w:top w:val="nil"/>
              <w:left w:val="nil"/>
              <w:bottom w:val="nil"/>
              <w:right w:val="nil"/>
            </w:tcBorders>
            <w:shd w:val="clear" w:color="000000" w:fill="FFFFFF"/>
            <w:vAlign w:val="center"/>
            <w:hideMark/>
          </w:tcPr>
          <w:p w14:paraId="01655AC8" w14:textId="77777777" w:rsidR="009172A2" w:rsidRPr="00D618B7" w:rsidRDefault="009172A2" w:rsidP="004B11B7">
            <w:pPr>
              <w:jc w:val="right"/>
              <w:rPr>
                <w:color w:val="000000"/>
              </w:rPr>
            </w:pPr>
            <w:r w:rsidRPr="00D618B7">
              <w:rPr>
                <w:color w:val="000000"/>
              </w:rPr>
              <w:t>-4</w:t>
            </w:r>
          </w:p>
        </w:tc>
        <w:tc>
          <w:tcPr>
            <w:tcW w:w="1193" w:type="dxa"/>
            <w:tcBorders>
              <w:top w:val="nil"/>
              <w:left w:val="nil"/>
              <w:bottom w:val="nil"/>
              <w:right w:val="nil"/>
            </w:tcBorders>
            <w:shd w:val="clear" w:color="000000" w:fill="FFFFFF"/>
            <w:noWrap/>
            <w:vAlign w:val="bottom"/>
            <w:hideMark/>
          </w:tcPr>
          <w:p w14:paraId="28585CB6" w14:textId="77777777" w:rsidR="009172A2" w:rsidRPr="00D618B7" w:rsidRDefault="009172A2" w:rsidP="004B11B7">
            <w:pPr>
              <w:jc w:val="right"/>
              <w:rPr>
                <w:color w:val="000000"/>
              </w:rPr>
            </w:pPr>
            <w:r w:rsidRPr="00D618B7">
              <w:rPr>
                <w:color w:val="000000"/>
              </w:rPr>
              <w:t>8.42</w:t>
            </w:r>
          </w:p>
        </w:tc>
        <w:tc>
          <w:tcPr>
            <w:tcW w:w="1367" w:type="dxa"/>
            <w:tcBorders>
              <w:top w:val="nil"/>
              <w:left w:val="nil"/>
              <w:bottom w:val="nil"/>
              <w:right w:val="nil"/>
            </w:tcBorders>
            <w:shd w:val="clear" w:color="000000" w:fill="FFFFFF"/>
            <w:noWrap/>
            <w:vAlign w:val="bottom"/>
            <w:hideMark/>
          </w:tcPr>
          <w:p w14:paraId="60E9727B" w14:textId="77777777" w:rsidR="009172A2" w:rsidRPr="00D618B7" w:rsidRDefault="009172A2" w:rsidP="004B11B7">
            <w:pPr>
              <w:jc w:val="right"/>
              <w:rPr>
                <w:color w:val="000000"/>
              </w:rPr>
            </w:pPr>
            <w:r w:rsidRPr="00D618B7">
              <w:rPr>
                <w:color w:val="000000"/>
              </w:rPr>
              <w:t>1.77</w:t>
            </w:r>
          </w:p>
        </w:tc>
        <w:tc>
          <w:tcPr>
            <w:tcW w:w="1193" w:type="dxa"/>
            <w:tcBorders>
              <w:top w:val="nil"/>
              <w:left w:val="nil"/>
              <w:bottom w:val="nil"/>
              <w:right w:val="nil"/>
            </w:tcBorders>
            <w:shd w:val="clear" w:color="000000" w:fill="FFFFFF"/>
            <w:noWrap/>
            <w:vAlign w:val="bottom"/>
            <w:hideMark/>
          </w:tcPr>
          <w:p w14:paraId="76D9BF25" w14:textId="77777777" w:rsidR="009172A2" w:rsidRPr="00D618B7" w:rsidRDefault="009172A2" w:rsidP="004B11B7">
            <w:pPr>
              <w:jc w:val="right"/>
              <w:rPr>
                <w:color w:val="000000"/>
              </w:rPr>
            </w:pPr>
            <w:r w:rsidRPr="00D618B7">
              <w:rPr>
                <w:color w:val="000000"/>
              </w:rPr>
              <w:t>7.13</w:t>
            </w:r>
          </w:p>
        </w:tc>
        <w:tc>
          <w:tcPr>
            <w:tcW w:w="1367" w:type="dxa"/>
            <w:tcBorders>
              <w:top w:val="nil"/>
              <w:left w:val="nil"/>
              <w:bottom w:val="nil"/>
              <w:right w:val="nil"/>
            </w:tcBorders>
            <w:shd w:val="clear" w:color="000000" w:fill="FFFFFF"/>
            <w:noWrap/>
            <w:vAlign w:val="bottom"/>
            <w:hideMark/>
          </w:tcPr>
          <w:p w14:paraId="1A86EA86" w14:textId="77777777" w:rsidR="009172A2" w:rsidRPr="00D618B7" w:rsidRDefault="009172A2" w:rsidP="004B11B7">
            <w:pPr>
              <w:jc w:val="right"/>
              <w:rPr>
                <w:color w:val="000000"/>
              </w:rPr>
            </w:pPr>
            <w:r w:rsidRPr="00D618B7">
              <w:rPr>
                <w:color w:val="000000"/>
              </w:rPr>
              <w:t>1.77</w:t>
            </w:r>
          </w:p>
        </w:tc>
        <w:tc>
          <w:tcPr>
            <w:tcW w:w="1193" w:type="dxa"/>
            <w:tcBorders>
              <w:top w:val="nil"/>
              <w:left w:val="nil"/>
              <w:bottom w:val="nil"/>
              <w:right w:val="nil"/>
            </w:tcBorders>
            <w:shd w:val="clear" w:color="000000" w:fill="FFFFFF"/>
            <w:noWrap/>
            <w:vAlign w:val="bottom"/>
            <w:hideMark/>
          </w:tcPr>
          <w:p w14:paraId="44DFE8BA" w14:textId="77777777" w:rsidR="009172A2" w:rsidRPr="00D618B7" w:rsidRDefault="009172A2" w:rsidP="004B11B7">
            <w:pPr>
              <w:jc w:val="right"/>
              <w:rPr>
                <w:color w:val="000000"/>
              </w:rPr>
            </w:pPr>
            <w:r w:rsidRPr="00D618B7">
              <w:rPr>
                <w:color w:val="000000"/>
              </w:rPr>
              <w:t>7.42</w:t>
            </w:r>
          </w:p>
        </w:tc>
        <w:tc>
          <w:tcPr>
            <w:tcW w:w="1367" w:type="dxa"/>
            <w:tcBorders>
              <w:top w:val="nil"/>
              <w:left w:val="nil"/>
              <w:bottom w:val="nil"/>
              <w:right w:val="nil"/>
            </w:tcBorders>
            <w:shd w:val="clear" w:color="000000" w:fill="FFFFFF"/>
            <w:noWrap/>
            <w:vAlign w:val="bottom"/>
            <w:hideMark/>
          </w:tcPr>
          <w:p w14:paraId="5CEFFD70" w14:textId="77777777" w:rsidR="009172A2" w:rsidRPr="00D618B7" w:rsidRDefault="009172A2" w:rsidP="004B11B7">
            <w:pPr>
              <w:jc w:val="right"/>
              <w:rPr>
                <w:color w:val="000000"/>
              </w:rPr>
            </w:pPr>
            <w:r w:rsidRPr="00D618B7">
              <w:rPr>
                <w:color w:val="000000"/>
              </w:rPr>
              <w:t>1.77</w:t>
            </w:r>
          </w:p>
        </w:tc>
      </w:tr>
      <w:tr w:rsidR="009172A2" w:rsidRPr="00D618B7" w14:paraId="263357F4" w14:textId="77777777" w:rsidTr="004B11B7">
        <w:trPr>
          <w:trHeight w:val="300"/>
        </w:trPr>
        <w:tc>
          <w:tcPr>
            <w:tcW w:w="1140" w:type="dxa"/>
            <w:tcBorders>
              <w:top w:val="nil"/>
              <w:left w:val="nil"/>
              <w:bottom w:val="nil"/>
              <w:right w:val="nil"/>
            </w:tcBorders>
            <w:shd w:val="clear" w:color="000000" w:fill="FFFFFF"/>
            <w:vAlign w:val="center"/>
            <w:hideMark/>
          </w:tcPr>
          <w:p w14:paraId="4513411C" w14:textId="77777777" w:rsidR="009172A2" w:rsidRPr="00D618B7" w:rsidRDefault="009172A2" w:rsidP="004B11B7">
            <w:pPr>
              <w:jc w:val="right"/>
              <w:rPr>
                <w:color w:val="000000"/>
              </w:rPr>
            </w:pPr>
            <w:r w:rsidRPr="00D618B7">
              <w:rPr>
                <w:color w:val="000000"/>
              </w:rPr>
              <w:t>-3</w:t>
            </w:r>
          </w:p>
        </w:tc>
        <w:tc>
          <w:tcPr>
            <w:tcW w:w="1193" w:type="dxa"/>
            <w:tcBorders>
              <w:top w:val="nil"/>
              <w:left w:val="nil"/>
              <w:bottom w:val="nil"/>
              <w:right w:val="nil"/>
            </w:tcBorders>
            <w:shd w:val="clear" w:color="000000" w:fill="FFFFFF"/>
            <w:noWrap/>
            <w:vAlign w:val="bottom"/>
            <w:hideMark/>
          </w:tcPr>
          <w:p w14:paraId="0EB5AFE8" w14:textId="77777777" w:rsidR="009172A2" w:rsidRPr="00D618B7" w:rsidRDefault="009172A2" w:rsidP="004B11B7">
            <w:pPr>
              <w:jc w:val="right"/>
              <w:rPr>
                <w:color w:val="000000"/>
              </w:rPr>
            </w:pPr>
            <w:r w:rsidRPr="00D618B7">
              <w:rPr>
                <w:color w:val="000000"/>
              </w:rPr>
              <w:t>8.23</w:t>
            </w:r>
          </w:p>
        </w:tc>
        <w:tc>
          <w:tcPr>
            <w:tcW w:w="1367" w:type="dxa"/>
            <w:tcBorders>
              <w:top w:val="nil"/>
              <w:left w:val="nil"/>
              <w:bottom w:val="nil"/>
              <w:right w:val="nil"/>
            </w:tcBorders>
            <w:shd w:val="clear" w:color="000000" w:fill="FFFFFF"/>
            <w:noWrap/>
            <w:vAlign w:val="bottom"/>
            <w:hideMark/>
          </w:tcPr>
          <w:p w14:paraId="6B2A1DDD" w14:textId="77777777" w:rsidR="009172A2" w:rsidRPr="00D618B7" w:rsidRDefault="009172A2" w:rsidP="004B11B7">
            <w:pPr>
              <w:jc w:val="right"/>
              <w:rPr>
                <w:color w:val="000000"/>
              </w:rPr>
            </w:pPr>
            <w:r w:rsidRPr="00D618B7">
              <w:rPr>
                <w:color w:val="000000"/>
              </w:rPr>
              <w:t>1.81</w:t>
            </w:r>
          </w:p>
        </w:tc>
        <w:tc>
          <w:tcPr>
            <w:tcW w:w="1193" w:type="dxa"/>
            <w:tcBorders>
              <w:top w:val="nil"/>
              <w:left w:val="nil"/>
              <w:bottom w:val="nil"/>
              <w:right w:val="nil"/>
            </w:tcBorders>
            <w:shd w:val="clear" w:color="000000" w:fill="FFFFFF"/>
            <w:noWrap/>
            <w:vAlign w:val="bottom"/>
            <w:hideMark/>
          </w:tcPr>
          <w:p w14:paraId="49C8852C" w14:textId="77777777" w:rsidR="009172A2" w:rsidRPr="00D618B7" w:rsidRDefault="009172A2" w:rsidP="004B11B7">
            <w:pPr>
              <w:jc w:val="right"/>
              <w:rPr>
                <w:color w:val="000000"/>
              </w:rPr>
            </w:pPr>
            <w:r w:rsidRPr="00D618B7">
              <w:rPr>
                <w:color w:val="000000"/>
              </w:rPr>
              <w:t>8.90</w:t>
            </w:r>
          </w:p>
        </w:tc>
        <w:tc>
          <w:tcPr>
            <w:tcW w:w="1367" w:type="dxa"/>
            <w:tcBorders>
              <w:top w:val="nil"/>
              <w:left w:val="nil"/>
              <w:bottom w:val="nil"/>
              <w:right w:val="nil"/>
            </w:tcBorders>
            <w:shd w:val="clear" w:color="000000" w:fill="FFFFFF"/>
            <w:noWrap/>
            <w:vAlign w:val="bottom"/>
            <w:hideMark/>
          </w:tcPr>
          <w:p w14:paraId="2CA9B364" w14:textId="77777777" w:rsidR="009172A2" w:rsidRPr="00D618B7" w:rsidRDefault="009172A2" w:rsidP="004B11B7">
            <w:pPr>
              <w:jc w:val="right"/>
              <w:rPr>
                <w:color w:val="000000"/>
              </w:rPr>
            </w:pPr>
            <w:r w:rsidRPr="00D618B7">
              <w:rPr>
                <w:color w:val="000000"/>
              </w:rPr>
              <w:t>1.82</w:t>
            </w:r>
          </w:p>
        </w:tc>
        <w:tc>
          <w:tcPr>
            <w:tcW w:w="1193" w:type="dxa"/>
            <w:tcBorders>
              <w:top w:val="nil"/>
              <w:left w:val="nil"/>
              <w:bottom w:val="nil"/>
              <w:right w:val="nil"/>
            </w:tcBorders>
            <w:shd w:val="clear" w:color="000000" w:fill="FFFFFF"/>
            <w:noWrap/>
            <w:vAlign w:val="bottom"/>
            <w:hideMark/>
          </w:tcPr>
          <w:p w14:paraId="0553C4F8" w14:textId="77777777" w:rsidR="009172A2" w:rsidRPr="00D618B7" w:rsidRDefault="009172A2" w:rsidP="004B11B7">
            <w:pPr>
              <w:jc w:val="right"/>
              <w:rPr>
                <w:color w:val="000000"/>
              </w:rPr>
            </w:pPr>
            <w:r w:rsidRPr="00D618B7">
              <w:rPr>
                <w:color w:val="000000"/>
              </w:rPr>
              <w:t>8.74</w:t>
            </w:r>
          </w:p>
        </w:tc>
        <w:tc>
          <w:tcPr>
            <w:tcW w:w="1367" w:type="dxa"/>
            <w:tcBorders>
              <w:top w:val="nil"/>
              <w:left w:val="nil"/>
              <w:bottom w:val="nil"/>
              <w:right w:val="nil"/>
            </w:tcBorders>
            <w:shd w:val="clear" w:color="000000" w:fill="FFFFFF"/>
            <w:noWrap/>
            <w:vAlign w:val="bottom"/>
            <w:hideMark/>
          </w:tcPr>
          <w:p w14:paraId="79B81610" w14:textId="77777777" w:rsidR="009172A2" w:rsidRPr="00D618B7" w:rsidRDefault="009172A2" w:rsidP="004B11B7">
            <w:pPr>
              <w:jc w:val="right"/>
              <w:rPr>
                <w:color w:val="000000"/>
              </w:rPr>
            </w:pPr>
            <w:r w:rsidRPr="00D618B7">
              <w:rPr>
                <w:color w:val="000000"/>
              </w:rPr>
              <w:t>1.82</w:t>
            </w:r>
          </w:p>
        </w:tc>
      </w:tr>
      <w:tr w:rsidR="009172A2" w:rsidRPr="00D618B7" w14:paraId="55DC9F27" w14:textId="77777777" w:rsidTr="004B11B7">
        <w:trPr>
          <w:trHeight w:val="300"/>
        </w:trPr>
        <w:tc>
          <w:tcPr>
            <w:tcW w:w="1140" w:type="dxa"/>
            <w:tcBorders>
              <w:top w:val="nil"/>
              <w:left w:val="nil"/>
              <w:bottom w:val="nil"/>
              <w:right w:val="nil"/>
            </w:tcBorders>
            <w:shd w:val="clear" w:color="000000" w:fill="FFFFFF"/>
            <w:vAlign w:val="center"/>
            <w:hideMark/>
          </w:tcPr>
          <w:p w14:paraId="1AC1F419" w14:textId="77777777" w:rsidR="009172A2" w:rsidRPr="00D618B7" w:rsidRDefault="009172A2" w:rsidP="004B11B7">
            <w:pPr>
              <w:jc w:val="right"/>
              <w:rPr>
                <w:color w:val="000000"/>
              </w:rPr>
            </w:pPr>
            <w:r w:rsidRPr="00D618B7">
              <w:rPr>
                <w:color w:val="000000"/>
              </w:rPr>
              <w:t>-2</w:t>
            </w:r>
          </w:p>
        </w:tc>
        <w:tc>
          <w:tcPr>
            <w:tcW w:w="1193" w:type="dxa"/>
            <w:tcBorders>
              <w:top w:val="nil"/>
              <w:left w:val="nil"/>
              <w:bottom w:val="nil"/>
              <w:right w:val="nil"/>
            </w:tcBorders>
            <w:shd w:val="clear" w:color="000000" w:fill="FFFFFF"/>
            <w:noWrap/>
            <w:vAlign w:val="bottom"/>
            <w:hideMark/>
          </w:tcPr>
          <w:p w14:paraId="1DBE2F5D" w14:textId="77777777" w:rsidR="009172A2" w:rsidRPr="00D618B7" w:rsidRDefault="009172A2" w:rsidP="004B11B7">
            <w:pPr>
              <w:jc w:val="right"/>
              <w:rPr>
                <w:color w:val="000000"/>
              </w:rPr>
            </w:pPr>
            <w:r w:rsidRPr="00D618B7">
              <w:rPr>
                <w:color w:val="000000"/>
              </w:rPr>
              <w:t>8.34</w:t>
            </w:r>
          </w:p>
        </w:tc>
        <w:tc>
          <w:tcPr>
            <w:tcW w:w="1367" w:type="dxa"/>
            <w:tcBorders>
              <w:top w:val="nil"/>
              <w:left w:val="nil"/>
              <w:bottom w:val="nil"/>
              <w:right w:val="nil"/>
            </w:tcBorders>
            <w:shd w:val="clear" w:color="000000" w:fill="FFFFFF"/>
            <w:noWrap/>
            <w:vAlign w:val="bottom"/>
            <w:hideMark/>
          </w:tcPr>
          <w:p w14:paraId="242BB2D1" w14:textId="77777777" w:rsidR="009172A2" w:rsidRPr="00D618B7" w:rsidRDefault="009172A2" w:rsidP="004B11B7">
            <w:pPr>
              <w:jc w:val="right"/>
              <w:rPr>
                <w:color w:val="000000"/>
              </w:rPr>
            </w:pPr>
            <w:r w:rsidRPr="00D618B7">
              <w:rPr>
                <w:color w:val="000000"/>
              </w:rPr>
              <w:t>1.62</w:t>
            </w:r>
          </w:p>
        </w:tc>
        <w:tc>
          <w:tcPr>
            <w:tcW w:w="1193" w:type="dxa"/>
            <w:tcBorders>
              <w:top w:val="nil"/>
              <w:left w:val="nil"/>
              <w:bottom w:val="nil"/>
              <w:right w:val="nil"/>
            </w:tcBorders>
            <w:shd w:val="clear" w:color="000000" w:fill="FFFFFF"/>
            <w:noWrap/>
            <w:vAlign w:val="bottom"/>
            <w:hideMark/>
          </w:tcPr>
          <w:p w14:paraId="3B77BFF6" w14:textId="77777777" w:rsidR="009172A2" w:rsidRPr="00D618B7" w:rsidRDefault="009172A2" w:rsidP="004B11B7">
            <w:pPr>
              <w:jc w:val="right"/>
              <w:rPr>
                <w:color w:val="000000"/>
              </w:rPr>
            </w:pPr>
            <w:r w:rsidRPr="00D618B7">
              <w:rPr>
                <w:color w:val="000000"/>
              </w:rPr>
              <w:t>8.08</w:t>
            </w:r>
          </w:p>
        </w:tc>
        <w:tc>
          <w:tcPr>
            <w:tcW w:w="1367" w:type="dxa"/>
            <w:tcBorders>
              <w:top w:val="nil"/>
              <w:left w:val="nil"/>
              <w:bottom w:val="nil"/>
              <w:right w:val="nil"/>
            </w:tcBorders>
            <w:shd w:val="clear" w:color="000000" w:fill="FFFFFF"/>
            <w:noWrap/>
            <w:vAlign w:val="bottom"/>
            <w:hideMark/>
          </w:tcPr>
          <w:p w14:paraId="7C0C1781" w14:textId="77777777" w:rsidR="009172A2" w:rsidRPr="00D618B7" w:rsidRDefault="009172A2" w:rsidP="004B11B7">
            <w:pPr>
              <w:jc w:val="right"/>
              <w:rPr>
                <w:color w:val="000000"/>
              </w:rPr>
            </w:pPr>
            <w:r w:rsidRPr="00D618B7">
              <w:rPr>
                <w:color w:val="000000"/>
              </w:rPr>
              <w:t>1.63</w:t>
            </w:r>
          </w:p>
        </w:tc>
        <w:tc>
          <w:tcPr>
            <w:tcW w:w="1193" w:type="dxa"/>
            <w:tcBorders>
              <w:top w:val="nil"/>
              <w:left w:val="nil"/>
              <w:bottom w:val="nil"/>
              <w:right w:val="nil"/>
            </w:tcBorders>
            <w:shd w:val="clear" w:color="000000" w:fill="FFFFFF"/>
            <w:noWrap/>
            <w:vAlign w:val="bottom"/>
            <w:hideMark/>
          </w:tcPr>
          <w:p w14:paraId="76EEB994" w14:textId="77777777" w:rsidR="009172A2" w:rsidRPr="00D618B7" w:rsidRDefault="009172A2" w:rsidP="004B11B7">
            <w:pPr>
              <w:jc w:val="right"/>
              <w:rPr>
                <w:color w:val="000000"/>
              </w:rPr>
            </w:pPr>
            <w:r w:rsidRPr="00D618B7">
              <w:rPr>
                <w:color w:val="000000"/>
              </w:rPr>
              <w:t>9.02</w:t>
            </w:r>
          </w:p>
        </w:tc>
        <w:tc>
          <w:tcPr>
            <w:tcW w:w="1367" w:type="dxa"/>
            <w:tcBorders>
              <w:top w:val="nil"/>
              <w:left w:val="nil"/>
              <w:bottom w:val="nil"/>
              <w:right w:val="nil"/>
            </w:tcBorders>
            <w:shd w:val="clear" w:color="000000" w:fill="FFFFFF"/>
            <w:noWrap/>
            <w:vAlign w:val="bottom"/>
            <w:hideMark/>
          </w:tcPr>
          <w:p w14:paraId="3F525D93" w14:textId="77777777" w:rsidR="009172A2" w:rsidRPr="00D618B7" w:rsidRDefault="009172A2" w:rsidP="004B11B7">
            <w:pPr>
              <w:jc w:val="right"/>
              <w:rPr>
                <w:color w:val="000000"/>
              </w:rPr>
            </w:pPr>
            <w:r w:rsidRPr="00D618B7">
              <w:rPr>
                <w:color w:val="000000"/>
              </w:rPr>
              <w:t>1.63</w:t>
            </w:r>
          </w:p>
        </w:tc>
      </w:tr>
      <w:tr w:rsidR="009172A2" w:rsidRPr="00D618B7" w14:paraId="394F56D7" w14:textId="77777777" w:rsidTr="004B11B7">
        <w:trPr>
          <w:trHeight w:val="300"/>
        </w:trPr>
        <w:tc>
          <w:tcPr>
            <w:tcW w:w="1140" w:type="dxa"/>
            <w:tcBorders>
              <w:top w:val="nil"/>
              <w:left w:val="nil"/>
              <w:bottom w:val="nil"/>
              <w:right w:val="nil"/>
            </w:tcBorders>
            <w:shd w:val="clear" w:color="000000" w:fill="FFFFFF"/>
            <w:vAlign w:val="center"/>
            <w:hideMark/>
          </w:tcPr>
          <w:p w14:paraId="0BD27157" w14:textId="77777777" w:rsidR="009172A2" w:rsidRPr="00D618B7" w:rsidRDefault="009172A2" w:rsidP="004B11B7">
            <w:pPr>
              <w:jc w:val="right"/>
              <w:rPr>
                <w:color w:val="000000"/>
              </w:rPr>
            </w:pPr>
            <w:r w:rsidRPr="00D618B7">
              <w:rPr>
                <w:color w:val="000000"/>
              </w:rPr>
              <w:t>-1</w:t>
            </w:r>
          </w:p>
        </w:tc>
        <w:tc>
          <w:tcPr>
            <w:tcW w:w="1193" w:type="dxa"/>
            <w:tcBorders>
              <w:top w:val="nil"/>
              <w:left w:val="nil"/>
              <w:bottom w:val="nil"/>
              <w:right w:val="nil"/>
            </w:tcBorders>
            <w:shd w:val="clear" w:color="000000" w:fill="FFFFFF"/>
            <w:noWrap/>
            <w:vAlign w:val="bottom"/>
            <w:hideMark/>
          </w:tcPr>
          <w:p w14:paraId="2352C5BD" w14:textId="77777777" w:rsidR="009172A2" w:rsidRPr="00D618B7" w:rsidRDefault="009172A2" w:rsidP="004B11B7">
            <w:pPr>
              <w:jc w:val="right"/>
              <w:rPr>
                <w:color w:val="000000"/>
              </w:rPr>
            </w:pPr>
            <w:r w:rsidRPr="00D618B7">
              <w:rPr>
                <w:color w:val="000000"/>
              </w:rPr>
              <w:t>8.79</w:t>
            </w:r>
          </w:p>
        </w:tc>
        <w:tc>
          <w:tcPr>
            <w:tcW w:w="1367" w:type="dxa"/>
            <w:tcBorders>
              <w:top w:val="nil"/>
              <w:left w:val="nil"/>
              <w:bottom w:val="nil"/>
              <w:right w:val="nil"/>
            </w:tcBorders>
            <w:shd w:val="clear" w:color="000000" w:fill="FFFFFF"/>
            <w:noWrap/>
            <w:vAlign w:val="bottom"/>
            <w:hideMark/>
          </w:tcPr>
          <w:p w14:paraId="3978A0CD" w14:textId="77777777" w:rsidR="009172A2" w:rsidRPr="00D618B7" w:rsidRDefault="009172A2" w:rsidP="004B11B7">
            <w:pPr>
              <w:jc w:val="right"/>
              <w:rPr>
                <w:color w:val="000000"/>
              </w:rPr>
            </w:pPr>
            <w:r w:rsidRPr="00D618B7">
              <w:rPr>
                <w:color w:val="000000"/>
              </w:rPr>
              <w:t>1.65</w:t>
            </w:r>
          </w:p>
        </w:tc>
        <w:tc>
          <w:tcPr>
            <w:tcW w:w="1193" w:type="dxa"/>
            <w:tcBorders>
              <w:top w:val="nil"/>
              <w:left w:val="nil"/>
              <w:bottom w:val="nil"/>
              <w:right w:val="nil"/>
            </w:tcBorders>
            <w:shd w:val="clear" w:color="000000" w:fill="FFFFFF"/>
            <w:noWrap/>
            <w:vAlign w:val="bottom"/>
            <w:hideMark/>
          </w:tcPr>
          <w:p w14:paraId="63BDBAB4" w14:textId="77777777" w:rsidR="009172A2" w:rsidRPr="00D618B7" w:rsidRDefault="009172A2" w:rsidP="004B11B7">
            <w:pPr>
              <w:jc w:val="right"/>
              <w:rPr>
                <w:color w:val="000000"/>
              </w:rPr>
            </w:pPr>
            <w:r w:rsidRPr="00D618B7">
              <w:rPr>
                <w:color w:val="000000"/>
              </w:rPr>
              <w:t>8.38</w:t>
            </w:r>
          </w:p>
        </w:tc>
        <w:tc>
          <w:tcPr>
            <w:tcW w:w="1367" w:type="dxa"/>
            <w:tcBorders>
              <w:top w:val="nil"/>
              <w:left w:val="nil"/>
              <w:bottom w:val="nil"/>
              <w:right w:val="nil"/>
            </w:tcBorders>
            <w:shd w:val="clear" w:color="000000" w:fill="FFFFFF"/>
            <w:noWrap/>
            <w:vAlign w:val="bottom"/>
            <w:hideMark/>
          </w:tcPr>
          <w:p w14:paraId="00B06A41" w14:textId="77777777" w:rsidR="009172A2" w:rsidRPr="00D618B7" w:rsidRDefault="009172A2" w:rsidP="004B11B7">
            <w:pPr>
              <w:jc w:val="right"/>
              <w:rPr>
                <w:color w:val="000000"/>
              </w:rPr>
            </w:pPr>
            <w:r w:rsidRPr="00D618B7">
              <w:rPr>
                <w:color w:val="000000"/>
              </w:rPr>
              <w:t>1.65</w:t>
            </w:r>
          </w:p>
        </w:tc>
        <w:tc>
          <w:tcPr>
            <w:tcW w:w="1193" w:type="dxa"/>
            <w:tcBorders>
              <w:top w:val="nil"/>
              <w:left w:val="nil"/>
              <w:bottom w:val="nil"/>
              <w:right w:val="nil"/>
            </w:tcBorders>
            <w:shd w:val="clear" w:color="000000" w:fill="FFFFFF"/>
            <w:noWrap/>
            <w:vAlign w:val="bottom"/>
            <w:hideMark/>
          </w:tcPr>
          <w:p w14:paraId="0AE8F172" w14:textId="77777777" w:rsidR="009172A2" w:rsidRPr="00D618B7" w:rsidRDefault="009172A2" w:rsidP="004B11B7">
            <w:pPr>
              <w:jc w:val="right"/>
              <w:rPr>
                <w:color w:val="000000"/>
              </w:rPr>
            </w:pPr>
            <w:r w:rsidRPr="00D618B7">
              <w:rPr>
                <w:color w:val="000000"/>
              </w:rPr>
              <w:t>7.61</w:t>
            </w:r>
          </w:p>
        </w:tc>
        <w:tc>
          <w:tcPr>
            <w:tcW w:w="1367" w:type="dxa"/>
            <w:tcBorders>
              <w:top w:val="nil"/>
              <w:left w:val="nil"/>
              <w:bottom w:val="nil"/>
              <w:right w:val="nil"/>
            </w:tcBorders>
            <w:shd w:val="clear" w:color="000000" w:fill="FFFFFF"/>
            <w:noWrap/>
            <w:vAlign w:val="bottom"/>
            <w:hideMark/>
          </w:tcPr>
          <w:p w14:paraId="25834DE0" w14:textId="77777777" w:rsidR="009172A2" w:rsidRPr="00D618B7" w:rsidRDefault="009172A2" w:rsidP="004B11B7">
            <w:pPr>
              <w:jc w:val="right"/>
              <w:rPr>
                <w:color w:val="000000"/>
              </w:rPr>
            </w:pPr>
            <w:r w:rsidRPr="00D618B7">
              <w:rPr>
                <w:color w:val="000000"/>
              </w:rPr>
              <w:t>1.65</w:t>
            </w:r>
          </w:p>
        </w:tc>
      </w:tr>
      <w:tr w:rsidR="009172A2" w:rsidRPr="00D618B7" w14:paraId="3B559806" w14:textId="77777777" w:rsidTr="004B11B7">
        <w:trPr>
          <w:trHeight w:val="300"/>
        </w:trPr>
        <w:tc>
          <w:tcPr>
            <w:tcW w:w="1140" w:type="dxa"/>
            <w:tcBorders>
              <w:top w:val="nil"/>
              <w:left w:val="nil"/>
              <w:bottom w:val="nil"/>
              <w:right w:val="nil"/>
            </w:tcBorders>
            <w:shd w:val="clear" w:color="000000" w:fill="FFFFFF"/>
            <w:vAlign w:val="center"/>
            <w:hideMark/>
          </w:tcPr>
          <w:p w14:paraId="33C34ABD" w14:textId="77777777" w:rsidR="009172A2" w:rsidRPr="00D618B7" w:rsidRDefault="009172A2" w:rsidP="004B11B7">
            <w:pPr>
              <w:jc w:val="right"/>
              <w:rPr>
                <w:color w:val="000000"/>
              </w:rPr>
            </w:pPr>
            <w:r w:rsidRPr="00D618B7">
              <w:rPr>
                <w:color w:val="000000"/>
              </w:rPr>
              <w:t>0</w:t>
            </w:r>
          </w:p>
        </w:tc>
        <w:tc>
          <w:tcPr>
            <w:tcW w:w="1193" w:type="dxa"/>
            <w:tcBorders>
              <w:top w:val="nil"/>
              <w:left w:val="nil"/>
              <w:bottom w:val="nil"/>
              <w:right w:val="nil"/>
            </w:tcBorders>
            <w:shd w:val="clear" w:color="000000" w:fill="FFFFFF"/>
            <w:noWrap/>
            <w:vAlign w:val="bottom"/>
            <w:hideMark/>
          </w:tcPr>
          <w:p w14:paraId="66170189" w14:textId="77777777" w:rsidR="009172A2" w:rsidRPr="00D618B7" w:rsidRDefault="009172A2" w:rsidP="004B11B7">
            <w:pPr>
              <w:jc w:val="right"/>
              <w:rPr>
                <w:color w:val="000000"/>
              </w:rPr>
            </w:pPr>
            <w:r w:rsidRPr="00D618B7">
              <w:rPr>
                <w:color w:val="000000"/>
              </w:rPr>
              <w:t>9.73</w:t>
            </w:r>
          </w:p>
        </w:tc>
        <w:tc>
          <w:tcPr>
            <w:tcW w:w="1367" w:type="dxa"/>
            <w:tcBorders>
              <w:top w:val="nil"/>
              <w:left w:val="nil"/>
              <w:bottom w:val="nil"/>
              <w:right w:val="nil"/>
            </w:tcBorders>
            <w:shd w:val="clear" w:color="000000" w:fill="FFFFFF"/>
            <w:noWrap/>
            <w:vAlign w:val="bottom"/>
            <w:hideMark/>
          </w:tcPr>
          <w:p w14:paraId="1BA2CC8C" w14:textId="77777777" w:rsidR="009172A2" w:rsidRPr="00D618B7" w:rsidRDefault="009172A2" w:rsidP="004B11B7">
            <w:pPr>
              <w:jc w:val="right"/>
              <w:rPr>
                <w:color w:val="000000"/>
              </w:rPr>
            </w:pPr>
            <w:r w:rsidRPr="00D618B7">
              <w:rPr>
                <w:color w:val="000000"/>
              </w:rPr>
              <w:t>1.48</w:t>
            </w:r>
          </w:p>
        </w:tc>
        <w:tc>
          <w:tcPr>
            <w:tcW w:w="1193" w:type="dxa"/>
            <w:tcBorders>
              <w:top w:val="nil"/>
              <w:left w:val="nil"/>
              <w:bottom w:val="nil"/>
              <w:right w:val="nil"/>
            </w:tcBorders>
            <w:shd w:val="clear" w:color="000000" w:fill="FFFFFF"/>
            <w:noWrap/>
            <w:vAlign w:val="bottom"/>
            <w:hideMark/>
          </w:tcPr>
          <w:p w14:paraId="4F8DE04A" w14:textId="77777777" w:rsidR="009172A2" w:rsidRPr="00D618B7" w:rsidRDefault="009172A2" w:rsidP="004B11B7">
            <w:pPr>
              <w:jc w:val="right"/>
              <w:rPr>
                <w:color w:val="000000"/>
              </w:rPr>
            </w:pPr>
            <w:r w:rsidRPr="00D618B7">
              <w:rPr>
                <w:color w:val="000000"/>
              </w:rPr>
              <w:t>11.22</w:t>
            </w:r>
          </w:p>
        </w:tc>
        <w:tc>
          <w:tcPr>
            <w:tcW w:w="1367" w:type="dxa"/>
            <w:tcBorders>
              <w:top w:val="nil"/>
              <w:left w:val="nil"/>
              <w:bottom w:val="nil"/>
              <w:right w:val="nil"/>
            </w:tcBorders>
            <w:shd w:val="clear" w:color="000000" w:fill="FFFFFF"/>
            <w:noWrap/>
            <w:vAlign w:val="bottom"/>
            <w:hideMark/>
          </w:tcPr>
          <w:p w14:paraId="10E25106" w14:textId="77777777" w:rsidR="009172A2" w:rsidRPr="00D618B7" w:rsidRDefault="009172A2" w:rsidP="004B11B7">
            <w:pPr>
              <w:jc w:val="right"/>
              <w:rPr>
                <w:color w:val="000000"/>
              </w:rPr>
            </w:pPr>
            <w:r w:rsidRPr="00D618B7">
              <w:rPr>
                <w:color w:val="000000"/>
              </w:rPr>
              <w:t>1.48</w:t>
            </w:r>
          </w:p>
        </w:tc>
        <w:tc>
          <w:tcPr>
            <w:tcW w:w="1193" w:type="dxa"/>
            <w:tcBorders>
              <w:top w:val="nil"/>
              <w:left w:val="nil"/>
              <w:bottom w:val="nil"/>
              <w:right w:val="nil"/>
            </w:tcBorders>
            <w:shd w:val="clear" w:color="000000" w:fill="FFFFFF"/>
            <w:noWrap/>
            <w:vAlign w:val="bottom"/>
            <w:hideMark/>
          </w:tcPr>
          <w:p w14:paraId="554B1A5C" w14:textId="77777777" w:rsidR="009172A2" w:rsidRPr="00D618B7" w:rsidRDefault="009172A2" w:rsidP="004B11B7">
            <w:pPr>
              <w:jc w:val="right"/>
              <w:rPr>
                <w:color w:val="000000"/>
              </w:rPr>
            </w:pPr>
            <w:r w:rsidRPr="00D618B7">
              <w:rPr>
                <w:color w:val="000000"/>
              </w:rPr>
              <w:t>11.42</w:t>
            </w:r>
          </w:p>
        </w:tc>
        <w:tc>
          <w:tcPr>
            <w:tcW w:w="1367" w:type="dxa"/>
            <w:tcBorders>
              <w:top w:val="nil"/>
              <w:left w:val="nil"/>
              <w:bottom w:val="nil"/>
              <w:right w:val="nil"/>
            </w:tcBorders>
            <w:shd w:val="clear" w:color="000000" w:fill="FFFFFF"/>
            <w:noWrap/>
            <w:vAlign w:val="bottom"/>
            <w:hideMark/>
          </w:tcPr>
          <w:p w14:paraId="3D3F2AB1" w14:textId="77777777" w:rsidR="009172A2" w:rsidRPr="00D618B7" w:rsidRDefault="009172A2" w:rsidP="004B11B7">
            <w:pPr>
              <w:jc w:val="right"/>
              <w:rPr>
                <w:color w:val="000000"/>
              </w:rPr>
            </w:pPr>
            <w:r w:rsidRPr="00D618B7">
              <w:rPr>
                <w:color w:val="000000"/>
              </w:rPr>
              <w:t>1.49</w:t>
            </w:r>
          </w:p>
        </w:tc>
      </w:tr>
      <w:tr w:rsidR="009172A2" w:rsidRPr="00D618B7" w14:paraId="613AEE5B" w14:textId="77777777" w:rsidTr="004B11B7">
        <w:trPr>
          <w:trHeight w:val="300"/>
        </w:trPr>
        <w:tc>
          <w:tcPr>
            <w:tcW w:w="1140" w:type="dxa"/>
            <w:tcBorders>
              <w:top w:val="nil"/>
              <w:left w:val="nil"/>
              <w:bottom w:val="nil"/>
              <w:right w:val="nil"/>
            </w:tcBorders>
            <w:shd w:val="clear" w:color="000000" w:fill="FFFFFF"/>
            <w:vAlign w:val="center"/>
            <w:hideMark/>
          </w:tcPr>
          <w:p w14:paraId="5DB60235" w14:textId="77777777" w:rsidR="009172A2" w:rsidRPr="00D618B7" w:rsidRDefault="009172A2" w:rsidP="004B11B7">
            <w:pPr>
              <w:jc w:val="right"/>
              <w:rPr>
                <w:color w:val="000000"/>
              </w:rPr>
            </w:pPr>
            <w:r w:rsidRPr="00D618B7">
              <w:rPr>
                <w:color w:val="000000"/>
              </w:rPr>
              <w:t>1</w:t>
            </w:r>
          </w:p>
        </w:tc>
        <w:tc>
          <w:tcPr>
            <w:tcW w:w="1193" w:type="dxa"/>
            <w:tcBorders>
              <w:top w:val="nil"/>
              <w:left w:val="nil"/>
              <w:bottom w:val="nil"/>
              <w:right w:val="nil"/>
            </w:tcBorders>
            <w:shd w:val="clear" w:color="000000" w:fill="FFFFFF"/>
            <w:noWrap/>
            <w:vAlign w:val="bottom"/>
            <w:hideMark/>
          </w:tcPr>
          <w:p w14:paraId="2A7F97E7" w14:textId="77777777" w:rsidR="009172A2" w:rsidRPr="00D618B7" w:rsidRDefault="009172A2" w:rsidP="004B11B7">
            <w:pPr>
              <w:jc w:val="right"/>
              <w:rPr>
                <w:color w:val="000000"/>
              </w:rPr>
            </w:pPr>
            <w:r w:rsidRPr="00D618B7">
              <w:rPr>
                <w:color w:val="000000"/>
              </w:rPr>
              <w:t>7.46</w:t>
            </w:r>
          </w:p>
        </w:tc>
        <w:tc>
          <w:tcPr>
            <w:tcW w:w="1367" w:type="dxa"/>
            <w:tcBorders>
              <w:top w:val="nil"/>
              <w:left w:val="nil"/>
              <w:bottom w:val="nil"/>
              <w:right w:val="nil"/>
            </w:tcBorders>
            <w:shd w:val="clear" w:color="000000" w:fill="FFFFFF"/>
            <w:noWrap/>
            <w:vAlign w:val="bottom"/>
            <w:hideMark/>
          </w:tcPr>
          <w:p w14:paraId="7BF33AED" w14:textId="77777777" w:rsidR="009172A2" w:rsidRPr="00D618B7" w:rsidRDefault="009172A2" w:rsidP="004B11B7">
            <w:pPr>
              <w:jc w:val="right"/>
              <w:rPr>
                <w:color w:val="000000"/>
              </w:rPr>
            </w:pPr>
            <w:r w:rsidRPr="00D618B7">
              <w:rPr>
                <w:color w:val="000000"/>
              </w:rPr>
              <w:t>1.51</w:t>
            </w:r>
          </w:p>
        </w:tc>
        <w:tc>
          <w:tcPr>
            <w:tcW w:w="1193" w:type="dxa"/>
            <w:tcBorders>
              <w:top w:val="nil"/>
              <w:left w:val="nil"/>
              <w:bottom w:val="nil"/>
              <w:right w:val="nil"/>
            </w:tcBorders>
            <w:shd w:val="clear" w:color="000000" w:fill="FFFFFF"/>
            <w:noWrap/>
            <w:vAlign w:val="bottom"/>
            <w:hideMark/>
          </w:tcPr>
          <w:p w14:paraId="3D289746" w14:textId="77777777" w:rsidR="009172A2" w:rsidRPr="00D618B7" w:rsidRDefault="009172A2" w:rsidP="004B11B7">
            <w:pPr>
              <w:jc w:val="right"/>
              <w:rPr>
                <w:color w:val="000000"/>
              </w:rPr>
            </w:pPr>
            <w:r w:rsidRPr="00D618B7">
              <w:rPr>
                <w:color w:val="000000"/>
              </w:rPr>
              <w:t>6.08</w:t>
            </w:r>
          </w:p>
        </w:tc>
        <w:tc>
          <w:tcPr>
            <w:tcW w:w="1367" w:type="dxa"/>
            <w:tcBorders>
              <w:top w:val="nil"/>
              <w:left w:val="nil"/>
              <w:bottom w:val="nil"/>
              <w:right w:val="nil"/>
            </w:tcBorders>
            <w:shd w:val="clear" w:color="000000" w:fill="FFFFFF"/>
            <w:noWrap/>
            <w:vAlign w:val="bottom"/>
            <w:hideMark/>
          </w:tcPr>
          <w:p w14:paraId="594037F6" w14:textId="77777777" w:rsidR="009172A2" w:rsidRPr="00D618B7" w:rsidRDefault="009172A2" w:rsidP="004B11B7">
            <w:pPr>
              <w:jc w:val="right"/>
              <w:rPr>
                <w:color w:val="000000"/>
              </w:rPr>
            </w:pPr>
            <w:r w:rsidRPr="00D618B7">
              <w:rPr>
                <w:color w:val="000000"/>
              </w:rPr>
              <w:t>1.50</w:t>
            </w:r>
          </w:p>
        </w:tc>
        <w:tc>
          <w:tcPr>
            <w:tcW w:w="1193" w:type="dxa"/>
            <w:tcBorders>
              <w:top w:val="nil"/>
              <w:left w:val="nil"/>
              <w:bottom w:val="nil"/>
              <w:right w:val="nil"/>
            </w:tcBorders>
            <w:shd w:val="clear" w:color="000000" w:fill="FFFFFF"/>
            <w:noWrap/>
            <w:vAlign w:val="bottom"/>
            <w:hideMark/>
          </w:tcPr>
          <w:p w14:paraId="0FAFC8EA" w14:textId="77777777" w:rsidR="009172A2" w:rsidRPr="00D618B7" w:rsidRDefault="009172A2" w:rsidP="004B11B7">
            <w:pPr>
              <w:jc w:val="right"/>
              <w:rPr>
                <w:color w:val="000000"/>
              </w:rPr>
            </w:pPr>
            <w:r w:rsidRPr="00D618B7">
              <w:rPr>
                <w:color w:val="000000"/>
              </w:rPr>
              <w:t>5.19</w:t>
            </w:r>
          </w:p>
        </w:tc>
        <w:tc>
          <w:tcPr>
            <w:tcW w:w="1367" w:type="dxa"/>
            <w:tcBorders>
              <w:top w:val="nil"/>
              <w:left w:val="nil"/>
              <w:bottom w:val="nil"/>
              <w:right w:val="nil"/>
            </w:tcBorders>
            <w:shd w:val="clear" w:color="000000" w:fill="FFFFFF"/>
            <w:noWrap/>
            <w:vAlign w:val="bottom"/>
            <w:hideMark/>
          </w:tcPr>
          <w:p w14:paraId="65BB65BD" w14:textId="77777777" w:rsidR="009172A2" w:rsidRPr="00D618B7" w:rsidRDefault="009172A2" w:rsidP="004B11B7">
            <w:pPr>
              <w:jc w:val="right"/>
              <w:rPr>
                <w:color w:val="000000"/>
              </w:rPr>
            </w:pPr>
            <w:r w:rsidRPr="00D618B7">
              <w:rPr>
                <w:color w:val="000000"/>
              </w:rPr>
              <w:t>1.48</w:t>
            </w:r>
          </w:p>
        </w:tc>
      </w:tr>
      <w:tr w:rsidR="009172A2" w:rsidRPr="00D618B7" w14:paraId="18607454" w14:textId="77777777" w:rsidTr="004B11B7">
        <w:trPr>
          <w:trHeight w:val="300"/>
        </w:trPr>
        <w:tc>
          <w:tcPr>
            <w:tcW w:w="1140" w:type="dxa"/>
            <w:tcBorders>
              <w:top w:val="nil"/>
              <w:left w:val="nil"/>
              <w:bottom w:val="nil"/>
              <w:right w:val="nil"/>
            </w:tcBorders>
            <w:shd w:val="clear" w:color="000000" w:fill="FFFFFF"/>
            <w:vAlign w:val="center"/>
            <w:hideMark/>
          </w:tcPr>
          <w:p w14:paraId="2CD70C13" w14:textId="77777777" w:rsidR="009172A2" w:rsidRPr="00D618B7" w:rsidRDefault="009172A2" w:rsidP="004B11B7">
            <w:pPr>
              <w:jc w:val="right"/>
              <w:rPr>
                <w:color w:val="000000"/>
              </w:rPr>
            </w:pPr>
            <w:r w:rsidRPr="00D618B7">
              <w:rPr>
                <w:color w:val="000000"/>
              </w:rPr>
              <w:t>2</w:t>
            </w:r>
          </w:p>
        </w:tc>
        <w:tc>
          <w:tcPr>
            <w:tcW w:w="1193" w:type="dxa"/>
            <w:tcBorders>
              <w:top w:val="nil"/>
              <w:left w:val="nil"/>
              <w:bottom w:val="nil"/>
              <w:right w:val="nil"/>
            </w:tcBorders>
            <w:shd w:val="clear" w:color="000000" w:fill="FFFFFF"/>
            <w:noWrap/>
            <w:vAlign w:val="bottom"/>
            <w:hideMark/>
          </w:tcPr>
          <w:p w14:paraId="50F707C6" w14:textId="77777777" w:rsidR="009172A2" w:rsidRPr="00D618B7" w:rsidRDefault="009172A2" w:rsidP="004B11B7">
            <w:pPr>
              <w:jc w:val="right"/>
              <w:rPr>
                <w:color w:val="000000"/>
              </w:rPr>
            </w:pPr>
            <w:r w:rsidRPr="00D618B7">
              <w:rPr>
                <w:color w:val="000000"/>
              </w:rPr>
              <w:t>12.52</w:t>
            </w:r>
          </w:p>
        </w:tc>
        <w:tc>
          <w:tcPr>
            <w:tcW w:w="1367" w:type="dxa"/>
            <w:tcBorders>
              <w:top w:val="nil"/>
              <w:left w:val="nil"/>
              <w:bottom w:val="nil"/>
              <w:right w:val="nil"/>
            </w:tcBorders>
            <w:shd w:val="clear" w:color="000000" w:fill="FFFFFF"/>
            <w:noWrap/>
            <w:vAlign w:val="bottom"/>
            <w:hideMark/>
          </w:tcPr>
          <w:p w14:paraId="2FF20CB9" w14:textId="77777777" w:rsidR="009172A2" w:rsidRPr="00D618B7" w:rsidRDefault="009172A2" w:rsidP="004B11B7">
            <w:pPr>
              <w:jc w:val="right"/>
              <w:rPr>
                <w:color w:val="000000"/>
              </w:rPr>
            </w:pPr>
            <w:r w:rsidRPr="00D618B7">
              <w:rPr>
                <w:color w:val="000000"/>
              </w:rPr>
              <w:t>1.82</w:t>
            </w:r>
          </w:p>
        </w:tc>
        <w:tc>
          <w:tcPr>
            <w:tcW w:w="1193" w:type="dxa"/>
            <w:tcBorders>
              <w:top w:val="nil"/>
              <w:left w:val="nil"/>
              <w:bottom w:val="nil"/>
              <w:right w:val="nil"/>
            </w:tcBorders>
            <w:shd w:val="clear" w:color="000000" w:fill="FFFFFF"/>
            <w:noWrap/>
            <w:vAlign w:val="bottom"/>
            <w:hideMark/>
          </w:tcPr>
          <w:p w14:paraId="73DEEE38" w14:textId="77777777" w:rsidR="009172A2" w:rsidRPr="00D618B7" w:rsidRDefault="009172A2" w:rsidP="004B11B7">
            <w:pPr>
              <w:jc w:val="right"/>
              <w:rPr>
                <w:color w:val="000000"/>
              </w:rPr>
            </w:pPr>
            <w:r w:rsidRPr="00D618B7">
              <w:rPr>
                <w:color w:val="000000"/>
              </w:rPr>
              <w:t>12.92</w:t>
            </w:r>
          </w:p>
        </w:tc>
        <w:tc>
          <w:tcPr>
            <w:tcW w:w="1367" w:type="dxa"/>
            <w:tcBorders>
              <w:top w:val="nil"/>
              <w:left w:val="nil"/>
              <w:bottom w:val="nil"/>
              <w:right w:val="nil"/>
            </w:tcBorders>
            <w:shd w:val="clear" w:color="000000" w:fill="FFFFFF"/>
            <w:noWrap/>
            <w:vAlign w:val="bottom"/>
            <w:hideMark/>
          </w:tcPr>
          <w:p w14:paraId="4A65D274" w14:textId="77777777" w:rsidR="009172A2" w:rsidRPr="00D618B7" w:rsidRDefault="009172A2" w:rsidP="004B11B7">
            <w:pPr>
              <w:jc w:val="right"/>
              <w:rPr>
                <w:color w:val="000000"/>
              </w:rPr>
            </w:pPr>
            <w:r w:rsidRPr="00D618B7">
              <w:rPr>
                <w:color w:val="000000"/>
              </w:rPr>
              <w:t>1.82</w:t>
            </w:r>
          </w:p>
        </w:tc>
        <w:tc>
          <w:tcPr>
            <w:tcW w:w="1193" w:type="dxa"/>
            <w:tcBorders>
              <w:top w:val="nil"/>
              <w:left w:val="nil"/>
              <w:bottom w:val="nil"/>
              <w:right w:val="nil"/>
            </w:tcBorders>
            <w:shd w:val="clear" w:color="000000" w:fill="FFFFFF"/>
            <w:noWrap/>
            <w:vAlign w:val="bottom"/>
            <w:hideMark/>
          </w:tcPr>
          <w:p w14:paraId="3F478C93" w14:textId="77777777" w:rsidR="009172A2" w:rsidRPr="00D618B7" w:rsidRDefault="009172A2" w:rsidP="004B11B7">
            <w:pPr>
              <w:jc w:val="right"/>
              <w:rPr>
                <w:color w:val="000000"/>
              </w:rPr>
            </w:pPr>
            <w:r w:rsidRPr="00D618B7">
              <w:rPr>
                <w:color w:val="000000"/>
              </w:rPr>
              <w:t>7.82</w:t>
            </w:r>
          </w:p>
        </w:tc>
        <w:tc>
          <w:tcPr>
            <w:tcW w:w="1367" w:type="dxa"/>
            <w:tcBorders>
              <w:top w:val="nil"/>
              <w:left w:val="nil"/>
              <w:bottom w:val="nil"/>
              <w:right w:val="nil"/>
            </w:tcBorders>
            <w:shd w:val="clear" w:color="000000" w:fill="FFFFFF"/>
            <w:noWrap/>
            <w:vAlign w:val="bottom"/>
            <w:hideMark/>
          </w:tcPr>
          <w:p w14:paraId="36E8B47A" w14:textId="77777777" w:rsidR="009172A2" w:rsidRPr="00D618B7" w:rsidRDefault="009172A2" w:rsidP="004B11B7">
            <w:pPr>
              <w:jc w:val="right"/>
              <w:rPr>
                <w:color w:val="000000"/>
              </w:rPr>
            </w:pPr>
            <w:r w:rsidRPr="00D618B7">
              <w:rPr>
                <w:color w:val="000000"/>
              </w:rPr>
              <w:t>1.81</w:t>
            </w:r>
          </w:p>
        </w:tc>
      </w:tr>
      <w:tr w:rsidR="009172A2" w:rsidRPr="00D618B7" w14:paraId="28D5187A" w14:textId="77777777" w:rsidTr="004B11B7">
        <w:trPr>
          <w:trHeight w:val="300"/>
        </w:trPr>
        <w:tc>
          <w:tcPr>
            <w:tcW w:w="1140" w:type="dxa"/>
            <w:tcBorders>
              <w:top w:val="nil"/>
              <w:left w:val="nil"/>
              <w:bottom w:val="nil"/>
              <w:right w:val="nil"/>
            </w:tcBorders>
            <w:shd w:val="clear" w:color="000000" w:fill="FFFFFF"/>
            <w:vAlign w:val="center"/>
            <w:hideMark/>
          </w:tcPr>
          <w:p w14:paraId="475B8359" w14:textId="77777777" w:rsidR="009172A2" w:rsidRPr="00D618B7" w:rsidRDefault="009172A2" w:rsidP="004B11B7">
            <w:pPr>
              <w:jc w:val="right"/>
              <w:rPr>
                <w:color w:val="000000"/>
              </w:rPr>
            </w:pPr>
            <w:r w:rsidRPr="00D618B7">
              <w:rPr>
                <w:color w:val="000000"/>
              </w:rPr>
              <w:t>3</w:t>
            </w:r>
          </w:p>
        </w:tc>
        <w:tc>
          <w:tcPr>
            <w:tcW w:w="1193" w:type="dxa"/>
            <w:tcBorders>
              <w:top w:val="nil"/>
              <w:left w:val="nil"/>
              <w:bottom w:val="nil"/>
              <w:right w:val="nil"/>
            </w:tcBorders>
            <w:shd w:val="clear" w:color="000000" w:fill="FFFFFF"/>
            <w:noWrap/>
            <w:vAlign w:val="bottom"/>
            <w:hideMark/>
          </w:tcPr>
          <w:p w14:paraId="1CCAB617" w14:textId="77777777" w:rsidR="009172A2" w:rsidRPr="00D618B7" w:rsidRDefault="009172A2" w:rsidP="004B11B7">
            <w:pPr>
              <w:jc w:val="right"/>
              <w:rPr>
                <w:color w:val="000000"/>
              </w:rPr>
            </w:pPr>
            <w:r w:rsidRPr="00D618B7">
              <w:rPr>
                <w:color w:val="000000"/>
              </w:rPr>
              <w:t>10.16</w:t>
            </w:r>
          </w:p>
        </w:tc>
        <w:tc>
          <w:tcPr>
            <w:tcW w:w="1367" w:type="dxa"/>
            <w:tcBorders>
              <w:top w:val="nil"/>
              <w:left w:val="nil"/>
              <w:bottom w:val="nil"/>
              <w:right w:val="nil"/>
            </w:tcBorders>
            <w:shd w:val="clear" w:color="000000" w:fill="FFFFFF"/>
            <w:noWrap/>
            <w:vAlign w:val="bottom"/>
            <w:hideMark/>
          </w:tcPr>
          <w:p w14:paraId="27B85225" w14:textId="77777777" w:rsidR="009172A2" w:rsidRPr="00D618B7" w:rsidRDefault="009172A2" w:rsidP="004B11B7">
            <w:pPr>
              <w:jc w:val="right"/>
              <w:rPr>
                <w:color w:val="000000"/>
              </w:rPr>
            </w:pPr>
            <w:r w:rsidRPr="00D618B7">
              <w:rPr>
                <w:color w:val="000000"/>
              </w:rPr>
              <w:t>1.50</w:t>
            </w:r>
          </w:p>
        </w:tc>
        <w:tc>
          <w:tcPr>
            <w:tcW w:w="1193" w:type="dxa"/>
            <w:tcBorders>
              <w:top w:val="nil"/>
              <w:left w:val="nil"/>
              <w:bottom w:val="nil"/>
              <w:right w:val="nil"/>
            </w:tcBorders>
            <w:shd w:val="clear" w:color="000000" w:fill="FFFFFF"/>
            <w:noWrap/>
            <w:vAlign w:val="bottom"/>
            <w:hideMark/>
          </w:tcPr>
          <w:p w14:paraId="65341B59" w14:textId="77777777" w:rsidR="009172A2" w:rsidRPr="00D618B7" w:rsidRDefault="009172A2" w:rsidP="004B11B7">
            <w:pPr>
              <w:jc w:val="right"/>
              <w:rPr>
                <w:color w:val="000000"/>
              </w:rPr>
            </w:pPr>
            <w:r w:rsidRPr="00D618B7">
              <w:rPr>
                <w:color w:val="000000"/>
              </w:rPr>
              <w:t>9.62</w:t>
            </w:r>
          </w:p>
        </w:tc>
        <w:tc>
          <w:tcPr>
            <w:tcW w:w="1367" w:type="dxa"/>
            <w:tcBorders>
              <w:top w:val="nil"/>
              <w:left w:val="nil"/>
              <w:bottom w:val="nil"/>
              <w:right w:val="nil"/>
            </w:tcBorders>
            <w:shd w:val="clear" w:color="000000" w:fill="FFFFFF"/>
            <w:noWrap/>
            <w:vAlign w:val="bottom"/>
            <w:hideMark/>
          </w:tcPr>
          <w:p w14:paraId="1B0A113B" w14:textId="77777777" w:rsidR="009172A2" w:rsidRPr="00D618B7" w:rsidRDefault="009172A2" w:rsidP="004B11B7">
            <w:pPr>
              <w:jc w:val="right"/>
              <w:rPr>
                <w:color w:val="000000"/>
              </w:rPr>
            </w:pPr>
            <w:r w:rsidRPr="00D618B7">
              <w:rPr>
                <w:color w:val="000000"/>
              </w:rPr>
              <w:t>1.50</w:t>
            </w:r>
          </w:p>
        </w:tc>
        <w:tc>
          <w:tcPr>
            <w:tcW w:w="1193" w:type="dxa"/>
            <w:tcBorders>
              <w:top w:val="nil"/>
              <w:left w:val="nil"/>
              <w:bottom w:val="nil"/>
              <w:right w:val="nil"/>
            </w:tcBorders>
            <w:shd w:val="clear" w:color="000000" w:fill="FFFFFF"/>
            <w:noWrap/>
            <w:vAlign w:val="bottom"/>
            <w:hideMark/>
          </w:tcPr>
          <w:p w14:paraId="6C43CD7C" w14:textId="77777777" w:rsidR="009172A2" w:rsidRPr="00D618B7" w:rsidRDefault="009172A2" w:rsidP="004B11B7">
            <w:pPr>
              <w:jc w:val="right"/>
              <w:rPr>
                <w:color w:val="000000"/>
              </w:rPr>
            </w:pPr>
            <w:r w:rsidRPr="00D618B7">
              <w:rPr>
                <w:color w:val="000000"/>
              </w:rPr>
              <w:t>7.62</w:t>
            </w:r>
          </w:p>
        </w:tc>
        <w:tc>
          <w:tcPr>
            <w:tcW w:w="1367" w:type="dxa"/>
            <w:tcBorders>
              <w:top w:val="nil"/>
              <w:left w:val="nil"/>
              <w:bottom w:val="nil"/>
              <w:right w:val="nil"/>
            </w:tcBorders>
            <w:shd w:val="clear" w:color="000000" w:fill="FFFFFF"/>
            <w:noWrap/>
            <w:vAlign w:val="bottom"/>
            <w:hideMark/>
          </w:tcPr>
          <w:p w14:paraId="002F1213" w14:textId="77777777" w:rsidR="009172A2" w:rsidRPr="00D618B7" w:rsidRDefault="009172A2" w:rsidP="004B11B7">
            <w:pPr>
              <w:jc w:val="right"/>
              <w:rPr>
                <w:color w:val="000000"/>
              </w:rPr>
            </w:pPr>
            <w:r w:rsidRPr="00D618B7">
              <w:rPr>
                <w:color w:val="000000"/>
              </w:rPr>
              <w:t>1.50</w:t>
            </w:r>
          </w:p>
        </w:tc>
      </w:tr>
      <w:tr w:rsidR="009172A2" w:rsidRPr="00D618B7" w14:paraId="6AAE3FA0" w14:textId="77777777" w:rsidTr="004B11B7">
        <w:trPr>
          <w:trHeight w:val="300"/>
        </w:trPr>
        <w:tc>
          <w:tcPr>
            <w:tcW w:w="1140" w:type="dxa"/>
            <w:tcBorders>
              <w:top w:val="nil"/>
              <w:left w:val="nil"/>
              <w:right w:val="nil"/>
            </w:tcBorders>
            <w:shd w:val="clear" w:color="000000" w:fill="FFFFFF"/>
            <w:vAlign w:val="center"/>
            <w:hideMark/>
          </w:tcPr>
          <w:p w14:paraId="1218D54B" w14:textId="77777777" w:rsidR="009172A2" w:rsidRPr="00D618B7" w:rsidRDefault="009172A2" w:rsidP="004B11B7">
            <w:pPr>
              <w:jc w:val="right"/>
              <w:rPr>
                <w:color w:val="000000"/>
              </w:rPr>
            </w:pPr>
            <w:r w:rsidRPr="00D618B7">
              <w:rPr>
                <w:color w:val="000000"/>
              </w:rPr>
              <w:t>4</w:t>
            </w:r>
          </w:p>
        </w:tc>
        <w:tc>
          <w:tcPr>
            <w:tcW w:w="1193" w:type="dxa"/>
            <w:tcBorders>
              <w:top w:val="nil"/>
              <w:left w:val="nil"/>
              <w:right w:val="nil"/>
            </w:tcBorders>
            <w:shd w:val="clear" w:color="000000" w:fill="FFFFFF"/>
            <w:noWrap/>
            <w:vAlign w:val="bottom"/>
            <w:hideMark/>
          </w:tcPr>
          <w:p w14:paraId="5DBB5F5B" w14:textId="77777777" w:rsidR="009172A2" w:rsidRPr="00D618B7" w:rsidRDefault="009172A2" w:rsidP="004B11B7">
            <w:pPr>
              <w:jc w:val="right"/>
              <w:rPr>
                <w:color w:val="000000"/>
              </w:rPr>
            </w:pPr>
            <w:r w:rsidRPr="00D618B7">
              <w:rPr>
                <w:color w:val="000000"/>
              </w:rPr>
              <w:t>7.61</w:t>
            </w:r>
          </w:p>
        </w:tc>
        <w:tc>
          <w:tcPr>
            <w:tcW w:w="1367" w:type="dxa"/>
            <w:tcBorders>
              <w:top w:val="nil"/>
              <w:left w:val="nil"/>
              <w:right w:val="nil"/>
            </w:tcBorders>
            <w:shd w:val="clear" w:color="000000" w:fill="FFFFFF"/>
            <w:noWrap/>
            <w:vAlign w:val="bottom"/>
            <w:hideMark/>
          </w:tcPr>
          <w:p w14:paraId="78462057" w14:textId="77777777" w:rsidR="009172A2" w:rsidRPr="00D618B7" w:rsidRDefault="009172A2" w:rsidP="004B11B7">
            <w:pPr>
              <w:jc w:val="right"/>
              <w:rPr>
                <w:color w:val="000000"/>
              </w:rPr>
            </w:pPr>
            <w:r w:rsidRPr="00D618B7">
              <w:rPr>
                <w:color w:val="000000"/>
              </w:rPr>
              <w:t>1.64</w:t>
            </w:r>
          </w:p>
        </w:tc>
        <w:tc>
          <w:tcPr>
            <w:tcW w:w="1193" w:type="dxa"/>
            <w:tcBorders>
              <w:top w:val="nil"/>
              <w:left w:val="nil"/>
              <w:right w:val="nil"/>
            </w:tcBorders>
            <w:shd w:val="clear" w:color="000000" w:fill="FFFFFF"/>
            <w:noWrap/>
            <w:vAlign w:val="bottom"/>
            <w:hideMark/>
          </w:tcPr>
          <w:p w14:paraId="3553943B" w14:textId="77777777" w:rsidR="009172A2" w:rsidRPr="00D618B7" w:rsidRDefault="009172A2" w:rsidP="004B11B7">
            <w:pPr>
              <w:jc w:val="right"/>
              <w:rPr>
                <w:color w:val="000000"/>
              </w:rPr>
            </w:pPr>
            <w:r w:rsidRPr="00D618B7">
              <w:rPr>
                <w:color w:val="000000"/>
              </w:rPr>
              <w:t>6.68</w:t>
            </w:r>
          </w:p>
        </w:tc>
        <w:tc>
          <w:tcPr>
            <w:tcW w:w="1367" w:type="dxa"/>
            <w:tcBorders>
              <w:top w:val="nil"/>
              <w:left w:val="nil"/>
              <w:right w:val="nil"/>
            </w:tcBorders>
            <w:shd w:val="clear" w:color="000000" w:fill="FFFFFF"/>
            <w:noWrap/>
            <w:vAlign w:val="bottom"/>
            <w:hideMark/>
          </w:tcPr>
          <w:p w14:paraId="626A6131" w14:textId="77777777" w:rsidR="009172A2" w:rsidRPr="00D618B7" w:rsidRDefault="009172A2" w:rsidP="004B11B7">
            <w:pPr>
              <w:jc w:val="right"/>
              <w:rPr>
                <w:color w:val="000000"/>
              </w:rPr>
            </w:pPr>
            <w:r w:rsidRPr="00D618B7">
              <w:rPr>
                <w:color w:val="000000"/>
              </w:rPr>
              <w:t>1.64</w:t>
            </w:r>
          </w:p>
        </w:tc>
        <w:tc>
          <w:tcPr>
            <w:tcW w:w="1193" w:type="dxa"/>
            <w:tcBorders>
              <w:top w:val="nil"/>
              <w:left w:val="nil"/>
              <w:right w:val="nil"/>
            </w:tcBorders>
            <w:shd w:val="clear" w:color="000000" w:fill="FFFFFF"/>
            <w:noWrap/>
            <w:vAlign w:val="bottom"/>
            <w:hideMark/>
          </w:tcPr>
          <w:p w14:paraId="261F72C3" w14:textId="77777777" w:rsidR="009172A2" w:rsidRPr="00D618B7" w:rsidRDefault="009172A2" w:rsidP="004B11B7">
            <w:pPr>
              <w:jc w:val="right"/>
              <w:rPr>
                <w:color w:val="000000"/>
              </w:rPr>
            </w:pPr>
            <w:r w:rsidRPr="00D618B7">
              <w:rPr>
                <w:color w:val="000000"/>
              </w:rPr>
              <w:t>6.12</w:t>
            </w:r>
          </w:p>
        </w:tc>
        <w:tc>
          <w:tcPr>
            <w:tcW w:w="1367" w:type="dxa"/>
            <w:tcBorders>
              <w:top w:val="nil"/>
              <w:left w:val="nil"/>
              <w:right w:val="nil"/>
            </w:tcBorders>
            <w:shd w:val="clear" w:color="000000" w:fill="FFFFFF"/>
            <w:noWrap/>
            <w:vAlign w:val="bottom"/>
            <w:hideMark/>
          </w:tcPr>
          <w:p w14:paraId="1F827424" w14:textId="77777777" w:rsidR="009172A2" w:rsidRPr="00D618B7" w:rsidRDefault="009172A2" w:rsidP="004B11B7">
            <w:pPr>
              <w:jc w:val="right"/>
              <w:rPr>
                <w:color w:val="000000"/>
              </w:rPr>
            </w:pPr>
            <w:r w:rsidRPr="00D618B7">
              <w:rPr>
                <w:color w:val="000000"/>
              </w:rPr>
              <w:t>1.63</w:t>
            </w:r>
          </w:p>
        </w:tc>
      </w:tr>
      <w:tr w:rsidR="009172A2" w:rsidRPr="00D618B7" w14:paraId="2EF57784" w14:textId="77777777" w:rsidTr="004B11B7">
        <w:trPr>
          <w:trHeight w:val="315"/>
        </w:trPr>
        <w:tc>
          <w:tcPr>
            <w:tcW w:w="1140" w:type="dxa"/>
            <w:tcBorders>
              <w:top w:val="nil"/>
              <w:left w:val="nil"/>
              <w:bottom w:val="single" w:sz="18" w:space="0" w:color="auto"/>
              <w:right w:val="nil"/>
            </w:tcBorders>
            <w:shd w:val="clear" w:color="000000" w:fill="FFFFFF"/>
            <w:vAlign w:val="center"/>
            <w:hideMark/>
          </w:tcPr>
          <w:p w14:paraId="39CBBFF5" w14:textId="77777777" w:rsidR="009172A2" w:rsidRPr="00D618B7" w:rsidRDefault="009172A2" w:rsidP="004B11B7">
            <w:pPr>
              <w:jc w:val="right"/>
              <w:rPr>
                <w:color w:val="000000"/>
              </w:rPr>
            </w:pPr>
            <w:r w:rsidRPr="00D618B7">
              <w:rPr>
                <w:color w:val="000000"/>
              </w:rPr>
              <w:t>5</w:t>
            </w:r>
          </w:p>
        </w:tc>
        <w:tc>
          <w:tcPr>
            <w:tcW w:w="1193" w:type="dxa"/>
            <w:tcBorders>
              <w:top w:val="nil"/>
              <w:left w:val="nil"/>
              <w:bottom w:val="single" w:sz="18" w:space="0" w:color="auto"/>
              <w:right w:val="nil"/>
            </w:tcBorders>
            <w:shd w:val="clear" w:color="000000" w:fill="FFFFFF"/>
            <w:noWrap/>
            <w:vAlign w:val="bottom"/>
            <w:hideMark/>
          </w:tcPr>
          <w:p w14:paraId="588FE3E2" w14:textId="77777777" w:rsidR="009172A2" w:rsidRPr="00D618B7" w:rsidRDefault="009172A2" w:rsidP="004B11B7">
            <w:pPr>
              <w:jc w:val="right"/>
              <w:rPr>
                <w:color w:val="000000"/>
              </w:rPr>
            </w:pPr>
            <w:r w:rsidRPr="00D618B7">
              <w:rPr>
                <w:color w:val="000000"/>
              </w:rPr>
              <w:t>11.24</w:t>
            </w:r>
          </w:p>
        </w:tc>
        <w:tc>
          <w:tcPr>
            <w:tcW w:w="1367" w:type="dxa"/>
            <w:tcBorders>
              <w:top w:val="nil"/>
              <w:left w:val="nil"/>
              <w:bottom w:val="single" w:sz="18" w:space="0" w:color="auto"/>
              <w:right w:val="nil"/>
            </w:tcBorders>
            <w:shd w:val="clear" w:color="000000" w:fill="FFFFFF"/>
            <w:noWrap/>
            <w:vAlign w:val="bottom"/>
            <w:hideMark/>
          </w:tcPr>
          <w:p w14:paraId="232632B0" w14:textId="77777777" w:rsidR="009172A2" w:rsidRPr="00D618B7" w:rsidRDefault="009172A2" w:rsidP="004B11B7">
            <w:pPr>
              <w:jc w:val="right"/>
              <w:rPr>
                <w:color w:val="000000"/>
              </w:rPr>
            </w:pPr>
            <w:r w:rsidRPr="00D618B7">
              <w:rPr>
                <w:color w:val="000000"/>
              </w:rPr>
              <w:t>1.73</w:t>
            </w:r>
          </w:p>
        </w:tc>
        <w:tc>
          <w:tcPr>
            <w:tcW w:w="1193" w:type="dxa"/>
            <w:tcBorders>
              <w:top w:val="nil"/>
              <w:left w:val="nil"/>
              <w:bottom w:val="single" w:sz="18" w:space="0" w:color="auto"/>
              <w:right w:val="nil"/>
            </w:tcBorders>
            <w:shd w:val="clear" w:color="000000" w:fill="FFFFFF"/>
            <w:noWrap/>
            <w:vAlign w:val="bottom"/>
            <w:hideMark/>
          </w:tcPr>
          <w:p w14:paraId="0B735EC3" w14:textId="77777777" w:rsidR="009172A2" w:rsidRPr="00D618B7" w:rsidRDefault="009172A2" w:rsidP="004B11B7">
            <w:pPr>
              <w:jc w:val="right"/>
              <w:rPr>
                <w:color w:val="000000"/>
              </w:rPr>
            </w:pPr>
            <w:r w:rsidRPr="00D618B7">
              <w:rPr>
                <w:color w:val="000000"/>
              </w:rPr>
              <w:t>12.91</w:t>
            </w:r>
          </w:p>
        </w:tc>
        <w:tc>
          <w:tcPr>
            <w:tcW w:w="1367" w:type="dxa"/>
            <w:tcBorders>
              <w:top w:val="nil"/>
              <w:left w:val="nil"/>
              <w:bottom w:val="single" w:sz="18" w:space="0" w:color="auto"/>
              <w:right w:val="nil"/>
            </w:tcBorders>
            <w:shd w:val="clear" w:color="000000" w:fill="FFFFFF"/>
            <w:noWrap/>
            <w:vAlign w:val="bottom"/>
            <w:hideMark/>
          </w:tcPr>
          <w:p w14:paraId="640703A1" w14:textId="77777777" w:rsidR="009172A2" w:rsidRPr="00D618B7" w:rsidRDefault="009172A2" w:rsidP="004B11B7">
            <w:pPr>
              <w:jc w:val="right"/>
              <w:rPr>
                <w:color w:val="000000"/>
              </w:rPr>
            </w:pPr>
            <w:r w:rsidRPr="00D618B7">
              <w:rPr>
                <w:color w:val="000000"/>
              </w:rPr>
              <w:t>1.75</w:t>
            </w:r>
          </w:p>
        </w:tc>
        <w:tc>
          <w:tcPr>
            <w:tcW w:w="1193" w:type="dxa"/>
            <w:tcBorders>
              <w:top w:val="nil"/>
              <w:left w:val="nil"/>
              <w:bottom w:val="single" w:sz="18" w:space="0" w:color="auto"/>
              <w:right w:val="nil"/>
            </w:tcBorders>
            <w:shd w:val="clear" w:color="000000" w:fill="FFFFFF"/>
            <w:noWrap/>
            <w:vAlign w:val="bottom"/>
            <w:hideMark/>
          </w:tcPr>
          <w:p w14:paraId="7C231871" w14:textId="77777777" w:rsidR="009172A2" w:rsidRPr="00D618B7" w:rsidRDefault="009172A2" w:rsidP="004B11B7">
            <w:pPr>
              <w:jc w:val="right"/>
              <w:rPr>
                <w:color w:val="000000"/>
              </w:rPr>
            </w:pPr>
            <w:r w:rsidRPr="00D618B7">
              <w:rPr>
                <w:color w:val="000000"/>
              </w:rPr>
              <w:t>8.23</w:t>
            </w:r>
          </w:p>
        </w:tc>
        <w:tc>
          <w:tcPr>
            <w:tcW w:w="1367" w:type="dxa"/>
            <w:tcBorders>
              <w:top w:val="nil"/>
              <w:left w:val="nil"/>
              <w:bottom w:val="single" w:sz="18" w:space="0" w:color="auto"/>
              <w:right w:val="nil"/>
            </w:tcBorders>
            <w:shd w:val="clear" w:color="000000" w:fill="FFFFFF"/>
            <w:noWrap/>
            <w:vAlign w:val="bottom"/>
            <w:hideMark/>
          </w:tcPr>
          <w:p w14:paraId="696DA8E6" w14:textId="77777777" w:rsidR="009172A2" w:rsidRPr="00D618B7" w:rsidRDefault="009172A2" w:rsidP="004B11B7">
            <w:pPr>
              <w:jc w:val="right"/>
              <w:rPr>
                <w:color w:val="000000"/>
              </w:rPr>
            </w:pPr>
            <w:r w:rsidRPr="00D618B7">
              <w:rPr>
                <w:color w:val="000000"/>
              </w:rPr>
              <w:t>1.75</w:t>
            </w:r>
          </w:p>
        </w:tc>
      </w:tr>
    </w:tbl>
    <w:p w14:paraId="19F6D560" w14:textId="77777777" w:rsidR="009172A2" w:rsidRPr="00D618B7" w:rsidRDefault="009172A2" w:rsidP="009172A2">
      <w:pPr>
        <w:rPr>
          <w:i/>
          <w:iCs/>
        </w:rPr>
      </w:pPr>
    </w:p>
    <w:p w14:paraId="2D649639" w14:textId="77777777" w:rsidR="009172A2" w:rsidRPr="00D618B7" w:rsidRDefault="009172A2" w:rsidP="009172A2">
      <w:r w:rsidRPr="00D618B7">
        <w:rPr>
          <w:i/>
          <w:iCs/>
        </w:rPr>
        <w:t>Note</w:t>
      </w:r>
      <w:r w:rsidRPr="00D618B7">
        <w:t>: This table lists the estimated mean average velocity and standard errors for toy-out-of-reach, toy-moving-into-reach, and toy-in-reach for each week of observation around reach-onset.</w:t>
      </w:r>
    </w:p>
    <w:p w14:paraId="65694554" w14:textId="790D0BA3" w:rsidR="009172A2" w:rsidRPr="00D618B7" w:rsidRDefault="00B11545" w:rsidP="007C5074">
      <w:pPr>
        <w:pStyle w:val="Caption"/>
      </w:pPr>
      <w:r w:rsidRPr="00D618B7">
        <w:rPr>
          <w:rFonts w:eastAsia="Aptos"/>
        </w:rPr>
        <w:br w:type="page"/>
      </w:r>
    </w:p>
    <w:p w14:paraId="1295992F" w14:textId="77777777" w:rsidR="009172A2" w:rsidRPr="00D618B7" w:rsidRDefault="009172A2" w:rsidP="009172A2">
      <w:r w:rsidRPr="00D618B7">
        <w:rPr>
          <w:noProof/>
        </w:rPr>
        <w:lastRenderedPageBreak/>
        <mc:AlternateContent>
          <mc:Choice Requires="wpg">
            <w:drawing>
              <wp:anchor distT="0" distB="0" distL="114300" distR="114300" simplePos="0" relativeHeight="252049920" behindDoc="0" locked="0" layoutInCell="1" allowOverlap="1" wp14:anchorId="205764E9" wp14:editId="45A27141">
                <wp:simplePos x="0" y="0"/>
                <wp:positionH relativeFrom="column">
                  <wp:posOffset>190500</wp:posOffset>
                </wp:positionH>
                <wp:positionV relativeFrom="paragraph">
                  <wp:posOffset>219075</wp:posOffset>
                </wp:positionV>
                <wp:extent cx="5743575" cy="4109822"/>
                <wp:effectExtent l="0" t="0" r="0" b="5080"/>
                <wp:wrapTopAndBottom/>
                <wp:docPr id="9" name="Group 8">
                  <a:extLst xmlns:a="http://schemas.openxmlformats.org/drawingml/2006/main">
                    <a:ext uri="{FF2B5EF4-FFF2-40B4-BE49-F238E27FC236}">
                      <a16:creationId xmlns:a16="http://schemas.microsoft.com/office/drawing/2014/main" id="{59823C20-AD8A-4058-1AB2-CA66F9878C5D}"/>
                    </a:ext>
                  </a:extLst>
                </wp:docPr>
                <wp:cNvGraphicFramePr/>
                <a:graphic xmlns:a="http://schemas.openxmlformats.org/drawingml/2006/main">
                  <a:graphicData uri="http://schemas.microsoft.com/office/word/2010/wordprocessingGroup">
                    <wpg:wgp>
                      <wpg:cNvGrpSpPr/>
                      <wpg:grpSpPr>
                        <a:xfrm>
                          <a:off x="0" y="0"/>
                          <a:ext cx="5743575" cy="4109822"/>
                          <a:chOff x="0" y="-100427"/>
                          <a:chExt cx="7761754" cy="5231559"/>
                        </a:xfrm>
                      </wpg:grpSpPr>
                      <wpg:graphicFrame>
                        <wpg:cNvPr id="1081278757" name="Chart 1081278757">
                          <a:extLst>
                            <a:ext uri="{FF2B5EF4-FFF2-40B4-BE49-F238E27FC236}">
                              <a16:creationId xmlns:a16="http://schemas.microsoft.com/office/drawing/2014/main" id="{EBD95281-B4C9-4586-ADEE-28817CEBA665}"/>
                            </a:ext>
                          </a:extLst>
                        </wpg:cNvPr>
                        <wpg:cNvFrPr>
                          <a:graphicFrameLocks/>
                        </wpg:cNvFrPr>
                        <wpg:xfrm>
                          <a:off x="0" y="135268"/>
                          <a:ext cx="7761754" cy="4995864"/>
                        </wpg:xfrm>
                        <a:graphic>
                          <a:graphicData uri="http://schemas.openxmlformats.org/drawingml/2006/chart">
                            <c:chart xmlns:c="http://schemas.openxmlformats.org/drawingml/2006/chart" xmlns:r="http://schemas.openxmlformats.org/officeDocument/2006/relationships" r:id="rId35"/>
                          </a:graphicData>
                        </a:graphic>
                      </wpg:graphicFrame>
                      <wps:wsp>
                        <wps:cNvPr id="620401855" name="Arrow: Circular 620401855">
                          <a:extLst>
                            <a:ext uri="{FF2B5EF4-FFF2-40B4-BE49-F238E27FC236}">
                              <a16:creationId xmlns:a16="http://schemas.microsoft.com/office/drawing/2014/main" id="{6828DC84-D668-44A1-9DEF-8CE67917CAEA}"/>
                            </a:ext>
                          </a:extLst>
                        </wps:cNvPr>
                        <wps:cNvSpPr/>
                        <wps:spPr>
                          <a:xfrm rot="5128698">
                            <a:off x="1385014" y="-228960"/>
                            <a:ext cx="5057731" cy="5314798"/>
                          </a:xfrm>
                          <a:prstGeom prst="circularArrow">
                            <a:avLst>
                              <a:gd name="adj1" fmla="val 7210"/>
                              <a:gd name="adj2" fmla="val 948083"/>
                              <a:gd name="adj3" fmla="val 20336363"/>
                              <a:gd name="adj4" fmla="val 957392"/>
                              <a:gd name="adj5" fmla="val 8401"/>
                            </a:avLst>
                          </a:prstGeom>
                          <a:solidFill>
                            <a:schemeClr val="accent1">
                              <a:alpha val="23000"/>
                            </a:schemeClr>
                          </a:solidFill>
                          <a:ln>
                            <a:solidFill>
                              <a:schemeClr val="tx1">
                                <a:lumMod val="95000"/>
                                <a:lumOff val="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8E267D" id="Group 8" o:spid="_x0000_s1026" style="position:absolute;margin-left:15pt;margin-top:17.25pt;width:452.25pt;height:323.6pt;z-index:252049920;mso-width-relative:margin;mso-height-relative:margin" coordorigin=",-1004" coordsize="77617,52315"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">
                <v:shape id="Chart 1081278757" o:spid="_x0000_s1027" type="#_x0000_t75" style="position:absolute;top:1323;width:77602;height:499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">
                  <v:imagedata r:id="rId36" o:title=""/>
                  <o:lock v:ext="edit" aspectratio="f"/>
                </v:shape>
                <v:shape id="Arrow: Circular 620401855" o:spid="_x0000_s1028" style="position:absolute;left:13849;top:-2289;width:50577;height:53148;rotation:5601906fd;visibility:visible;mso-wrap-style:square;v-text-anchor:top" coordsize="5057731,5314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" path="m4735730,3288396c4436871,4454460,3368184,5207862,2234001,5052062,1122154,4899330,279229,3917539,243715,2733890,208396,1556742,982200,524381,2075067,290617,3201586,49654,4322354,729507,4693015,1878652r236717,-21791l4624959,2464454,4083510,1934755r235861,-21711c3969315,954590,3007739,421268,2071312,666195,1173846,900932,560050,1783920,610046,2768326v50564,995570,765124,1807987,1693182,1925058c3251279,4812976,4137872,4171904,4384997,3188112r350733,100284xe" fillcolor="#4f81bd [3204]" strokecolor="#0d0d0d [3069]" strokeweight="2pt">
                  <v:fill opacity="15163f"/>
                  <v:path arrowok="t" o:connecttype="custom" o:connectlocs="4735730,3288396;2234001,5052062;243715,2733890;2075067,290617;4693015,1878652;4929732,1856861;4624959,2464454;4083510,1934755;4319371,1913044;2071312,666195;610046,2768326;2303228,4693384;4384997,3188112;4735730,3288396" o:connectangles="0,0,0,0,0,0,0,0,0,0,0,0,0,0"/>
                </v:shape>
                <w10:wrap type="topAndBottom"/>
              </v:group>
            </w:pict>
          </mc:Fallback>
        </mc:AlternateContent>
      </w:r>
    </w:p>
    <w:p w14:paraId="2F314597" w14:textId="77777777" w:rsidR="009172A2" w:rsidRPr="00D618B7" w:rsidRDefault="009172A2" w:rsidP="009172A2">
      <w:pPr>
        <w:rPr>
          <w:i/>
          <w:iCs/>
        </w:rPr>
      </w:pPr>
    </w:p>
    <w:p w14:paraId="71D0C660" w14:textId="77777777" w:rsidR="007C5074" w:rsidRPr="00D618B7" w:rsidRDefault="007C5074" w:rsidP="007C5074">
      <w:pPr>
        <w:pStyle w:val="Caption"/>
      </w:pPr>
      <w:bookmarkStart w:id="174" w:name="_Toc172716957"/>
      <w:r w:rsidRPr="00D618B7">
        <w:t xml:space="preserve">Figure </w:t>
      </w:r>
      <w:r>
        <w:fldChar w:fldCharType="begin"/>
      </w:r>
      <w:r>
        <w:instrText xml:space="preserve"> SEQ Figure \* ARABIC </w:instrText>
      </w:r>
      <w:r>
        <w:fldChar w:fldCharType="separate"/>
      </w:r>
      <w:r>
        <w:rPr>
          <w:noProof/>
        </w:rPr>
        <w:t>17</w:t>
      </w:r>
      <w:r>
        <w:rPr>
          <w:noProof/>
        </w:rPr>
        <w:fldChar w:fldCharType="end"/>
      </w:r>
      <w:r w:rsidRPr="00D618B7">
        <w:t xml:space="preserve">: </w:t>
      </w:r>
      <w:r>
        <w:t>A</w:t>
      </w:r>
      <w:r w:rsidRPr="00D618B7">
        <w:t>verage velocity by proximity and week</w:t>
      </w:r>
      <w:bookmarkEnd w:id="174"/>
    </w:p>
    <w:p w14:paraId="71574E14" w14:textId="3D5B4330" w:rsidR="007C5074" w:rsidRPr="00D618B7" w:rsidRDefault="007C5074" w:rsidP="007C5074">
      <w:r w:rsidRPr="00D618B7">
        <w:t>Estimated Mean Average Velocity per by Proximity and Week</w:t>
      </w:r>
      <w:r>
        <w:t>.</w:t>
      </w:r>
    </w:p>
    <w:p w14:paraId="104774C5" w14:textId="520CA616" w:rsidR="009172A2" w:rsidRPr="00D618B7" w:rsidRDefault="009172A2" w:rsidP="009172A2">
      <w:r w:rsidRPr="00D618B7">
        <w:rPr>
          <w:i/>
          <w:iCs/>
        </w:rPr>
        <w:t>Note</w:t>
      </w:r>
      <w:r w:rsidRPr="00D618B7">
        <w:t>. This figure illustrates the estimated mean average velocity for proximity per week of observation around reach-onset.</w:t>
      </w:r>
    </w:p>
    <w:p w14:paraId="0F700939" w14:textId="3F2D9F83" w:rsidR="0008434A" w:rsidRPr="00D618B7" w:rsidRDefault="009172A2" w:rsidP="007C5074">
      <w:pPr>
        <w:pStyle w:val="Caption"/>
      </w:pPr>
      <w:r w:rsidRPr="00D618B7">
        <w:rPr>
          <w:rFonts w:eastAsia="Aptos"/>
        </w:rPr>
        <w:br w:type="page"/>
      </w:r>
    </w:p>
    <w:p w14:paraId="581E8EDF" w14:textId="77777777" w:rsidR="0008434A" w:rsidRPr="00D618B7" w:rsidRDefault="0008434A" w:rsidP="0008434A">
      <w:r w:rsidRPr="00D618B7">
        <w:rPr>
          <w:noProof/>
        </w:rPr>
        <w:lastRenderedPageBreak/>
        <w:drawing>
          <wp:inline distT="0" distB="0" distL="0" distR="0" wp14:anchorId="0C5602D6" wp14:editId="5AB7716E">
            <wp:extent cx="5943600" cy="2572385"/>
            <wp:effectExtent l="0" t="0" r="0" b="0"/>
            <wp:docPr id="1564354389" name="Chart 1">
              <a:extLst xmlns:a="http://schemas.openxmlformats.org/drawingml/2006/main">
                <a:ext uri="{FF2B5EF4-FFF2-40B4-BE49-F238E27FC236}">
                  <a16:creationId xmlns:a16="http://schemas.microsoft.com/office/drawing/2014/main" id="{F865E5D4-7305-4191-881E-D8600DA6FE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D618B7">
        <w:t xml:space="preserve"> </w:t>
      </w:r>
    </w:p>
    <w:p w14:paraId="7D42C853" w14:textId="77777777" w:rsidR="007C5074" w:rsidRPr="00D618B7" w:rsidRDefault="007C5074" w:rsidP="007C5074">
      <w:pPr>
        <w:pStyle w:val="Caption"/>
      </w:pPr>
      <w:bookmarkStart w:id="175" w:name="_Toc172716958"/>
      <w:r w:rsidRPr="00D618B7">
        <w:t xml:space="preserve">Figure </w:t>
      </w:r>
      <w:r>
        <w:fldChar w:fldCharType="begin"/>
      </w:r>
      <w:r>
        <w:instrText xml:space="preserve"> SEQ Figure \* ARABIC </w:instrText>
      </w:r>
      <w:r>
        <w:fldChar w:fldCharType="separate"/>
      </w:r>
      <w:r>
        <w:rPr>
          <w:noProof/>
        </w:rPr>
        <w:t>18</w:t>
      </w:r>
      <w:r>
        <w:rPr>
          <w:noProof/>
        </w:rPr>
        <w:fldChar w:fldCharType="end"/>
      </w:r>
      <w:r w:rsidRPr="00D618B7">
        <w:t xml:space="preserve">: </w:t>
      </w:r>
      <w:r>
        <w:t>M</w:t>
      </w:r>
      <w:r w:rsidRPr="00D618B7">
        <w:t>ovement units by week</w:t>
      </w:r>
      <w:bookmarkEnd w:id="175"/>
    </w:p>
    <w:p w14:paraId="060C1549" w14:textId="1899522F" w:rsidR="007C5074" w:rsidRPr="00D618B7" w:rsidRDefault="007C5074" w:rsidP="007C5074">
      <w:r w:rsidRPr="00D618B7">
        <w:t>Estimated Mean Movement Units per Week</w:t>
      </w:r>
      <w:r>
        <w:t>.</w:t>
      </w:r>
    </w:p>
    <w:p w14:paraId="275BEB13" w14:textId="5406087B" w:rsidR="0008434A" w:rsidRPr="00D618B7" w:rsidRDefault="0008434A" w:rsidP="0008434A">
      <w:r w:rsidRPr="00D618B7">
        <w:rPr>
          <w:i/>
          <w:iCs/>
        </w:rPr>
        <w:t>Note</w:t>
      </w:r>
      <w:r w:rsidRPr="00D618B7">
        <w:t>. This figure illustrates the estimated mean movement units for each week of observation around reach-onset. Error bars show standard error.</w:t>
      </w:r>
    </w:p>
    <w:p w14:paraId="1F15E229" w14:textId="77777777" w:rsidR="0008434A" w:rsidRPr="00D618B7" w:rsidRDefault="0008434A" w:rsidP="0008434A"/>
    <w:p w14:paraId="25920BD9" w14:textId="6A3B3C8E" w:rsidR="0008434A" w:rsidRPr="00D618B7" w:rsidRDefault="0008434A" w:rsidP="007C5074">
      <w:pPr>
        <w:pStyle w:val="Caption"/>
      </w:pPr>
      <w:bookmarkStart w:id="176" w:name="_Toc172716867"/>
      <w:r w:rsidRPr="00D618B7">
        <w:t xml:space="preserve">Table </w:t>
      </w:r>
      <w:r w:rsidR="00000000">
        <w:fldChar w:fldCharType="begin"/>
      </w:r>
      <w:r w:rsidR="00000000">
        <w:instrText xml:space="preserve"> SEQ Table \* ARABIC </w:instrText>
      </w:r>
      <w:r w:rsidR="00000000">
        <w:fldChar w:fldCharType="separate"/>
      </w:r>
      <w:r w:rsidR="000C6E43">
        <w:rPr>
          <w:noProof/>
        </w:rPr>
        <w:t>39</w:t>
      </w:r>
      <w:r w:rsidR="00000000">
        <w:rPr>
          <w:noProof/>
        </w:rPr>
        <w:fldChar w:fldCharType="end"/>
      </w:r>
      <w:r w:rsidRPr="00D618B7">
        <w:t xml:space="preserve">: </w:t>
      </w:r>
      <w:r w:rsidR="00F767C9">
        <w:t>M</w:t>
      </w:r>
      <w:r w:rsidRPr="00D618B7">
        <w:t>ovement units by week</w:t>
      </w:r>
      <w:bookmarkEnd w:id="176"/>
    </w:p>
    <w:p w14:paraId="43DDF74F" w14:textId="77777777" w:rsidR="0008434A" w:rsidRPr="00D618B7" w:rsidRDefault="0008434A" w:rsidP="0008434A">
      <w:r w:rsidRPr="00D618B7">
        <w:t>Estimated Mean Movement Units per Week</w:t>
      </w:r>
    </w:p>
    <w:tbl>
      <w:tblPr>
        <w:tblW w:w="9312" w:type="dxa"/>
        <w:tblLook w:val="04A0" w:firstRow="1" w:lastRow="0" w:firstColumn="1" w:lastColumn="0" w:noHBand="0" w:noVBand="1"/>
      </w:tblPr>
      <w:tblGrid>
        <w:gridCol w:w="2340"/>
        <w:gridCol w:w="3868"/>
        <w:gridCol w:w="3104"/>
      </w:tblGrid>
      <w:tr w:rsidR="0008434A" w:rsidRPr="00D618B7" w14:paraId="622A0006" w14:textId="77777777" w:rsidTr="004B11B7">
        <w:trPr>
          <w:trHeight w:val="320"/>
        </w:trPr>
        <w:tc>
          <w:tcPr>
            <w:tcW w:w="2340" w:type="dxa"/>
            <w:tcBorders>
              <w:top w:val="single" w:sz="4" w:space="0" w:color="auto"/>
              <w:left w:val="nil"/>
              <w:bottom w:val="nil"/>
              <w:right w:val="nil"/>
            </w:tcBorders>
            <w:shd w:val="clear" w:color="000000" w:fill="FFFFFF"/>
            <w:vAlign w:val="center"/>
            <w:hideMark/>
          </w:tcPr>
          <w:p w14:paraId="35656997" w14:textId="77777777" w:rsidR="0008434A" w:rsidRPr="00D618B7" w:rsidRDefault="0008434A" w:rsidP="004B11B7">
            <w:pPr>
              <w:jc w:val="center"/>
              <w:rPr>
                <w:color w:val="000000"/>
              </w:rPr>
            </w:pPr>
            <w:r w:rsidRPr="00D618B7">
              <w:rPr>
                <w:color w:val="000000"/>
              </w:rPr>
              <w:t>Week</w:t>
            </w:r>
          </w:p>
        </w:tc>
        <w:tc>
          <w:tcPr>
            <w:tcW w:w="3868" w:type="dxa"/>
            <w:tcBorders>
              <w:top w:val="single" w:sz="4" w:space="0" w:color="auto"/>
              <w:left w:val="nil"/>
              <w:bottom w:val="single" w:sz="8" w:space="0" w:color="auto"/>
              <w:right w:val="nil"/>
            </w:tcBorders>
            <w:shd w:val="clear" w:color="000000" w:fill="FFFFFF"/>
            <w:noWrap/>
            <w:vAlign w:val="center"/>
            <w:hideMark/>
          </w:tcPr>
          <w:p w14:paraId="0E90A22C" w14:textId="77777777" w:rsidR="0008434A" w:rsidRPr="00D618B7" w:rsidRDefault="0008434A" w:rsidP="004B11B7">
            <w:pPr>
              <w:jc w:val="right"/>
              <w:rPr>
                <w:color w:val="000000"/>
              </w:rPr>
            </w:pPr>
            <w:r w:rsidRPr="00D618B7">
              <w:rPr>
                <w:color w:val="000000"/>
              </w:rPr>
              <w:t>Mean</w:t>
            </w:r>
          </w:p>
        </w:tc>
        <w:tc>
          <w:tcPr>
            <w:tcW w:w="3104" w:type="dxa"/>
            <w:tcBorders>
              <w:top w:val="single" w:sz="4" w:space="0" w:color="auto"/>
              <w:left w:val="nil"/>
              <w:bottom w:val="single" w:sz="8" w:space="0" w:color="auto"/>
              <w:right w:val="nil"/>
            </w:tcBorders>
            <w:shd w:val="clear" w:color="000000" w:fill="FFFFFF"/>
            <w:noWrap/>
            <w:vAlign w:val="center"/>
            <w:hideMark/>
          </w:tcPr>
          <w:p w14:paraId="5DAA1D11" w14:textId="77777777" w:rsidR="0008434A" w:rsidRPr="00D618B7" w:rsidRDefault="0008434A" w:rsidP="004B11B7">
            <w:pPr>
              <w:jc w:val="right"/>
              <w:rPr>
                <w:color w:val="000000"/>
              </w:rPr>
            </w:pPr>
            <w:r w:rsidRPr="00D618B7">
              <w:rPr>
                <w:color w:val="000000"/>
              </w:rPr>
              <w:t>Std. Error</w:t>
            </w:r>
          </w:p>
        </w:tc>
      </w:tr>
      <w:tr w:rsidR="0008434A" w:rsidRPr="00D618B7" w14:paraId="46DA1418" w14:textId="77777777" w:rsidTr="004B11B7">
        <w:trPr>
          <w:trHeight w:val="305"/>
        </w:trPr>
        <w:tc>
          <w:tcPr>
            <w:tcW w:w="2340" w:type="dxa"/>
            <w:tcBorders>
              <w:top w:val="nil"/>
              <w:left w:val="nil"/>
              <w:bottom w:val="nil"/>
              <w:right w:val="nil"/>
            </w:tcBorders>
            <w:shd w:val="clear" w:color="000000" w:fill="FFFFFF"/>
            <w:vAlign w:val="center"/>
            <w:hideMark/>
          </w:tcPr>
          <w:p w14:paraId="004FC0C6" w14:textId="77777777" w:rsidR="0008434A" w:rsidRPr="00D618B7" w:rsidRDefault="0008434A" w:rsidP="004B11B7">
            <w:pPr>
              <w:jc w:val="center"/>
              <w:rPr>
                <w:color w:val="000000"/>
              </w:rPr>
            </w:pPr>
            <w:r w:rsidRPr="00D618B7">
              <w:rPr>
                <w:color w:val="000000"/>
              </w:rPr>
              <w:t>-5</w:t>
            </w:r>
          </w:p>
        </w:tc>
        <w:tc>
          <w:tcPr>
            <w:tcW w:w="3868" w:type="dxa"/>
            <w:tcBorders>
              <w:top w:val="nil"/>
              <w:left w:val="nil"/>
              <w:bottom w:val="nil"/>
              <w:right w:val="nil"/>
            </w:tcBorders>
            <w:shd w:val="clear" w:color="000000" w:fill="FFFFFF"/>
            <w:noWrap/>
            <w:hideMark/>
          </w:tcPr>
          <w:p w14:paraId="0EA31033" w14:textId="77777777" w:rsidR="0008434A" w:rsidRPr="00D618B7" w:rsidRDefault="0008434A" w:rsidP="004B11B7">
            <w:pPr>
              <w:jc w:val="right"/>
              <w:rPr>
                <w:color w:val="000000"/>
              </w:rPr>
            </w:pPr>
            <w:r w:rsidRPr="00D618B7">
              <w:t>19.22</w:t>
            </w:r>
          </w:p>
        </w:tc>
        <w:tc>
          <w:tcPr>
            <w:tcW w:w="3104" w:type="dxa"/>
            <w:tcBorders>
              <w:top w:val="nil"/>
              <w:left w:val="nil"/>
              <w:bottom w:val="nil"/>
              <w:right w:val="nil"/>
            </w:tcBorders>
            <w:shd w:val="clear" w:color="000000" w:fill="FFFFFF"/>
            <w:noWrap/>
            <w:hideMark/>
          </w:tcPr>
          <w:p w14:paraId="20B124B6" w14:textId="77777777" w:rsidR="0008434A" w:rsidRPr="00D618B7" w:rsidRDefault="0008434A" w:rsidP="004B11B7">
            <w:pPr>
              <w:jc w:val="right"/>
              <w:rPr>
                <w:color w:val="000000"/>
              </w:rPr>
            </w:pPr>
            <w:r w:rsidRPr="00D618B7">
              <w:t>2.00</w:t>
            </w:r>
          </w:p>
        </w:tc>
      </w:tr>
      <w:tr w:rsidR="0008434A" w:rsidRPr="00D618B7" w14:paraId="12A59F1B" w14:textId="77777777" w:rsidTr="004B11B7">
        <w:trPr>
          <w:trHeight w:val="305"/>
        </w:trPr>
        <w:tc>
          <w:tcPr>
            <w:tcW w:w="2340" w:type="dxa"/>
            <w:tcBorders>
              <w:top w:val="nil"/>
              <w:left w:val="nil"/>
              <w:bottom w:val="nil"/>
              <w:right w:val="nil"/>
            </w:tcBorders>
            <w:shd w:val="clear" w:color="000000" w:fill="FFFFFF"/>
            <w:vAlign w:val="center"/>
            <w:hideMark/>
          </w:tcPr>
          <w:p w14:paraId="3741AEB1" w14:textId="77777777" w:rsidR="0008434A" w:rsidRPr="00D618B7" w:rsidRDefault="0008434A" w:rsidP="004B11B7">
            <w:pPr>
              <w:jc w:val="center"/>
              <w:rPr>
                <w:color w:val="000000"/>
              </w:rPr>
            </w:pPr>
            <w:r w:rsidRPr="00D618B7">
              <w:rPr>
                <w:color w:val="000000"/>
              </w:rPr>
              <w:t>-4</w:t>
            </w:r>
          </w:p>
        </w:tc>
        <w:tc>
          <w:tcPr>
            <w:tcW w:w="3868" w:type="dxa"/>
            <w:tcBorders>
              <w:top w:val="nil"/>
              <w:left w:val="nil"/>
              <w:bottom w:val="nil"/>
              <w:right w:val="nil"/>
            </w:tcBorders>
            <w:shd w:val="clear" w:color="000000" w:fill="FFFFFF"/>
            <w:noWrap/>
            <w:hideMark/>
          </w:tcPr>
          <w:p w14:paraId="6DD78B33" w14:textId="77777777" w:rsidR="0008434A" w:rsidRPr="00D618B7" w:rsidRDefault="0008434A" w:rsidP="004B11B7">
            <w:pPr>
              <w:jc w:val="right"/>
              <w:rPr>
                <w:color w:val="000000"/>
              </w:rPr>
            </w:pPr>
            <w:r w:rsidRPr="00D618B7">
              <w:t>17.28</w:t>
            </w:r>
          </w:p>
        </w:tc>
        <w:tc>
          <w:tcPr>
            <w:tcW w:w="3104" w:type="dxa"/>
            <w:tcBorders>
              <w:top w:val="nil"/>
              <w:left w:val="nil"/>
              <w:bottom w:val="nil"/>
              <w:right w:val="nil"/>
            </w:tcBorders>
            <w:shd w:val="clear" w:color="000000" w:fill="FFFFFF"/>
            <w:noWrap/>
            <w:hideMark/>
          </w:tcPr>
          <w:p w14:paraId="010407A3" w14:textId="77777777" w:rsidR="0008434A" w:rsidRPr="00D618B7" w:rsidRDefault="0008434A" w:rsidP="004B11B7">
            <w:pPr>
              <w:jc w:val="right"/>
              <w:rPr>
                <w:color w:val="000000"/>
              </w:rPr>
            </w:pPr>
            <w:r w:rsidRPr="00D618B7">
              <w:t>2.14</w:t>
            </w:r>
          </w:p>
        </w:tc>
      </w:tr>
      <w:tr w:rsidR="0008434A" w:rsidRPr="00D618B7" w14:paraId="2DF9294F" w14:textId="77777777" w:rsidTr="004B11B7">
        <w:trPr>
          <w:trHeight w:val="305"/>
        </w:trPr>
        <w:tc>
          <w:tcPr>
            <w:tcW w:w="2340" w:type="dxa"/>
            <w:tcBorders>
              <w:top w:val="nil"/>
              <w:left w:val="nil"/>
              <w:bottom w:val="nil"/>
              <w:right w:val="nil"/>
            </w:tcBorders>
            <w:shd w:val="clear" w:color="000000" w:fill="FFFFFF"/>
            <w:vAlign w:val="center"/>
            <w:hideMark/>
          </w:tcPr>
          <w:p w14:paraId="76D58CB3" w14:textId="77777777" w:rsidR="0008434A" w:rsidRPr="00D618B7" w:rsidRDefault="0008434A" w:rsidP="004B11B7">
            <w:pPr>
              <w:jc w:val="center"/>
              <w:rPr>
                <w:color w:val="000000"/>
              </w:rPr>
            </w:pPr>
            <w:r w:rsidRPr="00D618B7">
              <w:rPr>
                <w:color w:val="000000"/>
              </w:rPr>
              <w:t>-3</w:t>
            </w:r>
          </w:p>
        </w:tc>
        <w:tc>
          <w:tcPr>
            <w:tcW w:w="3868" w:type="dxa"/>
            <w:tcBorders>
              <w:top w:val="nil"/>
              <w:left w:val="nil"/>
              <w:bottom w:val="nil"/>
              <w:right w:val="nil"/>
            </w:tcBorders>
            <w:shd w:val="clear" w:color="000000" w:fill="FFFFFF"/>
            <w:noWrap/>
            <w:hideMark/>
          </w:tcPr>
          <w:p w14:paraId="798395B7" w14:textId="77777777" w:rsidR="0008434A" w:rsidRPr="00D618B7" w:rsidRDefault="0008434A" w:rsidP="004B11B7">
            <w:pPr>
              <w:jc w:val="right"/>
              <w:rPr>
                <w:color w:val="000000"/>
              </w:rPr>
            </w:pPr>
            <w:r w:rsidRPr="00D618B7">
              <w:t>17.20</w:t>
            </w:r>
          </w:p>
        </w:tc>
        <w:tc>
          <w:tcPr>
            <w:tcW w:w="3104" w:type="dxa"/>
            <w:tcBorders>
              <w:top w:val="nil"/>
              <w:left w:val="nil"/>
              <w:bottom w:val="nil"/>
              <w:right w:val="nil"/>
            </w:tcBorders>
            <w:shd w:val="clear" w:color="000000" w:fill="FFFFFF"/>
            <w:noWrap/>
            <w:hideMark/>
          </w:tcPr>
          <w:p w14:paraId="48137841" w14:textId="77777777" w:rsidR="0008434A" w:rsidRPr="00D618B7" w:rsidRDefault="0008434A" w:rsidP="004B11B7">
            <w:pPr>
              <w:jc w:val="right"/>
              <w:rPr>
                <w:color w:val="000000"/>
              </w:rPr>
            </w:pPr>
            <w:r w:rsidRPr="00D618B7">
              <w:t>2.24</w:t>
            </w:r>
          </w:p>
        </w:tc>
      </w:tr>
      <w:tr w:rsidR="0008434A" w:rsidRPr="00D618B7" w14:paraId="53D6BC24" w14:textId="77777777" w:rsidTr="004B11B7">
        <w:trPr>
          <w:trHeight w:val="305"/>
        </w:trPr>
        <w:tc>
          <w:tcPr>
            <w:tcW w:w="2340" w:type="dxa"/>
            <w:tcBorders>
              <w:top w:val="nil"/>
              <w:left w:val="nil"/>
              <w:bottom w:val="nil"/>
              <w:right w:val="nil"/>
            </w:tcBorders>
            <w:shd w:val="clear" w:color="000000" w:fill="FFFFFF"/>
            <w:vAlign w:val="center"/>
            <w:hideMark/>
          </w:tcPr>
          <w:p w14:paraId="4AB2916B" w14:textId="77777777" w:rsidR="0008434A" w:rsidRPr="00D618B7" w:rsidRDefault="0008434A" w:rsidP="004B11B7">
            <w:pPr>
              <w:jc w:val="center"/>
              <w:rPr>
                <w:color w:val="000000"/>
              </w:rPr>
            </w:pPr>
            <w:r w:rsidRPr="00D618B7">
              <w:rPr>
                <w:color w:val="000000"/>
              </w:rPr>
              <w:t>-2</w:t>
            </w:r>
          </w:p>
        </w:tc>
        <w:tc>
          <w:tcPr>
            <w:tcW w:w="3868" w:type="dxa"/>
            <w:tcBorders>
              <w:top w:val="nil"/>
              <w:left w:val="nil"/>
              <w:bottom w:val="nil"/>
              <w:right w:val="nil"/>
            </w:tcBorders>
            <w:shd w:val="clear" w:color="000000" w:fill="FFFFFF"/>
            <w:noWrap/>
            <w:hideMark/>
          </w:tcPr>
          <w:p w14:paraId="3F8187EB" w14:textId="77777777" w:rsidR="0008434A" w:rsidRPr="00D618B7" w:rsidRDefault="0008434A" w:rsidP="004B11B7">
            <w:pPr>
              <w:jc w:val="right"/>
              <w:rPr>
                <w:color w:val="000000"/>
              </w:rPr>
            </w:pPr>
            <w:r w:rsidRPr="00D618B7">
              <w:t>24.87</w:t>
            </w:r>
          </w:p>
        </w:tc>
        <w:tc>
          <w:tcPr>
            <w:tcW w:w="3104" w:type="dxa"/>
            <w:tcBorders>
              <w:top w:val="nil"/>
              <w:left w:val="nil"/>
              <w:bottom w:val="nil"/>
              <w:right w:val="nil"/>
            </w:tcBorders>
            <w:shd w:val="clear" w:color="000000" w:fill="FFFFFF"/>
            <w:noWrap/>
            <w:hideMark/>
          </w:tcPr>
          <w:p w14:paraId="6748183D" w14:textId="77777777" w:rsidR="0008434A" w:rsidRPr="00D618B7" w:rsidRDefault="0008434A" w:rsidP="004B11B7">
            <w:pPr>
              <w:jc w:val="right"/>
              <w:rPr>
                <w:color w:val="000000"/>
              </w:rPr>
            </w:pPr>
            <w:r w:rsidRPr="00D618B7">
              <w:t>2.11</w:t>
            </w:r>
          </w:p>
        </w:tc>
      </w:tr>
      <w:tr w:rsidR="0008434A" w:rsidRPr="00D618B7" w14:paraId="5560C0D3" w14:textId="77777777" w:rsidTr="004B11B7">
        <w:trPr>
          <w:trHeight w:val="305"/>
        </w:trPr>
        <w:tc>
          <w:tcPr>
            <w:tcW w:w="2340" w:type="dxa"/>
            <w:tcBorders>
              <w:top w:val="nil"/>
              <w:left w:val="nil"/>
              <w:bottom w:val="nil"/>
              <w:right w:val="nil"/>
            </w:tcBorders>
            <w:shd w:val="clear" w:color="000000" w:fill="FFFFFF"/>
            <w:vAlign w:val="center"/>
            <w:hideMark/>
          </w:tcPr>
          <w:p w14:paraId="6FFCA511" w14:textId="77777777" w:rsidR="0008434A" w:rsidRPr="00D618B7" w:rsidRDefault="0008434A" w:rsidP="004B11B7">
            <w:pPr>
              <w:jc w:val="center"/>
              <w:rPr>
                <w:color w:val="000000"/>
              </w:rPr>
            </w:pPr>
            <w:r w:rsidRPr="00D618B7">
              <w:rPr>
                <w:color w:val="000000"/>
              </w:rPr>
              <w:t>-1</w:t>
            </w:r>
          </w:p>
        </w:tc>
        <w:tc>
          <w:tcPr>
            <w:tcW w:w="3868" w:type="dxa"/>
            <w:tcBorders>
              <w:top w:val="nil"/>
              <w:left w:val="nil"/>
              <w:bottom w:val="nil"/>
              <w:right w:val="nil"/>
            </w:tcBorders>
            <w:shd w:val="clear" w:color="000000" w:fill="FFFFFF"/>
            <w:noWrap/>
            <w:hideMark/>
          </w:tcPr>
          <w:p w14:paraId="4A555DE8" w14:textId="77777777" w:rsidR="0008434A" w:rsidRPr="00D618B7" w:rsidRDefault="0008434A" w:rsidP="004B11B7">
            <w:pPr>
              <w:jc w:val="right"/>
              <w:rPr>
                <w:color w:val="000000"/>
              </w:rPr>
            </w:pPr>
            <w:r w:rsidRPr="00D618B7">
              <w:t>23.35</w:t>
            </w:r>
          </w:p>
        </w:tc>
        <w:tc>
          <w:tcPr>
            <w:tcW w:w="3104" w:type="dxa"/>
            <w:tcBorders>
              <w:top w:val="nil"/>
              <w:left w:val="nil"/>
              <w:bottom w:val="nil"/>
              <w:right w:val="nil"/>
            </w:tcBorders>
            <w:shd w:val="clear" w:color="000000" w:fill="FFFFFF"/>
            <w:noWrap/>
            <w:hideMark/>
          </w:tcPr>
          <w:p w14:paraId="48007A4D" w14:textId="77777777" w:rsidR="0008434A" w:rsidRPr="00D618B7" w:rsidRDefault="0008434A" w:rsidP="004B11B7">
            <w:pPr>
              <w:jc w:val="right"/>
              <w:rPr>
                <w:color w:val="000000"/>
              </w:rPr>
            </w:pPr>
            <w:r w:rsidRPr="00D618B7">
              <w:t>2.02</w:t>
            </w:r>
          </w:p>
        </w:tc>
      </w:tr>
      <w:tr w:rsidR="0008434A" w:rsidRPr="00D618B7" w14:paraId="2DCB18C1" w14:textId="77777777" w:rsidTr="004B11B7">
        <w:trPr>
          <w:trHeight w:val="305"/>
        </w:trPr>
        <w:tc>
          <w:tcPr>
            <w:tcW w:w="2340" w:type="dxa"/>
            <w:tcBorders>
              <w:top w:val="nil"/>
              <w:left w:val="nil"/>
              <w:bottom w:val="nil"/>
              <w:right w:val="nil"/>
            </w:tcBorders>
            <w:shd w:val="clear" w:color="000000" w:fill="FFFFFF"/>
            <w:vAlign w:val="center"/>
            <w:hideMark/>
          </w:tcPr>
          <w:p w14:paraId="7BD24B38" w14:textId="77777777" w:rsidR="0008434A" w:rsidRPr="00D618B7" w:rsidRDefault="0008434A" w:rsidP="004B11B7">
            <w:pPr>
              <w:jc w:val="center"/>
              <w:rPr>
                <w:color w:val="000000"/>
              </w:rPr>
            </w:pPr>
            <w:r w:rsidRPr="00D618B7">
              <w:rPr>
                <w:color w:val="000000"/>
              </w:rPr>
              <w:t>0</w:t>
            </w:r>
          </w:p>
        </w:tc>
        <w:tc>
          <w:tcPr>
            <w:tcW w:w="3868" w:type="dxa"/>
            <w:tcBorders>
              <w:top w:val="nil"/>
              <w:left w:val="nil"/>
              <w:bottom w:val="nil"/>
              <w:right w:val="nil"/>
            </w:tcBorders>
            <w:shd w:val="clear" w:color="000000" w:fill="FFFFFF"/>
            <w:noWrap/>
            <w:hideMark/>
          </w:tcPr>
          <w:p w14:paraId="4D9CAB1D" w14:textId="77777777" w:rsidR="0008434A" w:rsidRPr="00D618B7" w:rsidRDefault="0008434A" w:rsidP="004B11B7">
            <w:pPr>
              <w:jc w:val="right"/>
              <w:rPr>
                <w:color w:val="000000"/>
              </w:rPr>
            </w:pPr>
            <w:r w:rsidRPr="00D618B7">
              <w:t>26.03</w:t>
            </w:r>
          </w:p>
        </w:tc>
        <w:tc>
          <w:tcPr>
            <w:tcW w:w="3104" w:type="dxa"/>
            <w:tcBorders>
              <w:top w:val="nil"/>
              <w:left w:val="nil"/>
              <w:bottom w:val="nil"/>
              <w:right w:val="nil"/>
            </w:tcBorders>
            <w:shd w:val="clear" w:color="000000" w:fill="FFFFFF"/>
            <w:noWrap/>
            <w:hideMark/>
          </w:tcPr>
          <w:p w14:paraId="0E5D5679" w14:textId="77777777" w:rsidR="0008434A" w:rsidRPr="00D618B7" w:rsidRDefault="0008434A" w:rsidP="004B11B7">
            <w:pPr>
              <w:jc w:val="right"/>
              <w:rPr>
                <w:color w:val="000000"/>
              </w:rPr>
            </w:pPr>
            <w:r w:rsidRPr="00D618B7">
              <w:t>1.95</w:t>
            </w:r>
          </w:p>
        </w:tc>
      </w:tr>
      <w:tr w:rsidR="0008434A" w:rsidRPr="00D618B7" w14:paraId="1BEC9098" w14:textId="77777777" w:rsidTr="004B11B7">
        <w:trPr>
          <w:trHeight w:val="305"/>
        </w:trPr>
        <w:tc>
          <w:tcPr>
            <w:tcW w:w="2340" w:type="dxa"/>
            <w:tcBorders>
              <w:top w:val="nil"/>
              <w:left w:val="nil"/>
              <w:bottom w:val="nil"/>
              <w:right w:val="nil"/>
            </w:tcBorders>
            <w:shd w:val="clear" w:color="000000" w:fill="FFFFFF"/>
            <w:vAlign w:val="center"/>
            <w:hideMark/>
          </w:tcPr>
          <w:p w14:paraId="638171D0" w14:textId="77777777" w:rsidR="0008434A" w:rsidRPr="00D618B7" w:rsidRDefault="0008434A" w:rsidP="004B11B7">
            <w:pPr>
              <w:jc w:val="center"/>
              <w:rPr>
                <w:color w:val="000000"/>
              </w:rPr>
            </w:pPr>
            <w:r w:rsidRPr="00D618B7">
              <w:rPr>
                <w:color w:val="000000"/>
              </w:rPr>
              <w:t>1</w:t>
            </w:r>
          </w:p>
        </w:tc>
        <w:tc>
          <w:tcPr>
            <w:tcW w:w="3868" w:type="dxa"/>
            <w:tcBorders>
              <w:top w:val="nil"/>
              <w:left w:val="nil"/>
              <w:bottom w:val="nil"/>
              <w:right w:val="nil"/>
            </w:tcBorders>
            <w:shd w:val="clear" w:color="000000" w:fill="FFFFFF"/>
            <w:noWrap/>
            <w:hideMark/>
          </w:tcPr>
          <w:p w14:paraId="77F82043" w14:textId="77777777" w:rsidR="0008434A" w:rsidRPr="00D618B7" w:rsidRDefault="0008434A" w:rsidP="004B11B7">
            <w:pPr>
              <w:jc w:val="right"/>
              <w:rPr>
                <w:color w:val="000000"/>
              </w:rPr>
            </w:pPr>
            <w:r w:rsidRPr="00D618B7">
              <w:t>25.45</w:t>
            </w:r>
          </w:p>
        </w:tc>
        <w:tc>
          <w:tcPr>
            <w:tcW w:w="3104" w:type="dxa"/>
            <w:tcBorders>
              <w:top w:val="nil"/>
              <w:left w:val="nil"/>
              <w:bottom w:val="nil"/>
              <w:right w:val="nil"/>
            </w:tcBorders>
            <w:shd w:val="clear" w:color="000000" w:fill="FFFFFF"/>
            <w:noWrap/>
            <w:hideMark/>
          </w:tcPr>
          <w:p w14:paraId="04FA932B" w14:textId="77777777" w:rsidR="0008434A" w:rsidRPr="00D618B7" w:rsidRDefault="0008434A" w:rsidP="004B11B7">
            <w:pPr>
              <w:jc w:val="right"/>
              <w:rPr>
                <w:color w:val="000000"/>
              </w:rPr>
            </w:pPr>
            <w:r w:rsidRPr="00D618B7">
              <w:t>1.95</w:t>
            </w:r>
          </w:p>
        </w:tc>
      </w:tr>
      <w:tr w:rsidR="0008434A" w:rsidRPr="00D618B7" w14:paraId="0E233840" w14:textId="77777777" w:rsidTr="004B11B7">
        <w:trPr>
          <w:trHeight w:val="305"/>
        </w:trPr>
        <w:tc>
          <w:tcPr>
            <w:tcW w:w="2340" w:type="dxa"/>
            <w:tcBorders>
              <w:top w:val="nil"/>
              <w:left w:val="nil"/>
              <w:bottom w:val="nil"/>
              <w:right w:val="nil"/>
            </w:tcBorders>
            <w:shd w:val="clear" w:color="000000" w:fill="FFFFFF"/>
            <w:vAlign w:val="center"/>
            <w:hideMark/>
          </w:tcPr>
          <w:p w14:paraId="5D73E4FE" w14:textId="77777777" w:rsidR="0008434A" w:rsidRPr="00D618B7" w:rsidRDefault="0008434A" w:rsidP="004B11B7">
            <w:pPr>
              <w:jc w:val="center"/>
              <w:rPr>
                <w:color w:val="000000"/>
              </w:rPr>
            </w:pPr>
            <w:r w:rsidRPr="00D618B7">
              <w:rPr>
                <w:color w:val="000000"/>
              </w:rPr>
              <w:t>2</w:t>
            </w:r>
          </w:p>
        </w:tc>
        <w:tc>
          <w:tcPr>
            <w:tcW w:w="3868" w:type="dxa"/>
            <w:tcBorders>
              <w:top w:val="nil"/>
              <w:left w:val="nil"/>
              <w:bottom w:val="nil"/>
              <w:right w:val="nil"/>
            </w:tcBorders>
            <w:shd w:val="clear" w:color="000000" w:fill="FFFFFF"/>
            <w:noWrap/>
            <w:hideMark/>
          </w:tcPr>
          <w:p w14:paraId="4224D2F1" w14:textId="77777777" w:rsidR="0008434A" w:rsidRPr="00D618B7" w:rsidRDefault="0008434A" w:rsidP="004B11B7">
            <w:pPr>
              <w:jc w:val="right"/>
              <w:rPr>
                <w:color w:val="000000"/>
              </w:rPr>
            </w:pPr>
            <w:r w:rsidRPr="00D618B7">
              <w:t>29.80</w:t>
            </w:r>
          </w:p>
        </w:tc>
        <w:tc>
          <w:tcPr>
            <w:tcW w:w="3104" w:type="dxa"/>
            <w:tcBorders>
              <w:top w:val="nil"/>
              <w:left w:val="nil"/>
              <w:bottom w:val="nil"/>
              <w:right w:val="nil"/>
            </w:tcBorders>
            <w:shd w:val="clear" w:color="000000" w:fill="FFFFFF"/>
            <w:noWrap/>
            <w:hideMark/>
          </w:tcPr>
          <w:p w14:paraId="19BD4C42" w14:textId="77777777" w:rsidR="0008434A" w:rsidRPr="00D618B7" w:rsidRDefault="0008434A" w:rsidP="004B11B7">
            <w:pPr>
              <w:jc w:val="right"/>
              <w:rPr>
                <w:color w:val="000000"/>
              </w:rPr>
            </w:pPr>
            <w:r w:rsidRPr="00D618B7">
              <w:t>2.25</w:t>
            </w:r>
          </w:p>
        </w:tc>
      </w:tr>
      <w:tr w:rsidR="0008434A" w:rsidRPr="00D618B7" w14:paraId="057DB3E4" w14:textId="77777777" w:rsidTr="004B11B7">
        <w:trPr>
          <w:trHeight w:val="305"/>
        </w:trPr>
        <w:tc>
          <w:tcPr>
            <w:tcW w:w="2340" w:type="dxa"/>
            <w:tcBorders>
              <w:top w:val="nil"/>
              <w:left w:val="nil"/>
              <w:bottom w:val="nil"/>
              <w:right w:val="nil"/>
            </w:tcBorders>
            <w:shd w:val="clear" w:color="000000" w:fill="FFFFFF"/>
            <w:vAlign w:val="center"/>
            <w:hideMark/>
          </w:tcPr>
          <w:p w14:paraId="7831B288" w14:textId="77777777" w:rsidR="0008434A" w:rsidRPr="00D618B7" w:rsidRDefault="0008434A" w:rsidP="004B11B7">
            <w:pPr>
              <w:jc w:val="center"/>
              <w:rPr>
                <w:color w:val="000000"/>
              </w:rPr>
            </w:pPr>
            <w:r w:rsidRPr="00D618B7">
              <w:rPr>
                <w:color w:val="000000"/>
              </w:rPr>
              <w:t>3</w:t>
            </w:r>
          </w:p>
        </w:tc>
        <w:tc>
          <w:tcPr>
            <w:tcW w:w="3868" w:type="dxa"/>
            <w:tcBorders>
              <w:top w:val="nil"/>
              <w:left w:val="nil"/>
              <w:bottom w:val="nil"/>
              <w:right w:val="nil"/>
            </w:tcBorders>
            <w:shd w:val="clear" w:color="000000" w:fill="FFFFFF"/>
            <w:noWrap/>
            <w:hideMark/>
          </w:tcPr>
          <w:p w14:paraId="259B0FF5" w14:textId="77777777" w:rsidR="0008434A" w:rsidRPr="00D618B7" w:rsidRDefault="0008434A" w:rsidP="004B11B7">
            <w:pPr>
              <w:jc w:val="right"/>
              <w:rPr>
                <w:color w:val="000000"/>
              </w:rPr>
            </w:pPr>
            <w:r w:rsidRPr="00D618B7">
              <w:t>27.82</w:t>
            </w:r>
          </w:p>
        </w:tc>
        <w:tc>
          <w:tcPr>
            <w:tcW w:w="3104" w:type="dxa"/>
            <w:tcBorders>
              <w:top w:val="nil"/>
              <w:left w:val="nil"/>
              <w:bottom w:val="nil"/>
              <w:right w:val="nil"/>
            </w:tcBorders>
            <w:shd w:val="clear" w:color="000000" w:fill="FFFFFF"/>
            <w:noWrap/>
            <w:hideMark/>
          </w:tcPr>
          <w:p w14:paraId="48BFE9EB" w14:textId="77777777" w:rsidR="0008434A" w:rsidRPr="00D618B7" w:rsidRDefault="0008434A" w:rsidP="004B11B7">
            <w:pPr>
              <w:jc w:val="right"/>
              <w:rPr>
                <w:color w:val="000000"/>
              </w:rPr>
            </w:pPr>
            <w:r w:rsidRPr="00D618B7">
              <w:t>1.99</w:t>
            </w:r>
          </w:p>
        </w:tc>
      </w:tr>
      <w:tr w:rsidR="0008434A" w:rsidRPr="00D618B7" w14:paraId="548BB658" w14:textId="77777777" w:rsidTr="004B11B7">
        <w:trPr>
          <w:trHeight w:val="305"/>
        </w:trPr>
        <w:tc>
          <w:tcPr>
            <w:tcW w:w="2340" w:type="dxa"/>
            <w:tcBorders>
              <w:top w:val="nil"/>
              <w:left w:val="nil"/>
              <w:bottom w:val="nil"/>
              <w:right w:val="nil"/>
            </w:tcBorders>
            <w:shd w:val="clear" w:color="000000" w:fill="FFFFFF"/>
            <w:vAlign w:val="center"/>
            <w:hideMark/>
          </w:tcPr>
          <w:p w14:paraId="426AEB4C" w14:textId="77777777" w:rsidR="0008434A" w:rsidRPr="00D618B7" w:rsidRDefault="0008434A" w:rsidP="004B11B7">
            <w:pPr>
              <w:jc w:val="center"/>
              <w:rPr>
                <w:color w:val="000000"/>
              </w:rPr>
            </w:pPr>
            <w:r w:rsidRPr="00D618B7">
              <w:rPr>
                <w:color w:val="000000"/>
              </w:rPr>
              <w:t>4</w:t>
            </w:r>
          </w:p>
        </w:tc>
        <w:tc>
          <w:tcPr>
            <w:tcW w:w="3868" w:type="dxa"/>
            <w:tcBorders>
              <w:top w:val="nil"/>
              <w:left w:val="nil"/>
              <w:bottom w:val="nil"/>
              <w:right w:val="nil"/>
            </w:tcBorders>
            <w:shd w:val="clear" w:color="000000" w:fill="FFFFFF"/>
            <w:noWrap/>
            <w:hideMark/>
          </w:tcPr>
          <w:p w14:paraId="1AD1A8AA" w14:textId="77777777" w:rsidR="0008434A" w:rsidRPr="00D618B7" w:rsidRDefault="0008434A" w:rsidP="004B11B7">
            <w:pPr>
              <w:jc w:val="right"/>
              <w:rPr>
                <w:color w:val="000000"/>
              </w:rPr>
            </w:pPr>
            <w:r w:rsidRPr="00D618B7">
              <w:t>27.20</w:t>
            </w:r>
          </w:p>
        </w:tc>
        <w:tc>
          <w:tcPr>
            <w:tcW w:w="3104" w:type="dxa"/>
            <w:tcBorders>
              <w:top w:val="nil"/>
              <w:left w:val="nil"/>
              <w:bottom w:val="nil"/>
              <w:right w:val="nil"/>
            </w:tcBorders>
            <w:shd w:val="clear" w:color="000000" w:fill="FFFFFF"/>
            <w:noWrap/>
            <w:hideMark/>
          </w:tcPr>
          <w:p w14:paraId="7840445E" w14:textId="77777777" w:rsidR="0008434A" w:rsidRPr="00D618B7" w:rsidRDefault="0008434A" w:rsidP="004B11B7">
            <w:pPr>
              <w:jc w:val="right"/>
              <w:rPr>
                <w:color w:val="000000"/>
              </w:rPr>
            </w:pPr>
            <w:r w:rsidRPr="00D618B7">
              <w:t>2.13</w:t>
            </w:r>
          </w:p>
        </w:tc>
      </w:tr>
      <w:tr w:rsidR="0008434A" w:rsidRPr="00D618B7" w14:paraId="635E18A7" w14:textId="77777777" w:rsidTr="004B11B7">
        <w:trPr>
          <w:trHeight w:val="320"/>
        </w:trPr>
        <w:tc>
          <w:tcPr>
            <w:tcW w:w="2340" w:type="dxa"/>
            <w:tcBorders>
              <w:top w:val="nil"/>
              <w:left w:val="nil"/>
              <w:bottom w:val="single" w:sz="8" w:space="0" w:color="auto"/>
              <w:right w:val="nil"/>
            </w:tcBorders>
            <w:shd w:val="clear" w:color="000000" w:fill="FFFFFF"/>
            <w:vAlign w:val="center"/>
            <w:hideMark/>
          </w:tcPr>
          <w:p w14:paraId="0EDF32E7" w14:textId="77777777" w:rsidR="0008434A" w:rsidRPr="00D618B7" w:rsidRDefault="0008434A" w:rsidP="004B11B7">
            <w:pPr>
              <w:jc w:val="center"/>
              <w:rPr>
                <w:color w:val="000000"/>
              </w:rPr>
            </w:pPr>
            <w:r w:rsidRPr="00D618B7">
              <w:rPr>
                <w:color w:val="000000"/>
              </w:rPr>
              <w:t>5</w:t>
            </w:r>
          </w:p>
        </w:tc>
        <w:tc>
          <w:tcPr>
            <w:tcW w:w="3868" w:type="dxa"/>
            <w:tcBorders>
              <w:top w:val="nil"/>
              <w:left w:val="nil"/>
              <w:bottom w:val="single" w:sz="8" w:space="0" w:color="auto"/>
              <w:right w:val="nil"/>
            </w:tcBorders>
            <w:shd w:val="clear" w:color="000000" w:fill="FFFFFF"/>
            <w:noWrap/>
            <w:hideMark/>
          </w:tcPr>
          <w:p w14:paraId="23B06EBC" w14:textId="77777777" w:rsidR="0008434A" w:rsidRPr="00D618B7" w:rsidRDefault="0008434A" w:rsidP="004B11B7">
            <w:pPr>
              <w:jc w:val="right"/>
              <w:rPr>
                <w:color w:val="000000"/>
              </w:rPr>
            </w:pPr>
            <w:r w:rsidRPr="00D618B7">
              <w:t>31.81</w:t>
            </w:r>
          </w:p>
        </w:tc>
        <w:tc>
          <w:tcPr>
            <w:tcW w:w="3104" w:type="dxa"/>
            <w:tcBorders>
              <w:top w:val="nil"/>
              <w:left w:val="nil"/>
              <w:bottom w:val="single" w:sz="8" w:space="0" w:color="auto"/>
              <w:right w:val="nil"/>
            </w:tcBorders>
            <w:shd w:val="clear" w:color="000000" w:fill="FFFFFF"/>
            <w:noWrap/>
            <w:hideMark/>
          </w:tcPr>
          <w:p w14:paraId="4294D938" w14:textId="77777777" w:rsidR="0008434A" w:rsidRPr="00D618B7" w:rsidRDefault="0008434A" w:rsidP="004B11B7">
            <w:pPr>
              <w:jc w:val="right"/>
              <w:rPr>
                <w:color w:val="000000"/>
              </w:rPr>
            </w:pPr>
            <w:r w:rsidRPr="00D618B7">
              <w:t>2.09</w:t>
            </w:r>
          </w:p>
        </w:tc>
      </w:tr>
    </w:tbl>
    <w:p w14:paraId="2BE49A4F" w14:textId="77777777" w:rsidR="0008434A" w:rsidRPr="00D618B7" w:rsidRDefault="0008434A" w:rsidP="0008434A"/>
    <w:p w14:paraId="0EE0B405" w14:textId="4CF2A58C" w:rsidR="0008434A" w:rsidRDefault="0008434A" w:rsidP="007C5074">
      <w:r w:rsidRPr="00D618B7">
        <w:rPr>
          <w:i/>
          <w:iCs/>
        </w:rPr>
        <w:t>Note</w:t>
      </w:r>
      <w:r w:rsidRPr="00D618B7">
        <w:t>: This table shows the estimated mean movement units and standard errors for each week of observation around reach-onset.</w:t>
      </w:r>
    </w:p>
    <w:p w14:paraId="25B6F045" w14:textId="77777777" w:rsidR="007C5074" w:rsidRPr="00D618B7" w:rsidRDefault="007C5074" w:rsidP="007C5074"/>
    <w:p w14:paraId="0534A92E" w14:textId="77777777" w:rsidR="000B5C72" w:rsidRDefault="000B5C72">
      <w:pPr>
        <w:rPr>
          <w:b/>
          <w:bCs/>
          <w:i/>
          <w:iCs/>
          <w:color w:val="000000" w:themeColor="text1"/>
        </w:rPr>
      </w:pPr>
      <w:bookmarkStart w:id="177" w:name="_Toc172716868"/>
      <w:r>
        <w:br w:type="page"/>
      </w:r>
    </w:p>
    <w:p w14:paraId="673D20A8" w14:textId="690BCFED" w:rsidR="0008434A" w:rsidRPr="00D618B7" w:rsidRDefault="0008434A" w:rsidP="007C5074">
      <w:pPr>
        <w:pStyle w:val="Caption"/>
      </w:pPr>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40</w:t>
      </w:r>
      <w:r w:rsidR="00000000">
        <w:rPr>
          <w:noProof/>
        </w:rPr>
        <w:fldChar w:fldCharType="end"/>
      </w:r>
      <w:r w:rsidR="00940E58">
        <w:rPr>
          <w:noProof/>
        </w:rPr>
        <w:t>:</w:t>
      </w:r>
      <w:r w:rsidRPr="00D618B7">
        <w:t xml:space="preserve"> </w:t>
      </w:r>
      <w:r w:rsidR="00F767C9">
        <w:t>M</w:t>
      </w:r>
      <w:r w:rsidRPr="00D618B7">
        <w:t>ovement units by proximity</w:t>
      </w:r>
      <w:bookmarkEnd w:id="177"/>
    </w:p>
    <w:p w14:paraId="270725BB" w14:textId="77777777" w:rsidR="0008434A" w:rsidRPr="00D618B7" w:rsidRDefault="0008434A" w:rsidP="0008434A">
      <w:r w:rsidRPr="00D618B7">
        <w:t>Estimated Mean Movement Units of Events by Proximity</w:t>
      </w:r>
    </w:p>
    <w:tbl>
      <w:tblPr>
        <w:tblW w:w="5000" w:type="pct"/>
        <w:tblLook w:val="04A0" w:firstRow="1" w:lastRow="0" w:firstColumn="1" w:lastColumn="0" w:noHBand="0" w:noVBand="1"/>
      </w:tblPr>
      <w:tblGrid>
        <w:gridCol w:w="3074"/>
        <w:gridCol w:w="2409"/>
        <w:gridCol w:w="3157"/>
      </w:tblGrid>
      <w:tr w:rsidR="0008434A" w:rsidRPr="00D618B7" w14:paraId="28BB2D88" w14:textId="77777777" w:rsidTr="004B11B7">
        <w:trPr>
          <w:trHeight w:val="386"/>
        </w:trPr>
        <w:tc>
          <w:tcPr>
            <w:tcW w:w="1779" w:type="pct"/>
            <w:tcBorders>
              <w:top w:val="single" w:sz="4" w:space="0" w:color="auto"/>
              <w:left w:val="nil"/>
              <w:bottom w:val="single" w:sz="8" w:space="0" w:color="auto"/>
              <w:right w:val="nil"/>
            </w:tcBorders>
            <w:shd w:val="clear" w:color="000000" w:fill="FFFFFF"/>
            <w:vAlign w:val="center"/>
            <w:hideMark/>
          </w:tcPr>
          <w:p w14:paraId="583F2C95" w14:textId="77777777" w:rsidR="0008434A" w:rsidRPr="00D618B7" w:rsidRDefault="0008434A" w:rsidP="004B11B7">
            <w:pPr>
              <w:rPr>
                <w:color w:val="000000"/>
              </w:rPr>
            </w:pPr>
            <w:r w:rsidRPr="00D618B7">
              <w:rPr>
                <w:color w:val="000000"/>
              </w:rPr>
              <w:t>Week</w:t>
            </w:r>
          </w:p>
        </w:tc>
        <w:tc>
          <w:tcPr>
            <w:tcW w:w="1394" w:type="pct"/>
            <w:tcBorders>
              <w:top w:val="single" w:sz="4" w:space="0" w:color="auto"/>
              <w:left w:val="nil"/>
              <w:bottom w:val="single" w:sz="8" w:space="0" w:color="auto"/>
              <w:right w:val="nil"/>
            </w:tcBorders>
            <w:shd w:val="clear" w:color="000000" w:fill="FFFFFF"/>
            <w:noWrap/>
            <w:vAlign w:val="center"/>
            <w:hideMark/>
          </w:tcPr>
          <w:p w14:paraId="0A9E2C12" w14:textId="77777777" w:rsidR="0008434A" w:rsidRPr="00D618B7" w:rsidRDefault="0008434A" w:rsidP="004B11B7">
            <w:pPr>
              <w:jc w:val="right"/>
              <w:rPr>
                <w:color w:val="000000"/>
              </w:rPr>
            </w:pPr>
            <w:r w:rsidRPr="00D618B7">
              <w:rPr>
                <w:color w:val="000000"/>
              </w:rPr>
              <w:t>Mean</w:t>
            </w:r>
          </w:p>
        </w:tc>
        <w:tc>
          <w:tcPr>
            <w:tcW w:w="1827" w:type="pct"/>
            <w:tcBorders>
              <w:top w:val="single" w:sz="4" w:space="0" w:color="auto"/>
              <w:left w:val="nil"/>
              <w:bottom w:val="single" w:sz="8" w:space="0" w:color="auto"/>
              <w:right w:val="nil"/>
            </w:tcBorders>
            <w:shd w:val="clear" w:color="000000" w:fill="FFFFFF"/>
            <w:noWrap/>
            <w:vAlign w:val="center"/>
            <w:hideMark/>
          </w:tcPr>
          <w:p w14:paraId="710D5D24" w14:textId="77777777" w:rsidR="0008434A" w:rsidRPr="00D618B7" w:rsidRDefault="0008434A" w:rsidP="004B11B7">
            <w:pPr>
              <w:jc w:val="right"/>
              <w:rPr>
                <w:color w:val="000000"/>
              </w:rPr>
            </w:pPr>
            <w:r w:rsidRPr="00D618B7">
              <w:rPr>
                <w:color w:val="000000"/>
              </w:rPr>
              <w:t>Std. Error</w:t>
            </w:r>
          </w:p>
        </w:tc>
      </w:tr>
      <w:tr w:rsidR="0008434A" w:rsidRPr="00D618B7" w14:paraId="1EC7F5FF" w14:textId="77777777" w:rsidTr="004B11B7">
        <w:trPr>
          <w:trHeight w:val="386"/>
        </w:trPr>
        <w:tc>
          <w:tcPr>
            <w:tcW w:w="1779" w:type="pct"/>
            <w:tcBorders>
              <w:top w:val="nil"/>
              <w:left w:val="nil"/>
              <w:bottom w:val="nil"/>
              <w:right w:val="nil"/>
            </w:tcBorders>
            <w:shd w:val="clear" w:color="000000" w:fill="FFFFFF"/>
            <w:vAlign w:val="center"/>
            <w:hideMark/>
          </w:tcPr>
          <w:p w14:paraId="2FCE9333" w14:textId="77777777" w:rsidR="0008434A" w:rsidRPr="00D618B7" w:rsidRDefault="0008434A" w:rsidP="004B11B7">
            <w:pPr>
              <w:rPr>
                <w:color w:val="000000"/>
              </w:rPr>
            </w:pPr>
            <w:r w:rsidRPr="00D618B7">
              <w:rPr>
                <w:color w:val="000000"/>
              </w:rPr>
              <w:t>Toy-out-of-Reach</w:t>
            </w:r>
          </w:p>
        </w:tc>
        <w:tc>
          <w:tcPr>
            <w:tcW w:w="1394" w:type="pct"/>
            <w:tcBorders>
              <w:top w:val="nil"/>
              <w:left w:val="nil"/>
              <w:bottom w:val="nil"/>
              <w:right w:val="nil"/>
            </w:tcBorders>
            <w:shd w:val="clear" w:color="000000" w:fill="FFFFFF"/>
            <w:noWrap/>
            <w:hideMark/>
          </w:tcPr>
          <w:p w14:paraId="22F1C85F" w14:textId="77777777" w:rsidR="0008434A" w:rsidRPr="00D618B7" w:rsidRDefault="0008434A" w:rsidP="004B11B7">
            <w:pPr>
              <w:jc w:val="right"/>
              <w:rPr>
                <w:color w:val="000000"/>
              </w:rPr>
            </w:pPr>
            <w:r w:rsidRPr="00D618B7">
              <w:t>17.6765</w:t>
            </w:r>
          </w:p>
        </w:tc>
        <w:tc>
          <w:tcPr>
            <w:tcW w:w="1827" w:type="pct"/>
            <w:tcBorders>
              <w:top w:val="nil"/>
              <w:left w:val="nil"/>
              <w:bottom w:val="nil"/>
              <w:right w:val="nil"/>
            </w:tcBorders>
            <w:shd w:val="clear" w:color="000000" w:fill="FFFFFF"/>
            <w:noWrap/>
            <w:hideMark/>
          </w:tcPr>
          <w:p w14:paraId="30A0AADF" w14:textId="77777777" w:rsidR="0008434A" w:rsidRPr="00D618B7" w:rsidRDefault="0008434A" w:rsidP="004B11B7">
            <w:pPr>
              <w:jc w:val="right"/>
              <w:rPr>
                <w:color w:val="000000"/>
              </w:rPr>
            </w:pPr>
            <w:r w:rsidRPr="00D618B7">
              <w:t>1.68689</w:t>
            </w:r>
          </w:p>
        </w:tc>
      </w:tr>
      <w:tr w:rsidR="0008434A" w:rsidRPr="00D618B7" w14:paraId="214652A7" w14:textId="77777777" w:rsidTr="004B11B7">
        <w:trPr>
          <w:trHeight w:val="386"/>
        </w:trPr>
        <w:tc>
          <w:tcPr>
            <w:tcW w:w="1779" w:type="pct"/>
            <w:tcBorders>
              <w:top w:val="nil"/>
              <w:left w:val="nil"/>
              <w:bottom w:val="nil"/>
              <w:right w:val="nil"/>
            </w:tcBorders>
            <w:shd w:val="clear" w:color="000000" w:fill="FFFFFF"/>
            <w:vAlign w:val="center"/>
            <w:hideMark/>
          </w:tcPr>
          <w:p w14:paraId="7834E7F6" w14:textId="77777777" w:rsidR="0008434A" w:rsidRPr="00D618B7" w:rsidRDefault="0008434A" w:rsidP="004B11B7">
            <w:pPr>
              <w:rPr>
                <w:color w:val="000000"/>
              </w:rPr>
            </w:pPr>
            <w:r w:rsidRPr="00D618B7">
              <w:rPr>
                <w:color w:val="000000"/>
              </w:rPr>
              <w:t>Toy-Moving-into-Reach</w:t>
            </w:r>
          </w:p>
        </w:tc>
        <w:tc>
          <w:tcPr>
            <w:tcW w:w="1394" w:type="pct"/>
            <w:tcBorders>
              <w:top w:val="nil"/>
              <w:left w:val="nil"/>
              <w:bottom w:val="nil"/>
              <w:right w:val="nil"/>
            </w:tcBorders>
            <w:shd w:val="clear" w:color="000000" w:fill="FFFFFF"/>
            <w:noWrap/>
            <w:hideMark/>
          </w:tcPr>
          <w:p w14:paraId="20B3CEA4" w14:textId="77777777" w:rsidR="0008434A" w:rsidRPr="00D618B7" w:rsidRDefault="0008434A" w:rsidP="004B11B7">
            <w:pPr>
              <w:jc w:val="right"/>
              <w:rPr>
                <w:color w:val="000000"/>
              </w:rPr>
            </w:pPr>
            <w:r w:rsidRPr="00D618B7">
              <w:t>35.675</w:t>
            </w:r>
          </w:p>
        </w:tc>
        <w:tc>
          <w:tcPr>
            <w:tcW w:w="1827" w:type="pct"/>
            <w:tcBorders>
              <w:top w:val="nil"/>
              <w:left w:val="nil"/>
              <w:bottom w:val="nil"/>
              <w:right w:val="nil"/>
            </w:tcBorders>
            <w:shd w:val="clear" w:color="000000" w:fill="FFFFFF"/>
            <w:noWrap/>
            <w:hideMark/>
          </w:tcPr>
          <w:p w14:paraId="2D0B303D" w14:textId="77777777" w:rsidR="0008434A" w:rsidRPr="00D618B7" w:rsidRDefault="0008434A" w:rsidP="004B11B7">
            <w:pPr>
              <w:jc w:val="right"/>
              <w:rPr>
                <w:color w:val="000000"/>
              </w:rPr>
            </w:pPr>
            <w:r w:rsidRPr="00D618B7">
              <w:t>1.68714</w:t>
            </w:r>
          </w:p>
        </w:tc>
      </w:tr>
      <w:tr w:rsidR="0008434A" w:rsidRPr="00D618B7" w14:paraId="6DC30B03" w14:textId="77777777" w:rsidTr="004B11B7">
        <w:trPr>
          <w:trHeight w:val="386"/>
        </w:trPr>
        <w:tc>
          <w:tcPr>
            <w:tcW w:w="1779" w:type="pct"/>
            <w:tcBorders>
              <w:top w:val="nil"/>
              <w:left w:val="nil"/>
              <w:bottom w:val="single" w:sz="8" w:space="0" w:color="auto"/>
              <w:right w:val="nil"/>
            </w:tcBorders>
            <w:shd w:val="clear" w:color="000000" w:fill="FFFFFF"/>
            <w:vAlign w:val="center"/>
            <w:hideMark/>
          </w:tcPr>
          <w:p w14:paraId="21DD96E1" w14:textId="77777777" w:rsidR="0008434A" w:rsidRPr="00D618B7" w:rsidRDefault="0008434A" w:rsidP="004B11B7">
            <w:pPr>
              <w:rPr>
                <w:color w:val="000000"/>
              </w:rPr>
            </w:pPr>
            <w:r w:rsidRPr="00D618B7">
              <w:rPr>
                <w:color w:val="000000"/>
              </w:rPr>
              <w:t>Toy-in-Reach</w:t>
            </w:r>
          </w:p>
        </w:tc>
        <w:tc>
          <w:tcPr>
            <w:tcW w:w="1394" w:type="pct"/>
            <w:tcBorders>
              <w:top w:val="nil"/>
              <w:left w:val="nil"/>
              <w:bottom w:val="single" w:sz="8" w:space="0" w:color="auto"/>
              <w:right w:val="nil"/>
            </w:tcBorders>
            <w:shd w:val="clear" w:color="000000" w:fill="FFFFFF"/>
            <w:noWrap/>
            <w:hideMark/>
          </w:tcPr>
          <w:p w14:paraId="4CF1F0C8" w14:textId="77777777" w:rsidR="0008434A" w:rsidRPr="00D618B7" w:rsidRDefault="0008434A" w:rsidP="004B11B7">
            <w:pPr>
              <w:jc w:val="right"/>
              <w:rPr>
                <w:color w:val="000000"/>
              </w:rPr>
            </w:pPr>
            <w:r w:rsidRPr="00D618B7">
              <w:t>20.2929</w:t>
            </w:r>
          </w:p>
        </w:tc>
        <w:tc>
          <w:tcPr>
            <w:tcW w:w="1827" w:type="pct"/>
            <w:tcBorders>
              <w:top w:val="nil"/>
              <w:left w:val="nil"/>
              <w:bottom w:val="single" w:sz="8" w:space="0" w:color="auto"/>
              <w:right w:val="nil"/>
            </w:tcBorders>
            <w:shd w:val="clear" w:color="000000" w:fill="FFFFFF"/>
            <w:noWrap/>
            <w:hideMark/>
          </w:tcPr>
          <w:p w14:paraId="78AF0796" w14:textId="77777777" w:rsidR="0008434A" w:rsidRPr="00D618B7" w:rsidRDefault="0008434A" w:rsidP="004B11B7">
            <w:pPr>
              <w:jc w:val="right"/>
              <w:rPr>
                <w:color w:val="000000"/>
              </w:rPr>
            </w:pPr>
            <w:r w:rsidRPr="00D618B7">
              <w:t>1.68741</w:t>
            </w:r>
          </w:p>
        </w:tc>
      </w:tr>
    </w:tbl>
    <w:p w14:paraId="6E8A664D" w14:textId="77777777" w:rsidR="0008434A" w:rsidRPr="00D618B7" w:rsidRDefault="0008434A" w:rsidP="0008434A">
      <w:pPr>
        <w:rPr>
          <w:i/>
          <w:iCs/>
        </w:rPr>
      </w:pPr>
    </w:p>
    <w:p w14:paraId="4E838DAF" w14:textId="77777777" w:rsidR="0008434A" w:rsidRPr="00D618B7" w:rsidRDefault="0008434A" w:rsidP="0008434A">
      <w:r w:rsidRPr="00D618B7">
        <w:rPr>
          <w:i/>
          <w:iCs/>
        </w:rPr>
        <w:t>Note</w:t>
      </w:r>
      <w:r w:rsidRPr="00D618B7">
        <w:t>: This table lists the estimated mean movement units and standard errors for toy-out-of-reach, toy-moving-into-reach, and toy-in-reach.</w:t>
      </w:r>
    </w:p>
    <w:p w14:paraId="7066E463" w14:textId="77777777" w:rsidR="0008434A" w:rsidRPr="00D618B7" w:rsidRDefault="0008434A" w:rsidP="0008434A"/>
    <w:p w14:paraId="3654A67F" w14:textId="77777777" w:rsidR="0008434A" w:rsidRPr="00D618B7" w:rsidRDefault="0008434A" w:rsidP="0008434A"/>
    <w:p w14:paraId="68842BC7" w14:textId="2BEB0B0B" w:rsidR="0008434A" w:rsidRPr="00D618B7" w:rsidRDefault="0008434A" w:rsidP="007C5074">
      <w:pPr>
        <w:pStyle w:val="Caption"/>
      </w:pPr>
      <w:bookmarkStart w:id="178" w:name="_Toc172716869"/>
      <w:r w:rsidRPr="00D618B7">
        <w:t xml:space="preserve">Table </w:t>
      </w:r>
      <w:r w:rsidR="00000000">
        <w:fldChar w:fldCharType="begin"/>
      </w:r>
      <w:r w:rsidR="00000000">
        <w:instrText xml:space="preserve"> SEQ Table \* ARABIC </w:instrText>
      </w:r>
      <w:r w:rsidR="00000000">
        <w:fldChar w:fldCharType="separate"/>
      </w:r>
      <w:r w:rsidR="000C6E43">
        <w:rPr>
          <w:noProof/>
        </w:rPr>
        <w:t>41</w:t>
      </w:r>
      <w:r w:rsidR="00000000">
        <w:rPr>
          <w:noProof/>
        </w:rPr>
        <w:fldChar w:fldCharType="end"/>
      </w:r>
      <w:r w:rsidRPr="00D618B7">
        <w:t xml:space="preserve">: </w:t>
      </w:r>
      <w:r w:rsidR="00F767C9">
        <w:t>M</w:t>
      </w:r>
      <w:r w:rsidRPr="00D618B7">
        <w:t>ovement units by proximity and week</w:t>
      </w:r>
      <w:bookmarkEnd w:id="178"/>
    </w:p>
    <w:p w14:paraId="50DE23CA" w14:textId="77777777" w:rsidR="0008434A" w:rsidRPr="00D618B7" w:rsidRDefault="0008434A" w:rsidP="0008434A">
      <w:r w:rsidRPr="00D618B7">
        <w:t>Estimated Mean Movement Units by Proximity per Week</w:t>
      </w:r>
    </w:p>
    <w:tbl>
      <w:tblPr>
        <w:tblW w:w="8820" w:type="dxa"/>
        <w:tblLook w:val="04A0" w:firstRow="1" w:lastRow="0" w:firstColumn="1" w:lastColumn="0" w:noHBand="0" w:noVBand="1"/>
      </w:tblPr>
      <w:tblGrid>
        <w:gridCol w:w="1140"/>
        <w:gridCol w:w="1193"/>
        <w:gridCol w:w="1367"/>
        <w:gridCol w:w="1193"/>
        <w:gridCol w:w="1367"/>
        <w:gridCol w:w="1193"/>
        <w:gridCol w:w="1367"/>
      </w:tblGrid>
      <w:tr w:rsidR="0008434A" w:rsidRPr="00D618B7" w14:paraId="418C77F6" w14:textId="77777777" w:rsidTr="004B11B7">
        <w:trPr>
          <w:trHeight w:val="615"/>
        </w:trPr>
        <w:tc>
          <w:tcPr>
            <w:tcW w:w="1140" w:type="dxa"/>
            <w:tcBorders>
              <w:top w:val="single" w:sz="18" w:space="0" w:color="auto"/>
              <w:left w:val="nil"/>
              <w:right w:val="nil"/>
            </w:tcBorders>
            <w:shd w:val="clear" w:color="000000" w:fill="FFFFFF"/>
            <w:vAlign w:val="center"/>
            <w:hideMark/>
          </w:tcPr>
          <w:p w14:paraId="750FD1F3" w14:textId="77777777" w:rsidR="0008434A" w:rsidRPr="00D618B7" w:rsidRDefault="0008434A" w:rsidP="004B11B7">
            <w:pPr>
              <w:rPr>
                <w:color w:val="000000"/>
              </w:rPr>
            </w:pPr>
            <w:r w:rsidRPr="00D618B7">
              <w:rPr>
                <w:color w:val="000000"/>
              </w:rPr>
              <w:t>Week</w:t>
            </w:r>
          </w:p>
        </w:tc>
        <w:tc>
          <w:tcPr>
            <w:tcW w:w="2560" w:type="dxa"/>
            <w:gridSpan w:val="2"/>
            <w:tcBorders>
              <w:top w:val="single" w:sz="18" w:space="0" w:color="auto"/>
              <w:left w:val="nil"/>
              <w:bottom w:val="single" w:sz="18" w:space="0" w:color="auto"/>
              <w:right w:val="nil"/>
            </w:tcBorders>
            <w:shd w:val="clear" w:color="000000" w:fill="FFFFFF"/>
            <w:vAlign w:val="center"/>
            <w:hideMark/>
          </w:tcPr>
          <w:p w14:paraId="7AF641BF" w14:textId="77777777" w:rsidR="0008434A" w:rsidRPr="00D618B7" w:rsidRDefault="0008434A" w:rsidP="004B11B7">
            <w:pPr>
              <w:jc w:val="center"/>
              <w:rPr>
                <w:color w:val="000000"/>
              </w:rPr>
            </w:pPr>
            <w:r w:rsidRPr="00D618B7">
              <w:rPr>
                <w:color w:val="000000"/>
              </w:rPr>
              <w:t>Toy-Out-of-Reach</w:t>
            </w:r>
          </w:p>
        </w:tc>
        <w:tc>
          <w:tcPr>
            <w:tcW w:w="2560" w:type="dxa"/>
            <w:gridSpan w:val="2"/>
            <w:tcBorders>
              <w:top w:val="single" w:sz="18" w:space="0" w:color="auto"/>
              <w:left w:val="nil"/>
              <w:bottom w:val="single" w:sz="18" w:space="0" w:color="auto"/>
              <w:right w:val="nil"/>
            </w:tcBorders>
            <w:shd w:val="clear" w:color="000000" w:fill="FFFFFF"/>
            <w:vAlign w:val="center"/>
            <w:hideMark/>
          </w:tcPr>
          <w:p w14:paraId="544540EF" w14:textId="77777777" w:rsidR="0008434A" w:rsidRPr="00D618B7" w:rsidRDefault="0008434A" w:rsidP="004B11B7">
            <w:pPr>
              <w:jc w:val="center"/>
              <w:rPr>
                <w:color w:val="000000"/>
              </w:rPr>
            </w:pPr>
            <w:r w:rsidRPr="00D618B7">
              <w:rPr>
                <w:color w:val="000000"/>
              </w:rPr>
              <w:t>Toy-Moving-into-Reach</w:t>
            </w:r>
          </w:p>
        </w:tc>
        <w:tc>
          <w:tcPr>
            <w:tcW w:w="2560" w:type="dxa"/>
            <w:gridSpan w:val="2"/>
            <w:tcBorders>
              <w:top w:val="single" w:sz="18" w:space="0" w:color="auto"/>
              <w:left w:val="nil"/>
              <w:bottom w:val="single" w:sz="18" w:space="0" w:color="auto"/>
              <w:right w:val="nil"/>
            </w:tcBorders>
            <w:shd w:val="clear" w:color="000000" w:fill="FFFFFF"/>
            <w:vAlign w:val="center"/>
            <w:hideMark/>
          </w:tcPr>
          <w:p w14:paraId="7FD8F719" w14:textId="77777777" w:rsidR="0008434A" w:rsidRPr="00D618B7" w:rsidRDefault="0008434A" w:rsidP="004B11B7">
            <w:pPr>
              <w:jc w:val="center"/>
              <w:rPr>
                <w:color w:val="000000"/>
              </w:rPr>
            </w:pPr>
            <w:r w:rsidRPr="00D618B7">
              <w:rPr>
                <w:color w:val="000000"/>
              </w:rPr>
              <w:t>Toy-in-Reach</w:t>
            </w:r>
          </w:p>
        </w:tc>
      </w:tr>
      <w:tr w:rsidR="0008434A" w:rsidRPr="00D618B7" w14:paraId="15B2709B" w14:textId="77777777" w:rsidTr="004B11B7">
        <w:trPr>
          <w:trHeight w:val="315"/>
        </w:trPr>
        <w:tc>
          <w:tcPr>
            <w:tcW w:w="1140" w:type="dxa"/>
            <w:tcBorders>
              <w:top w:val="nil"/>
              <w:left w:val="nil"/>
              <w:bottom w:val="single" w:sz="18" w:space="0" w:color="auto"/>
              <w:right w:val="nil"/>
            </w:tcBorders>
            <w:shd w:val="clear" w:color="000000" w:fill="FFFFFF"/>
            <w:noWrap/>
            <w:vAlign w:val="bottom"/>
            <w:hideMark/>
          </w:tcPr>
          <w:p w14:paraId="44E2F833" w14:textId="77777777" w:rsidR="0008434A" w:rsidRPr="00D618B7" w:rsidRDefault="0008434A" w:rsidP="004B11B7">
            <w:pPr>
              <w:rPr>
                <w:color w:val="000000"/>
              </w:rPr>
            </w:pPr>
            <w:r w:rsidRPr="00D618B7">
              <w:rPr>
                <w:color w:val="000000"/>
              </w:rPr>
              <w:t> </w:t>
            </w:r>
          </w:p>
        </w:tc>
        <w:tc>
          <w:tcPr>
            <w:tcW w:w="1193" w:type="dxa"/>
            <w:tcBorders>
              <w:top w:val="single" w:sz="18" w:space="0" w:color="auto"/>
              <w:left w:val="nil"/>
              <w:bottom w:val="single" w:sz="18" w:space="0" w:color="auto"/>
              <w:right w:val="nil"/>
            </w:tcBorders>
            <w:shd w:val="clear" w:color="000000" w:fill="FFFFFF"/>
            <w:noWrap/>
            <w:vAlign w:val="center"/>
            <w:hideMark/>
          </w:tcPr>
          <w:p w14:paraId="5258A294" w14:textId="77777777" w:rsidR="0008434A" w:rsidRPr="00D618B7" w:rsidRDefault="0008434A" w:rsidP="004B11B7">
            <w:pPr>
              <w:jc w:val="right"/>
              <w:rPr>
                <w:color w:val="000000"/>
              </w:rPr>
            </w:pPr>
            <w:r w:rsidRPr="00D618B7">
              <w:rPr>
                <w:color w:val="000000"/>
              </w:rPr>
              <w:t>Mean</w:t>
            </w:r>
          </w:p>
        </w:tc>
        <w:tc>
          <w:tcPr>
            <w:tcW w:w="1367" w:type="dxa"/>
            <w:tcBorders>
              <w:top w:val="single" w:sz="18" w:space="0" w:color="auto"/>
              <w:left w:val="nil"/>
              <w:bottom w:val="single" w:sz="18" w:space="0" w:color="auto"/>
              <w:right w:val="nil"/>
            </w:tcBorders>
            <w:shd w:val="clear" w:color="000000" w:fill="FFFFFF"/>
            <w:noWrap/>
            <w:vAlign w:val="center"/>
            <w:hideMark/>
          </w:tcPr>
          <w:p w14:paraId="2D61F0BE" w14:textId="77777777" w:rsidR="0008434A" w:rsidRPr="00D618B7" w:rsidRDefault="0008434A" w:rsidP="004B11B7">
            <w:pPr>
              <w:jc w:val="right"/>
              <w:rPr>
                <w:color w:val="000000"/>
              </w:rPr>
            </w:pPr>
            <w:r w:rsidRPr="00D618B7">
              <w:rPr>
                <w:color w:val="000000"/>
              </w:rPr>
              <w:t>Std. Error</w:t>
            </w:r>
          </w:p>
        </w:tc>
        <w:tc>
          <w:tcPr>
            <w:tcW w:w="1193" w:type="dxa"/>
            <w:tcBorders>
              <w:top w:val="single" w:sz="18" w:space="0" w:color="auto"/>
              <w:left w:val="nil"/>
              <w:bottom w:val="single" w:sz="18" w:space="0" w:color="auto"/>
              <w:right w:val="nil"/>
            </w:tcBorders>
            <w:shd w:val="clear" w:color="000000" w:fill="FFFFFF"/>
            <w:noWrap/>
            <w:vAlign w:val="center"/>
            <w:hideMark/>
          </w:tcPr>
          <w:p w14:paraId="215D6EDC" w14:textId="77777777" w:rsidR="0008434A" w:rsidRPr="00D618B7" w:rsidRDefault="0008434A" w:rsidP="004B11B7">
            <w:pPr>
              <w:jc w:val="right"/>
              <w:rPr>
                <w:color w:val="000000"/>
              </w:rPr>
            </w:pPr>
            <w:r w:rsidRPr="00D618B7">
              <w:rPr>
                <w:color w:val="000000"/>
              </w:rPr>
              <w:t>Mean</w:t>
            </w:r>
          </w:p>
        </w:tc>
        <w:tc>
          <w:tcPr>
            <w:tcW w:w="1367" w:type="dxa"/>
            <w:tcBorders>
              <w:top w:val="single" w:sz="18" w:space="0" w:color="auto"/>
              <w:left w:val="nil"/>
              <w:bottom w:val="single" w:sz="18" w:space="0" w:color="auto"/>
              <w:right w:val="nil"/>
            </w:tcBorders>
            <w:shd w:val="clear" w:color="000000" w:fill="FFFFFF"/>
            <w:noWrap/>
            <w:vAlign w:val="center"/>
            <w:hideMark/>
          </w:tcPr>
          <w:p w14:paraId="1872AC7D" w14:textId="77777777" w:rsidR="0008434A" w:rsidRPr="00D618B7" w:rsidRDefault="0008434A" w:rsidP="004B11B7">
            <w:pPr>
              <w:jc w:val="right"/>
              <w:rPr>
                <w:color w:val="000000"/>
              </w:rPr>
            </w:pPr>
            <w:r w:rsidRPr="00D618B7">
              <w:rPr>
                <w:color w:val="000000"/>
              </w:rPr>
              <w:t>Std. Error</w:t>
            </w:r>
          </w:p>
        </w:tc>
        <w:tc>
          <w:tcPr>
            <w:tcW w:w="1193" w:type="dxa"/>
            <w:tcBorders>
              <w:top w:val="single" w:sz="18" w:space="0" w:color="auto"/>
              <w:left w:val="nil"/>
              <w:bottom w:val="single" w:sz="18" w:space="0" w:color="auto"/>
              <w:right w:val="nil"/>
            </w:tcBorders>
            <w:shd w:val="clear" w:color="000000" w:fill="FFFFFF"/>
            <w:noWrap/>
            <w:vAlign w:val="center"/>
            <w:hideMark/>
          </w:tcPr>
          <w:p w14:paraId="02500497" w14:textId="77777777" w:rsidR="0008434A" w:rsidRPr="00D618B7" w:rsidRDefault="0008434A" w:rsidP="004B11B7">
            <w:pPr>
              <w:jc w:val="right"/>
              <w:rPr>
                <w:color w:val="000000"/>
              </w:rPr>
            </w:pPr>
            <w:r w:rsidRPr="00D618B7">
              <w:rPr>
                <w:color w:val="000000"/>
              </w:rPr>
              <w:t>Mean</w:t>
            </w:r>
          </w:p>
        </w:tc>
        <w:tc>
          <w:tcPr>
            <w:tcW w:w="1367" w:type="dxa"/>
            <w:tcBorders>
              <w:top w:val="single" w:sz="18" w:space="0" w:color="auto"/>
              <w:left w:val="nil"/>
              <w:bottom w:val="single" w:sz="18" w:space="0" w:color="auto"/>
              <w:right w:val="nil"/>
            </w:tcBorders>
            <w:shd w:val="clear" w:color="000000" w:fill="FFFFFF"/>
            <w:noWrap/>
            <w:vAlign w:val="center"/>
            <w:hideMark/>
          </w:tcPr>
          <w:p w14:paraId="52CCCBC7" w14:textId="77777777" w:rsidR="0008434A" w:rsidRPr="00D618B7" w:rsidRDefault="0008434A" w:rsidP="004B11B7">
            <w:pPr>
              <w:jc w:val="right"/>
              <w:rPr>
                <w:color w:val="000000"/>
              </w:rPr>
            </w:pPr>
            <w:r w:rsidRPr="00D618B7">
              <w:rPr>
                <w:color w:val="000000"/>
              </w:rPr>
              <w:t>Std. Error</w:t>
            </w:r>
          </w:p>
        </w:tc>
      </w:tr>
      <w:tr w:rsidR="0008434A" w:rsidRPr="00D618B7" w14:paraId="392CBE2A" w14:textId="77777777" w:rsidTr="004B11B7">
        <w:trPr>
          <w:trHeight w:val="315"/>
        </w:trPr>
        <w:tc>
          <w:tcPr>
            <w:tcW w:w="1140" w:type="dxa"/>
            <w:tcBorders>
              <w:top w:val="single" w:sz="18" w:space="0" w:color="auto"/>
              <w:left w:val="nil"/>
              <w:bottom w:val="nil"/>
              <w:right w:val="nil"/>
            </w:tcBorders>
            <w:shd w:val="clear" w:color="000000" w:fill="FFFFFF"/>
            <w:vAlign w:val="center"/>
            <w:hideMark/>
          </w:tcPr>
          <w:p w14:paraId="7996B695" w14:textId="77777777" w:rsidR="0008434A" w:rsidRPr="00D618B7" w:rsidRDefault="0008434A" w:rsidP="004B11B7">
            <w:pPr>
              <w:jc w:val="right"/>
              <w:rPr>
                <w:color w:val="000000"/>
              </w:rPr>
            </w:pPr>
            <w:r w:rsidRPr="00D618B7">
              <w:rPr>
                <w:color w:val="000000"/>
              </w:rPr>
              <w:t>-5</w:t>
            </w:r>
          </w:p>
        </w:tc>
        <w:tc>
          <w:tcPr>
            <w:tcW w:w="1193" w:type="dxa"/>
            <w:tcBorders>
              <w:top w:val="single" w:sz="18" w:space="0" w:color="auto"/>
              <w:left w:val="nil"/>
              <w:bottom w:val="nil"/>
              <w:right w:val="nil"/>
            </w:tcBorders>
            <w:shd w:val="clear" w:color="000000" w:fill="FFFFFF"/>
            <w:noWrap/>
            <w:vAlign w:val="bottom"/>
            <w:hideMark/>
          </w:tcPr>
          <w:p w14:paraId="25E76EE3" w14:textId="77777777" w:rsidR="0008434A" w:rsidRPr="00D618B7" w:rsidRDefault="0008434A" w:rsidP="004B11B7">
            <w:pPr>
              <w:jc w:val="right"/>
              <w:rPr>
                <w:color w:val="000000"/>
              </w:rPr>
            </w:pPr>
            <w:r w:rsidRPr="00D618B7">
              <w:rPr>
                <w:color w:val="000000"/>
              </w:rPr>
              <w:t>6.99</w:t>
            </w:r>
          </w:p>
        </w:tc>
        <w:tc>
          <w:tcPr>
            <w:tcW w:w="1367" w:type="dxa"/>
            <w:tcBorders>
              <w:top w:val="single" w:sz="18" w:space="0" w:color="auto"/>
              <w:left w:val="nil"/>
              <w:bottom w:val="nil"/>
              <w:right w:val="nil"/>
            </w:tcBorders>
            <w:shd w:val="clear" w:color="000000" w:fill="FFFFFF"/>
            <w:noWrap/>
            <w:vAlign w:val="bottom"/>
            <w:hideMark/>
          </w:tcPr>
          <w:p w14:paraId="3A95BE93" w14:textId="77777777" w:rsidR="0008434A" w:rsidRPr="00D618B7" w:rsidRDefault="0008434A" w:rsidP="004B11B7">
            <w:pPr>
              <w:jc w:val="right"/>
              <w:rPr>
                <w:color w:val="000000"/>
              </w:rPr>
            </w:pPr>
            <w:r w:rsidRPr="00D618B7">
              <w:rPr>
                <w:color w:val="000000"/>
              </w:rPr>
              <w:t>2.86</w:t>
            </w:r>
          </w:p>
        </w:tc>
        <w:tc>
          <w:tcPr>
            <w:tcW w:w="1193" w:type="dxa"/>
            <w:tcBorders>
              <w:top w:val="single" w:sz="18" w:space="0" w:color="auto"/>
              <w:left w:val="nil"/>
              <w:bottom w:val="nil"/>
              <w:right w:val="nil"/>
            </w:tcBorders>
            <w:shd w:val="clear" w:color="000000" w:fill="FFFFFF"/>
            <w:noWrap/>
            <w:vAlign w:val="bottom"/>
            <w:hideMark/>
          </w:tcPr>
          <w:p w14:paraId="1DBCEB84" w14:textId="77777777" w:rsidR="0008434A" w:rsidRPr="00D618B7" w:rsidRDefault="0008434A" w:rsidP="004B11B7">
            <w:pPr>
              <w:jc w:val="right"/>
              <w:rPr>
                <w:color w:val="000000"/>
              </w:rPr>
            </w:pPr>
            <w:r w:rsidRPr="00D618B7">
              <w:rPr>
                <w:color w:val="000000"/>
              </w:rPr>
              <w:t>37.22</w:t>
            </w:r>
          </w:p>
        </w:tc>
        <w:tc>
          <w:tcPr>
            <w:tcW w:w="1367" w:type="dxa"/>
            <w:tcBorders>
              <w:top w:val="single" w:sz="18" w:space="0" w:color="auto"/>
              <w:left w:val="nil"/>
              <w:bottom w:val="nil"/>
              <w:right w:val="nil"/>
            </w:tcBorders>
            <w:shd w:val="clear" w:color="000000" w:fill="FFFFFF"/>
            <w:noWrap/>
            <w:vAlign w:val="bottom"/>
            <w:hideMark/>
          </w:tcPr>
          <w:p w14:paraId="73A3DFD2" w14:textId="77777777" w:rsidR="0008434A" w:rsidRPr="00D618B7" w:rsidRDefault="0008434A" w:rsidP="004B11B7">
            <w:pPr>
              <w:jc w:val="right"/>
              <w:rPr>
                <w:color w:val="000000"/>
              </w:rPr>
            </w:pPr>
            <w:r w:rsidRPr="00D618B7">
              <w:rPr>
                <w:color w:val="000000"/>
              </w:rPr>
              <w:t>2.86</w:t>
            </w:r>
          </w:p>
        </w:tc>
        <w:tc>
          <w:tcPr>
            <w:tcW w:w="1193" w:type="dxa"/>
            <w:tcBorders>
              <w:top w:val="single" w:sz="18" w:space="0" w:color="auto"/>
              <w:left w:val="nil"/>
              <w:bottom w:val="nil"/>
              <w:right w:val="nil"/>
            </w:tcBorders>
            <w:shd w:val="clear" w:color="000000" w:fill="FFFFFF"/>
            <w:noWrap/>
            <w:vAlign w:val="bottom"/>
            <w:hideMark/>
          </w:tcPr>
          <w:p w14:paraId="70CE7652" w14:textId="77777777" w:rsidR="0008434A" w:rsidRPr="00D618B7" w:rsidRDefault="0008434A" w:rsidP="004B11B7">
            <w:pPr>
              <w:jc w:val="right"/>
              <w:rPr>
                <w:color w:val="000000"/>
              </w:rPr>
            </w:pPr>
            <w:r w:rsidRPr="00D618B7">
              <w:rPr>
                <w:color w:val="000000"/>
              </w:rPr>
              <w:t>13.46</w:t>
            </w:r>
          </w:p>
        </w:tc>
        <w:tc>
          <w:tcPr>
            <w:tcW w:w="1367" w:type="dxa"/>
            <w:tcBorders>
              <w:top w:val="single" w:sz="18" w:space="0" w:color="auto"/>
              <w:left w:val="nil"/>
              <w:bottom w:val="nil"/>
              <w:right w:val="nil"/>
            </w:tcBorders>
            <w:shd w:val="clear" w:color="000000" w:fill="FFFFFF"/>
            <w:noWrap/>
            <w:vAlign w:val="bottom"/>
            <w:hideMark/>
          </w:tcPr>
          <w:p w14:paraId="3B9E0B85" w14:textId="77777777" w:rsidR="0008434A" w:rsidRPr="00D618B7" w:rsidRDefault="0008434A" w:rsidP="004B11B7">
            <w:pPr>
              <w:jc w:val="right"/>
              <w:rPr>
                <w:color w:val="000000"/>
              </w:rPr>
            </w:pPr>
            <w:r w:rsidRPr="00D618B7">
              <w:rPr>
                <w:color w:val="000000"/>
              </w:rPr>
              <w:t>2.87</w:t>
            </w:r>
          </w:p>
        </w:tc>
      </w:tr>
      <w:tr w:rsidR="0008434A" w:rsidRPr="00D618B7" w14:paraId="3126E0A0" w14:textId="77777777" w:rsidTr="004B11B7">
        <w:trPr>
          <w:trHeight w:val="300"/>
        </w:trPr>
        <w:tc>
          <w:tcPr>
            <w:tcW w:w="1140" w:type="dxa"/>
            <w:tcBorders>
              <w:top w:val="nil"/>
              <w:left w:val="nil"/>
              <w:bottom w:val="nil"/>
              <w:right w:val="nil"/>
            </w:tcBorders>
            <w:shd w:val="clear" w:color="000000" w:fill="FFFFFF"/>
            <w:vAlign w:val="center"/>
            <w:hideMark/>
          </w:tcPr>
          <w:p w14:paraId="04882ABA" w14:textId="77777777" w:rsidR="0008434A" w:rsidRPr="00D618B7" w:rsidRDefault="0008434A" w:rsidP="004B11B7">
            <w:pPr>
              <w:jc w:val="right"/>
              <w:rPr>
                <w:color w:val="000000"/>
              </w:rPr>
            </w:pPr>
            <w:r w:rsidRPr="00D618B7">
              <w:rPr>
                <w:color w:val="000000"/>
              </w:rPr>
              <w:t>-4</w:t>
            </w:r>
          </w:p>
        </w:tc>
        <w:tc>
          <w:tcPr>
            <w:tcW w:w="1193" w:type="dxa"/>
            <w:tcBorders>
              <w:top w:val="nil"/>
              <w:left w:val="nil"/>
              <w:bottom w:val="nil"/>
              <w:right w:val="nil"/>
            </w:tcBorders>
            <w:shd w:val="clear" w:color="000000" w:fill="FFFFFF"/>
            <w:noWrap/>
            <w:vAlign w:val="bottom"/>
            <w:hideMark/>
          </w:tcPr>
          <w:p w14:paraId="76DBD066" w14:textId="77777777" w:rsidR="0008434A" w:rsidRPr="00D618B7" w:rsidRDefault="0008434A" w:rsidP="004B11B7">
            <w:pPr>
              <w:jc w:val="right"/>
              <w:rPr>
                <w:color w:val="000000"/>
              </w:rPr>
            </w:pPr>
            <w:r w:rsidRPr="00D618B7">
              <w:rPr>
                <w:color w:val="000000"/>
              </w:rPr>
              <w:t>10.50</w:t>
            </w:r>
          </w:p>
        </w:tc>
        <w:tc>
          <w:tcPr>
            <w:tcW w:w="1367" w:type="dxa"/>
            <w:tcBorders>
              <w:top w:val="nil"/>
              <w:left w:val="nil"/>
              <w:bottom w:val="nil"/>
              <w:right w:val="nil"/>
            </w:tcBorders>
            <w:shd w:val="clear" w:color="000000" w:fill="FFFFFF"/>
            <w:noWrap/>
            <w:vAlign w:val="bottom"/>
            <w:hideMark/>
          </w:tcPr>
          <w:p w14:paraId="69D6C70C" w14:textId="77777777" w:rsidR="0008434A" w:rsidRPr="00D618B7" w:rsidRDefault="0008434A" w:rsidP="004B11B7">
            <w:pPr>
              <w:jc w:val="right"/>
              <w:rPr>
                <w:color w:val="000000"/>
              </w:rPr>
            </w:pPr>
            <w:r w:rsidRPr="00D618B7">
              <w:rPr>
                <w:color w:val="000000"/>
              </w:rPr>
              <w:t>3.06</w:t>
            </w:r>
          </w:p>
        </w:tc>
        <w:tc>
          <w:tcPr>
            <w:tcW w:w="1193" w:type="dxa"/>
            <w:tcBorders>
              <w:top w:val="nil"/>
              <w:left w:val="nil"/>
              <w:bottom w:val="nil"/>
              <w:right w:val="nil"/>
            </w:tcBorders>
            <w:shd w:val="clear" w:color="000000" w:fill="FFFFFF"/>
            <w:noWrap/>
            <w:vAlign w:val="bottom"/>
            <w:hideMark/>
          </w:tcPr>
          <w:p w14:paraId="6F9F0A12" w14:textId="77777777" w:rsidR="0008434A" w:rsidRPr="00D618B7" w:rsidRDefault="0008434A" w:rsidP="004B11B7">
            <w:pPr>
              <w:jc w:val="right"/>
              <w:rPr>
                <w:color w:val="000000"/>
              </w:rPr>
            </w:pPr>
            <w:r w:rsidRPr="00D618B7">
              <w:rPr>
                <w:color w:val="000000"/>
              </w:rPr>
              <w:t>31.68</w:t>
            </w:r>
          </w:p>
        </w:tc>
        <w:tc>
          <w:tcPr>
            <w:tcW w:w="1367" w:type="dxa"/>
            <w:tcBorders>
              <w:top w:val="nil"/>
              <w:left w:val="nil"/>
              <w:bottom w:val="nil"/>
              <w:right w:val="nil"/>
            </w:tcBorders>
            <w:shd w:val="clear" w:color="000000" w:fill="FFFFFF"/>
            <w:noWrap/>
            <w:vAlign w:val="bottom"/>
            <w:hideMark/>
          </w:tcPr>
          <w:p w14:paraId="43525843" w14:textId="77777777" w:rsidR="0008434A" w:rsidRPr="00D618B7" w:rsidRDefault="0008434A" w:rsidP="004B11B7">
            <w:pPr>
              <w:jc w:val="right"/>
              <w:rPr>
                <w:color w:val="000000"/>
              </w:rPr>
            </w:pPr>
            <w:r w:rsidRPr="00D618B7">
              <w:rPr>
                <w:color w:val="000000"/>
              </w:rPr>
              <w:t>3.06</w:t>
            </w:r>
          </w:p>
        </w:tc>
        <w:tc>
          <w:tcPr>
            <w:tcW w:w="1193" w:type="dxa"/>
            <w:tcBorders>
              <w:top w:val="nil"/>
              <w:left w:val="nil"/>
              <w:bottom w:val="nil"/>
              <w:right w:val="nil"/>
            </w:tcBorders>
            <w:shd w:val="clear" w:color="000000" w:fill="FFFFFF"/>
            <w:noWrap/>
            <w:vAlign w:val="bottom"/>
            <w:hideMark/>
          </w:tcPr>
          <w:p w14:paraId="4910E8C4" w14:textId="77777777" w:rsidR="0008434A" w:rsidRPr="00D618B7" w:rsidRDefault="0008434A" w:rsidP="004B11B7">
            <w:pPr>
              <w:jc w:val="right"/>
              <w:rPr>
                <w:color w:val="000000"/>
              </w:rPr>
            </w:pPr>
            <w:r w:rsidRPr="00D618B7">
              <w:rPr>
                <w:color w:val="000000"/>
              </w:rPr>
              <w:t>9.65</w:t>
            </w:r>
          </w:p>
        </w:tc>
        <w:tc>
          <w:tcPr>
            <w:tcW w:w="1367" w:type="dxa"/>
            <w:tcBorders>
              <w:top w:val="nil"/>
              <w:left w:val="nil"/>
              <w:bottom w:val="nil"/>
              <w:right w:val="nil"/>
            </w:tcBorders>
            <w:shd w:val="clear" w:color="000000" w:fill="FFFFFF"/>
            <w:noWrap/>
            <w:vAlign w:val="bottom"/>
            <w:hideMark/>
          </w:tcPr>
          <w:p w14:paraId="28BE8CA8" w14:textId="77777777" w:rsidR="0008434A" w:rsidRPr="00D618B7" w:rsidRDefault="0008434A" w:rsidP="004B11B7">
            <w:pPr>
              <w:jc w:val="right"/>
              <w:rPr>
                <w:color w:val="000000"/>
              </w:rPr>
            </w:pPr>
            <w:r w:rsidRPr="00D618B7">
              <w:rPr>
                <w:color w:val="000000"/>
              </w:rPr>
              <w:t>3.06</w:t>
            </w:r>
          </w:p>
        </w:tc>
      </w:tr>
      <w:tr w:rsidR="0008434A" w:rsidRPr="00D618B7" w14:paraId="2C8FACBD" w14:textId="77777777" w:rsidTr="004B11B7">
        <w:trPr>
          <w:trHeight w:val="300"/>
        </w:trPr>
        <w:tc>
          <w:tcPr>
            <w:tcW w:w="1140" w:type="dxa"/>
            <w:tcBorders>
              <w:top w:val="nil"/>
              <w:left w:val="nil"/>
              <w:bottom w:val="nil"/>
              <w:right w:val="nil"/>
            </w:tcBorders>
            <w:shd w:val="clear" w:color="000000" w:fill="FFFFFF"/>
            <w:vAlign w:val="center"/>
            <w:hideMark/>
          </w:tcPr>
          <w:p w14:paraId="3B841A90" w14:textId="77777777" w:rsidR="0008434A" w:rsidRPr="00D618B7" w:rsidRDefault="0008434A" w:rsidP="004B11B7">
            <w:pPr>
              <w:jc w:val="right"/>
              <w:rPr>
                <w:color w:val="000000"/>
              </w:rPr>
            </w:pPr>
            <w:r w:rsidRPr="00D618B7">
              <w:rPr>
                <w:color w:val="000000"/>
              </w:rPr>
              <w:t>-3</w:t>
            </w:r>
          </w:p>
        </w:tc>
        <w:tc>
          <w:tcPr>
            <w:tcW w:w="1193" w:type="dxa"/>
            <w:tcBorders>
              <w:top w:val="nil"/>
              <w:left w:val="nil"/>
              <w:bottom w:val="nil"/>
              <w:right w:val="nil"/>
            </w:tcBorders>
            <w:shd w:val="clear" w:color="000000" w:fill="FFFFFF"/>
            <w:noWrap/>
            <w:vAlign w:val="bottom"/>
            <w:hideMark/>
          </w:tcPr>
          <w:p w14:paraId="55FBE83E" w14:textId="77777777" w:rsidR="0008434A" w:rsidRPr="00D618B7" w:rsidRDefault="0008434A" w:rsidP="004B11B7">
            <w:pPr>
              <w:jc w:val="right"/>
              <w:rPr>
                <w:color w:val="000000"/>
              </w:rPr>
            </w:pPr>
            <w:r w:rsidRPr="00D618B7">
              <w:rPr>
                <w:color w:val="000000"/>
              </w:rPr>
              <w:t>12.71</w:t>
            </w:r>
          </w:p>
        </w:tc>
        <w:tc>
          <w:tcPr>
            <w:tcW w:w="1367" w:type="dxa"/>
            <w:tcBorders>
              <w:top w:val="nil"/>
              <w:left w:val="nil"/>
              <w:bottom w:val="nil"/>
              <w:right w:val="nil"/>
            </w:tcBorders>
            <w:shd w:val="clear" w:color="000000" w:fill="FFFFFF"/>
            <w:noWrap/>
            <w:vAlign w:val="bottom"/>
            <w:hideMark/>
          </w:tcPr>
          <w:p w14:paraId="3C097BE0" w14:textId="77777777" w:rsidR="0008434A" w:rsidRPr="00D618B7" w:rsidRDefault="0008434A" w:rsidP="004B11B7">
            <w:pPr>
              <w:jc w:val="right"/>
              <w:rPr>
                <w:color w:val="000000"/>
              </w:rPr>
            </w:pPr>
            <w:r w:rsidRPr="00D618B7">
              <w:rPr>
                <w:color w:val="000000"/>
              </w:rPr>
              <w:t>3.17</w:t>
            </w:r>
          </w:p>
        </w:tc>
        <w:tc>
          <w:tcPr>
            <w:tcW w:w="1193" w:type="dxa"/>
            <w:tcBorders>
              <w:top w:val="nil"/>
              <w:left w:val="nil"/>
              <w:bottom w:val="nil"/>
              <w:right w:val="nil"/>
            </w:tcBorders>
            <w:shd w:val="clear" w:color="000000" w:fill="FFFFFF"/>
            <w:noWrap/>
            <w:vAlign w:val="bottom"/>
            <w:hideMark/>
          </w:tcPr>
          <w:p w14:paraId="52E202B0" w14:textId="77777777" w:rsidR="0008434A" w:rsidRPr="00D618B7" w:rsidRDefault="0008434A" w:rsidP="004B11B7">
            <w:pPr>
              <w:jc w:val="right"/>
              <w:rPr>
                <w:color w:val="000000"/>
              </w:rPr>
            </w:pPr>
            <w:r w:rsidRPr="00D618B7">
              <w:rPr>
                <w:color w:val="000000"/>
              </w:rPr>
              <w:t>30.08</w:t>
            </w:r>
          </w:p>
        </w:tc>
        <w:tc>
          <w:tcPr>
            <w:tcW w:w="1367" w:type="dxa"/>
            <w:tcBorders>
              <w:top w:val="nil"/>
              <w:left w:val="nil"/>
              <w:bottom w:val="nil"/>
              <w:right w:val="nil"/>
            </w:tcBorders>
            <w:shd w:val="clear" w:color="000000" w:fill="FFFFFF"/>
            <w:noWrap/>
            <w:vAlign w:val="bottom"/>
            <w:hideMark/>
          </w:tcPr>
          <w:p w14:paraId="438DEA43" w14:textId="77777777" w:rsidR="0008434A" w:rsidRPr="00D618B7" w:rsidRDefault="0008434A" w:rsidP="004B11B7">
            <w:pPr>
              <w:jc w:val="right"/>
              <w:rPr>
                <w:color w:val="000000"/>
              </w:rPr>
            </w:pPr>
            <w:r w:rsidRPr="00D618B7">
              <w:rPr>
                <w:color w:val="000000"/>
              </w:rPr>
              <w:t>3.17</w:t>
            </w:r>
          </w:p>
        </w:tc>
        <w:tc>
          <w:tcPr>
            <w:tcW w:w="1193" w:type="dxa"/>
            <w:tcBorders>
              <w:top w:val="nil"/>
              <w:left w:val="nil"/>
              <w:bottom w:val="nil"/>
              <w:right w:val="nil"/>
            </w:tcBorders>
            <w:shd w:val="clear" w:color="000000" w:fill="FFFFFF"/>
            <w:noWrap/>
            <w:vAlign w:val="bottom"/>
            <w:hideMark/>
          </w:tcPr>
          <w:p w14:paraId="3660DB64" w14:textId="77777777" w:rsidR="0008434A" w:rsidRPr="00D618B7" w:rsidRDefault="0008434A" w:rsidP="004B11B7">
            <w:pPr>
              <w:jc w:val="right"/>
              <w:rPr>
                <w:color w:val="000000"/>
              </w:rPr>
            </w:pPr>
            <w:r w:rsidRPr="00D618B7">
              <w:rPr>
                <w:color w:val="000000"/>
              </w:rPr>
              <w:t>8.79</w:t>
            </w:r>
          </w:p>
        </w:tc>
        <w:tc>
          <w:tcPr>
            <w:tcW w:w="1367" w:type="dxa"/>
            <w:tcBorders>
              <w:top w:val="nil"/>
              <w:left w:val="nil"/>
              <w:bottom w:val="nil"/>
              <w:right w:val="nil"/>
            </w:tcBorders>
            <w:shd w:val="clear" w:color="000000" w:fill="FFFFFF"/>
            <w:noWrap/>
            <w:vAlign w:val="bottom"/>
            <w:hideMark/>
          </w:tcPr>
          <w:p w14:paraId="3CCD5702" w14:textId="77777777" w:rsidR="0008434A" w:rsidRPr="00D618B7" w:rsidRDefault="0008434A" w:rsidP="004B11B7">
            <w:pPr>
              <w:jc w:val="right"/>
              <w:rPr>
                <w:color w:val="000000"/>
              </w:rPr>
            </w:pPr>
            <w:r w:rsidRPr="00D618B7">
              <w:rPr>
                <w:color w:val="000000"/>
              </w:rPr>
              <w:t>3.18</w:t>
            </w:r>
          </w:p>
        </w:tc>
      </w:tr>
      <w:tr w:rsidR="0008434A" w:rsidRPr="00D618B7" w14:paraId="3291DB6E" w14:textId="77777777" w:rsidTr="004B11B7">
        <w:trPr>
          <w:trHeight w:val="300"/>
        </w:trPr>
        <w:tc>
          <w:tcPr>
            <w:tcW w:w="1140" w:type="dxa"/>
            <w:tcBorders>
              <w:top w:val="nil"/>
              <w:left w:val="nil"/>
              <w:bottom w:val="nil"/>
              <w:right w:val="nil"/>
            </w:tcBorders>
            <w:shd w:val="clear" w:color="000000" w:fill="FFFFFF"/>
            <w:vAlign w:val="center"/>
            <w:hideMark/>
          </w:tcPr>
          <w:p w14:paraId="1EE28D4D" w14:textId="77777777" w:rsidR="0008434A" w:rsidRPr="00D618B7" w:rsidRDefault="0008434A" w:rsidP="004B11B7">
            <w:pPr>
              <w:jc w:val="right"/>
              <w:rPr>
                <w:color w:val="000000"/>
              </w:rPr>
            </w:pPr>
            <w:r w:rsidRPr="00D618B7">
              <w:rPr>
                <w:color w:val="000000"/>
              </w:rPr>
              <w:t>-2</w:t>
            </w:r>
          </w:p>
        </w:tc>
        <w:tc>
          <w:tcPr>
            <w:tcW w:w="1193" w:type="dxa"/>
            <w:tcBorders>
              <w:top w:val="nil"/>
              <w:left w:val="nil"/>
              <w:bottom w:val="nil"/>
              <w:right w:val="nil"/>
            </w:tcBorders>
            <w:shd w:val="clear" w:color="000000" w:fill="FFFFFF"/>
            <w:noWrap/>
            <w:vAlign w:val="bottom"/>
            <w:hideMark/>
          </w:tcPr>
          <w:p w14:paraId="7453971D" w14:textId="77777777" w:rsidR="0008434A" w:rsidRPr="00D618B7" w:rsidRDefault="0008434A" w:rsidP="004B11B7">
            <w:pPr>
              <w:jc w:val="right"/>
              <w:rPr>
                <w:color w:val="000000"/>
              </w:rPr>
            </w:pPr>
            <w:r w:rsidRPr="00D618B7">
              <w:rPr>
                <w:color w:val="000000"/>
              </w:rPr>
              <w:t>19.89</w:t>
            </w:r>
          </w:p>
        </w:tc>
        <w:tc>
          <w:tcPr>
            <w:tcW w:w="1367" w:type="dxa"/>
            <w:tcBorders>
              <w:top w:val="nil"/>
              <w:left w:val="nil"/>
              <w:bottom w:val="nil"/>
              <w:right w:val="nil"/>
            </w:tcBorders>
            <w:shd w:val="clear" w:color="000000" w:fill="FFFFFF"/>
            <w:noWrap/>
            <w:vAlign w:val="bottom"/>
            <w:hideMark/>
          </w:tcPr>
          <w:p w14:paraId="45D93310" w14:textId="77777777" w:rsidR="0008434A" w:rsidRPr="00D618B7" w:rsidRDefault="0008434A" w:rsidP="004B11B7">
            <w:pPr>
              <w:jc w:val="right"/>
              <w:rPr>
                <w:color w:val="000000"/>
              </w:rPr>
            </w:pPr>
            <w:r w:rsidRPr="00D618B7">
              <w:rPr>
                <w:color w:val="000000"/>
              </w:rPr>
              <w:t>2.94</w:t>
            </w:r>
          </w:p>
        </w:tc>
        <w:tc>
          <w:tcPr>
            <w:tcW w:w="1193" w:type="dxa"/>
            <w:tcBorders>
              <w:top w:val="nil"/>
              <w:left w:val="nil"/>
              <w:bottom w:val="nil"/>
              <w:right w:val="nil"/>
            </w:tcBorders>
            <w:shd w:val="clear" w:color="000000" w:fill="FFFFFF"/>
            <w:noWrap/>
            <w:vAlign w:val="bottom"/>
            <w:hideMark/>
          </w:tcPr>
          <w:p w14:paraId="3888CCA6" w14:textId="77777777" w:rsidR="0008434A" w:rsidRPr="00D618B7" w:rsidRDefault="0008434A" w:rsidP="004B11B7">
            <w:pPr>
              <w:jc w:val="right"/>
              <w:rPr>
                <w:color w:val="000000"/>
              </w:rPr>
            </w:pPr>
            <w:r w:rsidRPr="00D618B7">
              <w:rPr>
                <w:color w:val="000000"/>
              </w:rPr>
              <w:t>38.82</w:t>
            </w:r>
          </w:p>
        </w:tc>
        <w:tc>
          <w:tcPr>
            <w:tcW w:w="1367" w:type="dxa"/>
            <w:tcBorders>
              <w:top w:val="nil"/>
              <w:left w:val="nil"/>
              <w:bottom w:val="nil"/>
              <w:right w:val="nil"/>
            </w:tcBorders>
            <w:shd w:val="clear" w:color="000000" w:fill="FFFFFF"/>
            <w:noWrap/>
            <w:vAlign w:val="bottom"/>
            <w:hideMark/>
          </w:tcPr>
          <w:p w14:paraId="731FBBFE" w14:textId="77777777" w:rsidR="0008434A" w:rsidRPr="00D618B7" w:rsidRDefault="0008434A" w:rsidP="004B11B7">
            <w:pPr>
              <w:jc w:val="right"/>
              <w:rPr>
                <w:color w:val="000000"/>
              </w:rPr>
            </w:pPr>
            <w:r w:rsidRPr="00D618B7">
              <w:rPr>
                <w:color w:val="000000"/>
              </w:rPr>
              <w:t>2.94</w:t>
            </w:r>
          </w:p>
        </w:tc>
        <w:tc>
          <w:tcPr>
            <w:tcW w:w="1193" w:type="dxa"/>
            <w:tcBorders>
              <w:top w:val="nil"/>
              <w:left w:val="nil"/>
              <w:bottom w:val="nil"/>
              <w:right w:val="nil"/>
            </w:tcBorders>
            <w:shd w:val="clear" w:color="000000" w:fill="FFFFFF"/>
            <w:noWrap/>
            <w:vAlign w:val="bottom"/>
            <w:hideMark/>
          </w:tcPr>
          <w:p w14:paraId="237BE840" w14:textId="77777777" w:rsidR="0008434A" w:rsidRPr="00D618B7" w:rsidRDefault="0008434A" w:rsidP="004B11B7">
            <w:pPr>
              <w:jc w:val="right"/>
              <w:rPr>
                <w:color w:val="000000"/>
              </w:rPr>
            </w:pPr>
            <w:r w:rsidRPr="00D618B7">
              <w:rPr>
                <w:color w:val="000000"/>
              </w:rPr>
              <w:t>15.90</w:t>
            </w:r>
          </w:p>
        </w:tc>
        <w:tc>
          <w:tcPr>
            <w:tcW w:w="1367" w:type="dxa"/>
            <w:tcBorders>
              <w:top w:val="nil"/>
              <w:left w:val="nil"/>
              <w:bottom w:val="nil"/>
              <w:right w:val="nil"/>
            </w:tcBorders>
            <w:shd w:val="clear" w:color="000000" w:fill="FFFFFF"/>
            <w:noWrap/>
            <w:vAlign w:val="bottom"/>
            <w:hideMark/>
          </w:tcPr>
          <w:p w14:paraId="6389A528" w14:textId="77777777" w:rsidR="0008434A" w:rsidRPr="00D618B7" w:rsidRDefault="0008434A" w:rsidP="004B11B7">
            <w:pPr>
              <w:jc w:val="right"/>
              <w:rPr>
                <w:color w:val="000000"/>
              </w:rPr>
            </w:pPr>
            <w:r w:rsidRPr="00D618B7">
              <w:rPr>
                <w:color w:val="000000"/>
              </w:rPr>
              <w:t>2.94</w:t>
            </w:r>
          </w:p>
        </w:tc>
      </w:tr>
      <w:tr w:rsidR="0008434A" w:rsidRPr="00D618B7" w14:paraId="301DE673" w14:textId="77777777" w:rsidTr="004B11B7">
        <w:trPr>
          <w:trHeight w:val="300"/>
        </w:trPr>
        <w:tc>
          <w:tcPr>
            <w:tcW w:w="1140" w:type="dxa"/>
            <w:tcBorders>
              <w:top w:val="nil"/>
              <w:left w:val="nil"/>
              <w:bottom w:val="nil"/>
              <w:right w:val="nil"/>
            </w:tcBorders>
            <w:shd w:val="clear" w:color="000000" w:fill="FFFFFF"/>
            <w:vAlign w:val="center"/>
            <w:hideMark/>
          </w:tcPr>
          <w:p w14:paraId="209BD405" w14:textId="77777777" w:rsidR="0008434A" w:rsidRPr="00D618B7" w:rsidRDefault="0008434A" w:rsidP="004B11B7">
            <w:pPr>
              <w:jc w:val="right"/>
              <w:rPr>
                <w:color w:val="000000"/>
              </w:rPr>
            </w:pPr>
            <w:r w:rsidRPr="00D618B7">
              <w:rPr>
                <w:color w:val="000000"/>
              </w:rPr>
              <w:t>-1</w:t>
            </w:r>
          </w:p>
        </w:tc>
        <w:tc>
          <w:tcPr>
            <w:tcW w:w="1193" w:type="dxa"/>
            <w:tcBorders>
              <w:top w:val="nil"/>
              <w:left w:val="nil"/>
              <w:bottom w:val="nil"/>
              <w:right w:val="nil"/>
            </w:tcBorders>
            <w:shd w:val="clear" w:color="000000" w:fill="FFFFFF"/>
            <w:noWrap/>
            <w:vAlign w:val="bottom"/>
            <w:hideMark/>
          </w:tcPr>
          <w:p w14:paraId="15217B1E" w14:textId="77777777" w:rsidR="0008434A" w:rsidRPr="00D618B7" w:rsidRDefault="0008434A" w:rsidP="004B11B7">
            <w:pPr>
              <w:jc w:val="right"/>
              <w:rPr>
                <w:color w:val="000000"/>
              </w:rPr>
            </w:pPr>
            <w:r w:rsidRPr="00D618B7">
              <w:rPr>
                <w:color w:val="000000"/>
              </w:rPr>
              <w:t>17.14</w:t>
            </w:r>
          </w:p>
        </w:tc>
        <w:tc>
          <w:tcPr>
            <w:tcW w:w="1367" w:type="dxa"/>
            <w:tcBorders>
              <w:top w:val="nil"/>
              <w:left w:val="nil"/>
              <w:bottom w:val="nil"/>
              <w:right w:val="nil"/>
            </w:tcBorders>
            <w:shd w:val="clear" w:color="000000" w:fill="FFFFFF"/>
            <w:noWrap/>
            <w:vAlign w:val="bottom"/>
            <w:hideMark/>
          </w:tcPr>
          <w:p w14:paraId="407CE353" w14:textId="77777777" w:rsidR="0008434A" w:rsidRPr="00D618B7" w:rsidRDefault="0008434A" w:rsidP="004B11B7">
            <w:pPr>
              <w:jc w:val="right"/>
              <w:rPr>
                <w:color w:val="000000"/>
              </w:rPr>
            </w:pPr>
            <w:r w:rsidRPr="00D618B7">
              <w:rPr>
                <w:color w:val="000000"/>
              </w:rPr>
              <w:t>2.86</w:t>
            </w:r>
          </w:p>
        </w:tc>
        <w:tc>
          <w:tcPr>
            <w:tcW w:w="1193" w:type="dxa"/>
            <w:tcBorders>
              <w:top w:val="nil"/>
              <w:left w:val="nil"/>
              <w:bottom w:val="nil"/>
              <w:right w:val="nil"/>
            </w:tcBorders>
            <w:shd w:val="clear" w:color="000000" w:fill="FFFFFF"/>
            <w:noWrap/>
            <w:vAlign w:val="bottom"/>
            <w:hideMark/>
          </w:tcPr>
          <w:p w14:paraId="1229AE30" w14:textId="77777777" w:rsidR="0008434A" w:rsidRPr="00D618B7" w:rsidRDefault="0008434A" w:rsidP="004B11B7">
            <w:pPr>
              <w:jc w:val="right"/>
              <w:rPr>
                <w:color w:val="000000"/>
              </w:rPr>
            </w:pPr>
            <w:r w:rsidRPr="00D618B7">
              <w:rPr>
                <w:color w:val="000000"/>
              </w:rPr>
              <w:t>34.94</w:t>
            </w:r>
          </w:p>
        </w:tc>
        <w:tc>
          <w:tcPr>
            <w:tcW w:w="1367" w:type="dxa"/>
            <w:tcBorders>
              <w:top w:val="nil"/>
              <w:left w:val="nil"/>
              <w:bottom w:val="nil"/>
              <w:right w:val="nil"/>
            </w:tcBorders>
            <w:shd w:val="clear" w:color="000000" w:fill="FFFFFF"/>
            <w:noWrap/>
            <w:vAlign w:val="bottom"/>
            <w:hideMark/>
          </w:tcPr>
          <w:p w14:paraId="640C2267" w14:textId="77777777" w:rsidR="0008434A" w:rsidRPr="00D618B7" w:rsidRDefault="0008434A" w:rsidP="004B11B7">
            <w:pPr>
              <w:jc w:val="right"/>
              <w:rPr>
                <w:color w:val="000000"/>
              </w:rPr>
            </w:pPr>
            <w:r w:rsidRPr="00D618B7">
              <w:rPr>
                <w:color w:val="000000"/>
              </w:rPr>
              <w:t>2.86</w:t>
            </w:r>
          </w:p>
        </w:tc>
        <w:tc>
          <w:tcPr>
            <w:tcW w:w="1193" w:type="dxa"/>
            <w:tcBorders>
              <w:top w:val="nil"/>
              <w:left w:val="nil"/>
              <w:bottom w:val="nil"/>
              <w:right w:val="nil"/>
            </w:tcBorders>
            <w:shd w:val="clear" w:color="000000" w:fill="FFFFFF"/>
            <w:noWrap/>
            <w:vAlign w:val="bottom"/>
            <w:hideMark/>
          </w:tcPr>
          <w:p w14:paraId="4090C7BF" w14:textId="77777777" w:rsidR="0008434A" w:rsidRPr="00D618B7" w:rsidRDefault="0008434A" w:rsidP="004B11B7">
            <w:pPr>
              <w:jc w:val="right"/>
              <w:rPr>
                <w:color w:val="000000"/>
              </w:rPr>
            </w:pPr>
            <w:r w:rsidRPr="00D618B7">
              <w:rPr>
                <w:color w:val="000000"/>
              </w:rPr>
              <w:t>17.97</w:t>
            </w:r>
          </w:p>
        </w:tc>
        <w:tc>
          <w:tcPr>
            <w:tcW w:w="1367" w:type="dxa"/>
            <w:tcBorders>
              <w:top w:val="nil"/>
              <w:left w:val="nil"/>
              <w:bottom w:val="nil"/>
              <w:right w:val="nil"/>
            </w:tcBorders>
            <w:shd w:val="clear" w:color="000000" w:fill="FFFFFF"/>
            <w:noWrap/>
            <w:vAlign w:val="bottom"/>
            <w:hideMark/>
          </w:tcPr>
          <w:p w14:paraId="0D4BCDAC" w14:textId="77777777" w:rsidR="0008434A" w:rsidRPr="00D618B7" w:rsidRDefault="0008434A" w:rsidP="004B11B7">
            <w:pPr>
              <w:jc w:val="right"/>
              <w:rPr>
                <w:color w:val="000000"/>
              </w:rPr>
            </w:pPr>
            <w:r w:rsidRPr="00D618B7">
              <w:rPr>
                <w:color w:val="000000"/>
              </w:rPr>
              <w:t>2.87</w:t>
            </w:r>
          </w:p>
        </w:tc>
      </w:tr>
      <w:tr w:rsidR="0008434A" w:rsidRPr="00D618B7" w14:paraId="52CC38E6" w14:textId="77777777" w:rsidTr="004B11B7">
        <w:trPr>
          <w:trHeight w:val="300"/>
        </w:trPr>
        <w:tc>
          <w:tcPr>
            <w:tcW w:w="1140" w:type="dxa"/>
            <w:tcBorders>
              <w:top w:val="nil"/>
              <w:left w:val="nil"/>
              <w:bottom w:val="nil"/>
              <w:right w:val="nil"/>
            </w:tcBorders>
            <w:shd w:val="clear" w:color="000000" w:fill="FFFFFF"/>
            <w:vAlign w:val="center"/>
            <w:hideMark/>
          </w:tcPr>
          <w:p w14:paraId="061E8EA4" w14:textId="77777777" w:rsidR="0008434A" w:rsidRPr="00D618B7" w:rsidRDefault="0008434A" w:rsidP="004B11B7">
            <w:pPr>
              <w:jc w:val="right"/>
              <w:rPr>
                <w:color w:val="000000"/>
              </w:rPr>
            </w:pPr>
            <w:r w:rsidRPr="00D618B7">
              <w:rPr>
                <w:color w:val="000000"/>
              </w:rPr>
              <w:t>0</w:t>
            </w:r>
          </w:p>
        </w:tc>
        <w:tc>
          <w:tcPr>
            <w:tcW w:w="1193" w:type="dxa"/>
            <w:tcBorders>
              <w:top w:val="nil"/>
              <w:left w:val="nil"/>
              <w:bottom w:val="nil"/>
              <w:right w:val="nil"/>
            </w:tcBorders>
            <w:shd w:val="clear" w:color="000000" w:fill="FFFFFF"/>
            <w:noWrap/>
            <w:vAlign w:val="bottom"/>
            <w:hideMark/>
          </w:tcPr>
          <w:p w14:paraId="5D52DA48" w14:textId="77777777" w:rsidR="0008434A" w:rsidRPr="00D618B7" w:rsidRDefault="0008434A" w:rsidP="004B11B7">
            <w:pPr>
              <w:jc w:val="right"/>
              <w:rPr>
                <w:color w:val="000000"/>
              </w:rPr>
            </w:pPr>
            <w:r w:rsidRPr="00D618B7">
              <w:rPr>
                <w:color w:val="000000"/>
              </w:rPr>
              <w:t>19.04</w:t>
            </w:r>
          </w:p>
        </w:tc>
        <w:tc>
          <w:tcPr>
            <w:tcW w:w="1367" w:type="dxa"/>
            <w:tcBorders>
              <w:top w:val="nil"/>
              <w:left w:val="nil"/>
              <w:bottom w:val="nil"/>
              <w:right w:val="nil"/>
            </w:tcBorders>
            <w:shd w:val="clear" w:color="000000" w:fill="FFFFFF"/>
            <w:noWrap/>
            <w:vAlign w:val="bottom"/>
            <w:hideMark/>
          </w:tcPr>
          <w:p w14:paraId="4E8CD88B" w14:textId="77777777" w:rsidR="0008434A" w:rsidRPr="00D618B7" w:rsidRDefault="0008434A" w:rsidP="004B11B7">
            <w:pPr>
              <w:jc w:val="right"/>
              <w:rPr>
                <w:color w:val="000000"/>
              </w:rPr>
            </w:pPr>
            <w:r w:rsidRPr="00D618B7">
              <w:rPr>
                <w:color w:val="000000"/>
              </w:rPr>
              <w:t>2.73</w:t>
            </w:r>
          </w:p>
        </w:tc>
        <w:tc>
          <w:tcPr>
            <w:tcW w:w="1193" w:type="dxa"/>
            <w:tcBorders>
              <w:top w:val="nil"/>
              <w:left w:val="nil"/>
              <w:bottom w:val="nil"/>
              <w:right w:val="nil"/>
            </w:tcBorders>
            <w:shd w:val="clear" w:color="000000" w:fill="FFFFFF"/>
            <w:noWrap/>
            <w:vAlign w:val="bottom"/>
            <w:hideMark/>
          </w:tcPr>
          <w:p w14:paraId="0C5C24EA" w14:textId="77777777" w:rsidR="0008434A" w:rsidRPr="00D618B7" w:rsidRDefault="0008434A" w:rsidP="004B11B7">
            <w:pPr>
              <w:jc w:val="right"/>
              <w:rPr>
                <w:color w:val="000000"/>
              </w:rPr>
            </w:pPr>
            <w:r w:rsidRPr="00D618B7">
              <w:rPr>
                <w:color w:val="000000"/>
              </w:rPr>
              <w:t>36.86</w:t>
            </w:r>
          </w:p>
        </w:tc>
        <w:tc>
          <w:tcPr>
            <w:tcW w:w="1367" w:type="dxa"/>
            <w:tcBorders>
              <w:top w:val="nil"/>
              <w:left w:val="nil"/>
              <w:bottom w:val="nil"/>
              <w:right w:val="nil"/>
            </w:tcBorders>
            <w:shd w:val="clear" w:color="000000" w:fill="FFFFFF"/>
            <w:noWrap/>
            <w:vAlign w:val="bottom"/>
            <w:hideMark/>
          </w:tcPr>
          <w:p w14:paraId="4600E55F" w14:textId="77777777" w:rsidR="0008434A" w:rsidRPr="00D618B7" w:rsidRDefault="0008434A" w:rsidP="004B11B7">
            <w:pPr>
              <w:jc w:val="right"/>
              <w:rPr>
                <w:color w:val="000000"/>
              </w:rPr>
            </w:pPr>
            <w:r w:rsidRPr="00D618B7">
              <w:rPr>
                <w:color w:val="000000"/>
              </w:rPr>
              <w:t>2.72</w:t>
            </w:r>
          </w:p>
        </w:tc>
        <w:tc>
          <w:tcPr>
            <w:tcW w:w="1193" w:type="dxa"/>
            <w:tcBorders>
              <w:top w:val="nil"/>
              <w:left w:val="nil"/>
              <w:bottom w:val="nil"/>
              <w:right w:val="nil"/>
            </w:tcBorders>
            <w:shd w:val="clear" w:color="000000" w:fill="FFFFFF"/>
            <w:noWrap/>
            <w:vAlign w:val="bottom"/>
            <w:hideMark/>
          </w:tcPr>
          <w:p w14:paraId="2B6C487A" w14:textId="77777777" w:rsidR="0008434A" w:rsidRPr="00D618B7" w:rsidRDefault="0008434A" w:rsidP="004B11B7">
            <w:pPr>
              <w:jc w:val="right"/>
              <w:rPr>
                <w:color w:val="000000"/>
              </w:rPr>
            </w:pPr>
            <w:r w:rsidRPr="00D618B7">
              <w:rPr>
                <w:color w:val="000000"/>
              </w:rPr>
              <w:t>22.19</w:t>
            </w:r>
          </w:p>
        </w:tc>
        <w:tc>
          <w:tcPr>
            <w:tcW w:w="1367" w:type="dxa"/>
            <w:tcBorders>
              <w:top w:val="nil"/>
              <w:left w:val="nil"/>
              <w:bottom w:val="nil"/>
              <w:right w:val="nil"/>
            </w:tcBorders>
            <w:shd w:val="clear" w:color="000000" w:fill="FFFFFF"/>
            <w:noWrap/>
            <w:vAlign w:val="bottom"/>
            <w:hideMark/>
          </w:tcPr>
          <w:p w14:paraId="7425376D" w14:textId="77777777" w:rsidR="0008434A" w:rsidRPr="00D618B7" w:rsidRDefault="0008434A" w:rsidP="004B11B7">
            <w:pPr>
              <w:jc w:val="right"/>
              <w:rPr>
                <w:color w:val="000000"/>
              </w:rPr>
            </w:pPr>
            <w:r w:rsidRPr="00D618B7">
              <w:rPr>
                <w:color w:val="000000"/>
              </w:rPr>
              <w:t>2.70</w:t>
            </w:r>
          </w:p>
        </w:tc>
      </w:tr>
      <w:tr w:rsidR="0008434A" w:rsidRPr="00D618B7" w14:paraId="0405B9A9" w14:textId="77777777" w:rsidTr="004B11B7">
        <w:trPr>
          <w:trHeight w:val="300"/>
        </w:trPr>
        <w:tc>
          <w:tcPr>
            <w:tcW w:w="1140" w:type="dxa"/>
            <w:tcBorders>
              <w:top w:val="nil"/>
              <w:left w:val="nil"/>
              <w:bottom w:val="nil"/>
              <w:right w:val="nil"/>
            </w:tcBorders>
            <w:shd w:val="clear" w:color="000000" w:fill="FFFFFF"/>
            <w:vAlign w:val="center"/>
            <w:hideMark/>
          </w:tcPr>
          <w:p w14:paraId="7FAFA365" w14:textId="77777777" w:rsidR="0008434A" w:rsidRPr="00D618B7" w:rsidRDefault="0008434A" w:rsidP="004B11B7">
            <w:pPr>
              <w:jc w:val="right"/>
              <w:rPr>
                <w:color w:val="000000"/>
              </w:rPr>
            </w:pPr>
            <w:r w:rsidRPr="00D618B7">
              <w:rPr>
                <w:color w:val="000000"/>
              </w:rPr>
              <w:t>1</w:t>
            </w:r>
          </w:p>
        </w:tc>
        <w:tc>
          <w:tcPr>
            <w:tcW w:w="1193" w:type="dxa"/>
            <w:tcBorders>
              <w:top w:val="nil"/>
              <w:left w:val="nil"/>
              <w:bottom w:val="nil"/>
              <w:right w:val="nil"/>
            </w:tcBorders>
            <w:shd w:val="clear" w:color="000000" w:fill="FFFFFF"/>
            <w:noWrap/>
            <w:vAlign w:val="bottom"/>
            <w:hideMark/>
          </w:tcPr>
          <w:p w14:paraId="101C63B6" w14:textId="77777777" w:rsidR="0008434A" w:rsidRPr="00D618B7" w:rsidRDefault="0008434A" w:rsidP="004B11B7">
            <w:pPr>
              <w:jc w:val="right"/>
              <w:rPr>
                <w:color w:val="000000"/>
              </w:rPr>
            </w:pPr>
            <w:r w:rsidRPr="00D618B7">
              <w:rPr>
                <w:color w:val="000000"/>
              </w:rPr>
              <w:t>19.71</w:t>
            </w:r>
          </w:p>
        </w:tc>
        <w:tc>
          <w:tcPr>
            <w:tcW w:w="1367" w:type="dxa"/>
            <w:tcBorders>
              <w:top w:val="nil"/>
              <w:left w:val="nil"/>
              <w:bottom w:val="nil"/>
              <w:right w:val="nil"/>
            </w:tcBorders>
            <w:shd w:val="clear" w:color="000000" w:fill="FFFFFF"/>
            <w:noWrap/>
            <w:vAlign w:val="bottom"/>
            <w:hideMark/>
          </w:tcPr>
          <w:p w14:paraId="2C2A0713" w14:textId="77777777" w:rsidR="0008434A" w:rsidRPr="00D618B7" w:rsidRDefault="0008434A" w:rsidP="004B11B7">
            <w:pPr>
              <w:jc w:val="right"/>
              <w:rPr>
                <w:color w:val="000000"/>
              </w:rPr>
            </w:pPr>
            <w:r w:rsidRPr="00D618B7">
              <w:rPr>
                <w:color w:val="000000"/>
              </w:rPr>
              <w:t>2.73</w:t>
            </w:r>
          </w:p>
        </w:tc>
        <w:tc>
          <w:tcPr>
            <w:tcW w:w="1193" w:type="dxa"/>
            <w:tcBorders>
              <w:top w:val="nil"/>
              <w:left w:val="nil"/>
              <w:bottom w:val="nil"/>
              <w:right w:val="nil"/>
            </w:tcBorders>
            <w:shd w:val="clear" w:color="000000" w:fill="FFFFFF"/>
            <w:noWrap/>
            <w:vAlign w:val="bottom"/>
            <w:hideMark/>
          </w:tcPr>
          <w:p w14:paraId="635E2217" w14:textId="77777777" w:rsidR="0008434A" w:rsidRPr="00D618B7" w:rsidRDefault="0008434A" w:rsidP="004B11B7">
            <w:pPr>
              <w:jc w:val="right"/>
              <w:rPr>
                <w:color w:val="000000"/>
              </w:rPr>
            </w:pPr>
            <w:r w:rsidRPr="00D618B7">
              <w:rPr>
                <w:color w:val="000000"/>
              </w:rPr>
              <w:t>36.19</w:t>
            </w:r>
          </w:p>
        </w:tc>
        <w:tc>
          <w:tcPr>
            <w:tcW w:w="1367" w:type="dxa"/>
            <w:tcBorders>
              <w:top w:val="nil"/>
              <w:left w:val="nil"/>
              <w:bottom w:val="nil"/>
              <w:right w:val="nil"/>
            </w:tcBorders>
            <w:shd w:val="clear" w:color="000000" w:fill="FFFFFF"/>
            <w:noWrap/>
            <w:vAlign w:val="bottom"/>
            <w:hideMark/>
          </w:tcPr>
          <w:p w14:paraId="2D4EC36B" w14:textId="77777777" w:rsidR="0008434A" w:rsidRPr="00D618B7" w:rsidRDefault="0008434A" w:rsidP="004B11B7">
            <w:pPr>
              <w:jc w:val="right"/>
              <w:rPr>
                <w:color w:val="000000"/>
              </w:rPr>
            </w:pPr>
            <w:r w:rsidRPr="00D618B7">
              <w:rPr>
                <w:color w:val="000000"/>
              </w:rPr>
              <w:t>2.73</w:t>
            </w:r>
          </w:p>
        </w:tc>
        <w:tc>
          <w:tcPr>
            <w:tcW w:w="1193" w:type="dxa"/>
            <w:tcBorders>
              <w:top w:val="nil"/>
              <w:left w:val="nil"/>
              <w:bottom w:val="nil"/>
              <w:right w:val="nil"/>
            </w:tcBorders>
            <w:shd w:val="clear" w:color="000000" w:fill="FFFFFF"/>
            <w:noWrap/>
            <w:vAlign w:val="bottom"/>
            <w:hideMark/>
          </w:tcPr>
          <w:p w14:paraId="41ABAB66" w14:textId="77777777" w:rsidR="0008434A" w:rsidRPr="00D618B7" w:rsidRDefault="0008434A" w:rsidP="004B11B7">
            <w:pPr>
              <w:jc w:val="right"/>
              <w:rPr>
                <w:color w:val="000000"/>
              </w:rPr>
            </w:pPr>
            <w:r w:rsidRPr="00D618B7">
              <w:rPr>
                <w:color w:val="000000"/>
              </w:rPr>
              <w:t>20.43</w:t>
            </w:r>
          </w:p>
        </w:tc>
        <w:tc>
          <w:tcPr>
            <w:tcW w:w="1367" w:type="dxa"/>
            <w:tcBorders>
              <w:top w:val="nil"/>
              <w:left w:val="nil"/>
              <w:bottom w:val="nil"/>
              <w:right w:val="nil"/>
            </w:tcBorders>
            <w:shd w:val="clear" w:color="000000" w:fill="FFFFFF"/>
            <w:noWrap/>
            <w:vAlign w:val="bottom"/>
            <w:hideMark/>
          </w:tcPr>
          <w:p w14:paraId="71DB457D" w14:textId="77777777" w:rsidR="0008434A" w:rsidRPr="00D618B7" w:rsidRDefault="0008434A" w:rsidP="004B11B7">
            <w:pPr>
              <w:jc w:val="right"/>
              <w:rPr>
                <w:color w:val="000000"/>
              </w:rPr>
            </w:pPr>
            <w:r w:rsidRPr="00D618B7">
              <w:rPr>
                <w:color w:val="000000"/>
              </w:rPr>
              <w:t>2.74</w:t>
            </w:r>
          </w:p>
        </w:tc>
      </w:tr>
      <w:tr w:rsidR="0008434A" w:rsidRPr="00D618B7" w14:paraId="023A2A2A" w14:textId="77777777" w:rsidTr="004B11B7">
        <w:trPr>
          <w:trHeight w:val="300"/>
        </w:trPr>
        <w:tc>
          <w:tcPr>
            <w:tcW w:w="1140" w:type="dxa"/>
            <w:tcBorders>
              <w:top w:val="nil"/>
              <w:left w:val="nil"/>
              <w:bottom w:val="nil"/>
              <w:right w:val="nil"/>
            </w:tcBorders>
            <w:shd w:val="clear" w:color="000000" w:fill="FFFFFF"/>
            <w:vAlign w:val="center"/>
            <w:hideMark/>
          </w:tcPr>
          <w:p w14:paraId="6AB03593" w14:textId="77777777" w:rsidR="0008434A" w:rsidRPr="00D618B7" w:rsidRDefault="0008434A" w:rsidP="004B11B7">
            <w:pPr>
              <w:jc w:val="right"/>
              <w:rPr>
                <w:color w:val="000000"/>
              </w:rPr>
            </w:pPr>
            <w:r w:rsidRPr="00D618B7">
              <w:rPr>
                <w:color w:val="000000"/>
              </w:rPr>
              <w:t>2</w:t>
            </w:r>
          </w:p>
        </w:tc>
        <w:tc>
          <w:tcPr>
            <w:tcW w:w="1193" w:type="dxa"/>
            <w:tcBorders>
              <w:top w:val="nil"/>
              <w:left w:val="nil"/>
              <w:bottom w:val="nil"/>
              <w:right w:val="nil"/>
            </w:tcBorders>
            <w:shd w:val="clear" w:color="000000" w:fill="FFFFFF"/>
            <w:noWrap/>
            <w:vAlign w:val="bottom"/>
            <w:hideMark/>
          </w:tcPr>
          <w:p w14:paraId="0504368D" w14:textId="77777777" w:rsidR="0008434A" w:rsidRPr="00D618B7" w:rsidRDefault="0008434A" w:rsidP="004B11B7">
            <w:pPr>
              <w:jc w:val="right"/>
              <w:rPr>
                <w:color w:val="000000"/>
              </w:rPr>
            </w:pPr>
            <w:r w:rsidRPr="00D618B7">
              <w:rPr>
                <w:color w:val="000000"/>
              </w:rPr>
              <w:t>22.56</w:t>
            </w:r>
          </w:p>
        </w:tc>
        <w:tc>
          <w:tcPr>
            <w:tcW w:w="1367" w:type="dxa"/>
            <w:tcBorders>
              <w:top w:val="nil"/>
              <w:left w:val="nil"/>
              <w:bottom w:val="nil"/>
              <w:right w:val="nil"/>
            </w:tcBorders>
            <w:shd w:val="clear" w:color="000000" w:fill="FFFFFF"/>
            <w:noWrap/>
            <w:vAlign w:val="bottom"/>
            <w:hideMark/>
          </w:tcPr>
          <w:p w14:paraId="0DAD7327" w14:textId="77777777" w:rsidR="0008434A" w:rsidRPr="00D618B7" w:rsidRDefault="0008434A" w:rsidP="004B11B7">
            <w:pPr>
              <w:jc w:val="right"/>
              <w:rPr>
                <w:color w:val="000000"/>
              </w:rPr>
            </w:pPr>
            <w:r w:rsidRPr="00D618B7">
              <w:rPr>
                <w:color w:val="000000"/>
              </w:rPr>
              <w:t>3.20</w:t>
            </w:r>
          </w:p>
        </w:tc>
        <w:tc>
          <w:tcPr>
            <w:tcW w:w="1193" w:type="dxa"/>
            <w:tcBorders>
              <w:top w:val="nil"/>
              <w:left w:val="nil"/>
              <w:bottom w:val="nil"/>
              <w:right w:val="nil"/>
            </w:tcBorders>
            <w:shd w:val="clear" w:color="000000" w:fill="FFFFFF"/>
            <w:noWrap/>
            <w:vAlign w:val="bottom"/>
            <w:hideMark/>
          </w:tcPr>
          <w:p w14:paraId="52274DEC" w14:textId="77777777" w:rsidR="0008434A" w:rsidRPr="00D618B7" w:rsidRDefault="0008434A" w:rsidP="004B11B7">
            <w:pPr>
              <w:jc w:val="right"/>
              <w:rPr>
                <w:color w:val="000000"/>
              </w:rPr>
            </w:pPr>
            <w:r w:rsidRPr="00D618B7">
              <w:rPr>
                <w:color w:val="000000"/>
              </w:rPr>
              <w:t>40.11</w:t>
            </w:r>
          </w:p>
        </w:tc>
        <w:tc>
          <w:tcPr>
            <w:tcW w:w="1367" w:type="dxa"/>
            <w:tcBorders>
              <w:top w:val="nil"/>
              <w:left w:val="nil"/>
              <w:bottom w:val="nil"/>
              <w:right w:val="nil"/>
            </w:tcBorders>
            <w:shd w:val="clear" w:color="000000" w:fill="FFFFFF"/>
            <w:noWrap/>
            <w:vAlign w:val="bottom"/>
            <w:hideMark/>
          </w:tcPr>
          <w:p w14:paraId="48E53DC3" w14:textId="77777777" w:rsidR="0008434A" w:rsidRPr="00D618B7" w:rsidRDefault="0008434A" w:rsidP="004B11B7">
            <w:pPr>
              <w:jc w:val="right"/>
              <w:rPr>
                <w:color w:val="000000"/>
              </w:rPr>
            </w:pPr>
            <w:r w:rsidRPr="00D618B7">
              <w:rPr>
                <w:color w:val="000000"/>
              </w:rPr>
              <w:t>3.20</w:t>
            </w:r>
          </w:p>
        </w:tc>
        <w:tc>
          <w:tcPr>
            <w:tcW w:w="1193" w:type="dxa"/>
            <w:tcBorders>
              <w:top w:val="nil"/>
              <w:left w:val="nil"/>
              <w:bottom w:val="nil"/>
              <w:right w:val="nil"/>
            </w:tcBorders>
            <w:shd w:val="clear" w:color="000000" w:fill="FFFFFF"/>
            <w:noWrap/>
            <w:vAlign w:val="bottom"/>
            <w:hideMark/>
          </w:tcPr>
          <w:p w14:paraId="1D7F3251" w14:textId="77777777" w:rsidR="0008434A" w:rsidRPr="00D618B7" w:rsidRDefault="0008434A" w:rsidP="004B11B7">
            <w:pPr>
              <w:jc w:val="right"/>
              <w:rPr>
                <w:color w:val="000000"/>
              </w:rPr>
            </w:pPr>
            <w:r w:rsidRPr="00D618B7">
              <w:rPr>
                <w:color w:val="000000"/>
              </w:rPr>
              <w:t>26.73</w:t>
            </w:r>
          </w:p>
        </w:tc>
        <w:tc>
          <w:tcPr>
            <w:tcW w:w="1367" w:type="dxa"/>
            <w:tcBorders>
              <w:top w:val="nil"/>
              <w:left w:val="nil"/>
              <w:bottom w:val="nil"/>
              <w:right w:val="nil"/>
            </w:tcBorders>
            <w:shd w:val="clear" w:color="000000" w:fill="FFFFFF"/>
            <w:noWrap/>
            <w:vAlign w:val="bottom"/>
            <w:hideMark/>
          </w:tcPr>
          <w:p w14:paraId="33BA040D" w14:textId="77777777" w:rsidR="0008434A" w:rsidRPr="00D618B7" w:rsidRDefault="0008434A" w:rsidP="004B11B7">
            <w:pPr>
              <w:jc w:val="right"/>
              <w:rPr>
                <w:color w:val="000000"/>
              </w:rPr>
            </w:pPr>
            <w:r w:rsidRPr="00D618B7">
              <w:rPr>
                <w:color w:val="000000"/>
              </w:rPr>
              <w:t>3.17</w:t>
            </w:r>
          </w:p>
        </w:tc>
      </w:tr>
      <w:tr w:rsidR="0008434A" w:rsidRPr="00D618B7" w14:paraId="11AAE1E6" w14:textId="77777777" w:rsidTr="004B11B7">
        <w:trPr>
          <w:trHeight w:val="300"/>
        </w:trPr>
        <w:tc>
          <w:tcPr>
            <w:tcW w:w="1140" w:type="dxa"/>
            <w:tcBorders>
              <w:top w:val="nil"/>
              <w:left w:val="nil"/>
              <w:bottom w:val="nil"/>
              <w:right w:val="nil"/>
            </w:tcBorders>
            <w:shd w:val="clear" w:color="000000" w:fill="FFFFFF"/>
            <w:vAlign w:val="center"/>
            <w:hideMark/>
          </w:tcPr>
          <w:p w14:paraId="0C702CA8" w14:textId="77777777" w:rsidR="0008434A" w:rsidRPr="00D618B7" w:rsidRDefault="0008434A" w:rsidP="004B11B7">
            <w:pPr>
              <w:jc w:val="right"/>
              <w:rPr>
                <w:color w:val="000000"/>
              </w:rPr>
            </w:pPr>
            <w:r w:rsidRPr="00D618B7">
              <w:rPr>
                <w:color w:val="000000"/>
              </w:rPr>
              <w:t>3</w:t>
            </w:r>
          </w:p>
        </w:tc>
        <w:tc>
          <w:tcPr>
            <w:tcW w:w="1193" w:type="dxa"/>
            <w:tcBorders>
              <w:top w:val="nil"/>
              <w:left w:val="nil"/>
              <w:bottom w:val="nil"/>
              <w:right w:val="nil"/>
            </w:tcBorders>
            <w:shd w:val="clear" w:color="000000" w:fill="FFFFFF"/>
            <w:noWrap/>
            <w:vAlign w:val="bottom"/>
            <w:hideMark/>
          </w:tcPr>
          <w:p w14:paraId="466DE0A1" w14:textId="77777777" w:rsidR="0008434A" w:rsidRPr="00D618B7" w:rsidRDefault="0008434A" w:rsidP="004B11B7">
            <w:pPr>
              <w:jc w:val="right"/>
              <w:rPr>
                <w:color w:val="000000"/>
              </w:rPr>
            </w:pPr>
            <w:r w:rsidRPr="00D618B7">
              <w:rPr>
                <w:color w:val="000000"/>
              </w:rPr>
              <w:t>20.23</w:t>
            </w:r>
          </w:p>
        </w:tc>
        <w:tc>
          <w:tcPr>
            <w:tcW w:w="1367" w:type="dxa"/>
            <w:tcBorders>
              <w:top w:val="nil"/>
              <w:left w:val="nil"/>
              <w:bottom w:val="nil"/>
              <w:right w:val="nil"/>
            </w:tcBorders>
            <w:shd w:val="clear" w:color="000000" w:fill="FFFFFF"/>
            <w:noWrap/>
            <w:vAlign w:val="bottom"/>
            <w:hideMark/>
          </w:tcPr>
          <w:p w14:paraId="004F68C9" w14:textId="77777777" w:rsidR="0008434A" w:rsidRPr="00D618B7" w:rsidRDefault="0008434A" w:rsidP="004B11B7">
            <w:pPr>
              <w:jc w:val="right"/>
              <w:rPr>
                <w:color w:val="000000"/>
              </w:rPr>
            </w:pPr>
            <w:r w:rsidRPr="00D618B7">
              <w:rPr>
                <w:color w:val="000000"/>
              </w:rPr>
              <w:t>2.76</w:t>
            </w:r>
          </w:p>
        </w:tc>
        <w:tc>
          <w:tcPr>
            <w:tcW w:w="1193" w:type="dxa"/>
            <w:tcBorders>
              <w:top w:val="nil"/>
              <w:left w:val="nil"/>
              <w:bottom w:val="nil"/>
              <w:right w:val="nil"/>
            </w:tcBorders>
            <w:shd w:val="clear" w:color="000000" w:fill="FFFFFF"/>
            <w:noWrap/>
            <w:vAlign w:val="bottom"/>
            <w:hideMark/>
          </w:tcPr>
          <w:p w14:paraId="01738538" w14:textId="77777777" w:rsidR="0008434A" w:rsidRPr="00D618B7" w:rsidRDefault="0008434A" w:rsidP="004B11B7">
            <w:pPr>
              <w:jc w:val="right"/>
              <w:rPr>
                <w:color w:val="000000"/>
              </w:rPr>
            </w:pPr>
            <w:r w:rsidRPr="00D618B7">
              <w:rPr>
                <w:color w:val="000000"/>
              </w:rPr>
              <w:t>38.02</w:t>
            </w:r>
          </w:p>
        </w:tc>
        <w:tc>
          <w:tcPr>
            <w:tcW w:w="1367" w:type="dxa"/>
            <w:tcBorders>
              <w:top w:val="nil"/>
              <w:left w:val="nil"/>
              <w:bottom w:val="nil"/>
              <w:right w:val="nil"/>
            </w:tcBorders>
            <w:shd w:val="clear" w:color="000000" w:fill="FFFFFF"/>
            <w:noWrap/>
            <w:vAlign w:val="bottom"/>
            <w:hideMark/>
          </w:tcPr>
          <w:p w14:paraId="47CA708A" w14:textId="77777777" w:rsidR="0008434A" w:rsidRPr="00D618B7" w:rsidRDefault="0008434A" w:rsidP="004B11B7">
            <w:pPr>
              <w:jc w:val="right"/>
              <w:rPr>
                <w:color w:val="000000"/>
              </w:rPr>
            </w:pPr>
            <w:r w:rsidRPr="00D618B7">
              <w:rPr>
                <w:color w:val="000000"/>
              </w:rPr>
              <w:t>2.75</w:t>
            </w:r>
          </w:p>
        </w:tc>
        <w:tc>
          <w:tcPr>
            <w:tcW w:w="1193" w:type="dxa"/>
            <w:tcBorders>
              <w:top w:val="nil"/>
              <w:left w:val="nil"/>
              <w:bottom w:val="nil"/>
              <w:right w:val="nil"/>
            </w:tcBorders>
            <w:shd w:val="clear" w:color="000000" w:fill="FFFFFF"/>
            <w:noWrap/>
            <w:vAlign w:val="bottom"/>
            <w:hideMark/>
          </w:tcPr>
          <w:p w14:paraId="3C4C3304" w14:textId="77777777" w:rsidR="0008434A" w:rsidRPr="00D618B7" w:rsidRDefault="0008434A" w:rsidP="004B11B7">
            <w:pPr>
              <w:jc w:val="right"/>
              <w:rPr>
                <w:color w:val="000000"/>
              </w:rPr>
            </w:pPr>
            <w:r w:rsidRPr="00D618B7">
              <w:rPr>
                <w:color w:val="000000"/>
              </w:rPr>
              <w:t>25.21</w:t>
            </w:r>
          </w:p>
        </w:tc>
        <w:tc>
          <w:tcPr>
            <w:tcW w:w="1367" w:type="dxa"/>
            <w:tcBorders>
              <w:top w:val="nil"/>
              <w:left w:val="nil"/>
              <w:bottom w:val="nil"/>
              <w:right w:val="nil"/>
            </w:tcBorders>
            <w:shd w:val="clear" w:color="000000" w:fill="FFFFFF"/>
            <w:noWrap/>
            <w:vAlign w:val="bottom"/>
            <w:hideMark/>
          </w:tcPr>
          <w:p w14:paraId="524DE72F" w14:textId="77777777" w:rsidR="0008434A" w:rsidRPr="00D618B7" w:rsidRDefault="0008434A" w:rsidP="004B11B7">
            <w:pPr>
              <w:jc w:val="right"/>
              <w:rPr>
                <w:color w:val="000000"/>
              </w:rPr>
            </w:pPr>
            <w:r w:rsidRPr="00D618B7">
              <w:rPr>
                <w:color w:val="000000"/>
              </w:rPr>
              <w:t>2.76</w:t>
            </w:r>
          </w:p>
        </w:tc>
      </w:tr>
      <w:tr w:rsidR="0008434A" w:rsidRPr="00D618B7" w14:paraId="1F566612" w14:textId="77777777" w:rsidTr="004B11B7">
        <w:trPr>
          <w:trHeight w:val="300"/>
        </w:trPr>
        <w:tc>
          <w:tcPr>
            <w:tcW w:w="1140" w:type="dxa"/>
            <w:tcBorders>
              <w:top w:val="nil"/>
              <w:left w:val="nil"/>
              <w:right w:val="nil"/>
            </w:tcBorders>
            <w:shd w:val="clear" w:color="000000" w:fill="FFFFFF"/>
            <w:vAlign w:val="center"/>
            <w:hideMark/>
          </w:tcPr>
          <w:p w14:paraId="63A8F6A4" w14:textId="77777777" w:rsidR="0008434A" w:rsidRPr="00D618B7" w:rsidRDefault="0008434A" w:rsidP="004B11B7">
            <w:pPr>
              <w:jc w:val="right"/>
              <w:rPr>
                <w:color w:val="000000"/>
              </w:rPr>
            </w:pPr>
            <w:r w:rsidRPr="00D618B7">
              <w:rPr>
                <w:color w:val="000000"/>
              </w:rPr>
              <w:t>4</w:t>
            </w:r>
          </w:p>
        </w:tc>
        <w:tc>
          <w:tcPr>
            <w:tcW w:w="1193" w:type="dxa"/>
            <w:tcBorders>
              <w:top w:val="nil"/>
              <w:left w:val="nil"/>
              <w:right w:val="nil"/>
            </w:tcBorders>
            <w:shd w:val="clear" w:color="000000" w:fill="FFFFFF"/>
            <w:noWrap/>
            <w:vAlign w:val="bottom"/>
            <w:hideMark/>
          </w:tcPr>
          <w:p w14:paraId="640AD35C" w14:textId="77777777" w:rsidR="0008434A" w:rsidRPr="00D618B7" w:rsidRDefault="0008434A" w:rsidP="004B11B7">
            <w:pPr>
              <w:jc w:val="right"/>
              <w:rPr>
                <w:color w:val="000000"/>
              </w:rPr>
            </w:pPr>
            <w:r w:rsidRPr="00D618B7">
              <w:rPr>
                <w:color w:val="000000"/>
              </w:rPr>
              <w:t>19.90</w:t>
            </w:r>
          </w:p>
        </w:tc>
        <w:tc>
          <w:tcPr>
            <w:tcW w:w="1367" w:type="dxa"/>
            <w:tcBorders>
              <w:top w:val="nil"/>
              <w:left w:val="nil"/>
              <w:right w:val="nil"/>
            </w:tcBorders>
            <w:shd w:val="clear" w:color="000000" w:fill="FFFFFF"/>
            <w:noWrap/>
            <w:vAlign w:val="bottom"/>
            <w:hideMark/>
          </w:tcPr>
          <w:p w14:paraId="0E5B4BD6" w14:textId="77777777" w:rsidR="0008434A" w:rsidRPr="00D618B7" w:rsidRDefault="0008434A" w:rsidP="004B11B7">
            <w:pPr>
              <w:jc w:val="right"/>
              <w:rPr>
                <w:color w:val="000000"/>
              </w:rPr>
            </w:pPr>
            <w:r w:rsidRPr="00D618B7">
              <w:rPr>
                <w:color w:val="000000"/>
              </w:rPr>
              <w:t>2.95</w:t>
            </w:r>
          </w:p>
        </w:tc>
        <w:tc>
          <w:tcPr>
            <w:tcW w:w="1193" w:type="dxa"/>
            <w:tcBorders>
              <w:top w:val="nil"/>
              <w:left w:val="nil"/>
              <w:right w:val="nil"/>
            </w:tcBorders>
            <w:shd w:val="clear" w:color="000000" w:fill="FFFFFF"/>
            <w:noWrap/>
            <w:vAlign w:val="bottom"/>
            <w:hideMark/>
          </w:tcPr>
          <w:p w14:paraId="5F791B4B" w14:textId="77777777" w:rsidR="0008434A" w:rsidRPr="00D618B7" w:rsidRDefault="0008434A" w:rsidP="004B11B7">
            <w:pPr>
              <w:jc w:val="right"/>
              <w:rPr>
                <w:color w:val="000000"/>
              </w:rPr>
            </w:pPr>
            <w:r w:rsidRPr="00D618B7">
              <w:rPr>
                <w:color w:val="000000"/>
              </w:rPr>
              <w:t>33.76</w:t>
            </w:r>
          </w:p>
        </w:tc>
        <w:tc>
          <w:tcPr>
            <w:tcW w:w="1367" w:type="dxa"/>
            <w:tcBorders>
              <w:top w:val="nil"/>
              <w:left w:val="nil"/>
              <w:right w:val="nil"/>
            </w:tcBorders>
            <w:shd w:val="clear" w:color="000000" w:fill="FFFFFF"/>
            <w:noWrap/>
            <w:vAlign w:val="bottom"/>
            <w:hideMark/>
          </w:tcPr>
          <w:p w14:paraId="4419022F" w14:textId="77777777" w:rsidR="0008434A" w:rsidRPr="00D618B7" w:rsidRDefault="0008434A" w:rsidP="004B11B7">
            <w:pPr>
              <w:jc w:val="right"/>
              <w:rPr>
                <w:color w:val="000000"/>
              </w:rPr>
            </w:pPr>
            <w:r w:rsidRPr="00D618B7">
              <w:rPr>
                <w:color w:val="000000"/>
              </w:rPr>
              <w:t>2.96</w:t>
            </w:r>
          </w:p>
        </w:tc>
        <w:tc>
          <w:tcPr>
            <w:tcW w:w="1193" w:type="dxa"/>
            <w:tcBorders>
              <w:top w:val="nil"/>
              <w:left w:val="nil"/>
              <w:right w:val="nil"/>
            </w:tcBorders>
            <w:shd w:val="clear" w:color="000000" w:fill="FFFFFF"/>
            <w:noWrap/>
            <w:vAlign w:val="bottom"/>
            <w:hideMark/>
          </w:tcPr>
          <w:p w14:paraId="0E759B2C" w14:textId="77777777" w:rsidR="0008434A" w:rsidRPr="00D618B7" w:rsidRDefault="0008434A" w:rsidP="004B11B7">
            <w:pPr>
              <w:jc w:val="right"/>
              <w:rPr>
                <w:color w:val="000000"/>
              </w:rPr>
            </w:pPr>
            <w:r w:rsidRPr="00D618B7">
              <w:rPr>
                <w:color w:val="000000"/>
              </w:rPr>
              <w:t>27.95</w:t>
            </w:r>
          </w:p>
        </w:tc>
        <w:tc>
          <w:tcPr>
            <w:tcW w:w="1367" w:type="dxa"/>
            <w:tcBorders>
              <w:top w:val="nil"/>
              <w:left w:val="nil"/>
              <w:right w:val="nil"/>
            </w:tcBorders>
            <w:shd w:val="clear" w:color="000000" w:fill="FFFFFF"/>
            <w:noWrap/>
            <w:vAlign w:val="bottom"/>
            <w:hideMark/>
          </w:tcPr>
          <w:p w14:paraId="50CE8F25" w14:textId="77777777" w:rsidR="0008434A" w:rsidRPr="00D618B7" w:rsidRDefault="0008434A" w:rsidP="004B11B7">
            <w:pPr>
              <w:jc w:val="right"/>
              <w:rPr>
                <w:color w:val="000000"/>
              </w:rPr>
            </w:pPr>
            <w:r w:rsidRPr="00D618B7">
              <w:rPr>
                <w:color w:val="000000"/>
              </w:rPr>
              <w:t>2.96</w:t>
            </w:r>
          </w:p>
        </w:tc>
      </w:tr>
      <w:tr w:rsidR="0008434A" w:rsidRPr="00D618B7" w14:paraId="69A23481" w14:textId="77777777" w:rsidTr="004B11B7">
        <w:trPr>
          <w:trHeight w:val="315"/>
        </w:trPr>
        <w:tc>
          <w:tcPr>
            <w:tcW w:w="1140" w:type="dxa"/>
            <w:tcBorders>
              <w:top w:val="nil"/>
              <w:left w:val="nil"/>
              <w:bottom w:val="single" w:sz="18" w:space="0" w:color="auto"/>
              <w:right w:val="nil"/>
            </w:tcBorders>
            <w:shd w:val="clear" w:color="000000" w:fill="FFFFFF"/>
            <w:vAlign w:val="center"/>
            <w:hideMark/>
          </w:tcPr>
          <w:p w14:paraId="50967C08" w14:textId="77777777" w:rsidR="0008434A" w:rsidRPr="00D618B7" w:rsidRDefault="0008434A" w:rsidP="004B11B7">
            <w:pPr>
              <w:jc w:val="right"/>
              <w:rPr>
                <w:color w:val="000000"/>
              </w:rPr>
            </w:pPr>
            <w:r w:rsidRPr="00D618B7">
              <w:rPr>
                <w:color w:val="000000"/>
              </w:rPr>
              <w:t>5</w:t>
            </w:r>
          </w:p>
        </w:tc>
        <w:tc>
          <w:tcPr>
            <w:tcW w:w="1193" w:type="dxa"/>
            <w:tcBorders>
              <w:top w:val="nil"/>
              <w:left w:val="nil"/>
              <w:bottom w:val="single" w:sz="18" w:space="0" w:color="auto"/>
              <w:right w:val="nil"/>
            </w:tcBorders>
            <w:shd w:val="clear" w:color="000000" w:fill="FFFFFF"/>
            <w:noWrap/>
            <w:vAlign w:val="bottom"/>
            <w:hideMark/>
          </w:tcPr>
          <w:p w14:paraId="3821214A" w14:textId="77777777" w:rsidR="0008434A" w:rsidRPr="00D618B7" w:rsidRDefault="0008434A" w:rsidP="004B11B7">
            <w:pPr>
              <w:jc w:val="right"/>
              <w:rPr>
                <w:color w:val="000000"/>
              </w:rPr>
            </w:pPr>
            <w:r w:rsidRPr="00D618B7">
              <w:rPr>
                <w:color w:val="000000"/>
              </w:rPr>
              <w:t>25.77</w:t>
            </w:r>
          </w:p>
        </w:tc>
        <w:tc>
          <w:tcPr>
            <w:tcW w:w="1367" w:type="dxa"/>
            <w:tcBorders>
              <w:top w:val="nil"/>
              <w:left w:val="nil"/>
              <w:bottom w:val="single" w:sz="18" w:space="0" w:color="auto"/>
              <w:right w:val="nil"/>
            </w:tcBorders>
            <w:shd w:val="clear" w:color="000000" w:fill="FFFFFF"/>
            <w:noWrap/>
            <w:vAlign w:val="bottom"/>
            <w:hideMark/>
          </w:tcPr>
          <w:p w14:paraId="6A06DA50" w14:textId="77777777" w:rsidR="0008434A" w:rsidRPr="00D618B7" w:rsidRDefault="0008434A" w:rsidP="004B11B7">
            <w:pPr>
              <w:jc w:val="right"/>
              <w:rPr>
                <w:color w:val="000000"/>
              </w:rPr>
            </w:pPr>
            <w:r w:rsidRPr="00D618B7">
              <w:rPr>
                <w:color w:val="000000"/>
              </w:rPr>
              <w:t>3.00</w:t>
            </w:r>
          </w:p>
        </w:tc>
        <w:tc>
          <w:tcPr>
            <w:tcW w:w="1193" w:type="dxa"/>
            <w:tcBorders>
              <w:top w:val="nil"/>
              <w:left w:val="nil"/>
              <w:bottom w:val="single" w:sz="18" w:space="0" w:color="auto"/>
              <w:right w:val="nil"/>
            </w:tcBorders>
            <w:shd w:val="clear" w:color="000000" w:fill="FFFFFF"/>
            <w:noWrap/>
            <w:vAlign w:val="bottom"/>
            <w:hideMark/>
          </w:tcPr>
          <w:p w14:paraId="23F22560" w14:textId="77777777" w:rsidR="0008434A" w:rsidRPr="00D618B7" w:rsidRDefault="0008434A" w:rsidP="004B11B7">
            <w:pPr>
              <w:jc w:val="right"/>
              <w:rPr>
                <w:color w:val="000000"/>
              </w:rPr>
            </w:pPr>
            <w:r w:rsidRPr="00D618B7">
              <w:rPr>
                <w:color w:val="000000"/>
              </w:rPr>
              <w:t>34.73</w:t>
            </w:r>
          </w:p>
        </w:tc>
        <w:tc>
          <w:tcPr>
            <w:tcW w:w="1367" w:type="dxa"/>
            <w:tcBorders>
              <w:top w:val="nil"/>
              <w:left w:val="nil"/>
              <w:bottom w:val="single" w:sz="18" w:space="0" w:color="auto"/>
              <w:right w:val="nil"/>
            </w:tcBorders>
            <w:shd w:val="clear" w:color="000000" w:fill="FFFFFF"/>
            <w:noWrap/>
            <w:vAlign w:val="bottom"/>
            <w:hideMark/>
          </w:tcPr>
          <w:p w14:paraId="1B90A673" w14:textId="77777777" w:rsidR="0008434A" w:rsidRPr="00D618B7" w:rsidRDefault="0008434A" w:rsidP="004B11B7">
            <w:pPr>
              <w:jc w:val="right"/>
              <w:rPr>
                <w:color w:val="000000"/>
              </w:rPr>
            </w:pPr>
            <w:r w:rsidRPr="00D618B7">
              <w:rPr>
                <w:color w:val="000000"/>
              </w:rPr>
              <w:t>2.97</w:t>
            </w:r>
          </w:p>
        </w:tc>
        <w:tc>
          <w:tcPr>
            <w:tcW w:w="1193" w:type="dxa"/>
            <w:tcBorders>
              <w:top w:val="nil"/>
              <w:left w:val="nil"/>
              <w:bottom w:val="single" w:sz="18" w:space="0" w:color="auto"/>
              <w:right w:val="nil"/>
            </w:tcBorders>
            <w:shd w:val="clear" w:color="000000" w:fill="FFFFFF"/>
            <w:noWrap/>
            <w:vAlign w:val="bottom"/>
            <w:hideMark/>
          </w:tcPr>
          <w:p w14:paraId="174E43B3" w14:textId="77777777" w:rsidR="0008434A" w:rsidRPr="00D618B7" w:rsidRDefault="0008434A" w:rsidP="004B11B7">
            <w:pPr>
              <w:jc w:val="right"/>
              <w:rPr>
                <w:color w:val="000000"/>
              </w:rPr>
            </w:pPr>
            <w:r w:rsidRPr="00D618B7">
              <w:rPr>
                <w:color w:val="000000"/>
              </w:rPr>
              <w:t>34.94</w:t>
            </w:r>
          </w:p>
        </w:tc>
        <w:tc>
          <w:tcPr>
            <w:tcW w:w="1367" w:type="dxa"/>
            <w:tcBorders>
              <w:top w:val="nil"/>
              <w:left w:val="nil"/>
              <w:bottom w:val="single" w:sz="18" w:space="0" w:color="auto"/>
              <w:right w:val="nil"/>
            </w:tcBorders>
            <w:shd w:val="clear" w:color="000000" w:fill="FFFFFF"/>
            <w:noWrap/>
            <w:vAlign w:val="bottom"/>
            <w:hideMark/>
          </w:tcPr>
          <w:p w14:paraId="3087ED2A" w14:textId="77777777" w:rsidR="0008434A" w:rsidRPr="00D618B7" w:rsidRDefault="0008434A" w:rsidP="004B11B7">
            <w:pPr>
              <w:jc w:val="right"/>
              <w:rPr>
                <w:color w:val="000000"/>
              </w:rPr>
            </w:pPr>
            <w:r w:rsidRPr="00D618B7">
              <w:rPr>
                <w:color w:val="000000"/>
              </w:rPr>
              <w:t>2.97</w:t>
            </w:r>
          </w:p>
        </w:tc>
      </w:tr>
    </w:tbl>
    <w:p w14:paraId="0EC52750" w14:textId="77777777" w:rsidR="0008434A" w:rsidRPr="00D618B7" w:rsidRDefault="0008434A" w:rsidP="0008434A">
      <w:pPr>
        <w:rPr>
          <w:i/>
          <w:iCs/>
        </w:rPr>
      </w:pPr>
    </w:p>
    <w:p w14:paraId="3C81D180" w14:textId="77777777" w:rsidR="0008434A" w:rsidRPr="00D618B7" w:rsidRDefault="0008434A" w:rsidP="0008434A">
      <w:r w:rsidRPr="00D618B7">
        <w:rPr>
          <w:i/>
          <w:iCs/>
        </w:rPr>
        <w:t>Note</w:t>
      </w:r>
      <w:r w:rsidRPr="00D618B7">
        <w:t>: This table lists the estimated mean movement units and standard errors for toy-out-of-reach, toy-moving-into-reach, and toy-in-reach for each week of observation around reach-onset.</w:t>
      </w:r>
    </w:p>
    <w:p w14:paraId="237B65FB" w14:textId="5CD6A144" w:rsidR="0008434A" w:rsidRPr="00D618B7" w:rsidRDefault="0008434A" w:rsidP="007C5074">
      <w:pPr>
        <w:pStyle w:val="Caption"/>
      </w:pPr>
      <w:r w:rsidRPr="00D618B7">
        <w:rPr>
          <w:rFonts w:eastAsia="Aptos"/>
        </w:rPr>
        <w:br w:type="page"/>
      </w:r>
    </w:p>
    <w:p w14:paraId="500424F3" w14:textId="00516DB2" w:rsidR="0008434A" w:rsidRPr="00D618B7" w:rsidRDefault="0008434A" w:rsidP="0008434A">
      <w:r w:rsidRPr="00D618B7">
        <w:rPr>
          <w:noProof/>
        </w:rPr>
        <w:lastRenderedPageBreak/>
        <w:drawing>
          <wp:anchor distT="0" distB="0" distL="114300" distR="114300" simplePos="0" relativeHeight="252063232" behindDoc="0" locked="0" layoutInCell="1" allowOverlap="1" wp14:anchorId="4EE9F35F" wp14:editId="002A55B7">
            <wp:simplePos x="0" y="0"/>
            <wp:positionH relativeFrom="column">
              <wp:posOffset>0</wp:posOffset>
            </wp:positionH>
            <wp:positionV relativeFrom="paragraph">
              <wp:posOffset>170815</wp:posOffset>
            </wp:positionV>
            <wp:extent cx="5753100" cy="3750945"/>
            <wp:effectExtent l="0" t="0" r="0" b="1905"/>
            <wp:wrapTopAndBottom/>
            <wp:docPr id="606467856"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67856" name="Picture 1" descr="A diagram of a graph&#10;&#10;Description automatically generated"/>
                    <pic:cNvPicPr/>
                  </pic:nvPicPr>
                  <pic:blipFill rotWithShape="1">
                    <a:blip r:embed="rId38">
                      <a:extLst>
                        <a:ext uri="{28A0092B-C50C-407E-A947-70E740481C1C}">
                          <a14:useLocalDpi xmlns:a14="http://schemas.microsoft.com/office/drawing/2010/main" val="0"/>
                        </a:ext>
                      </a:extLst>
                    </a:blip>
                    <a:srcRect l="1122" t="1254" r="2084"/>
                    <a:stretch/>
                  </pic:blipFill>
                  <pic:spPr bwMode="auto">
                    <a:xfrm>
                      <a:off x="0" y="0"/>
                      <a:ext cx="5753100" cy="3750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8BDFF0" w14:textId="77777777" w:rsidR="007C5074" w:rsidRPr="00D618B7" w:rsidRDefault="007C5074" w:rsidP="007C5074">
      <w:pPr>
        <w:pStyle w:val="Caption"/>
      </w:pPr>
      <w:bookmarkStart w:id="179" w:name="_Toc172716959"/>
      <w:r w:rsidRPr="00D618B7">
        <w:t xml:space="preserve">Figure </w:t>
      </w:r>
      <w:r>
        <w:fldChar w:fldCharType="begin"/>
      </w:r>
      <w:r>
        <w:instrText xml:space="preserve"> SEQ Figure \* ARABIC </w:instrText>
      </w:r>
      <w:r>
        <w:fldChar w:fldCharType="separate"/>
      </w:r>
      <w:r>
        <w:rPr>
          <w:noProof/>
        </w:rPr>
        <w:t>19</w:t>
      </w:r>
      <w:r>
        <w:rPr>
          <w:noProof/>
        </w:rPr>
        <w:fldChar w:fldCharType="end"/>
      </w:r>
      <w:r w:rsidRPr="00D618B7">
        <w:t xml:space="preserve">: </w:t>
      </w:r>
      <w:r>
        <w:t>M</w:t>
      </w:r>
      <w:r w:rsidRPr="00D618B7">
        <w:t>ovement units by proximity and week</w:t>
      </w:r>
      <w:bookmarkEnd w:id="179"/>
    </w:p>
    <w:p w14:paraId="7A1B04CD" w14:textId="79942E2C" w:rsidR="007C5074" w:rsidRPr="00D618B7" w:rsidRDefault="007C5074" w:rsidP="007C5074">
      <w:r w:rsidRPr="00D618B7">
        <w:t xml:space="preserve">Estimated Mean </w:t>
      </w:r>
      <w:r>
        <w:t>movement units</w:t>
      </w:r>
      <w:r w:rsidRPr="00D618B7">
        <w:t xml:space="preserve"> per by Proximity and Week</w:t>
      </w:r>
      <w:r>
        <w:t>.</w:t>
      </w:r>
    </w:p>
    <w:p w14:paraId="0BD77212" w14:textId="6F4864D2" w:rsidR="0008434A" w:rsidRPr="00D618B7" w:rsidRDefault="0008434A" w:rsidP="0008434A">
      <w:r w:rsidRPr="00D618B7">
        <w:rPr>
          <w:i/>
          <w:iCs/>
        </w:rPr>
        <w:t>Note</w:t>
      </w:r>
      <w:r w:rsidRPr="00D618B7">
        <w:t>. This figure illustrates the estimated mean average velocity for proximity per week of observation around reach-onset.</w:t>
      </w:r>
    </w:p>
    <w:p w14:paraId="602AEFE6" w14:textId="17CFD0CC" w:rsidR="00BC32D0" w:rsidRPr="00D618B7" w:rsidRDefault="0008434A" w:rsidP="007C5074">
      <w:pPr>
        <w:pStyle w:val="Caption"/>
      </w:pPr>
      <w:r w:rsidRPr="00D618B7">
        <w:rPr>
          <w:rFonts w:eastAsia="Aptos"/>
        </w:rPr>
        <w:br w:type="page"/>
      </w:r>
    </w:p>
    <w:p w14:paraId="6A42322E" w14:textId="77777777" w:rsidR="00BC32D0" w:rsidRPr="00D618B7" w:rsidRDefault="00BC32D0" w:rsidP="00BC32D0">
      <w:pPr>
        <w:rPr>
          <w:rFonts w:eastAsia="Aptos"/>
        </w:rPr>
      </w:pPr>
      <w:r w:rsidRPr="00D618B7">
        <w:rPr>
          <w:noProof/>
        </w:rPr>
        <w:lastRenderedPageBreak/>
        <w:drawing>
          <wp:inline distT="0" distB="0" distL="0" distR="0" wp14:anchorId="2FFF7EE2" wp14:editId="77B3740C">
            <wp:extent cx="4831080" cy="3429000"/>
            <wp:effectExtent l="0" t="0" r="7620" b="0"/>
            <wp:docPr id="1692175405" name="Chart 1">
              <a:extLst xmlns:a="http://schemas.openxmlformats.org/drawingml/2006/main">
                <a:ext uri="{FF2B5EF4-FFF2-40B4-BE49-F238E27FC236}">
                  <a16:creationId xmlns:a16="http://schemas.microsoft.com/office/drawing/2014/main" id="{D9820B41-1FAA-433C-9532-08A35D77FD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278366A" w14:textId="77777777" w:rsidR="007C5074" w:rsidRPr="00D618B7" w:rsidRDefault="007C5074" w:rsidP="007C5074">
      <w:pPr>
        <w:pStyle w:val="Caption"/>
      </w:pPr>
      <w:bookmarkStart w:id="180" w:name="_Toc172716960"/>
      <w:r w:rsidRPr="00D618B7">
        <w:t xml:space="preserve">Figure </w:t>
      </w:r>
      <w:r>
        <w:fldChar w:fldCharType="begin"/>
      </w:r>
      <w:r>
        <w:instrText xml:space="preserve"> SEQ Figure \* ARABIC </w:instrText>
      </w:r>
      <w:r>
        <w:fldChar w:fldCharType="separate"/>
      </w:r>
      <w:r>
        <w:rPr>
          <w:noProof/>
        </w:rPr>
        <w:t>20</w:t>
      </w:r>
      <w:r>
        <w:rPr>
          <w:noProof/>
        </w:rPr>
        <w:fldChar w:fldCharType="end"/>
      </w:r>
      <w:r w:rsidRPr="00D618B7">
        <w:t xml:space="preserve">: </w:t>
      </w:r>
      <w:r>
        <w:t>P</w:t>
      </w:r>
      <w:r w:rsidRPr="00D618B7">
        <w:t>roximity duration by group</w:t>
      </w:r>
      <w:bookmarkEnd w:id="180"/>
    </w:p>
    <w:p w14:paraId="7541B21E" w14:textId="0D69369B" w:rsidR="007C5074" w:rsidRDefault="007C5074" w:rsidP="007C5074">
      <w:r w:rsidRPr="00D618B7">
        <w:rPr>
          <w:rFonts w:eastAsia="Aptos"/>
          <w:kern w:val="2"/>
          <w:sz w:val="22"/>
          <w:szCs w:val="22"/>
        </w:rPr>
        <w:t>Estimated Duration in milliseconds of Zone of Proximity by Group</w:t>
      </w:r>
      <w:r>
        <w:rPr>
          <w:rFonts w:eastAsia="Aptos"/>
          <w:kern w:val="2"/>
          <w:sz w:val="22"/>
          <w:szCs w:val="22"/>
        </w:rPr>
        <w:t>.</w:t>
      </w:r>
    </w:p>
    <w:p w14:paraId="088BF092" w14:textId="5FAC6F96" w:rsidR="00BC32D0" w:rsidRPr="007C5074" w:rsidRDefault="00BC32D0" w:rsidP="007C5074">
      <w:r w:rsidRPr="00D618B7">
        <w:rPr>
          <w:rFonts w:eastAsia="Aptos"/>
          <w:i/>
          <w:iCs/>
          <w:kern w:val="2"/>
          <w:sz w:val="22"/>
          <w:szCs w:val="22"/>
        </w:rPr>
        <w:t>Note</w:t>
      </w:r>
      <w:r w:rsidRPr="00D618B7">
        <w:rPr>
          <w:rFonts w:eastAsia="Aptos"/>
          <w:kern w:val="2"/>
          <w:sz w:val="22"/>
          <w:szCs w:val="22"/>
        </w:rPr>
        <w:t>. This figure illustrates the estimated mean duration and standard error in milliseconds for the toy-out-of-reach, toy-moving-into-reach, and toy-in-reach proximity by group.</w:t>
      </w:r>
    </w:p>
    <w:p w14:paraId="4371BF21" w14:textId="77777777" w:rsidR="00BC32D0" w:rsidRPr="00D618B7" w:rsidRDefault="00BC32D0" w:rsidP="007C5074">
      <w:pPr>
        <w:pStyle w:val="Caption"/>
      </w:pPr>
    </w:p>
    <w:p w14:paraId="5517A9F0" w14:textId="7EBF3030" w:rsidR="00275C1C" w:rsidRPr="00D618B7" w:rsidRDefault="00275C1C" w:rsidP="007C5074">
      <w:pPr>
        <w:pStyle w:val="Caption"/>
      </w:pPr>
      <w:bookmarkStart w:id="181" w:name="_Toc172716870"/>
      <w:r w:rsidRPr="00D618B7">
        <w:t xml:space="preserve">Table </w:t>
      </w:r>
      <w:r w:rsidR="00000000">
        <w:fldChar w:fldCharType="begin"/>
      </w:r>
      <w:r w:rsidR="00000000">
        <w:instrText xml:space="preserve"> SEQ Table \* ARABIC </w:instrText>
      </w:r>
      <w:r w:rsidR="00000000">
        <w:fldChar w:fldCharType="separate"/>
      </w:r>
      <w:r w:rsidR="000C6E43">
        <w:rPr>
          <w:noProof/>
        </w:rPr>
        <w:t>42</w:t>
      </w:r>
      <w:r w:rsidR="00000000">
        <w:rPr>
          <w:noProof/>
        </w:rPr>
        <w:fldChar w:fldCharType="end"/>
      </w:r>
      <w:r w:rsidRPr="00D618B7">
        <w:t xml:space="preserve">: </w:t>
      </w:r>
      <w:r w:rsidR="00F767C9">
        <w:t>P</w:t>
      </w:r>
      <w:r w:rsidRPr="00D618B7">
        <w:t>roximity duration by group</w:t>
      </w:r>
      <w:bookmarkEnd w:id="181"/>
    </w:p>
    <w:p w14:paraId="4BFA129F" w14:textId="7DF3CC90" w:rsidR="00275C1C" w:rsidRPr="00D618B7" w:rsidRDefault="00275C1C" w:rsidP="00275C1C">
      <w:pPr>
        <w:spacing w:after="160" w:line="259" w:lineRule="auto"/>
        <w:rPr>
          <w:rFonts w:eastAsia="Aptos"/>
          <w:kern w:val="2"/>
          <w:sz w:val="22"/>
          <w:szCs w:val="22"/>
        </w:rPr>
      </w:pPr>
      <w:r w:rsidRPr="00D618B7">
        <w:rPr>
          <w:rFonts w:eastAsia="Aptos"/>
          <w:kern w:val="2"/>
          <w:sz w:val="22"/>
          <w:szCs w:val="22"/>
        </w:rPr>
        <w:t>Estimated Duration in milliseconds of Zone of Proximity by Group</w:t>
      </w:r>
    </w:p>
    <w:tbl>
      <w:tblPr>
        <w:tblW w:w="7180" w:type="dxa"/>
        <w:tblLook w:val="04A0" w:firstRow="1" w:lastRow="0" w:firstColumn="1" w:lastColumn="0" w:noHBand="0" w:noVBand="1"/>
      </w:tblPr>
      <w:tblGrid>
        <w:gridCol w:w="2640"/>
        <w:gridCol w:w="1240"/>
        <w:gridCol w:w="3300"/>
      </w:tblGrid>
      <w:tr w:rsidR="00275C1C" w:rsidRPr="00D618B7" w14:paraId="5E957E46" w14:textId="77777777" w:rsidTr="00275C1C">
        <w:trPr>
          <w:trHeight w:val="315"/>
        </w:trPr>
        <w:tc>
          <w:tcPr>
            <w:tcW w:w="2640" w:type="dxa"/>
            <w:tcBorders>
              <w:top w:val="single" w:sz="4" w:space="0" w:color="auto"/>
              <w:left w:val="nil"/>
              <w:bottom w:val="nil"/>
              <w:right w:val="nil"/>
            </w:tcBorders>
            <w:shd w:val="clear" w:color="000000" w:fill="FFFFFF"/>
            <w:vAlign w:val="center"/>
            <w:hideMark/>
          </w:tcPr>
          <w:p w14:paraId="1C2FB341" w14:textId="77777777" w:rsidR="00275C1C" w:rsidRPr="00D618B7" w:rsidRDefault="00275C1C" w:rsidP="00275C1C">
            <w:pPr>
              <w:rPr>
                <w:color w:val="000000"/>
                <w:sz w:val="22"/>
                <w:szCs w:val="22"/>
              </w:rPr>
            </w:pPr>
            <w:r w:rsidRPr="00D618B7">
              <w:rPr>
                <w:color w:val="000000"/>
                <w:sz w:val="22"/>
                <w:szCs w:val="22"/>
              </w:rPr>
              <w:t>Proximity</w:t>
            </w:r>
          </w:p>
        </w:tc>
        <w:tc>
          <w:tcPr>
            <w:tcW w:w="1240" w:type="dxa"/>
            <w:tcBorders>
              <w:top w:val="single" w:sz="4" w:space="0" w:color="auto"/>
              <w:left w:val="nil"/>
              <w:bottom w:val="single" w:sz="8" w:space="0" w:color="auto"/>
              <w:right w:val="nil"/>
            </w:tcBorders>
            <w:shd w:val="clear" w:color="000000" w:fill="FFFFFF"/>
            <w:noWrap/>
            <w:vAlign w:val="center"/>
            <w:hideMark/>
          </w:tcPr>
          <w:p w14:paraId="6CFC802E" w14:textId="77777777" w:rsidR="00275C1C" w:rsidRPr="00D618B7" w:rsidRDefault="00275C1C" w:rsidP="00275C1C">
            <w:pPr>
              <w:jc w:val="right"/>
              <w:rPr>
                <w:color w:val="000000"/>
                <w:sz w:val="22"/>
                <w:szCs w:val="22"/>
              </w:rPr>
            </w:pPr>
            <w:r w:rsidRPr="00D618B7">
              <w:rPr>
                <w:color w:val="000000"/>
                <w:sz w:val="22"/>
                <w:szCs w:val="22"/>
              </w:rPr>
              <w:t>Mean</w:t>
            </w:r>
          </w:p>
        </w:tc>
        <w:tc>
          <w:tcPr>
            <w:tcW w:w="3300" w:type="dxa"/>
            <w:tcBorders>
              <w:top w:val="single" w:sz="4" w:space="0" w:color="auto"/>
              <w:left w:val="nil"/>
              <w:bottom w:val="single" w:sz="8" w:space="0" w:color="auto"/>
              <w:right w:val="nil"/>
            </w:tcBorders>
            <w:shd w:val="clear" w:color="000000" w:fill="FFFFFF"/>
            <w:noWrap/>
            <w:vAlign w:val="center"/>
            <w:hideMark/>
          </w:tcPr>
          <w:p w14:paraId="2DCE4E10" w14:textId="77777777" w:rsidR="00275C1C" w:rsidRPr="00D618B7" w:rsidRDefault="00275C1C" w:rsidP="00275C1C">
            <w:pPr>
              <w:jc w:val="right"/>
              <w:rPr>
                <w:color w:val="000000"/>
                <w:sz w:val="22"/>
                <w:szCs w:val="22"/>
              </w:rPr>
            </w:pPr>
            <w:r w:rsidRPr="00D618B7">
              <w:rPr>
                <w:color w:val="000000"/>
                <w:sz w:val="22"/>
                <w:szCs w:val="22"/>
              </w:rPr>
              <w:t>Std. Error</w:t>
            </w:r>
          </w:p>
        </w:tc>
      </w:tr>
      <w:tr w:rsidR="00275C1C" w:rsidRPr="00D618B7" w14:paraId="33A6E09A" w14:textId="77777777" w:rsidTr="00275C1C">
        <w:trPr>
          <w:trHeight w:val="300"/>
        </w:trPr>
        <w:tc>
          <w:tcPr>
            <w:tcW w:w="2640" w:type="dxa"/>
            <w:tcBorders>
              <w:top w:val="nil"/>
              <w:left w:val="nil"/>
              <w:bottom w:val="nil"/>
              <w:right w:val="nil"/>
            </w:tcBorders>
            <w:shd w:val="clear" w:color="auto" w:fill="auto"/>
            <w:noWrap/>
            <w:vAlign w:val="bottom"/>
            <w:hideMark/>
          </w:tcPr>
          <w:p w14:paraId="281A21B1" w14:textId="77777777" w:rsidR="00275C1C" w:rsidRPr="00D618B7" w:rsidRDefault="00275C1C" w:rsidP="00275C1C">
            <w:pPr>
              <w:jc w:val="right"/>
              <w:rPr>
                <w:color w:val="000000"/>
                <w:sz w:val="22"/>
                <w:szCs w:val="22"/>
              </w:rPr>
            </w:pPr>
          </w:p>
        </w:tc>
        <w:tc>
          <w:tcPr>
            <w:tcW w:w="4540" w:type="dxa"/>
            <w:gridSpan w:val="2"/>
            <w:tcBorders>
              <w:top w:val="single" w:sz="8" w:space="0" w:color="auto"/>
              <w:left w:val="nil"/>
              <w:bottom w:val="nil"/>
              <w:right w:val="nil"/>
            </w:tcBorders>
            <w:shd w:val="clear" w:color="auto" w:fill="auto"/>
            <w:noWrap/>
            <w:vAlign w:val="bottom"/>
            <w:hideMark/>
          </w:tcPr>
          <w:p w14:paraId="0D8B4A1D" w14:textId="77777777" w:rsidR="00275C1C" w:rsidRPr="00D618B7" w:rsidRDefault="00275C1C" w:rsidP="00275C1C">
            <w:pPr>
              <w:jc w:val="center"/>
              <w:rPr>
                <w:color w:val="000000"/>
                <w:sz w:val="22"/>
                <w:szCs w:val="22"/>
              </w:rPr>
            </w:pPr>
            <w:r w:rsidRPr="00D618B7">
              <w:rPr>
                <w:color w:val="000000"/>
                <w:sz w:val="22"/>
                <w:szCs w:val="22"/>
              </w:rPr>
              <w:t>Early Reach Group</w:t>
            </w:r>
          </w:p>
        </w:tc>
      </w:tr>
      <w:tr w:rsidR="00275C1C" w:rsidRPr="00D618B7" w14:paraId="5CC93D18" w14:textId="77777777" w:rsidTr="00275C1C">
        <w:trPr>
          <w:trHeight w:val="300"/>
        </w:trPr>
        <w:tc>
          <w:tcPr>
            <w:tcW w:w="2640" w:type="dxa"/>
            <w:tcBorders>
              <w:top w:val="nil"/>
              <w:left w:val="nil"/>
              <w:bottom w:val="nil"/>
              <w:right w:val="nil"/>
            </w:tcBorders>
            <w:shd w:val="clear" w:color="000000" w:fill="FFFFFF"/>
            <w:vAlign w:val="center"/>
            <w:hideMark/>
          </w:tcPr>
          <w:p w14:paraId="240331EA" w14:textId="77777777" w:rsidR="00275C1C" w:rsidRPr="00D618B7" w:rsidRDefault="00275C1C" w:rsidP="00275C1C">
            <w:pPr>
              <w:rPr>
                <w:color w:val="000000"/>
                <w:sz w:val="22"/>
                <w:szCs w:val="22"/>
              </w:rPr>
            </w:pPr>
            <w:r w:rsidRPr="00D618B7">
              <w:rPr>
                <w:color w:val="000000"/>
                <w:sz w:val="22"/>
                <w:szCs w:val="22"/>
              </w:rPr>
              <w:t>Toy-out-of-Reach</w:t>
            </w:r>
          </w:p>
        </w:tc>
        <w:tc>
          <w:tcPr>
            <w:tcW w:w="1240" w:type="dxa"/>
            <w:tcBorders>
              <w:top w:val="nil"/>
              <w:left w:val="nil"/>
              <w:bottom w:val="nil"/>
              <w:right w:val="nil"/>
            </w:tcBorders>
            <w:shd w:val="clear" w:color="000000" w:fill="FFFFFF"/>
            <w:noWrap/>
            <w:vAlign w:val="center"/>
            <w:hideMark/>
          </w:tcPr>
          <w:p w14:paraId="299E99CD" w14:textId="77777777" w:rsidR="00275C1C" w:rsidRPr="00D618B7" w:rsidRDefault="00275C1C" w:rsidP="00275C1C">
            <w:pPr>
              <w:jc w:val="right"/>
              <w:rPr>
                <w:color w:val="000000"/>
                <w:sz w:val="22"/>
                <w:szCs w:val="22"/>
              </w:rPr>
            </w:pPr>
            <w:r w:rsidRPr="00D618B7">
              <w:rPr>
                <w:color w:val="000000"/>
                <w:sz w:val="22"/>
                <w:szCs w:val="22"/>
              </w:rPr>
              <w:t>17023.32</w:t>
            </w:r>
          </w:p>
        </w:tc>
        <w:tc>
          <w:tcPr>
            <w:tcW w:w="3300" w:type="dxa"/>
            <w:tcBorders>
              <w:top w:val="nil"/>
              <w:left w:val="nil"/>
              <w:bottom w:val="nil"/>
              <w:right w:val="nil"/>
            </w:tcBorders>
            <w:shd w:val="clear" w:color="000000" w:fill="FFFFFF"/>
            <w:noWrap/>
            <w:vAlign w:val="center"/>
            <w:hideMark/>
          </w:tcPr>
          <w:p w14:paraId="447F255D" w14:textId="77777777" w:rsidR="00275C1C" w:rsidRPr="00D618B7" w:rsidRDefault="00275C1C" w:rsidP="00275C1C">
            <w:pPr>
              <w:jc w:val="right"/>
              <w:rPr>
                <w:color w:val="000000"/>
                <w:sz w:val="22"/>
                <w:szCs w:val="22"/>
              </w:rPr>
            </w:pPr>
            <w:r w:rsidRPr="00D618B7">
              <w:rPr>
                <w:color w:val="000000"/>
                <w:sz w:val="22"/>
                <w:szCs w:val="22"/>
              </w:rPr>
              <w:t>1689.03</w:t>
            </w:r>
          </w:p>
        </w:tc>
      </w:tr>
      <w:tr w:rsidR="00275C1C" w:rsidRPr="00D618B7" w14:paraId="55EF4E80" w14:textId="77777777" w:rsidTr="00275C1C">
        <w:trPr>
          <w:trHeight w:val="300"/>
        </w:trPr>
        <w:tc>
          <w:tcPr>
            <w:tcW w:w="2640" w:type="dxa"/>
            <w:tcBorders>
              <w:top w:val="nil"/>
              <w:left w:val="nil"/>
              <w:bottom w:val="nil"/>
              <w:right w:val="nil"/>
            </w:tcBorders>
            <w:shd w:val="clear" w:color="000000" w:fill="FFFFFF"/>
            <w:vAlign w:val="center"/>
            <w:hideMark/>
          </w:tcPr>
          <w:p w14:paraId="2F39B988" w14:textId="77777777" w:rsidR="00275C1C" w:rsidRPr="00D618B7" w:rsidRDefault="00275C1C" w:rsidP="00275C1C">
            <w:pPr>
              <w:rPr>
                <w:color w:val="000000"/>
                <w:sz w:val="22"/>
                <w:szCs w:val="22"/>
              </w:rPr>
            </w:pPr>
            <w:r w:rsidRPr="00D618B7">
              <w:rPr>
                <w:color w:val="000000"/>
                <w:sz w:val="22"/>
                <w:szCs w:val="22"/>
              </w:rPr>
              <w:t>Toy-Moving-into-Reach</w:t>
            </w:r>
          </w:p>
        </w:tc>
        <w:tc>
          <w:tcPr>
            <w:tcW w:w="1240" w:type="dxa"/>
            <w:tcBorders>
              <w:top w:val="nil"/>
              <w:left w:val="nil"/>
              <w:bottom w:val="nil"/>
              <w:right w:val="nil"/>
            </w:tcBorders>
            <w:shd w:val="clear" w:color="000000" w:fill="FFFFFF"/>
            <w:noWrap/>
            <w:vAlign w:val="center"/>
            <w:hideMark/>
          </w:tcPr>
          <w:p w14:paraId="548F5AE4" w14:textId="77777777" w:rsidR="00275C1C" w:rsidRPr="00D618B7" w:rsidRDefault="00275C1C" w:rsidP="00275C1C">
            <w:pPr>
              <w:jc w:val="right"/>
              <w:rPr>
                <w:color w:val="000000"/>
                <w:sz w:val="22"/>
                <w:szCs w:val="22"/>
              </w:rPr>
            </w:pPr>
            <w:r w:rsidRPr="00D618B7">
              <w:rPr>
                <w:color w:val="000000"/>
                <w:sz w:val="22"/>
                <w:szCs w:val="22"/>
              </w:rPr>
              <w:t>3271.91</w:t>
            </w:r>
          </w:p>
        </w:tc>
        <w:tc>
          <w:tcPr>
            <w:tcW w:w="3300" w:type="dxa"/>
            <w:tcBorders>
              <w:top w:val="nil"/>
              <w:left w:val="nil"/>
              <w:bottom w:val="nil"/>
              <w:right w:val="nil"/>
            </w:tcBorders>
            <w:shd w:val="clear" w:color="000000" w:fill="FFFFFF"/>
            <w:noWrap/>
            <w:vAlign w:val="center"/>
            <w:hideMark/>
          </w:tcPr>
          <w:p w14:paraId="1A9EB76B" w14:textId="77777777" w:rsidR="00275C1C" w:rsidRPr="00D618B7" w:rsidRDefault="00275C1C" w:rsidP="00275C1C">
            <w:pPr>
              <w:jc w:val="right"/>
              <w:rPr>
                <w:color w:val="000000"/>
                <w:sz w:val="22"/>
                <w:szCs w:val="22"/>
              </w:rPr>
            </w:pPr>
            <w:r w:rsidRPr="00D618B7">
              <w:rPr>
                <w:color w:val="000000"/>
                <w:sz w:val="22"/>
                <w:szCs w:val="22"/>
              </w:rPr>
              <w:t>1673.54</w:t>
            </w:r>
          </w:p>
        </w:tc>
      </w:tr>
      <w:tr w:rsidR="00275C1C" w:rsidRPr="00D618B7" w14:paraId="77A94260" w14:textId="77777777" w:rsidTr="00275C1C">
        <w:trPr>
          <w:trHeight w:val="315"/>
        </w:trPr>
        <w:tc>
          <w:tcPr>
            <w:tcW w:w="2640" w:type="dxa"/>
            <w:tcBorders>
              <w:top w:val="nil"/>
              <w:left w:val="nil"/>
              <w:bottom w:val="single" w:sz="8" w:space="0" w:color="auto"/>
              <w:right w:val="nil"/>
            </w:tcBorders>
            <w:shd w:val="clear" w:color="000000" w:fill="FFFFFF"/>
            <w:vAlign w:val="center"/>
            <w:hideMark/>
          </w:tcPr>
          <w:p w14:paraId="58A35B0A" w14:textId="77777777" w:rsidR="00275C1C" w:rsidRPr="00D618B7" w:rsidRDefault="00275C1C" w:rsidP="00275C1C">
            <w:pPr>
              <w:rPr>
                <w:color w:val="000000"/>
                <w:sz w:val="22"/>
                <w:szCs w:val="22"/>
              </w:rPr>
            </w:pPr>
            <w:r w:rsidRPr="00D618B7">
              <w:rPr>
                <w:color w:val="000000"/>
                <w:sz w:val="22"/>
                <w:szCs w:val="22"/>
              </w:rPr>
              <w:t>Toy-in-Reach</w:t>
            </w:r>
          </w:p>
        </w:tc>
        <w:tc>
          <w:tcPr>
            <w:tcW w:w="1240" w:type="dxa"/>
            <w:tcBorders>
              <w:top w:val="nil"/>
              <w:left w:val="nil"/>
              <w:bottom w:val="single" w:sz="8" w:space="0" w:color="auto"/>
              <w:right w:val="nil"/>
            </w:tcBorders>
            <w:shd w:val="clear" w:color="000000" w:fill="FFFFFF"/>
            <w:noWrap/>
            <w:vAlign w:val="center"/>
            <w:hideMark/>
          </w:tcPr>
          <w:p w14:paraId="0DE886F9" w14:textId="77777777" w:rsidR="00275C1C" w:rsidRPr="00D618B7" w:rsidRDefault="00275C1C" w:rsidP="00275C1C">
            <w:pPr>
              <w:jc w:val="right"/>
              <w:rPr>
                <w:color w:val="000000"/>
                <w:sz w:val="22"/>
                <w:szCs w:val="22"/>
              </w:rPr>
            </w:pPr>
            <w:r w:rsidRPr="00D618B7">
              <w:rPr>
                <w:color w:val="000000"/>
                <w:sz w:val="22"/>
                <w:szCs w:val="22"/>
              </w:rPr>
              <w:t>19284.95</w:t>
            </w:r>
          </w:p>
        </w:tc>
        <w:tc>
          <w:tcPr>
            <w:tcW w:w="3300" w:type="dxa"/>
            <w:tcBorders>
              <w:top w:val="nil"/>
              <w:left w:val="nil"/>
              <w:bottom w:val="single" w:sz="8" w:space="0" w:color="auto"/>
              <w:right w:val="nil"/>
            </w:tcBorders>
            <w:shd w:val="clear" w:color="000000" w:fill="FFFFFF"/>
            <w:noWrap/>
            <w:vAlign w:val="center"/>
            <w:hideMark/>
          </w:tcPr>
          <w:p w14:paraId="2C8EA6FF" w14:textId="77777777" w:rsidR="00275C1C" w:rsidRPr="00D618B7" w:rsidRDefault="00275C1C" w:rsidP="00275C1C">
            <w:pPr>
              <w:jc w:val="right"/>
              <w:rPr>
                <w:color w:val="000000"/>
                <w:sz w:val="22"/>
                <w:szCs w:val="22"/>
              </w:rPr>
            </w:pPr>
            <w:r w:rsidRPr="00D618B7">
              <w:rPr>
                <w:color w:val="000000"/>
                <w:sz w:val="22"/>
                <w:szCs w:val="22"/>
              </w:rPr>
              <w:t>1683.82</w:t>
            </w:r>
          </w:p>
        </w:tc>
      </w:tr>
      <w:tr w:rsidR="00275C1C" w:rsidRPr="00D618B7" w14:paraId="4012C7D1" w14:textId="77777777" w:rsidTr="00275C1C">
        <w:trPr>
          <w:trHeight w:val="300"/>
        </w:trPr>
        <w:tc>
          <w:tcPr>
            <w:tcW w:w="2640" w:type="dxa"/>
            <w:tcBorders>
              <w:top w:val="nil"/>
              <w:left w:val="nil"/>
              <w:bottom w:val="nil"/>
              <w:right w:val="nil"/>
            </w:tcBorders>
            <w:shd w:val="clear" w:color="auto" w:fill="auto"/>
            <w:noWrap/>
            <w:vAlign w:val="bottom"/>
            <w:hideMark/>
          </w:tcPr>
          <w:p w14:paraId="3364507E" w14:textId="77777777" w:rsidR="00275C1C" w:rsidRPr="00D618B7" w:rsidRDefault="00275C1C" w:rsidP="00275C1C">
            <w:pPr>
              <w:jc w:val="right"/>
              <w:rPr>
                <w:color w:val="000000"/>
                <w:sz w:val="22"/>
                <w:szCs w:val="22"/>
              </w:rPr>
            </w:pPr>
          </w:p>
        </w:tc>
        <w:tc>
          <w:tcPr>
            <w:tcW w:w="4540" w:type="dxa"/>
            <w:gridSpan w:val="2"/>
            <w:tcBorders>
              <w:top w:val="single" w:sz="8" w:space="0" w:color="auto"/>
              <w:left w:val="nil"/>
              <w:bottom w:val="nil"/>
              <w:right w:val="nil"/>
            </w:tcBorders>
            <w:shd w:val="clear" w:color="auto" w:fill="auto"/>
            <w:noWrap/>
            <w:vAlign w:val="bottom"/>
            <w:hideMark/>
          </w:tcPr>
          <w:p w14:paraId="2A70AFBE" w14:textId="77777777" w:rsidR="00275C1C" w:rsidRPr="00D618B7" w:rsidRDefault="00275C1C" w:rsidP="00275C1C">
            <w:pPr>
              <w:jc w:val="center"/>
              <w:rPr>
                <w:color w:val="000000"/>
                <w:sz w:val="22"/>
                <w:szCs w:val="22"/>
              </w:rPr>
            </w:pPr>
            <w:r w:rsidRPr="00D618B7">
              <w:rPr>
                <w:color w:val="000000"/>
                <w:sz w:val="22"/>
                <w:szCs w:val="22"/>
              </w:rPr>
              <w:t>Late Reach Group</w:t>
            </w:r>
          </w:p>
        </w:tc>
      </w:tr>
      <w:tr w:rsidR="00275C1C" w:rsidRPr="00D618B7" w14:paraId="0A6C8829" w14:textId="77777777" w:rsidTr="00275C1C">
        <w:trPr>
          <w:trHeight w:val="300"/>
        </w:trPr>
        <w:tc>
          <w:tcPr>
            <w:tcW w:w="2640" w:type="dxa"/>
            <w:tcBorders>
              <w:top w:val="nil"/>
              <w:left w:val="nil"/>
              <w:bottom w:val="nil"/>
              <w:right w:val="nil"/>
            </w:tcBorders>
            <w:shd w:val="clear" w:color="000000" w:fill="FFFFFF"/>
            <w:vAlign w:val="center"/>
            <w:hideMark/>
          </w:tcPr>
          <w:p w14:paraId="2B8874D1" w14:textId="77777777" w:rsidR="00275C1C" w:rsidRPr="00D618B7" w:rsidRDefault="00275C1C" w:rsidP="00275C1C">
            <w:pPr>
              <w:rPr>
                <w:color w:val="000000"/>
                <w:sz w:val="22"/>
                <w:szCs w:val="22"/>
              </w:rPr>
            </w:pPr>
            <w:r w:rsidRPr="00D618B7">
              <w:rPr>
                <w:color w:val="000000"/>
                <w:sz w:val="22"/>
                <w:szCs w:val="22"/>
              </w:rPr>
              <w:t>Toy-out-of-Reach</w:t>
            </w:r>
          </w:p>
        </w:tc>
        <w:tc>
          <w:tcPr>
            <w:tcW w:w="1240" w:type="dxa"/>
            <w:tcBorders>
              <w:top w:val="nil"/>
              <w:left w:val="nil"/>
              <w:bottom w:val="nil"/>
              <w:right w:val="nil"/>
            </w:tcBorders>
            <w:shd w:val="clear" w:color="000000" w:fill="FFFFFF"/>
            <w:noWrap/>
            <w:vAlign w:val="center"/>
            <w:hideMark/>
          </w:tcPr>
          <w:p w14:paraId="2CF6523D" w14:textId="77777777" w:rsidR="00275C1C" w:rsidRPr="00D618B7" w:rsidRDefault="00275C1C" w:rsidP="00275C1C">
            <w:pPr>
              <w:jc w:val="right"/>
              <w:rPr>
                <w:color w:val="000000"/>
                <w:sz w:val="22"/>
                <w:szCs w:val="22"/>
              </w:rPr>
            </w:pPr>
            <w:r w:rsidRPr="00D618B7">
              <w:rPr>
                <w:color w:val="000000"/>
                <w:sz w:val="22"/>
                <w:szCs w:val="22"/>
              </w:rPr>
              <w:t>17023.32</w:t>
            </w:r>
          </w:p>
        </w:tc>
        <w:tc>
          <w:tcPr>
            <w:tcW w:w="3300" w:type="dxa"/>
            <w:tcBorders>
              <w:top w:val="nil"/>
              <w:left w:val="nil"/>
              <w:bottom w:val="nil"/>
              <w:right w:val="nil"/>
            </w:tcBorders>
            <w:shd w:val="clear" w:color="000000" w:fill="FFFFFF"/>
            <w:noWrap/>
            <w:vAlign w:val="center"/>
            <w:hideMark/>
          </w:tcPr>
          <w:p w14:paraId="00BDBF9D" w14:textId="77777777" w:rsidR="00275C1C" w:rsidRPr="00D618B7" w:rsidRDefault="00275C1C" w:rsidP="00275C1C">
            <w:pPr>
              <w:jc w:val="right"/>
              <w:rPr>
                <w:color w:val="000000"/>
                <w:sz w:val="22"/>
                <w:szCs w:val="22"/>
              </w:rPr>
            </w:pPr>
            <w:r w:rsidRPr="00D618B7">
              <w:rPr>
                <w:color w:val="000000"/>
                <w:sz w:val="22"/>
                <w:szCs w:val="22"/>
              </w:rPr>
              <w:t>1689.03</w:t>
            </w:r>
          </w:p>
        </w:tc>
      </w:tr>
      <w:tr w:rsidR="00275C1C" w:rsidRPr="00D618B7" w14:paraId="4E696132" w14:textId="77777777" w:rsidTr="00275C1C">
        <w:trPr>
          <w:trHeight w:val="300"/>
        </w:trPr>
        <w:tc>
          <w:tcPr>
            <w:tcW w:w="2640" w:type="dxa"/>
            <w:tcBorders>
              <w:top w:val="nil"/>
              <w:left w:val="nil"/>
              <w:bottom w:val="nil"/>
              <w:right w:val="nil"/>
            </w:tcBorders>
            <w:shd w:val="clear" w:color="000000" w:fill="FFFFFF"/>
            <w:vAlign w:val="center"/>
            <w:hideMark/>
          </w:tcPr>
          <w:p w14:paraId="00B04120" w14:textId="77777777" w:rsidR="00275C1C" w:rsidRPr="00D618B7" w:rsidRDefault="00275C1C" w:rsidP="00275C1C">
            <w:pPr>
              <w:rPr>
                <w:color w:val="000000"/>
                <w:sz w:val="22"/>
                <w:szCs w:val="22"/>
              </w:rPr>
            </w:pPr>
            <w:r w:rsidRPr="00D618B7">
              <w:rPr>
                <w:color w:val="000000"/>
                <w:sz w:val="22"/>
                <w:szCs w:val="22"/>
              </w:rPr>
              <w:t>Toy-Moving-into-Reach</w:t>
            </w:r>
          </w:p>
        </w:tc>
        <w:tc>
          <w:tcPr>
            <w:tcW w:w="1240" w:type="dxa"/>
            <w:tcBorders>
              <w:top w:val="nil"/>
              <w:left w:val="nil"/>
              <w:bottom w:val="nil"/>
              <w:right w:val="nil"/>
            </w:tcBorders>
            <w:shd w:val="clear" w:color="000000" w:fill="FFFFFF"/>
            <w:noWrap/>
            <w:vAlign w:val="center"/>
            <w:hideMark/>
          </w:tcPr>
          <w:p w14:paraId="04BF1865" w14:textId="77777777" w:rsidR="00275C1C" w:rsidRPr="00D618B7" w:rsidRDefault="00275C1C" w:rsidP="00275C1C">
            <w:pPr>
              <w:jc w:val="right"/>
              <w:rPr>
                <w:color w:val="000000"/>
                <w:sz w:val="22"/>
                <w:szCs w:val="22"/>
              </w:rPr>
            </w:pPr>
            <w:r w:rsidRPr="00D618B7">
              <w:rPr>
                <w:color w:val="000000"/>
                <w:sz w:val="22"/>
                <w:szCs w:val="22"/>
              </w:rPr>
              <w:t>3271.91</w:t>
            </w:r>
          </w:p>
        </w:tc>
        <w:tc>
          <w:tcPr>
            <w:tcW w:w="3300" w:type="dxa"/>
            <w:tcBorders>
              <w:top w:val="nil"/>
              <w:left w:val="nil"/>
              <w:bottom w:val="nil"/>
              <w:right w:val="nil"/>
            </w:tcBorders>
            <w:shd w:val="clear" w:color="000000" w:fill="FFFFFF"/>
            <w:noWrap/>
            <w:vAlign w:val="center"/>
            <w:hideMark/>
          </w:tcPr>
          <w:p w14:paraId="32179985" w14:textId="77777777" w:rsidR="00275C1C" w:rsidRPr="00D618B7" w:rsidRDefault="00275C1C" w:rsidP="00275C1C">
            <w:pPr>
              <w:jc w:val="right"/>
              <w:rPr>
                <w:color w:val="000000"/>
                <w:sz w:val="22"/>
                <w:szCs w:val="22"/>
              </w:rPr>
            </w:pPr>
            <w:r w:rsidRPr="00D618B7">
              <w:rPr>
                <w:color w:val="000000"/>
                <w:sz w:val="22"/>
                <w:szCs w:val="22"/>
              </w:rPr>
              <w:t>1673.54</w:t>
            </w:r>
          </w:p>
        </w:tc>
      </w:tr>
      <w:tr w:rsidR="00275C1C" w:rsidRPr="00D618B7" w14:paraId="7EB985C7" w14:textId="77777777" w:rsidTr="00275C1C">
        <w:trPr>
          <w:trHeight w:val="315"/>
        </w:trPr>
        <w:tc>
          <w:tcPr>
            <w:tcW w:w="2640" w:type="dxa"/>
            <w:tcBorders>
              <w:top w:val="nil"/>
              <w:left w:val="nil"/>
              <w:bottom w:val="single" w:sz="8" w:space="0" w:color="auto"/>
              <w:right w:val="nil"/>
            </w:tcBorders>
            <w:shd w:val="clear" w:color="000000" w:fill="FFFFFF"/>
            <w:vAlign w:val="center"/>
            <w:hideMark/>
          </w:tcPr>
          <w:p w14:paraId="3BC2A437" w14:textId="77777777" w:rsidR="00275C1C" w:rsidRPr="00D618B7" w:rsidRDefault="00275C1C" w:rsidP="00275C1C">
            <w:pPr>
              <w:rPr>
                <w:color w:val="000000"/>
                <w:sz w:val="22"/>
                <w:szCs w:val="22"/>
              </w:rPr>
            </w:pPr>
            <w:r w:rsidRPr="00D618B7">
              <w:rPr>
                <w:color w:val="000000"/>
                <w:sz w:val="22"/>
                <w:szCs w:val="22"/>
              </w:rPr>
              <w:t>Toy-in-Reach</w:t>
            </w:r>
          </w:p>
        </w:tc>
        <w:tc>
          <w:tcPr>
            <w:tcW w:w="1240" w:type="dxa"/>
            <w:tcBorders>
              <w:top w:val="nil"/>
              <w:left w:val="nil"/>
              <w:bottom w:val="single" w:sz="8" w:space="0" w:color="auto"/>
              <w:right w:val="nil"/>
            </w:tcBorders>
            <w:shd w:val="clear" w:color="000000" w:fill="FFFFFF"/>
            <w:noWrap/>
            <w:vAlign w:val="center"/>
            <w:hideMark/>
          </w:tcPr>
          <w:p w14:paraId="35229EC8" w14:textId="77777777" w:rsidR="00275C1C" w:rsidRPr="00D618B7" w:rsidRDefault="00275C1C" w:rsidP="00275C1C">
            <w:pPr>
              <w:jc w:val="right"/>
              <w:rPr>
                <w:color w:val="000000"/>
                <w:sz w:val="22"/>
                <w:szCs w:val="22"/>
              </w:rPr>
            </w:pPr>
            <w:r w:rsidRPr="00D618B7">
              <w:rPr>
                <w:color w:val="000000"/>
                <w:sz w:val="22"/>
                <w:szCs w:val="22"/>
              </w:rPr>
              <w:t>19284.95</w:t>
            </w:r>
          </w:p>
        </w:tc>
        <w:tc>
          <w:tcPr>
            <w:tcW w:w="3300" w:type="dxa"/>
            <w:tcBorders>
              <w:top w:val="nil"/>
              <w:left w:val="nil"/>
              <w:bottom w:val="single" w:sz="8" w:space="0" w:color="auto"/>
              <w:right w:val="nil"/>
            </w:tcBorders>
            <w:shd w:val="clear" w:color="000000" w:fill="FFFFFF"/>
            <w:noWrap/>
            <w:vAlign w:val="center"/>
            <w:hideMark/>
          </w:tcPr>
          <w:p w14:paraId="0C323F78" w14:textId="77777777" w:rsidR="00275C1C" w:rsidRPr="00D618B7" w:rsidRDefault="00275C1C" w:rsidP="00275C1C">
            <w:pPr>
              <w:jc w:val="right"/>
              <w:rPr>
                <w:color w:val="000000"/>
                <w:sz w:val="22"/>
                <w:szCs w:val="22"/>
              </w:rPr>
            </w:pPr>
            <w:r w:rsidRPr="00D618B7">
              <w:rPr>
                <w:color w:val="000000"/>
                <w:sz w:val="22"/>
                <w:szCs w:val="22"/>
              </w:rPr>
              <w:t>1683.82</w:t>
            </w:r>
          </w:p>
        </w:tc>
      </w:tr>
    </w:tbl>
    <w:p w14:paraId="2CF2E5FE" w14:textId="77777777" w:rsidR="00275C1C" w:rsidRPr="00D618B7" w:rsidRDefault="00275C1C" w:rsidP="00275C1C">
      <w:pPr>
        <w:spacing w:after="160" w:line="259" w:lineRule="auto"/>
        <w:rPr>
          <w:rFonts w:eastAsia="Aptos"/>
          <w:i/>
          <w:iCs/>
          <w:kern w:val="2"/>
          <w:sz w:val="22"/>
          <w:szCs w:val="22"/>
        </w:rPr>
      </w:pPr>
    </w:p>
    <w:p w14:paraId="6AE465F1" w14:textId="652C3884" w:rsidR="004C33CF" w:rsidRPr="00D618B7" w:rsidRDefault="00275C1C" w:rsidP="00275C1C">
      <w:pPr>
        <w:spacing w:after="160" w:line="259" w:lineRule="auto"/>
        <w:rPr>
          <w:rFonts w:eastAsia="Aptos"/>
          <w:kern w:val="2"/>
          <w:sz w:val="22"/>
          <w:szCs w:val="22"/>
        </w:rPr>
      </w:pPr>
      <w:r w:rsidRPr="00D618B7">
        <w:rPr>
          <w:rFonts w:eastAsia="Aptos"/>
          <w:i/>
          <w:iCs/>
          <w:kern w:val="2"/>
          <w:sz w:val="22"/>
          <w:szCs w:val="22"/>
        </w:rPr>
        <w:t>Note</w:t>
      </w:r>
      <w:r w:rsidRPr="00D618B7">
        <w:rPr>
          <w:rFonts w:eastAsia="Aptos"/>
          <w:kern w:val="2"/>
          <w:sz w:val="22"/>
          <w:szCs w:val="22"/>
        </w:rPr>
        <w:t>. This table lists the estimated mean duration and standard error in milliseconds for the toy-out-of-reach, toy-moving-into-reach, and toy-in-reach proximity by group.</w:t>
      </w:r>
    </w:p>
    <w:p w14:paraId="2D06DAE2" w14:textId="77777777" w:rsidR="007C5074" w:rsidRDefault="004C33CF" w:rsidP="004C33CF">
      <w:r w:rsidRPr="00D618B7">
        <w:rPr>
          <w:noProof/>
        </w:rPr>
        <w:lastRenderedPageBreak/>
        <w:drawing>
          <wp:inline distT="0" distB="0" distL="0" distR="0" wp14:anchorId="76306163" wp14:editId="3773871E">
            <wp:extent cx="5711687" cy="2800350"/>
            <wp:effectExtent l="0" t="0" r="3810" b="0"/>
            <wp:docPr id="1111612461" name="Chart 1">
              <a:extLst xmlns:a="http://schemas.openxmlformats.org/drawingml/2006/main">
                <a:ext uri="{FF2B5EF4-FFF2-40B4-BE49-F238E27FC236}">
                  <a16:creationId xmlns:a16="http://schemas.microsoft.com/office/drawing/2014/main" id="{946772FA-2370-4195-9D06-5E54FA190C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0C6D637" w14:textId="6C81076D" w:rsidR="004C33CF" w:rsidRPr="00D618B7" w:rsidRDefault="004C33CF" w:rsidP="004C33CF">
      <w:r w:rsidRPr="00D618B7">
        <w:rPr>
          <w:noProof/>
        </w:rPr>
        <w:drawing>
          <wp:inline distT="0" distB="0" distL="0" distR="0" wp14:anchorId="78C6A7C7" wp14:editId="3D62C9C6">
            <wp:extent cx="5658678" cy="3114675"/>
            <wp:effectExtent l="0" t="0" r="0" b="0"/>
            <wp:docPr id="1513532950" name="Chart 2">
              <a:extLst xmlns:a="http://schemas.openxmlformats.org/drawingml/2006/main">
                <a:ext uri="{FF2B5EF4-FFF2-40B4-BE49-F238E27FC236}">
                  <a16:creationId xmlns:a16="http://schemas.microsoft.com/office/drawing/2014/main" id="{AA4B8B02-3086-4A7A-B2BC-ABC5116A41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62A1E4B" w14:textId="77777777" w:rsidR="007C5074" w:rsidRPr="007C5074" w:rsidRDefault="007C5074" w:rsidP="007C5074">
      <w:pPr>
        <w:pStyle w:val="Caption"/>
      </w:pPr>
      <w:bookmarkStart w:id="182" w:name="_Toc172716961"/>
      <w:r w:rsidRPr="007C5074">
        <w:t xml:space="preserve">Figure </w:t>
      </w:r>
      <w:r w:rsidRPr="007C5074">
        <w:fldChar w:fldCharType="begin"/>
      </w:r>
      <w:r w:rsidRPr="007C5074">
        <w:instrText xml:space="preserve"> SEQ Figure \* ARABIC </w:instrText>
      </w:r>
      <w:r w:rsidRPr="007C5074">
        <w:fldChar w:fldCharType="separate"/>
      </w:r>
      <w:r w:rsidRPr="007C5074">
        <w:rPr>
          <w:noProof/>
        </w:rPr>
        <w:t>21</w:t>
      </w:r>
      <w:r w:rsidRPr="007C5074">
        <w:rPr>
          <w:noProof/>
        </w:rPr>
        <w:fldChar w:fldCharType="end"/>
      </w:r>
      <w:r w:rsidRPr="007C5074">
        <w:t>: Event frequency by group, week, and type</w:t>
      </w:r>
      <w:bookmarkEnd w:id="182"/>
    </w:p>
    <w:p w14:paraId="7E5B97F0" w14:textId="77777777" w:rsidR="007C5074" w:rsidRDefault="007C5074" w:rsidP="007C5074"/>
    <w:p w14:paraId="601B1BAC" w14:textId="77777777" w:rsidR="00AE1717" w:rsidRDefault="007C5074" w:rsidP="007C5074">
      <w:r w:rsidRPr="00D618B7">
        <w:t>Estimated Mean Frequency of Events by Type and Week by Group.</w:t>
      </w:r>
    </w:p>
    <w:p w14:paraId="6BF38E52" w14:textId="0E3D48B6" w:rsidR="006E1127" w:rsidRPr="007C5074" w:rsidRDefault="004C33CF" w:rsidP="007C5074">
      <w:r w:rsidRPr="007C5074">
        <w:t xml:space="preserve">Note. </w:t>
      </w:r>
      <w:r w:rsidRPr="007C5074">
        <w:rPr>
          <w:i/>
          <w:iCs/>
        </w:rPr>
        <w:t>This figure illustrates the estimated mean frequency of face, hand, and mouth events for each week of observation around reach-onset by group. Error bars show standard error.</w:t>
      </w:r>
      <w:r w:rsidRPr="007C5074">
        <w:rPr>
          <w:rFonts w:eastAsia="Aptos"/>
          <w:kern w:val="2"/>
          <w:sz w:val="22"/>
          <w:szCs w:val="22"/>
        </w:rPr>
        <w:t xml:space="preserve"> </w:t>
      </w:r>
    </w:p>
    <w:p w14:paraId="77297D72" w14:textId="77777777" w:rsidR="007C5074" w:rsidRDefault="007C5074" w:rsidP="007C5074">
      <w:pPr>
        <w:pStyle w:val="Caption"/>
      </w:pPr>
      <w:bookmarkStart w:id="183" w:name="_Toc172716871"/>
    </w:p>
    <w:p w14:paraId="539C77DB" w14:textId="77777777" w:rsidR="00AE1717" w:rsidRDefault="00AE1717" w:rsidP="00AE1717"/>
    <w:p w14:paraId="345C6DA4" w14:textId="77777777" w:rsidR="00AE1717" w:rsidRDefault="00AE1717" w:rsidP="00AE1717"/>
    <w:p w14:paraId="325583E3" w14:textId="77777777" w:rsidR="00AE1717" w:rsidRPr="00AE1717" w:rsidRDefault="00AE1717" w:rsidP="00AE1717"/>
    <w:p w14:paraId="67F2BF11" w14:textId="575BC88C" w:rsidR="006E1127" w:rsidRPr="004B5A83" w:rsidRDefault="006E1127" w:rsidP="007C5074">
      <w:pPr>
        <w:pStyle w:val="Caption"/>
      </w:pPr>
      <w:r w:rsidRPr="004B5A83">
        <w:lastRenderedPageBreak/>
        <w:t xml:space="preserve">Table </w:t>
      </w:r>
      <w:r w:rsidR="00000000">
        <w:fldChar w:fldCharType="begin"/>
      </w:r>
      <w:r w:rsidR="00000000">
        <w:instrText xml:space="preserve"> SEQ Table \* ARABIC </w:instrText>
      </w:r>
      <w:r w:rsidR="00000000">
        <w:fldChar w:fldCharType="separate"/>
      </w:r>
      <w:r w:rsidR="000C6E43" w:rsidRPr="004B5A83">
        <w:rPr>
          <w:noProof/>
        </w:rPr>
        <w:t>43</w:t>
      </w:r>
      <w:r w:rsidR="00000000">
        <w:rPr>
          <w:noProof/>
        </w:rPr>
        <w:fldChar w:fldCharType="end"/>
      </w:r>
      <w:r w:rsidRPr="004B5A83">
        <w:t xml:space="preserve">: </w:t>
      </w:r>
      <w:r w:rsidR="00940E58" w:rsidRPr="004B5A83">
        <w:t xml:space="preserve">Event </w:t>
      </w:r>
      <w:r w:rsidR="004B5A83" w:rsidRPr="004B5A83">
        <w:t>f</w:t>
      </w:r>
      <w:r w:rsidRPr="004B5A83">
        <w:t xml:space="preserve">requency by </w:t>
      </w:r>
      <w:r w:rsidR="004B5A83" w:rsidRPr="004B5A83">
        <w:t>g</w:t>
      </w:r>
      <w:r w:rsidRPr="004B5A83">
        <w:t>roup</w:t>
      </w:r>
      <w:bookmarkEnd w:id="183"/>
    </w:p>
    <w:p w14:paraId="6318E861" w14:textId="15F56E28" w:rsidR="006E1127" w:rsidRPr="00D618B7" w:rsidRDefault="006E1127" w:rsidP="006E1127">
      <w:r w:rsidRPr="00D618B7">
        <w:t>Estimated Mean Frequency of Events by Group</w:t>
      </w:r>
    </w:p>
    <w:tbl>
      <w:tblPr>
        <w:tblW w:w="5000" w:type="pct"/>
        <w:tblLook w:val="04A0" w:firstRow="1" w:lastRow="0" w:firstColumn="1" w:lastColumn="0" w:noHBand="0" w:noVBand="1"/>
      </w:tblPr>
      <w:tblGrid>
        <w:gridCol w:w="4922"/>
        <w:gridCol w:w="1859"/>
        <w:gridCol w:w="1859"/>
      </w:tblGrid>
      <w:tr w:rsidR="006E1127" w:rsidRPr="00D618B7" w14:paraId="77E89512" w14:textId="77777777" w:rsidTr="006E1127">
        <w:trPr>
          <w:trHeight w:val="346"/>
        </w:trPr>
        <w:tc>
          <w:tcPr>
            <w:tcW w:w="2848" w:type="pct"/>
            <w:tcBorders>
              <w:top w:val="nil"/>
              <w:left w:val="nil"/>
              <w:bottom w:val="single" w:sz="4" w:space="0" w:color="auto"/>
              <w:right w:val="nil"/>
            </w:tcBorders>
            <w:shd w:val="clear" w:color="auto" w:fill="auto"/>
            <w:noWrap/>
            <w:vAlign w:val="bottom"/>
            <w:hideMark/>
          </w:tcPr>
          <w:p w14:paraId="4D97BD96" w14:textId="77777777" w:rsidR="006E1127" w:rsidRPr="00D618B7" w:rsidRDefault="006E1127"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5150EFFE" w14:textId="77777777" w:rsidR="006E1127" w:rsidRPr="00D618B7" w:rsidRDefault="006E1127"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2913CE93" w14:textId="77777777" w:rsidR="006E1127" w:rsidRPr="00D618B7" w:rsidRDefault="006E1127" w:rsidP="004B11B7">
            <w:pPr>
              <w:rPr>
                <w:color w:val="000000"/>
              </w:rPr>
            </w:pPr>
            <w:r w:rsidRPr="00D618B7">
              <w:rPr>
                <w:color w:val="000000"/>
              </w:rPr>
              <w:t> </w:t>
            </w:r>
          </w:p>
        </w:tc>
      </w:tr>
      <w:tr w:rsidR="006E1127" w:rsidRPr="00D618B7" w14:paraId="0BD90DD6" w14:textId="77777777" w:rsidTr="006E1127">
        <w:trPr>
          <w:trHeight w:val="346"/>
        </w:trPr>
        <w:tc>
          <w:tcPr>
            <w:tcW w:w="2848" w:type="pct"/>
            <w:tcBorders>
              <w:top w:val="single" w:sz="4" w:space="0" w:color="auto"/>
              <w:left w:val="nil"/>
              <w:right w:val="nil"/>
            </w:tcBorders>
            <w:shd w:val="clear" w:color="000000" w:fill="FFFFFF"/>
            <w:vAlign w:val="center"/>
            <w:hideMark/>
          </w:tcPr>
          <w:p w14:paraId="30ABD22B" w14:textId="7D78F7F8" w:rsidR="006E1127" w:rsidRPr="00D618B7" w:rsidRDefault="006E1127" w:rsidP="004B11B7">
            <w:pPr>
              <w:rPr>
                <w:color w:val="000000"/>
              </w:rPr>
            </w:pPr>
            <w:r w:rsidRPr="00D618B7">
              <w:rPr>
                <w:color w:val="000000"/>
              </w:rPr>
              <w:t>Group</w:t>
            </w:r>
          </w:p>
        </w:tc>
        <w:tc>
          <w:tcPr>
            <w:tcW w:w="1076" w:type="pct"/>
            <w:tcBorders>
              <w:top w:val="nil"/>
              <w:left w:val="nil"/>
              <w:bottom w:val="single" w:sz="8" w:space="0" w:color="auto"/>
              <w:right w:val="nil"/>
            </w:tcBorders>
            <w:shd w:val="clear" w:color="000000" w:fill="FFFFFF"/>
            <w:noWrap/>
            <w:vAlign w:val="center"/>
            <w:hideMark/>
          </w:tcPr>
          <w:p w14:paraId="4AAA9490" w14:textId="77777777" w:rsidR="006E1127" w:rsidRPr="00D618B7" w:rsidRDefault="006E1127" w:rsidP="004B11B7">
            <w:pPr>
              <w:jc w:val="right"/>
              <w:rPr>
                <w:color w:val="000000"/>
              </w:rPr>
            </w:pPr>
            <w:r w:rsidRPr="00D618B7">
              <w:rPr>
                <w:color w:val="000000"/>
              </w:rPr>
              <w:t>Mean</w:t>
            </w:r>
          </w:p>
        </w:tc>
        <w:tc>
          <w:tcPr>
            <w:tcW w:w="1076" w:type="pct"/>
            <w:tcBorders>
              <w:top w:val="nil"/>
              <w:left w:val="nil"/>
              <w:bottom w:val="single" w:sz="8" w:space="0" w:color="auto"/>
              <w:right w:val="nil"/>
            </w:tcBorders>
            <w:shd w:val="clear" w:color="000000" w:fill="FFFFFF"/>
            <w:noWrap/>
            <w:vAlign w:val="center"/>
            <w:hideMark/>
          </w:tcPr>
          <w:p w14:paraId="0D122318" w14:textId="77777777" w:rsidR="006E1127" w:rsidRPr="00D618B7" w:rsidRDefault="006E1127" w:rsidP="004B11B7">
            <w:pPr>
              <w:jc w:val="right"/>
              <w:rPr>
                <w:color w:val="000000"/>
              </w:rPr>
            </w:pPr>
            <w:r w:rsidRPr="00D618B7">
              <w:rPr>
                <w:color w:val="000000"/>
              </w:rPr>
              <w:t>Std. Error</w:t>
            </w:r>
          </w:p>
        </w:tc>
      </w:tr>
      <w:tr w:rsidR="006E1127" w:rsidRPr="00D618B7" w14:paraId="79407EEA" w14:textId="77777777" w:rsidTr="006E1127">
        <w:trPr>
          <w:trHeight w:val="346"/>
        </w:trPr>
        <w:tc>
          <w:tcPr>
            <w:tcW w:w="2848" w:type="pct"/>
            <w:tcBorders>
              <w:left w:val="nil"/>
              <w:bottom w:val="nil"/>
              <w:right w:val="nil"/>
            </w:tcBorders>
            <w:shd w:val="clear" w:color="000000" w:fill="FFFFFF"/>
            <w:vAlign w:val="center"/>
            <w:hideMark/>
          </w:tcPr>
          <w:p w14:paraId="20F49479" w14:textId="77777777" w:rsidR="006E1127" w:rsidRPr="00D618B7" w:rsidRDefault="006E1127" w:rsidP="004B11B7">
            <w:pPr>
              <w:rPr>
                <w:color w:val="000000"/>
              </w:rPr>
            </w:pPr>
            <w:r w:rsidRPr="00D618B7">
              <w:rPr>
                <w:color w:val="000000"/>
              </w:rPr>
              <w:t>Early Reach Group</w:t>
            </w:r>
          </w:p>
        </w:tc>
        <w:tc>
          <w:tcPr>
            <w:tcW w:w="1076" w:type="pct"/>
            <w:tcBorders>
              <w:top w:val="nil"/>
              <w:left w:val="nil"/>
              <w:bottom w:val="nil"/>
              <w:right w:val="nil"/>
            </w:tcBorders>
            <w:shd w:val="clear" w:color="000000" w:fill="FFFFFF"/>
            <w:noWrap/>
            <w:vAlign w:val="center"/>
            <w:hideMark/>
          </w:tcPr>
          <w:p w14:paraId="61F0B59B" w14:textId="77777777" w:rsidR="006E1127" w:rsidRPr="00D618B7" w:rsidRDefault="006E1127" w:rsidP="004B11B7">
            <w:pPr>
              <w:jc w:val="right"/>
              <w:rPr>
                <w:color w:val="000000"/>
              </w:rPr>
            </w:pPr>
            <w:r w:rsidRPr="00D618B7">
              <w:rPr>
                <w:color w:val="000000"/>
              </w:rPr>
              <w:t>1.44</w:t>
            </w:r>
          </w:p>
        </w:tc>
        <w:tc>
          <w:tcPr>
            <w:tcW w:w="1076" w:type="pct"/>
            <w:tcBorders>
              <w:top w:val="nil"/>
              <w:left w:val="nil"/>
              <w:bottom w:val="nil"/>
              <w:right w:val="nil"/>
            </w:tcBorders>
            <w:shd w:val="clear" w:color="000000" w:fill="FFFFFF"/>
            <w:noWrap/>
            <w:vAlign w:val="center"/>
            <w:hideMark/>
          </w:tcPr>
          <w:p w14:paraId="6A73D85E" w14:textId="77777777" w:rsidR="006E1127" w:rsidRPr="00D618B7" w:rsidRDefault="006E1127" w:rsidP="004B11B7">
            <w:pPr>
              <w:jc w:val="right"/>
              <w:rPr>
                <w:color w:val="000000"/>
              </w:rPr>
            </w:pPr>
            <w:r w:rsidRPr="00D618B7">
              <w:rPr>
                <w:color w:val="000000"/>
              </w:rPr>
              <w:t>0.44</w:t>
            </w:r>
          </w:p>
        </w:tc>
      </w:tr>
      <w:tr w:rsidR="006E1127" w:rsidRPr="00D618B7" w14:paraId="2A216E50" w14:textId="77777777" w:rsidTr="004B11B7">
        <w:trPr>
          <w:trHeight w:val="346"/>
        </w:trPr>
        <w:tc>
          <w:tcPr>
            <w:tcW w:w="2848" w:type="pct"/>
            <w:tcBorders>
              <w:top w:val="nil"/>
              <w:left w:val="nil"/>
              <w:bottom w:val="single" w:sz="8" w:space="0" w:color="auto"/>
              <w:right w:val="nil"/>
            </w:tcBorders>
            <w:shd w:val="clear" w:color="000000" w:fill="FFFFFF"/>
            <w:vAlign w:val="center"/>
            <w:hideMark/>
          </w:tcPr>
          <w:p w14:paraId="3A51BF02" w14:textId="77777777" w:rsidR="006E1127" w:rsidRPr="00D618B7" w:rsidRDefault="006E1127" w:rsidP="004B11B7">
            <w:pPr>
              <w:rPr>
                <w:color w:val="000000"/>
              </w:rPr>
            </w:pPr>
            <w:r w:rsidRPr="00D618B7">
              <w:rPr>
                <w:color w:val="000000"/>
              </w:rPr>
              <w:t>Late Reach Group</w:t>
            </w:r>
          </w:p>
        </w:tc>
        <w:tc>
          <w:tcPr>
            <w:tcW w:w="1076" w:type="pct"/>
            <w:tcBorders>
              <w:top w:val="nil"/>
              <w:left w:val="nil"/>
              <w:bottom w:val="single" w:sz="8" w:space="0" w:color="auto"/>
              <w:right w:val="nil"/>
            </w:tcBorders>
            <w:shd w:val="clear" w:color="000000" w:fill="FFFFFF"/>
            <w:noWrap/>
            <w:vAlign w:val="center"/>
            <w:hideMark/>
          </w:tcPr>
          <w:p w14:paraId="6D198E0F" w14:textId="77777777" w:rsidR="006E1127" w:rsidRPr="00D618B7" w:rsidRDefault="006E1127" w:rsidP="004B11B7">
            <w:pPr>
              <w:jc w:val="right"/>
              <w:rPr>
                <w:color w:val="000000"/>
              </w:rPr>
            </w:pPr>
            <w:r w:rsidRPr="00D618B7">
              <w:rPr>
                <w:color w:val="000000"/>
              </w:rPr>
              <w:t>0.50</w:t>
            </w:r>
          </w:p>
        </w:tc>
        <w:tc>
          <w:tcPr>
            <w:tcW w:w="1076" w:type="pct"/>
            <w:tcBorders>
              <w:top w:val="nil"/>
              <w:left w:val="nil"/>
              <w:bottom w:val="single" w:sz="8" w:space="0" w:color="auto"/>
              <w:right w:val="nil"/>
            </w:tcBorders>
            <w:shd w:val="clear" w:color="000000" w:fill="FFFFFF"/>
            <w:noWrap/>
            <w:vAlign w:val="center"/>
            <w:hideMark/>
          </w:tcPr>
          <w:p w14:paraId="086BC998" w14:textId="77777777" w:rsidR="006E1127" w:rsidRPr="00D618B7" w:rsidRDefault="006E1127" w:rsidP="004B11B7">
            <w:pPr>
              <w:jc w:val="right"/>
              <w:rPr>
                <w:color w:val="000000"/>
              </w:rPr>
            </w:pPr>
            <w:r w:rsidRPr="00D618B7">
              <w:rPr>
                <w:color w:val="000000"/>
              </w:rPr>
              <w:t>0.08</w:t>
            </w:r>
          </w:p>
        </w:tc>
      </w:tr>
    </w:tbl>
    <w:p w14:paraId="5F91BF57" w14:textId="77777777" w:rsidR="006E1127" w:rsidRPr="00D618B7" w:rsidRDefault="006E1127" w:rsidP="006E1127">
      <w:pPr>
        <w:rPr>
          <w:i/>
          <w:iCs/>
        </w:rPr>
      </w:pPr>
    </w:p>
    <w:p w14:paraId="756642FF" w14:textId="77777777" w:rsidR="006E1127" w:rsidRPr="00D618B7" w:rsidRDefault="006E1127" w:rsidP="006E1127">
      <w:r w:rsidRPr="00D618B7">
        <w:rPr>
          <w:i/>
          <w:iCs/>
        </w:rPr>
        <w:t>Note</w:t>
      </w:r>
      <w:r w:rsidRPr="00D618B7">
        <w:t>: This table lists the estimated mean frequency and standard errors for the early and late groups.</w:t>
      </w:r>
    </w:p>
    <w:p w14:paraId="0B43F687" w14:textId="77777777" w:rsidR="006E1127" w:rsidRPr="00D618B7" w:rsidRDefault="006E1127" w:rsidP="006E1127"/>
    <w:p w14:paraId="693172CE" w14:textId="77777777" w:rsidR="006E1127" w:rsidRPr="00D618B7" w:rsidRDefault="006E1127" w:rsidP="006E1127"/>
    <w:p w14:paraId="1AE77D1D" w14:textId="6CED273E" w:rsidR="003B5FE0" w:rsidRPr="00D618B7" w:rsidRDefault="003B5FE0" w:rsidP="007C5074">
      <w:pPr>
        <w:pStyle w:val="Caption"/>
      </w:pPr>
      <w:bookmarkStart w:id="184" w:name="_Toc172716872"/>
      <w:r w:rsidRPr="00D618B7">
        <w:t xml:space="preserve">Table </w:t>
      </w:r>
      <w:r w:rsidR="00000000">
        <w:fldChar w:fldCharType="begin"/>
      </w:r>
      <w:r w:rsidR="00000000">
        <w:instrText xml:space="preserve"> SEQ Table \* ARABIC </w:instrText>
      </w:r>
      <w:r w:rsidR="00000000">
        <w:fldChar w:fldCharType="separate"/>
      </w:r>
      <w:r w:rsidR="000C6E43">
        <w:rPr>
          <w:noProof/>
        </w:rPr>
        <w:t>44</w:t>
      </w:r>
      <w:r w:rsidR="00000000">
        <w:rPr>
          <w:noProof/>
        </w:rPr>
        <w:fldChar w:fldCharType="end"/>
      </w:r>
      <w:r w:rsidR="0013518A">
        <w:t>:</w:t>
      </w:r>
      <w:r w:rsidR="00940E58">
        <w:t xml:space="preserve"> Event</w:t>
      </w:r>
      <w:r w:rsidR="0013518A">
        <w:t xml:space="preserve"> </w:t>
      </w:r>
      <w:r w:rsidR="004B5A83">
        <w:t>f</w:t>
      </w:r>
      <w:r w:rsidR="0013518A">
        <w:t xml:space="preserve">requency by </w:t>
      </w:r>
      <w:r w:rsidR="004B5A83">
        <w:t>w</w:t>
      </w:r>
      <w:r w:rsidR="0013518A">
        <w:t xml:space="preserve">eek by </w:t>
      </w:r>
      <w:r w:rsidR="004B5A83">
        <w:t>g</w:t>
      </w:r>
      <w:r w:rsidR="0013518A">
        <w:t>roup</w:t>
      </w:r>
      <w:bookmarkEnd w:id="184"/>
    </w:p>
    <w:p w14:paraId="065500E4" w14:textId="020F2ABE" w:rsidR="00AF0F02" w:rsidRPr="00D618B7" w:rsidRDefault="00AF0F02" w:rsidP="00AF0F02">
      <w:r w:rsidRPr="00D618B7">
        <w:t>Estimated Mean Frequency of Events by Week and Group</w:t>
      </w:r>
    </w:p>
    <w:tbl>
      <w:tblPr>
        <w:tblW w:w="5000" w:type="pct"/>
        <w:tblLook w:val="04A0" w:firstRow="1" w:lastRow="0" w:firstColumn="1" w:lastColumn="0" w:noHBand="0" w:noVBand="1"/>
      </w:tblPr>
      <w:tblGrid>
        <w:gridCol w:w="3441"/>
        <w:gridCol w:w="1300"/>
        <w:gridCol w:w="1301"/>
        <w:gridCol w:w="1299"/>
        <w:gridCol w:w="1299"/>
      </w:tblGrid>
      <w:tr w:rsidR="00AF0F02" w:rsidRPr="00D618B7" w14:paraId="1B36D468" w14:textId="77777777" w:rsidTr="004B11B7">
        <w:trPr>
          <w:trHeight w:val="284"/>
        </w:trPr>
        <w:tc>
          <w:tcPr>
            <w:tcW w:w="1991" w:type="pct"/>
            <w:tcBorders>
              <w:top w:val="nil"/>
              <w:left w:val="nil"/>
              <w:bottom w:val="single" w:sz="8" w:space="0" w:color="auto"/>
              <w:right w:val="nil"/>
            </w:tcBorders>
            <w:shd w:val="clear" w:color="auto" w:fill="auto"/>
            <w:noWrap/>
            <w:vAlign w:val="bottom"/>
            <w:hideMark/>
          </w:tcPr>
          <w:p w14:paraId="060FD158" w14:textId="77777777" w:rsidR="00AF0F02" w:rsidRPr="00D618B7" w:rsidRDefault="00AF0F02" w:rsidP="004B11B7">
            <w:pPr>
              <w:rPr>
                <w:color w:val="000000"/>
              </w:rPr>
            </w:pPr>
            <w:r w:rsidRPr="00D618B7">
              <w:rPr>
                <w:color w:val="000000"/>
              </w:rPr>
              <w:t> </w:t>
            </w:r>
          </w:p>
        </w:tc>
        <w:tc>
          <w:tcPr>
            <w:tcW w:w="752" w:type="pct"/>
            <w:tcBorders>
              <w:top w:val="nil"/>
              <w:left w:val="nil"/>
              <w:bottom w:val="single" w:sz="8" w:space="0" w:color="auto"/>
              <w:right w:val="nil"/>
            </w:tcBorders>
            <w:shd w:val="clear" w:color="auto" w:fill="auto"/>
            <w:noWrap/>
            <w:vAlign w:val="bottom"/>
            <w:hideMark/>
          </w:tcPr>
          <w:p w14:paraId="27DEDE62" w14:textId="77777777" w:rsidR="00AF0F02" w:rsidRPr="00D618B7" w:rsidRDefault="00AF0F02" w:rsidP="004B11B7">
            <w:pPr>
              <w:rPr>
                <w:color w:val="000000"/>
              </w:rPr>
            </w:pPr>
            <w:r w:rsidRPr="00D618B7">
              <w:rPr>
                <w:color w:val="000000"/>
              </w:rPr>
              <w:t> </w:t>
            </w:r>
          </w:p>
        </w:tc>
        <w:tc>
          <w:tcPr>
            <w:tcW w:w="753" w:type="pct"/>
            <w:tcBorders>
              <w:top w:val="nil"/>
              <w:left w:val="nil"/>
              <w:bottom w:val="single" w:sz="8" w:space="0" w:color="auto"/>
              <w:right w:val="nil"/>
            </w:tcBorders>
            <w:shd w:val="clear" w:color="auto" w:fill="auto"/>
            <w:noWrap/>
            <w:vAlign w:val="bottom"/>
            <w:hideMark/>
          </w:tcPr>
          <w:p w14:paraId="2C061F08" w14:textId="77777777" w:rsidR="00AF0F02" w:rsidRPr="00D618B7" w:rsidRDefault="00AF0F02" w:rsidP="004B11B7">
            <w:pPr>
              <w:rPr>
                <w:color w:val="000000"/>
              </w:rPr>
            </w:pPr>
            <w:r w:rsidRPr="00D618B7">
              <w:rPr>
                <w:color w:val="000000"/>
              </w:rPr>
              <w:t> </w:t>
            </w:r>
          </w:p>
        </w:tc>
        <w:tc>
          <w:tcPr>
            <w:tcW w:w="752" w:type="pct"/>
            <w:tcBorders>
              <w:top w:val="nil"/>
              <w:left w:val="nil"/>
              <w:bottom w:val="single" w:sz="8" w:space="0" w:color="auto"/>
              <w:right w:val="nil"/>
            </w:tcBorders>
            <w:shd w:val="clear" w:color="auto" w:fill="auto"/>
            <w:noWrap/>
            <w:vAlign w:val="bottom"/>
            <w:hideMark/>
          </w:tcPr>
          <w:p w14:paraId="01E1500D" w14:textId="77777777" w:rsidR="00AF0F02" w:rsidRPr="00D618B7" w:rsidRDefault="00AF0F02" w:rsidP="004B11B7">
            <w:pPr>
              <w:rPr>
                <w:color w:val="000000"/>
              </w:rPr>
            </w:pPr>
            <w:r w:rsidRPr="00D618B7">
              <w:rPr>
                <w:color w:val="000000"/>
              </w:rPr>
              <w:t> </w:t>
            </w:r>
          </w:p>
        </w:tc>
        <w:tc>
          <w:tcPr>
            <w:tcW w:w="753" w:type="pct"/>
            <w:tcBorders>
              <w:top w:val="nil"/>
              <w:left w:val="nil"/>
              <w:bottom w:val="single" w:sz="8" w:space="0" w:color="auto"/>
              <w:right w:val="nil"/>
            </w:tcBorders>
            <w:shd w:val="clear" w:color="auto" w:fill="auto"/>
            <w:noWrap/>
            <w:vAlign w:val="bottom"/>
            <w:hideMark/>
          </w:tcPr>
          <w:p w14:paraId="3BC8A38B" w14:textId="77777777" w:rsidR="00AF0F02" w:rsidRPr="00D618B7" w:rsidRDefault="00AF0F02" w:rsidP="004B11B7">
            <w:pPr>
              <w:rPr>
                <w:color w:val="000000"/>
              </w:rPr>
            </w:pPr>
            <w:r w:rsidRPr="00D618B7">
              <w:rPr>
                <w:color w:val="000000"/>
              </w:rPr>
              <w:t> </w:t>
            </w:r>
          </w:p>
        </w:tc>
      </w:tr>
      <w:tr w:rsidR="00AF0F02" w:rsidRPr="00D618B7" w14:paraId="6EB130C3" w14:textId="77777777" w:rsidTr="004B11B7">
        <w:trPr>
          <w:trHeight w:val="284"/>
        </w:trPr>
        <w:tc>
          <w:tcPr>
            <w:tcW w:w="1991" w:type="pct"/>
            <w:tcBorders>
              <w:top w:val="nil"/>
              <w:left w:val="nil"/>
              <w:bottom w:val="nil"/>
              <w:right w:val="nil"/>
            </w:tcBorders>
            <w:shd w:val="clear" w:color="000000" w:fill="FFFFFF"/>
            <w:vAlign w:val="center"/>
            <w:hideMark/>
          </w:tcPr>
          <w:p w14:paraId="217F5A26" w14:textId="77777777" w:rsidR="00AF0F02" w:rsidRPr="00D618B7" w:rsidRDefault="00AF0F02" w:rsidP="004B11B7">
            <w:pPr>
              <w:rPr>
                <w:color w:val="000000"/>
              </w:rPr>
            </w:pPr>
            <w:r w:rsidRPr="00D618B7">
              <w:rPr>
                <w:color w:val="000000"/>
              </w:rPr>
              <w:t>Week</w:t>
            </w:r>
          </w:p>
        </w:tc>
        <w:tc>
          <w:tcPr>
            <w:tcW w:w="1504" w:type="pct"/>
            <w:gridSpan w:val="2"/>
            <w:tcBorders>
              <w:top w:val="nil"/>
              <w:left w:val="nil"/>
              <w:bottom w:val="single" w:sz="8" w:space="0" w:color="auto"/>
              <w:right w:val="nil"/>
            </w:tcBorders>
            <w:shd w:val="clear" w:color="000000" w:fill="FFFFFF"/>
            <w:vAlign w:val="center"/>
            <w:hideMark/>
          </w:tcPr>
          <w:p w14:paraId="2DB21868" w14:textId="77777777" w:rsidR="00AF0F02" w:rsidRPr="00D618B7" w:rsidRDefault="00AF0F02" w:rsidP="004B11B7">
            <w:pPr>
              <w:jc w:val="center"/>
              <w:rPr>
                <w:color w:val="000000"/>
              </w:rPr>
            </w:pPr>
            <w:r w:rsidRPr="00D618B7">
              <w:rPr>
                <w:color w:val="000000"/>
              </w:rPr>
              <w:t>Early Reach Group</w:t>
            </w:r>
          </w:p>
        </w:tc>
        <w:tc>
          <w:tcPr>
            <w:tcW w:w="1504" w:type="pct"/>
            <w:gridSpan w:val="2"/>
            <w:tcBorders>
              <w:top w:val="nil"/>
              <w:left w:val="nil"/>
              <w:bottom w:val="single" w:sz="8" w:space="0" w:color="auto"/>
              <w:right w:val="nil"/>
            </w:tcBorders>
            <w:shd w:val="clear" w:color="000000" w:fill="FFFFFF"/>
            <w:vAlign w:val="center"/>
            <w:hideMark/>
          </w:tcPr>
          <w:p w14:paraId="245F14E4" w14:textId="77777777" w:rsidR="00AF0F02" w:rsidRPr="00D618B7" w:rsidRDefault="00AF0F02" w:rsidP="004B11B7">
            <w:pPr>
              <w:jc w:val="center"/>
              <w:rPr>
                <w:color w:val="000000"/>
              </w:rPr>
            </w:pPr>
            <w:r w:rsidRPr="00D618B7">
              <w:rPr>
                <w:color w:val="000000"/>
              </w:rPr>
              <w:t>Late Reach Group</w:t>
            </w:r>
          </w:p>
        </w:tc>
      </w:tr>
      <w:tr w:rsidR="00AF0F02" w:rsidRPr="00D618B7" w14:paraId="32CA770B" w14:textId="77777777" w:rsidTr="004B11B7">
        <w:trPr>
          <w:trHeight w:val="284"/>
        </w:trPr>
        <w:tc>
          <w:tcPr>
            <w:tcW w:w="1991" w:type="pct"/>
            <w:tcBorders>
              <w:top w:val="nil"/>
              <w:left w:val="nil"/>
              <w:bottom w:val="single" w:sz="8" w:space="0" w:color="auto"/>
              <w:right w:val="nil"/>
            </w:tcBorders>
            <w:shd w:val="clear" w:color="000000" w:fill="FFFFFF"/>
            <w:noWrap/>
            <w:vAlign w:val="bottom"/>
            <w:hideMark/>
          </w:tcPr>
          <w:p w14:paraId="1EA8A30D" w14:textId="77777777" w:rsidR="00AF0F02" w:rsidRPr="00D618B7" w:rsidRDefault="00AF0F02" w:rsidP="004B11B7">
            <w:pPr>
              <w:rPr>
                <w:color w:val="000000"/>
              </w:rPr>
            </w:pPr>
            <w:r w:rsidRPr="00D618B7">
              <w:rPr>
                <w:color w:val="000000"/>
              </w:rPr>
              <w:t> </w:t>
            </w:r>
          </w:p>
        </w:tc>
        <w:tc>
          <w:tcPr>
            <w:tcW w:w="752" w:type="pct"/>
            <w:tcBorders>
              <w:top w:val="nil"/>
              <w:left w:val="nil"/>
              <w:bottom w:val="single" w:sz="8" w:space="0" w:color="auto"/>
              <w:right w:val="nil"/>
            </w:tcBorders>
            <w:shd w:val="clear" w:color="000000" w:fill="FFFFFF"/>
            <w:noWrap/>
            <w:vAlign w:val="center"/>
            <w:hideMark/>
          </w:tcPr>
          <w:p w14:paraId="4683E717" w14:textId="77777777" w:rsidR="00AF0F02" w:rsidRPr="00D618B7" w:rsidRDefault="00AF0F02" w:rsidP="004B11B7">
            <w:pPr>
              <w:jc w:val="right"/>
              <w:rPr>
                <w:color w:val="000000"/>
              </w:rPr>
            </w:pPr>
            <w:r w:rsidRPr="00D618B7">
              <w:rPr>
                <w:color w:val="000000"/>
              </w:rPr>
              <w:t>Mean</w:t>
            </w:r>
          </w:p>
        </w:tc>
        <w:tc>
          <w:tcPr>
            <w:tcW w:w="753" w:type="pct"/>
            <w:tcBorders>
              <w:top w:val="nil"/>
              <w:left w:val="nil"/>
              <w:bottom w:val="single" w:sz="8" w:space="0" w:color="auto"/>
              <w:right w:val="nil"/>
            </w:tcBorders>
            <w:shd w:val="clear" w:color="000000" w:fill="FFFFFF"/>
            <w:noWrap/>
            <w:vAlign w:val="center"/>
            <w:hideMark/>
          </w:tcPr>
          <w:p w14:paraId="4D452E21" w14:textId="77777777" w:rsidR="00AF0F02" w:rsidRPr="00D618B7" w:rsidRDefault="00AF0F02" w:rsidP="004B11B7">
            <w:pPr>
              <w:jc w:val="right"/>
              <w:rPr>
                <w:color w:val="000000"/>
              </w:rPr>
            </w:pPr>
            <w:r w:rsidRPr="00D618B7">
              <w:rPr>
                <w:color w:val="000000"/>
              </w:rPr>
              <w:t>Std. Error</w:t>
            </w:r>
          </w:p>
        </w:tc>
        <w:tc>
          <w:tcPr>
            <w:tcW w:w="752" w:type="pct"/>
            <w:tcBorders>
              <w:top w:val="nil"/>
              <w:left w:val="nil"/>
              <w:bottom w:val="single" w:sz="8" w:space="0" w:color="auto"/>
              <w:right w:val="nil"/>
            </w:tcBorders>
            <w:shd w:val="clear" w:color="000000" w:fill="FFFFFF"/>
            <w:noWrap/>
            <w:vAlign w:val="center"/>
            <w:hideMark/>
          </w:tcPr>
          <w:p w14:paraId="72077A7B" w14:textId="77777777" w:rsidR="00AF0F02" w:rsidRPr="00D618B7" w:rsidRDefault="00AF0F02" w:rsidP="004B11B7">
            <w:pPr>
              <w:jc w:val="right"/>
              <w:rPr>
                <w:color w:val="000000"/>
              </w:rPr>
            </w:pPr>
            <w:r w:rsidRPr="00D618B7">
              <w:rPr>
                <w:color w:val="000000"/>
              </w:rPr>
              <w:t>Mean</w:t>
            </w:r>
          </w:p>
        </w:tc>
        <w:tc>
          <w:tcPr>
            <w:tcW w:w="753" w:type="pct"/>
            <w:tcBorders>
              <w:top w:val="nil"/>
              <w:left w:val="nil"/>
              <w:bottom w:val="single" w:sz="8" w:space="0" w:color="auto"/>
              <w:right w:val="nil"/>
            </w:tcBorders>
            <w:shd w:val="clear" w:color="000000" w:fill="FFFFFF"/>
            <w:noWrap/>
            <w:vAlign w:val="center"/>
            <w:hideMark/>
          </w:tcPr>
          <w:p w14:paraId="23F2C05D" w14:textId="77777777" w:rsidR="00AF0F02" w:rsidRPr="00D618B7" w:rsidRDefault="00AF0F02" w:rsidP="004B11B7">
            <w:pPr>
              <w:jc w:val="right"/>
              <w:rPr>
                <w:color w:val="000000"/>
              </w:rPr>
            </w:pPr>
            <w:r w:rsidRPr="00D618B7">
              <w:rPr>
                <w:color w:val="000000"/>
              </w:rPr>
              <w:t>Std. Error</w:t>
            </w:r>
          </w:p>
        </w:tc>
      </w:tr>
      <w:tr w:rsidR="00AF0F02" w:rsidRPr="00D618B7" w14:paraId="75725290" w14:textId="77777777" w:rsidTr="004B11B7">
        <w:trPr>
          <w:trHeight w:val="284"/>
        </w:trPr>
        <w:tc>
          <w:tcPr>
            <w:tcW w:w="1991" w:type="pct"/>
            <w:tcBorders>
              <w:top w:val="nil"/>
              <w:left w:val="nil"/>
              <w:bottom w:val="nil"/>
              <w:right w:val="nil"/>
            </w:tcBorders>
            <w:shd w:val="clear" w:color="000000" w:fill="FFFFFF"/>
            <w:vAlign w:val="center"/>
            <w:hideMark/>
          </w:tcPr>
          <w:p w14:paraId="1C45B0DF" w14:textId="77777777" w:rsidR="00AF0F02" w:rsidRPr="00D618B7" w:rsidRDefault="00AF0F02" w:rsidP="004B11B7">
            <w:pPr>
              <w:jc w:val="center"/>
              <w:rPr>
                <w:color w:val="000000"/>
              </w:rPr>
            </w:pPr>
            <w:r w:rsidRPr="00D618B7">
              <w:rPr>
                <w:color w:val="000000"/>
              </w:rPr>
              <w:t>-5</w:t>
            </w:r>
          </w:p>
        </w:tc>
        <w:tc>
          <w:tcPr>
            <w:tcW w:w="752" w:type="pct"/>
            <w:tcBorders>
              <w:top w:val="nil"/>
              <w:left w:val="nil"/>
              <w:bottom w:val="nil"/>
              <w:right w:val="nil"/>
            </w:tcBorders>
            <w:shd w:val="clear" w:color="000000" w:fill="FFFFFF"/>
            <w:noWrap/>
            <w:vAlign w:val="center"/>
            <w:hideMark/>
          </w:tcPr>
          <w:p w14:paraId="389F269D" w14:textId="77777777" w:rsidR="00AF0F02" w:rsidRPr="00D618B7" w:rsidRDefault="00AF0F02" w:rsidP="004B11B7">
            <w:pPr>
              <w:jc w:val="right"/>
              <w:rPr>
                <w:color w:val="000000"/>
              </w:rPr>
            </w:pPr>
            <w:r w:rsidRPr="00D618B7">
              <w:rPr>
                <w:color w:val="000000"/>
              </w:rPr>
              <w:t>1.31</w:t>
            </w:r>
          </w:p>
        </w:tc>
        <w:tc>
          <w:tcPr>
            <w:tcW w:w="753" w:type="pct"/>
            <w:tcBorders>
              <w:top w:val="nil"/>
              <w:left w:val="nil"/>
              <w:bottom w:val="nil"/>
              <w:right w:val="nil"/>
            </w:tcBorders>
            <w:shd w:val="clear" w:color="000000" w:fill="FFFFFF"/>
            <w:noWrap/>
            <w:vAlign w:val="center"/>
            <w:hideMark/>
          </w:tcPr>
          <w:p w14:paraId="4C993970" w14:textId="77777777" w:rsidR="00AF0F02" w:rsidRPr="00D618B7" w:rsidRDefault="00AF0F02" w:rsidP="004B11B7">
            <w:pPr>
              <w:jc w:val="right"/>
              <w:rPr>
                <w:color w:val="000000"/>
              </w:rPr>
            </w:pPr>
            <w:r w:rsidRPr="00D618B7">
              <w:rPr>
                <w:color w:val="000000"/>
              </w:rPr>
              <w:t>0.46</w:t>
            </w:r>
          </w:p>
        </w:tc>
        <w:tc>
          <w:tcPr>
            <w:tcW w:w="752" w:type="pct"/>
            <w:tcBorders>
              <w:top w:val="nil"/>
              <w:left w:val="nil"/>
              <w:bottom w:val="nil"/>
              <w:right w:val="nil"/>
            </w:tcBorders>
            <w:shd w:val="clear" w:color="000000" w:fill="FFFFFF"/>
            <w:noWrap/>
            <w:vAlign w:val="center"/>
            <w:hideMark/>
          </w:tcPr>
          <w:p w14:paraId="2D3D66D0" w14:textId="77777777" w:rsidR="00AF0F02" w:rsidRPr="00D618B7" w:rsidRDefault="00AF0F02" w:rsidP="004B11B7">
            <w:pPr>
              <w:jc w:val="right"/>
              <w:rPr>
                <w:color w:val="000000"/>
              </w:rPr>
            </w:pPr>
            <w:r w:rsidRPr="00D618B7">
              <w:rPr>
                <w:color w:val="000000"/>
              </w:rPr>
              <w:t>-0.05</w:t>
            </w:r>
          </w:p>
        </w:tc>
        <w:tc>
          <w:tcPr>
            <w:tcW w:w="753" w:type="pct"/>
            <w:tcBorders>
              <w:top w:val="nil"/>
              <w:left w:val="nil"/>
              <w:bottom w:val="nil"/>
              <w:right w:val="nil"/>
            </w:tcBorders>
            <w:shd w:val="clear" w:color="000000" w:fill="FFFFFF"/>
            <w:noWrap/>
            <w:vAlign w:val="center"/>
            <w:hideMark/>
          </w:tcPr>
          <w:p w14:paraId="279E0D56" w14:textId="77777777" w:rsidR="00AF0F02" w:rsidRPr="00D618B7" w:rsidRDefault="00AF0F02" w:rsidP="004B11B7">
            <w:pPr>
              <w:jc w:val="right"/>
              <w:rPr>
                <w:color w:val="000000"/>
              </w:rPr>
            </w:pPr>
            <w:r w:rsidRPr="00D618B7">
              <w:rPr>
                <w:color w:val="000000"/>
              </w:rPr>
              <w:t>0.08</w:t>
            </w:r>
          </w:p>
        </w:tc>
      </w:tr>
      <w:tr w:rsidR="00AF0F02" w:rsidRPr="00D618B7" w14:paraId="546ED715" w14:textId="77777777" w:rsidTr="004B11B7">
        <w:trPr>
          <w:trHeight w:val="284"/>
        </w:trPr>
        <w:tc>
          <w:tcPr>
            <w:tcW w:w="1991" w:type="pct"/>
            <w:tcBorders>
              <w:top w:val="nil"/>
              <w:left w:val="nil"/>
              <w:bottom w:val="nil"/>
              <w:right w:val="nil"/>
            </w:tcBorders>
            <w:shd w:val="clear" w:color="000000" w:fill="FFFFFF"/>
            <w:vAlign w:val="center"/>
            <w:hideMark/>
          </w:tcPr>
          <w:p w14:paraId="3DD6529A" w14:textId="77777777" w:rsidR="00AF0F02" w:rsidRPr="00D618B7" w:rsidRDefault="00AF0F02" w:rsidP="004B11B7">
            <w:pPr>
              <w:jc w:val="center"/>
              <w:rPr>
                <w:color w:val="000000"/>
              </w:rPr>
            </w:pPr>
            <w:r w:rsidRPr="00D618B7">
              <w:rPr>
                <w:color w:val="000000"/>
              </w:rPr>
              <w:t>-4</w:t>
            </w:r>
          </w:p>
        </w:tc>
        <w:tc>
          <w:tcPr>
            <w:tcW w:w="752" w:type="pct"/>
            <w:tcBorders>
              <w:top w:val="nil"/>
              <w:left w:val="nil"/>
              <w:bottom w:val="nil"/>
              <w:right w:val="nil"/>
            </w:tcBorders>
            <w:shd w:val="clear" w:color="000000" w:fill="FFFFFF"/>
            <w:noWrap/>
            <w:vAlign w:val="center"/>
            <w:hideMark/>
          </w:tcPr>
          <w:p w14:paraId="622BB430" w14:textId="77777777" w:rsidR="00AF0F02" w:rsidRPr="00D618B7" w:rsidRDefault="00AF0F02" w:rsidP="004B11B7">
            <w:pPr>
              <w:jc w:val="right"/>
              <w:rPr>
                <w:color w:val="000000"/>
              </w:rPr>
            </w:pPr>
            <w:r w:rsidRPr="00D618B7">
              <w:rPr>
                <w:color w:val="000000"/>
              </w:rPr>
              <w:t>0.89</w:t>
            </w:r>
          </w:p>
        </w:tc>
        <w:tc>
          <w:tcPr>
            <w:tcW w:w="753" w:type="pct"/>
            <w:tcBorders>
              <w:top w:val="nil"/>
              <w:left w:val="nil"/>
              <w:bottom w:val="nil"/>
              <w:right w:val="nil"/>
            </w:tcBorders>
            <w:shd w:val="clear" w:color="000000" w:fill="FFFFFF"/>
            <w:noWrap/>
            <w:vAlign w:val="center"/>
            <w:hideMark/>
          </w:tcPr>
          <w:p w14:paraId="41AC71E6" w14:textId="77777777" w:rsidR="00AF0F02" w:rsidRPr="00D618B7" w:rsidRDefault="00AF0F02" w:rsidP="004B11B7">
            <w:pPr>
              <w:jc w:val="right"/>
              <w:rPr>
                <w:color w:val="000000"/>
              </w:rPr>
            </w:pPr>
            <w:r w:rsidRPr="00D618B7">
              <w:rPr>
                <w:color w:val="000000"/>
              </w:rPr>
              <w:t>0.85</w:t>
            </w:r>
          </w:p>
        </w:tc>
        <w:tc>
          <w:tcPr>
            <w:tcW w:w="752" w:type="pct"/>
            <w:tcBorders>
              <w:top w:val="nil"/>
              <w:left w:val="nil"/>
              <w:bottom w:val="nil"/>
              <w:right w:val="nil"/>
            </w:tcBorders>
            <w:shd w:val="clear" w:color="000000" w:fill="FFFFFF"/>
            <w:noWrap/>
            <w:vAlign w:val="center"/>
            <w:hideMark/>
          </w:tcPr>
          <w:p w14:paraId="0F9A63F1" w14:textId="77777777" w:rsidR="00AF0F02" w:rsidRPr="00D618B7" w:rsidRDefault="00AF0F02" w:rsidP="004B11B7">
            <w:pPr>
              <w:jc w:val="right"/>
              <w:rPr>
                <w:color w:val="000000"/>
              </w:rPr>
            </w:pPr>
            <w:r w:rsidRPr="00D618B7">
              <w:rPr>
                <w:color w:val="000000"/>
              </w:rPr>
              <w:t>0.12</w:t>
            </w:r>
          </w:p>
        </w:tc>
        <w:tc>
          <w:tcPr>
            <w:tcW w:w="753" w:type="pct"/>
            <w:tcBorders>
              <w:top w:val="nil"/>
              <w:left w:val="nil"/>
              <w:bottom w:val="nil"/>
              <w:right w:val="nil"/>
            </w:tcBorders>
            <w:shd w:val="clear" w:color="000000" w:fill="FFFFFF"/>
            <w:noWrap/>
            <w:vAlign w:val="center"/>
            <w:hideMark/>
          </w:tcPr>
          <w:p w14:paraId="30F8D0CB" w14:textId="77777777" w:rsidR="00AF0F02" w:rsidRPr="00D618B7" w:rsidRDefault="00AF0F02" w:rsidP="004B11B7">
            <w:pPr>
              <w:jc w:val="right"/>
              <w:rPr>
                <w:color w:val="000000"/>
              </w:rPr>
            </w:pPr>
            <w:r w:rsidRPr="00D618B7">
              <w:rPr>
                <w:color w:val="000000"/>
              </w:rPr>
              <w:t>0.04</w:t>
            </w:r>
          </w:p>
        </w:tc>
      </w:tr>
      <w:tr w:rsidR="00AF0F02" w:rsidRPr="00D618B7" w14:paraId="14BCC6FC" w14:textId="77777777" w:rsidTr="004B11B7">
        <w:trPr>
          <w:trHeight w:val="284"/>
        </w:trPr>
        <w:tc>
          <w:tcPr>
            <w:tcW w:w="1991" w:type="pct"/>
            <w:tcBorders>
              <w:top w:val="nil"/>
              <w:left w:val="nil"/>
              <w:bottom w:val="nil"/>
              <w:right w:val="nil"/>
            </w:tcBorders>
            <w:shd w:val="clear" w:color="000000" w:fill="FFFFFF"/>
            <w:vAlign w:val="center"/>
            <w:hideMark/>
          </w:tcPr>
          <w:p w14:paraId="3B3E2A94" w14:textId="77777777" w:rsidR="00AF0F02" w:rsidRPr="00D618B7" w:rsidRDefault="00AF0F02" w:rsidP="004B11B7">
            <w:pPr>
              <w:jc w:val="center"/>
              <w:rPr>
                <w:color w:val="000000"/>
              </w:rPr>
            </w:pPr>
            <w:r w:rsidRPr="00D618B7">
              <w:rPr>
                <w:color w:val="000000"/>
              </w:rPr>
              <w:t>-3</w:t>
            </w:r>
          </w:p>
        </w:tc>
        <w:tc>
          <w:tcPr>
            <w:tcW w:w="752" w:type="pct"/>
            <w:tcBorders>
              <w:top w:val="nil"/>
              <w:left w:val="nil"/>
              <w:bottom w:val="nil"/>
              <w:right w:val="nil"/>
            </w:tcBorders>
            <w:shd w:val="clear" w:color="000000" w:fill="FFFFFF"/>
            <w:noWrap/>
            <w:vAlign w:val="center"/>
            <w:hideMark/>
          </w:tcPr>
          <w:p w14:paraId="5AF44376" w14:textId="77777777" w:rsidR="00AF0F02" w:rsidRPr="00D618B7" w:rsidRDefault="00AF0F02" w:rsidP="004B11B7">
            <w:pPr>
              <w:jc w:val="right"/>
              <w:rPr>
                <w:color w:val="000000"/>
              </w:rPr>
            </w:pPr>
            <w:r w:rsidRPr="00D618B7">
              <w:rPr>
                <w:color w:val="000000"/>
              </w:rPr>
              <w:t>2.54</w:t>
            </w:r>
          </w:p>
        </w:tc>
        <w:tc>
          <w:tcPr>
            <w:tcW w:w="753" w:type="pct"/>
            <w:tcBorders>
              <w:top w:val="nil"/>
              <w:left w:val="nil"/>
              <w:bottom w:val="nil"/>
              <w:right w:val="nil"/>
            </w:tcBorders>
            <w:shd w:val="clear" w:color="000000" w:fill="FFFFFF"/>
            <w:noWrap/>
            <w:vAlign w:val="center"/>
            <w:hideMark/>
          </w:tcPr>
          <w:p w14:paraId="67CCDB95" w14:textId="77777777" w:rsidR="00AF0F02" w:rsidRPr="00D618B7" w:rsidRDefault="00AF0F02" w:rsidP="004B11B7">
            <w:pPr>
              <w:jc w:val="right"/>
              <w:rPr>
                <w:color w:val="000000"/>
              </w:rPr>
            </w:pPr>
            <w:r w:rsidRPr="00D618B7">
              <w:rPr>
                <w:color w:val="000000"/>
              </w:rPr>
              <w:t>1.54</w:t>
            </w:r>
          </w:p>
        </w:tc>
        <w:tc>
          <w:tcPr>
            <w:tcW w:w="752" w:type="pct"/>
            <w:tcBorders>
              <w:top w:val="nil"/>
              <w:left w:val="nil"/>
              <w:bottom w:val="nil"/>
              <w:right w:val="nil"/>
            </w:tcBorders>
            <w:shd w:val="clear" w:color="000000" w:fill="FFFFFF"/>
            <w:noWrap/>
            <w:vAlign w:val="center"/>
            <w:hideMark/>
          </w:tcPr>
          <w:p w14:paraId="3910DB8A" w14:textId="77777777" w:rsidR="00AF0F02" w:rsidRPr="00D618B7" w:rsidRDefault="00AF0F02" w:rsidP="004B11B7">
            <w:pPr>
              <w:jc w:val="right"/>
              <w:rPr>
                <w:color w:val="000000"/>
              </w:rPr>
            </w:pPr>
            <w:r w:rsidRPr="00D618B7">
              <w:rPr>
                <w:color w:val="000000"/>
              </w:rPr>
              <w:t>0.23</w:t>
            </w:r>
          </w:p>
        </w:tc>
        <w:tc>
          <w:tcPr>
            <w:tcW w:w="753" w:type="pct"/>
            <w:tcBorders>
              <w:top w:val="nil"/>
              <w:left w:val="nil"/>
              <w:bottom w:val="nil"/>
              <w:right w:val="nil"/>
            </w:tcBorders>
            <w:shd w:val="clear" w:color="000000" w:fill="FFFFFF"/>
            <w:noWrap/>
            <w:vAlign w:val="center"/>
            <w:hideMark/>
          </w:tcPr>
          <w:p w14:paraId="56C31300" w14:textId="77777777" w:rsidR="00AF0F02" w:rsidRPr="00D618B7" w:rsidRDefault="00AF0F02" w:rsidP="004B11B7">
            <w:pPr>
              <w:jc w:val="right"/>
              <w:rPr>
                <w:color w:val="000000"/>
              </w:rPr>
            </w:pPr>
            <w:r w:rsidRPr="00D618B7">
              <w:rPr>
                <w:color w:val="000000"/>
              </w:rPr>
              <w:t>0.10</w:t>
            </w:r>
          </w:p>
        </w:tc>
      </w:tr>
      <w:tr w:rsidR="00AF0F02" w:rsidRPr="00D618B7" w14:paraId="7F4919E7" w14:textId="77777777" w:rsidTr="004B11B7">
        <w:trPr>
          <w:trHeight w:val="284"/>
        </w:trPr>
        <w:tc>
          <w:tcPr>
            <w:tcW w:w="1991" w:type="pct"/>
            <w:tcBorders>
              <w:top w:val="nil"/>
              <w:left w:val="nil"/>
              <w:bottom w:val="nil"/>
              <w:right w:val="nil"/>
            </w:tcBorders>
            <w:shd w:val="clear" w:color="000000" w:fill="FFFFFF"/>
            <w:vAlign w:val="center"/>
            <w:hideMark/>
          </w:tcPr>
          <w:p w14:paraId="292A7F2D" w14:textId="77777777" w:rsidR="00AF0F02" w:rsidRPr="00D618B7" w:rsidRDefault="00AF0F02" w:rsidP="004B11B7">
            <w:pPr>
              <w:jc w:val="center"/>
              <w:rPr>
                <w:color w:val="000000"/>
              </w:rPr>
            </w:pPr>
            <w:r w:rsidRPr="00D618B7">
              <w:rPr>
                <w:color w:val="000000"/>
              </w:rPr>
              <w:t>-2</w:t>
            </w:r>
          </w:p>
        </w:tc>
        <w:tc>
          <w:tcPr>
            <w:tcW w:w="752" w:type="pct"/>
            <w:tcBorders>
              <w:top w:val="nil"/>
              <w:left w:val="nil"/>
              <w:bottom w:val="nil"/>
              <w:right w:val="nil"/>
            </w:tcBorders>
            <w:shd w:val="clear" w:color="000000" w:fill="FFFFFF"/>
            <w:noWrap/>
            <w:vAlign w:val="center"/>
            <w:hideMark/>
          </w:tcPr>
          <w:p w14:paraId="5E5D9BB7" w14:textId="77777777" w:rsidR="00AF0F02" w:rsidRPr="00D618B7" w:rsidRDefault="00AF0F02" w:rsidP="004B11B7">
            <w:pPr>
              <w:jc w:val="right"/>
              <w:rPr>
                <w:color w:val="000000"/>
              </w:rPr>
            </w:pPr>
            <w:r w:rsidRPr="00D618B7">
              <w:rPr>
                <w:color w:val="000000"/>
              </w:rPr>
              <w:t>2.12</w:t>
            </w:r>
          </w:p>
        </w:tc>
        <w:tc>
          <w:tcPr>
            <w:tcW w:w="753" w:type="pct"/>
            <w:tcBorders>
              <w:top w:val="nil"/>
              <w:left w:val="nil"/>
              <w:bottom w:val="nil"/>
              <w:right w:val="nil"/>
            </w:tcBorders>
            <w:shd w:val="clear" w:color="000000" w:fill="FFFFFF"/>
            <w:noWrap/>
            <w:vAlign w:val="center"/>
            <w:hideMark/>
          </w:tcPr>
          <w:p w14:paraId="482BA86D" w14:textId="77777777" w:rsidR="00AF0F02" w:rsidRPr="00D618B7" w:rsidRDefault="00AF0F02" w:rsidP="004B11B7">
            <w:pPr>
              <w:jc w:val="right"/>
              <w:rPr>
                <w:color w:val="000000"/>
              </w:rPr>
            </w:pPr>
            <w:r w:rsidRPr="00D618B7">
              <w:rPr>
                <w:color w:val="000000"/>
              </w:rPr>
              <w:t>1.16</w:t>
            </w:r>
          </w:p>
        </w:tc>
        <w:tc>
          <w:tcPr>
            <w:tcW w:w="752" w:type="pct"/>
            <w:tcBorders>
              <w:top w:val="nil"/>
              <w:left w:val="nil"/>
              <w:bottom w:val="nil"/>
              <w:right w:val="nil"/>
            </w:tcBorders>
            <w:shd w:val="clear" w:color="000000" w:fill="FFFFFF"/>
            <w:noWrap/>
            <w:vAlign w:val="center"/>
            <w:hideMark/>
          </w:tcPr>
          <w:p w14:paraId="4DE93B7B" w14:textId="77777777" w:rsidR="00AF0F02" w:rsidRPr="00D618B7" w:rsidRDefault="00AF0F02" w:rsidP="004B11B7">
            <w:pPr>
              <w:jc w:val="right"/>
              <w:rPr>
                <w:color w:val="000000"/>
              </w:rPr>
            </w:pPr>
            <w:r w:rsidRPr="00D618B7">
              <w:rPr>
                <w:color w:val="000000"/>
              </w:rPr>
              <w:t>0.33</w:t>
            </w:r>
          </w:p>
        </w:tc>
        <w:tc>
          <w:tcPr>
            <w:tcW w:w="753" w:type="pct"/>
            <w:tcBorders>
              <w:top w:val="nil"/>
              <w:left w:val="nil"/>
              <w:bottom w:val="nil"/>
              <w:right w:val="nil"/>
            </w:tcBorders>
            <w:shd w:val="clear" w:color="000000" w:fill="FFFFFF"/>
            <w:noWrap/>
            <w:vAlign w:val="center"/>
            <w:hideMark/>
          </w:tcPr>
          <w:p w14:paraId="079BCE61" w14:textId="77777777" w:rsidR="00AF0F02" w:rsidRPr="00D618B7" w:rsidRDefault="00AF0F02" w:rsidP="004B11B7">
            <w:pPr>
              <w:jc w:val="right"/>
              <w:rPr>
                <w:color w:val="000000"/>
              </w:rPr>
            </w:pPr>
            <w:r w:rsidRPr="00D618B7">
              <w:rPr>
                <w:color w:val="000000"/>
              </w:rPr>
              <w:t>0.19</w:t>
            </w:r>
          </w:p>
        </w:tc>
      </w:tr>
      <w:tr w:rsidR="00AF0F02" w:rsidRPr="00D618B7" w14:paraId="3B4749AF" w14:textId="77777777" w:rsidTr="004B11B7">
        <w:trPr>
          <w:trHeight w:val="284"/>
        </w:trPr>
        <w:tc>
          <w:tcPr>
            <w:tcW w:w="1991" w:type="pct"/>
            <w:tcBorders>
              <w:top w:val="nil"/>
              <w:left w:val="nil"/>
              <w:bottom w:val="nil"/>
              <w:right w:val="nil"/>
            </w:tcBorders>
            <w:shd w:val="clear" w:color="000000" w:fill="FFFFFF"/>
            <w:vAlign w:val="center"/>
            <w:hideMark/>
          </w:tcPr>
          <w:p w14:paraId="3273BBBD" w14:textId="77777777" w:rsidR="00AF0F02" w:rsidRPr="00D618B7" w:rsidRDefault="00AF0F02" w:rsidP="004B11B7">
            <w:pPr>
              <w:jc w:val="center"/>
              <w:rPr>
                <w:color w:val="000000"/>
              </w:rPr>
            </w:pPr>
            <w:r w:rsidRPr="00D618B7">
              <w:rPr>
                <w:color w:val="000000"/>
              </w:rPr>
              <w:t>-1</w:t>
            </w:r>
          </w:p>
        </w:tc>
        <w:tc>
          <w:tcPr>
            <w:tcW w:w="752" w:type="pct"/>
            <w:tcBorders>
              <w:top w:val="nil"/>
              <w:left w:val="nil"/>
              <w:bottom w:val="nil"/>
              <w:right w:val="nil"/>
            </w:tcBorders>
            <w:shd w:val="clear" w:color="000000" w:fill="FFFFFF"/>
            <w:noWrap/>
            <w:vAlign w:val="center"/>
            <w:hideMark/>
          </w:tcPr>
          <w:p w14:paraId="1CF60F37" w14:textId="77777777" w:rsidR="00AF0F02" w:rsidRPr="00D618B7" w:rsidRDefault="00AF0F02" w:rsidP="004B11B7">
            <w:pPr>
              <w:jc w:val="right"/>
              <w:rPr>
                <w:color w:val="000000"/>
              </w:rPr>
            </w:pPr>
            <w:r w:rsidRPr="00D618B7">
              <w:rPr>
                <w:color w:val="000000"/>
              </w:rPr>
              <w:t>2.50</w:t>
            </w:r>
          </w:p>
        </w:tc>
        <w:tc>
          <w:tcPr>
            <w:tcW w:w="753" w:type="pct"/>
            <w:tcBorders>
              <w:top w:val="nil"/>
              <w:left w:val="nil"/>
              <w:bottom w:val="nil"/>
              <w:right w:val="nil"/>
            </w:tcBorders>
            <w:shd w:val="clear" w:color="000000" w:fill="FFFFFF"/>
            <w:noWrap/>
            <w:vAlign w:val="center"/>
            <w:hideMark/>
          </w:tcPr>
          <w:p w14:paraId="26B26462" w14:textId="77777777" w:rsidR="00AF0F02" w:rsidRPr="00D618B7" w:rsidRDefault="00AF0F02" w:rsidP="004B11B7">
            <w:pPr>
              <w:jc w:val="right"/>
              <w:rPr>
                <w:color w:val="000000"/>
              </w:rPr>
            </w:pPr>
            <w:r w:rsidRPr="00D618B7">
              <w:rPr>
                <w:color w:val="000000"/>
              </w:rPr>
              <w:t>0.56</w:t>
            </w:r>
          </w:p>
        </w:tc>
        <w:tc>
          <w:tcPr>
            <w:tcW w:w="752" w:type="pct"/>
            <w:tcBorders>
              <w:top w:val="nil"/>
              <w:left w:val="nil"/>
              <w:bottom w:val="nil"/>
              <w:right w:val="nil"/>
            </w:tcBorders>
            <w:shd w:val="clear" w:color="000000" w:fill="FFFFFF"/>
            <w:noWrap/>
            <w:vAlign w:val="center"/>
            <w:hideMark/>
          </w:tcPr>
          <w:p w14:paraId="24C1CE4F" w14:textId="77777777" w:rsidR="00AF0F02" w:rsidRPr="00D618B7" w:rsidRDefault="00AF0F02" w:rsidP="004B11B7">
            <w:pPr>
              <w:jc w:val="right"/>
              <w:rPr>
                <w:color w:val="000000"/>
              </w:rPr>
            </w:pPr>
            <w:r w:rsidRPr="00D618B7">
              <w:rPr>
                <w:color w:val="000000"/>
              </w:rPr>
              <w:t>0.04</w:t>
            </w:r>
          </w:p>
        </w:tc>
        <w:tc>
          <w:tcPr>
            <w:tcW w:w="753" w:type="pct"/>
            <w:tcBorders>
              <w:top w:val="nil"/>
              <w:left w:val="nil"/>
              <w:bottom w:val="nil"/>
              <w:right w:val="nil"/>
            </w:tcBorders>
            <w:shd w:val="clear" w:color="000000" w:fill="FFFFFF"/>
            <w:noWrap/>
            <w:vAlign w:val="center"/>
            <w:hideMark/>
          </w:tcPr>
          <w:p w14:paraId="3A1463D9" w14:textId="77777777" w:rsidR="00AF0F02" w:rsidRPr="00D618B7" w:rsidRDefault="00AF0F02" w:rsidP="004B11B7">
            <w:pPr>
              <w:jc w:val="right"/>
              <w:rPr>
                <w:color w:val="000000"/>
              </w:rPr>
            </w:pPr>
            <w:r w:rsidRPr="00D618B7">
              <w:rPr>
                <w:color w:val="000000"/>
              </w:rPr>
              <w:t>0.27</w:t>
            </w:r>
          </w:p>
        </w:tc>
      </w:tr>
      <w:tr w:rsidR="00AF0F02" w:rsidRPr="00D618B7" w14:paraId="10CA0D55" w14:textId="77777777" w:rsidTr="004B11B7">
        <w:trPr>
          <w:trHeight w:val="284"/>
        </w:trPr>
        <w:tc>
          <w:tcPr>
            <w:tcW w:w="1991" w:type="pct"/>
            <w:tcBorders>
              <w:top w:val="nil"/>
              <w:left w:val="nil"/>
              <w:bottom w:val="nil"/>
              <w:right w:val="nil"/>
            </w:tcBorders>
            <w:shd w:val="clear" w:color="000000" w:fill="FFFFFF"/>
            <w:vAlign w:val="center"/>
            <w:hideMark/>
          </w:tcPr>
          <w:p w14:paraId="38E28DD9" w14:textId="77777777" w:rsidR="00AF0F02" w:rsidRPr="00D618B7" w:rsidRDefault="00AF0F02" w:rsidP="004B11B7">
            <w:pPr>
              <w:jc w:val="center"/>
              <w:rPr>
                <w:color w:val="000000"/>
              </w:rPr>
            </w:pPr>
            <w:r w:rsidRPr="00D618B7">
              <w:rPr>
                <w:color w:val="000000"/>
              </w:rPr>
              <w:t>0</w:t>
            </w:r>
          </w:p>
        </w:tc>
        <w:tc>
          <w:tcPr>
            <w:tcW w:w="752" w:type="pct"/>
            <w:tcBorders>
              <w:top w:val="nil"/>
              <w:left w:val="nil"/>
              <w:bottom w:val="nil"/>
              <w:right w:val="nil"/>
            </w:tcBorders>
            <w:shd w:val="clear" w:color="000000" w:fill="FFFFFF"/>
            <w:noWrap/>
            <w:vAlign w:val="center"/>
            <w:hideMark/>
          </w:tcPr>
          <w:p w14:paraId="66689E6A" w14:textId="77777777" w:rsidR="00AF0F02" w:rsidRPr="00D618B7" w:rsidRDefault="00AF0F02" w:rsidP="004B11B7">
            <w:pPr>
              <w:jc w:val="right"/>
              <w:rPr>
                <w:color w:val="000000"/>
              </w:rPr>
            </w:pPr>
            <w:r w:rsidRPr="00D618B7">
              <w:rPr>
                <w:color w:val="000000"/>
              </w:rPr>
              <w:t>2.14</w:t>
            </w:r>
          </w:p>
        </w:tc>
        <w:tc>
          <w:tcPr>
            <w:tcW w:w="753" w:type="pct"/>
            <w:tcBorders>
              <w:top w:val="nil"/>
              <w:left w:val="nil"/>
              <w:bottom w:val="nil"/>
              <w:right w:val="nil"/>
            </w:tcBorders>
            <w:shd w:val="clear" w:color="000000" w:fill="FFFFFF"/>
            <w:noWrap/>
            <w:vAlign w:val="center"/>
            <w:hideMark/>
          </w:tcPr>
          <w:p w14:paraId="56922784" w14:textId="77777777" w:rsidR="00AF0F02" w:rsidRPr="00D618B7" w:rsidRDefault="00AF0F02" w:rsidP="004B11B7">
            <w:pPr>
              <w:jc w:val="right"/>
              <w:rPr>
                <w:color w:val="000000"/>
              </w:rPr>
            </w:pPr>
            <w:r w:rsidRPr="00D618B7">
              <w:rPr>
                <w:color w:val="000000"/>
              </w:rPr>
              <w:t>0.41</w:t>
            </w:r>
          </w:p>
        </w:tc>
        <w:tc>
          <w:tcPr>
            <w:tcW w:w="752" w:type="pct"/>
            <w:tcBorders>
              <w:top w:val="nil"/>
              <w:left w:val="nil"/>
              <w:bottom w:val="nil"/>
              <w:right w:val="nil"/>
            </w:tcBorders>
            <w:shd w:val="clear" w:color="000000" w:fill="FFFFFF"/>
            <w:noWrap/>
            <w:vAlign w:val="center"/>
            <w:hideMark/>
          </w:tcPr>
          <w:p w14:paraId="4002D915" w14:textId="77777777" w:rsidR="00AF0F02" w:rsidRPr="00D618B7" w:rsidRDefault="00AF0F02" w:rsidP="004B11B7">
            <w:pPr>
              <w:jc w:val="right"/>
              <w:rPr>
                <w:color w:val="000000"/>
              </w:rPr>
            </w:pPr>
            <w:r w:rsidRPr="00D618B7">
              <w:rPr>
                <w:color w:val="000000"/>
              </w:rPr>
              <w:t>0.81</w:t>
            </w:r>
          </w:p>
        </w:tc>
        <w:tc>
          <w:tcPr>
            <w:tcW w:w="753" w:type="pct"/>
            <w:tcBorders>
              <w:top w:val="nil"/>
              <w:left w:val="nil"/>
              <w:bottom w:val="nil"/>
              <w:right w:val="nil"/>
            </w:tcBorders>
            <w:shd w:val="clear" w:color="000000" w:fill="FFFFFF"/>
            <w:noWrap/>
            <w:vAlign w:val="center"/>
            <w:hideMark/>
          </w:tcPr>
          <w:p w14:paraId="484EC435" w14:textId="77777777" w:rsidR="00AF0F02" w:rsidRPr="00D618B7" w:rsidRDefault="00AF0F02" w:rsidP="004B11B7">
            <w:pPr>
              <w:jc w:val="right"/>
              <w:rPr>
                <w:color w:val="000000"/>
              </w:rPr>
            </w:pPr>
            <w:r w:rsidRPr="00D618B7">
              <w:rPr>
                <w:color w:val="000000"/>
              </w:rPr>
              <w:t>0.24</w:t>
            </w:r>
          </w:p>
        </w:tc>
      </w:tr>
      <w:tr w:rsidR="00AF0F02" w:rsidRPr="00D618B7" w14:paraId="6FAF0EEF" w14:textId="77777777" w:rsidTr="004B11B7">
        <w:trPr>
          <w:trHeight w:val="284"/>
        </w:trPr>
        <w:tc>
          <w:tcPr>
            <w:tcW w:w="1991" w:type="pct"/>
            <w:tcBorders>
              <w:top w:val="nil"/>
              <w:left w:val="nil"/>
              <w:bottom w:val="nil"/>
              <w:right w:val="nil"/>
            </w:tcBorders>
            <w:shd w:val="clear" w:color="000000" w:fill="FFFFFF"/>
            <w:vAlign w:val="center"/>
            <w:hideMark/>
          </w:tcPr>
          <w:p w14:paraId="326E34D2" w14:textId="77777777" w:rsidR="00AF0F02" w:rsidRPr="00D618B7" w:rsidRDefault="00AF0F02" w:rsidP="004B11B7">
            <w:pPr>
              <w:jc w:val="center"/>
              <w:rPr>
                <w:color w:val="000000"/>
              </w:rPr>
            </w:pPr>
            <w:r w:rsidRPr="00D618B7">
              <w:rPr>
                <w:color w:val="000000"/>
              </w:rPr>
              <w:t>1</w:t>
            </w:r>
          </w:p>
        </w:tc>
        <w:tc>
          <w:tcPr>
            <w:tcW w:w="752" w:type="pct"/>
            <w:tcBorders>
              <w:top w:val="nil"/>
              <w:left w:val="nil"/>
              <w:bottom w:val="nil"/>
              <w:right w:val="nil"/>
            </w:tcBorders>
            <w:shd w:val="clear" w:color="000000" w:fill="FFFFFF"/>
            <w:noWrap/>
            <w:vAlign w:val="center"/>
            <w:hideMark/>
          </w:tcPr>
          <w:p w14:paraId="48ED25F1" w14:textId="77777777" w:rsidR="00AF0F02" w:rsidRPr="00D618B7" w:rsidRDefault="00AF0F02" w:rsidP="004B11B7">
            <w:pPr>
              <w:jc w:val="right"/>
              <w:rPr>
                <w:color w:val="000000"/>
              </w:rPr>
            </w:pPr>
            <w:r w:rsidRPr="00D618B7">
              <w:rPr>
                <w:color w:val="000000"/>
              </w:rPr>
              <w:t>0.55</w:t>
            </w:r>
          </w:p>
        </w:tc>
        <w:tc>
          <w:tcPr>
            <w:tcW w:w="753" w:type="pct"/>
            <w:tcBorders>
              <w:top w:val="nil"/>
              <w:left w:val="nil"/>
              <w:bottom w:val="nil"/>
              <w:right w:val="nil"/>
            </w:tcBorders>
            <w:shd w:val="clear" w:color="000000" w:fill="FFFFFF"/>
            <w:noWrap/>
            <w:vAlign w:val="center"/>
            <w:hideMark/>
          </w:tcPr>
          <w:p w14:paraId="4CD57D98" w14:textId="77777777" w:rsidR="00AF0F02" w:rsidRPr="00D618B7" w:rsidRDefault="00AF0F02" w:rsidP="004B11B7">
            <w:pPr>
              <w:jc w:val="right"/>
              <w:rPr>
                <w:color w:val="000000"/>
              </w:rPr>
            </w:pPr>
            <w:r w:rsidRPr="00D618B7">
              <w:rPr>
                <w:color w:val="000000"/>
              </w:rPr>
              <w:t>0.25</w:t>
            </w:r>
          </w:p>
        </w:tc>
        <w:tc>
          <w:tcPr>
            <w:tcW w:w="752" w:type="pct"/>
            <w:tcBorders>
              <w:top w:val="nil"/>
              <w:left w:val="nil"/>
              <w:bottom w:val="nil"/>
              <w:right w:val="nil"/>
            </w:tcBorders>
            <w:shd w:val="clear" w:color="000000" w:fill="FFFFFF"/>
            <w:noWrap/>
            <w:vAlign w:val="center"/>
            <w:hideMark/>
          </w:tcPr>
          <w:p w14:paraId="35401167" w14:textId="77777777" w:rsidR="00AF0F02" w:rsidRPr="00D618B7" w:rsidRDefault="00AF0F02" w:rsidP="004B11B7">
            <w:pPr>
              <w:jc w:val="right"/>
              <w:rPr>
                <w:color w:val="000000"/>
              </w:rPr>
            </w:pPr>
            <w:r w:rsidRPr="00D618B7">
              <w:rPr>
                <w:color w:val="000000"/>
              </w:rPr>
              <w:t>0.75</w:t>
            </w:r>
          </w:p>
        </w:tc>
        <w:tc>
          <w:tcPr>
            <w:tcW w:w="753" w:type="pct"/>
            <w:tcBorders>
              <w:top w:val="nil"/>
              <w:left w:val="nil"/>
              <w:bottom w:val="nil"/>
              <w:right w:val="nil"/>
            </w:tcBorders>
            <w:shd w:val="clear" w:color="000000" w:fill="FFFFFF"/>
            <w:noWrap/>
            <w:vAlign w:val="center"/>
            <w:hideMark/>
          </w:tcPr>
          <w:p w14:paraId="75E86672" w14:textId="77777777" w:rsidR="00AF0F02" w:rsidRPr="00D618B7" w:rsidRDefault="00AF0F02" w:rsidP="004B11B7">
            <w:pPr>
              <w:jc w:val="right"/>
              <w:rPr>
                <w:color w:val="000000"/>
              </w:rPr>
            </w:pPr>
            <w:r w:rsidRPr="00D618B7">
              <w:rPr>
                <w:color w:val="000000"/>
              </w:rPr>
              <w:t>0.22</w:t>
            </w:r>
          </w:p>
        </w:tc>
      </w:tr>
      <w:tr w:rsidR="00AF0F02" w:rsidRPr="00D618B7" w14:paraId="669EB230" w14:textId="77777777" w:rsidTr="004B11B7">
        <w:trPr>
          <w:trHeight w:val="284"/>
        </w:trPr>
        <w:tc>
          <w:tcPr>
            <w:tcW w:w="1991" w:type="pct"/>
            <w:tcBorders>
              <w:top w:val="nil"/>
              <w:left w:val="nil"/>
              <w:bottom w:val="nil"/>
              <w:right w:val="nil"/>
            </w:tcBorders>
            <w:shd w:val="clear" w:color="000000" w:fill="FFFFFF"/>
            <w:vAlign w:val="center"/>
            <w:hideMark/>
          </w:tcPr>
          <w:p w14:paraId="29DCD9D7" w14:textId="77777777" w:rsidR="00AF0F02" w:rsidRPr="00D618B7" w:rsidRDefault="00AF0F02" w:rsidP="004B11B7">
            <w:pPr>
              <w:jc w:val="center"/>
              <w:rPr>
                <w:color w:val="000000"/>
              </w:rPr>
            </w:pPr>
            <w:r w:rsidRPr="00D618B7">
              <w:rPr>
                <w:color w:val="000000"/>
              </w:rPr>
              <w:t>2</w:t>
            </w:r>
          </w:p>
        </w:tc>
        <w:tc>
          <w:tcPr>
            <w:tcW w:w="752" w:type="pct"/>
            <w:tcBorders>
              <w:top w:val="nil"/>
              <w:left w:val="nil"/>
              <w:bottom w:val="nil"/>
              <w:right w:val="nil"/>
            </w:tcBorders>
            <w:shd w:val="clear" w:color="000000" w:fill="FFFFFF"/>
            <w:noWrap/>
            <w:vAlign w:val="center"/>
            <w:hideMark/>
          </w:tcPr>
          <w:p w14:paraId="189DE00E" w14:textId="77777777" w:rsidR="00AF0F02" w:rsidRPr="00D618B7" w:rsidRDefault="00AF0F02" w:rsidP="004B11B7">
            <w:pPr>
              <w:jc w:val="right"/>
              <w:rPr>
                <w:color w:val="000000"/>
              </w:rPr>
            </w:pPr>
            <w:r w:rsidRPr="00D618B7">
              <w:rPr>
                <w:color w:val="000000"/>
              </w:rPr>
              <w:t>0.51</w:t>
            </w:r>
          </w:p>
        </w:tc>
        <w:tc>
          <w:tcPr>
            <w:tcW w:w="753" w:type="pct"/>
            <w:tcBorders>
              <w:top w:val="nil"/>
              <w:left w:val="nil"/>
              <w:bottom w:val="nil"/>
              <w:right w:val="nil"/>
            </w:tcBorders>
            <w:shd w:val="clear" w:color="000000" w:fill="FFFFFF"/>
            <w:noWrap/>
            <w:vAlign w:val="center"/>
            <w:hideMark/>
          </w:tcPr>
          <w:p w14:paraId="7BA92F7B" w14:textId="77777777" w:rsidR="00AF0F02" w:rsidRPr="00D618B7" w:rsidRDefault="00AF0F02" w:rsidP="004B11B7">
            <w:pPr>
              <w:jc w:val="right"/>
              <w:rPr>
                <w:color w:val="000000"/>
              </w:rPr>
            </w:pPr>
            <w:r w:rsidRPr="00D618B7">
              <w:rPr>
                <w:color w:val="000000"/>
              </w:rPr>
              <w:t>0.30</w:t>
            </w:r>
          </w:p>
        </w:tc>
        <w:tc>
          <w:tcPr>
            <w:tcW w:w="752" w:type="pct"/>
            <w:tcBorders>
              <w:top w:val="nil"/>
              <w:left w:val="nil"/>
              <w:bottom w:val="nil"/>
              <w:right w:val="nil"/>
            </w:tcBorders>
            <w:shd w:val="clear" w:color="000000" w:fill="FFFFFF"/>
            <w:noWrap/>
            <w:vAlign w:val="center"/>
            <w:hideMark/>
          </w:tcPr>
          <w:p w14:paraId="248F7CF1" w14:textId="77777777" w:rsidR="00AF0F02" w:rsidRPr="00D618B7" w:rsidRDefault="00AF0F02" w:rsidP="004B11B7">
            <w:pPr>
              <w:jc w:val="right"/>
              <w:rPr>
                <w:color w:val="000000"/>
              </w:rPr>
            </w:pPr>
            <w:r w:rsidRPr="00D618B7">
              <w:rPr>
                <w:color w:val="000000"/>
              </w:rPr>
              <w:t>1.07</w:t>
            </w:r>
          </w:p>
        </w:tc>
        <w:tc>
          <w:tcPr>
            <w:tcW w:w="753" w:type="pct"/>
            <w:tcBorders>
              <w:top w:val="nil"/>
              <w:left w:val="nil"/>
              <w:bottom w:val="nil"/>
              <w:right w:val="nil"/>
            </w:tcBorders>
            <w:shd w:val="clear" w:color="000000" w:fill="FFFFFF"/>
            <w:noWrap/>
            <w:vAlign w:val="center"/>
            <w:hideMark/>
          </w:tcPr>
          <w:p w14:paraId="2FB8FBC0" w14:textId="77777777" w:rsidR="00AF0F02" w:rsidRPr="00D618B7" w:rsidRDefault="00AF0F02" w:rsidP="004B11B7">
            <w:pPr>
              <w:jc w:val="right"/>
              <w:rPr>
                <w:color w:val="000000"/>
              </w:rPr>
            </w:pPr>
            <w:r w:rsidRPr="00D618B7">
              <w:rPr>
                <w:color w:val="000000"/>
              </w:rPr>
              <w:t>0.11</w:t>
            </w:r>
          </w:p>
        </w:tc>
      </w:tr>
      <w:tr w:rsidR="00AF0F02" w:rsidRPr="00D618B7" w14:paraId="1EC974C0" w14:textId="77777777" w:rsidTr="004B11B7">
        <w:trPr>
          <w:trHeight w:val="284"/>
        </w:trPr>
        <w:tc>
          <w:tcPr>
            <w:tcW w:w="1991" w:type="pct"/>
            <w:tcBorders>
              <w:top w:val="nil"/>
              <w:left w:val="nil"/>
              <w:bottom w:val="nil"/>
              <w:right w:val="nil"/>
            </w:tcBorders>
            <w:shd w:val="clear" w:color="000000" w:fill="FFFFFF"/>
            <w:vAlign w:val="center"/>
            <w:hideMark/>
          </w:tcPr>
          <w:p w14:paraId="7126D98A" w14:textId="77777777" w:rsidR="00AF0F02" w:rsidRPr="00D618B7" w:rsidRDefault="00AF0F02" w:rsidP="004B11B7">
            <w:pPr>
              <w:jc w:val="center"/>
              <w:rPr>
                <w:color w:val="000000"/>
              </w:rPr>
            </w:pPr>
            <w:r w:rsidRPr="00D618B7">
              <w:rPr>
                <w:color w:val="000000"/>
              </w:rPr>
              <w:t>3</w:t>
            </w:r>
          </w:p>
        </w:tc>
        <w:tc>
          <w:tcPr>
            <w:tcW w:w="752" w:type="pct"/>
            <w:tcBorders>
              <w:top w:val="nil"/>
              <w:left w:val="nil"/>
              <w:bottom w:val="nil"/>
              <w:right w:val="nil"/>
            </w:tcBorders>
            <w:shd w:val="clear" w:color="000000" w:fill="FFFFFF"/>
            <w:noWrap/>
            <w:vAlign w:val="center"/>
            <w:hideMark/>
          </w:tcPr>
          <w:p w14:paraId="7A7477DE" w14:textId="77777777" w:rsidR="00AF0F02" w:rsidRPr="00D618B7" w:rsidRDefault="00AF0F02" w:rsidP="004B11B7">
            <w:pPr>
              <w:jc w:val="right"/>
              <w:rPr>
                <w:color w:val="000000"/>
              </w:rPr>
            </w:pPr>
            <w:r w:rsidRPr="00D618B7">
              <w:rPr>
                <w:color w:val="000000"/>
              </w:rPr>
              <w:t>1.03</w:t>
            </w:r>
          </w:p>
        </w:tc>
        <w:tc>
          <w:tcPr>
            <w:tcW w:w="753" w:type="pct"/>
            <w:tcBorders>
              <w:top w:val="nil"/>
              <w:left w:val="nil"/>
              <w:bottom w:val="nil"/>
              <w:right w:val="nil"/>
            </w:tcBorders>
            <w:shd w:val="clear" w:color="000000" w:fill="FFFFFF"/>
            <w:noWrap/>
            <w:vAlign w:val="center"/>
            <w:hideMark/>
          </w:tcPr>
          <w:p w14:paraId="61277FD9" w14:textId="77777777" w:rsidR="00AF0F02" w:rsidRPr="00D618B7" w:rsidRDefault="00AF0F02" w:rsidP="004B11B7">
            <w:pPr>
              <w:jc w:val="right"/>
              <w:rPr>
                <w:color w:val="000000"/>
              </w:rPr>
            </w:pPr>
            <w:r w:rsidRPr="00D618B7">
              <w:rPr>
                <w:color w:val="000000"/>
              </w:rPr>
              <w:t>0.52</w:t>
            </w:r>
          </w:p>
        </w:tc>
        <w:tc>
          <w:tcPr>
            <w:tcW w:w="752" w:type="pct"/>
            <w:tcBorders>
              <w:top w:val="nil"/>
              <w:left w:val="nil"/>
              <w:bottom w:val="nil"/>
              <w:right w:val="nil"/>
            </w:tcBorders>
            <w:shd w:val="clear" w:color="000000" w:fill="FFFFFF"/>
            <w:noWrap/>
            <w:vAlign w:val="center"/>
            <w:hideMark/>
          </w:tcPr>
          <w:p w14:paraId="43609FF1" w14:textId="77777777" w:rsidR="00AF0F02" w:rsidRPr="00D618B7" w:rsidRDefault="00AF0F02" w:rsidP="004B11B7">
            <w:pPr>
              <w:jc w:val="right"/>
              <w:rPr>
                <w:color w:val="000000"/>
              </w:rPr>
            </w:pPr>
            <w:r w:rsidRPr="00D618B7">
              <w:rPr>
                <w:color w:val="000000"/>
              </w:rPr>
              <w:t>0.68</w:t>
            </w:r>
          </w:p>
        </w:tc>
        <w:tc>
          <w:tcPr>
            <w:tcW w:w="753" w:type="pct"/>
            <w:tcBorders>
              <w:top w:val="nil"/>
              <w:left w:val="nil"/>
              <w:bottom w:val="nil"/>
              <w:right w:val="nil"/>
            </w:tcBorders>
            <w:shd w:val="clear" w:color="000000" w:fill="FFFFFF"/>
            <w:noWrap/>
            <w:vAlign w:val="center"/>
            <w:hideMark/>
          </w:tcPr>
          <w:p w14:paraId="6CE4C0E8" w14:textId="77777777" w:rsidR="00AF0F02" w:rsidRPr="00D618B7" w:rsidRDefault="00AF0F02" w:rsidP="004B11B7">
            <w:pPr>
              <w:jc w:val="right"/>
              <w:rPr>
                <w:color w:val="000000"/>
              </w:rPr>
            </w:pPr>
            <w:r w:rsidRPr="00D618B7">
              <w:rPr>
                <w:color w:val="000000"/>
              </w:rPr>
              <w:t>0.18</w:t>
            </w:r>
          </w:p>
        </w:tc>
      </w:tr>
      <w:tr w:rsidR="00AF0F02" w:rsidRPr="00D618B7" w14:paraId="5EF25AD3" w14:textId="77777777" w:rsidTr="004B11B7">
        <w:trPr>
          <w:trHeight w:val="284"/>
        </w:trPr>
        <w:tc>
          <w:tcPr>
            <w:tcW w:w="1991" w:type="pct"/>
            <w:tcBorders>
              <w:top w:val="nil"/>
              <w:left w:val="nil"/>
              <w:bottom w:val="nil"/>
              <w:right w:val="nil"/>
            </w:tcBorders>
            <w:shd w:val="clear" w:color="000000" w:fill="FFFFFF"/>
            <w:vAlign w:val="center"/>
            <w:hideMark/>
          </w:tcPr>
          <w:p w14:paraId="3190B5F4" w14:textId="77777777" w:rsidR="00AF0F02" w:rsidRPr="00D618B7" w:rsidRDefault="00AF0F02" w:rsidP="004B11B7">
            <w:pPr>
              <w:jc w:val="center"/>
              <w:rPr>
                <w:color w:val="000000"/>
              </w:rPr>
            </w:pPr>
            <w:r w:rsidRPr="00D618B7">
              <w:rPr>
                <w:color w:val="000000"/>
              </w:rPr>
              <w:t>4</w:t>
            </w:r>
          </w:p>
        </w:tc>
        <w:tc>
          <w:tcPr>
            <w:tcW w:w="752" w:type="pct"/>
            <w:tcBorders>
              <w:top w:val="nil"/>
              <w:left w:val="nil"/>
              <w:bottom w:val="nil"/>
              <w:right w:val="nil"/>
            </w:tcBorders>
            <w:shd w:val="clear" w:color="000000" w:fill="FFFFFF"/>
            <w:noWrap/>
            <w:vAlign w:val="center"/>
            <w:hideMark/>
          </w:tcPr>
          <w:p w14:paraId="17A12111" w14:textId="77777777" w:rsidR="00AF0F02" w:rsidRPr="00D618B7" w:rsidRDefault="00AF0F02" w:rsidP="004B11B7">
            <w:pPr>
              <w:jc w:val="right"/>
              <w:rPr>
                <w:color w:val="000000"/>
              </w:rPr>
            </w:pPr>
            <w:r w:rsidRPr="00D618B7">
              <w:rPr>
                <w:color w:val="000000"/>
              </w:rPr>
              <w:t>1.51</w:t>
            </w:r>
          </w:p>
        </w:tc>
        <w:tc>
          <w:tcPr>
            <w:tcW w:w="753" w:type="pct"/>
            <w:tcBorders>
              <w:top w:val="nil"/>
              <w:left w:val="nil"/>
              <w:bottom w:val="nil"/>
              <w:right w:val="nil"/>
            </w:tcBorders>
            <w:shd w:val="clear" w:color="000000" w:fill="FFFFFF"/>
            <w:noWrap/>
            <w:vAlign w:val="center"/>
            <w:hideMark/>
          </w:tcPr>
          <w:p w14:paraId="1B7E5156" w14:textId="77777777" w:rsidR="00AF0F02" w:rsidRPr="00D618B7" w:rsidRDefault="00AF0F02" w:rsidP="004B11B7">
            <w:pPr>
              <w:jc w:val="right"/>
              <w:rPr>
                <w:color w:val="000000"/>
              </w:rPr>
            </w:pPr>
            <w:r w:rsidRPr="00D618B7">
              <w:rPr>
                <w:color w:val="000000"/>
              </w:rPr>
              <w:t>0.76</w:t>
            </w:r>
          </w:p>
        </w:tc>
        <w:tc>
          <w:tcPr>
            <w:tcW w:w="752" w:type="pct"/>
            <w:tcBorders>
              <w:top w:val="nil"/>
              <w:left w:val="nil"/>
              <w:bottom w:val="nil"/>
              <w:right w:val="nil"/>
            </w:tcBorders>
            <w:shd w:val="clear" w:color="000000" w:fill="FFFFFF"/>
            <w:noWrap/>
            <w:vAlign w:val="center"/>
            <w:hideMark/>
          </w:tcPr>
          <w:p w14:paraId="580300A5" w14:textId="77777777" w:rsidR="00AF0F02" w:rsidRPr="00D618B7" w:rsidRDefault="00AF0F02" w:rsidP="004B11B7">
            <w:pPr>
              <w:jc w:val="right"/>
              <w:rPr>
                <w:color w:val="000000"/>
              </w:rPr>
            </w:pPr>
            <w:r w:rsidRPr="00D618B7">
              <w:rPr>
                <w:color w:val="000000"/>
              </w:rPr>
              <w:t>1.29</w:t>
            </w:r>
          </w:p>
        </w:tc>
        <w:tc>
          <w:tcPr>
            <w:tcW w:w="753" w:type="pct"/>
            <w:tcBorders>
              <w:top w:val="nil"/>
              <w:left w:val="nil"/>
              <w:bottom w:val="nil"/>
              <w:right w:val="nil"/>
            </w:tcBorders>
            <w:shd w:val="clear" w:color="000000" w:fill="FFFFFF"/>
            <w:noWrap/>
            <w:vAlign w:val="center"/>
            <w:hideMark/>
          </w:tcPr>
          <w:p w14:paraId="063CA0D2" w14:textId="77777777" w:rsidR="00AF0F02" w:rsidRPr="00D618B7" w:rsidRDefault="00AF0F02" w:rsidP="004B11B7">
            <w:pPr>
              <w:jc w:val="right"/>
              <w:rPr>
                <w:color w:val="000000"/>
              </w:rPr>
            </w:pPr>
            <w:r w:rsidRPr="00D618B7">
              <w:rPr>
                <w:color w:val="000000"/>
              </w:rPr>
              <w:t>0.18</w:t>
            </w:r>
          </w:p>
        </w:tc>
      </w:tr>
      <w:tr w:rsidR="00AF0F02" w:rsidRPr="00D618B7" w14:paraId="7F2A8D6E" w14:textId="77777777" w:rsidTr="004B11B7">
        <w:trPr>
          <w:trHeight w:val="284"/>
        </w:trPr>
        <w:tc>
          <w:tcPr>
            <w:tcW w:w="1991" w:type="pct"/>
            <w:tcBorders>
              <w:top w:val="nil"/>
              <w:left w:val="nil"/>
              <w:bottom w:val="single" w:sz="8" w:space="0" w:color="auto"/>
              <w:right w:val="nil"/>
            </w:tcBorders>
            <w:shd w:val="clear" w:color="000000" w:fill="FFFFFF"/>
            <w:vAlign w:val="center"/>
            <w:hideMark/>
          </w:tcPr>
          <w:p w14:paraId="129335E2" w14:textId="77777777" w:rsidR="00AF0F02" w:rsidRPr="00D618B7" w:rsidRDefault="00AF0F02" w:rsidP="004B11B7">
            <w:pPr>
              <w:jc w:val="center"/>
              <w:rPr>
                <w:color w:val="000000"/>
              </w:rPr>
            </w:pPr>
            <w:r w:rsidRPr="00D618B7">
              <w:rPr>
                <w:color w:val="000000"/>
              </w:rPr>
              <w:t>5</w:t>
            </w:r>
          </w:p>
        </w:tc>
        <w:tc>
          <w:tcPr>
            <w:tcW w:w="752" w:type="pct"/>
            <w:tcBorders>
              <w:top w:val="nil"/>
              <w:left w:val="nil"/>
              <w:bottom w:val="single" w:sz="8" w:space="0" w:color="auto"/>
              <w:right w:val="nil"/>
            </w:tcBorders>
            <w:shd w:val="clear" w:color="000000" w:fill="FFFFFF"/>
            <w:noWrap/>
            <w:vAlign w:val="center"/>
            <w:hideMark/>
          </w:tcPr>
          <w:p w14:paraId="3486E1CA" w14:textId="77777777" w:rsidR="00AF0F02" w:rsidRPr="00D618B7" w:rsidRDefault="00AF0F02" w:rsidP="004B11B7">
            <w:pPr>
              <w:jc w:val="right"/>
              <w:rPr>
                <w:color w:val="000000"/>
              </w:rPr>
            </w:pPr>
            <w:r w:rsidRPr="00D618B7">
              <w:rPr>
                <w:color w:val="000000"/>
              </w:rPr>
              <w:t>0.78</w:t>
            </w:r>
          </w:p>
        </w:tc>
        <w:tc>
          <w:tcPr>
            <w:tcW w:w="753" w:type="pct"/>
            <w:tcBorders>
              <w:top w:val="nil"/>
              <w:left w:val="nil"/>
              <w:bottom w:val="single" w:sz="8" w:space="0" w:color="auto"/>
              <w:right w:val="nil"/>
            </w:tcBorders>
            <w:shd w:val="clear" w:color="000000" w:fill="FFFFFF"/>
            <w:noWrap/>
            <w:vAlign w:val="center"/>
            <w:hideMark/>
          </w:tcPr>
          <w:p w14:paraId="3590CF2F" w14:textId="77777777" w:rsidR="00AF0F02" w:rsidRPr="00D618B7" w:rsidRDefault="00AF0F02" w:rsidP="004B11B7">
            <w:pPr>
              <w:jc w:val="right"/>
              <w:rPr>
                <w:color w:val="000000"/>
              </w:rPr>
            </w:pPr>
            <w:r w:rsidRPr="00D618B7">
              <w:rPr>
                <w:color w:val="000000"/>
              </w:rPr>
              <w:t>0.40</w:t>
            </w:r>
          </w:p>
        </w:tc>
        <w:tc>
          <w:tcPr>
            <w:tcW w:w="752" w:type="pct"/>
            <w:tcBorders>
              <w:top w:val="nil"/>
              <w:left w:val="nil"/>
              <w:bottom w:val="single" w:sz="8" w:space="0" w:color="auto"/>
              <w:right w:val="nil"/>
            </w:tcBorders>
            <w:shd w:val="clear" w:color="000000" w:fill="FFFFFF"/>
            <w:noWrap/>
            <w:vAlign w:val="center"/>
            <w:hideMark/>
          </w:tcPr>
          <w:p w14:paraId="0F691EE3" w14:textId="77777777" w:rsidR="00AF0F02" w:rsidRPr="00D618B7" w:rsidRDefault="00AF0F02" w:rsidP="004B11B7">
            <w:pPr>
              <w:jc w:val="right"/>
              <w:rPr>
                <w:color w:val="000000"/>
              </w:rPr>
            </w:pPr>
            <w:r w:rsidRPr="00D618B7">
              <w:rPr>
                <w:color w:val="000000"/>
              </w:rPr>
              <w:t>0.25</w:t>
            </w:r>
          </w:p>
        </w:tc>
        <w:tc>
          <w:tcPr>
            <w:tcW w:w="753" w:type="pct"/>
            <w:tcBorders>
              <w:top w:val="nil"/>
              <w:left w:val="nil"/>
              <w:bottom w:val="single" w:sz="8" w:space="0" w:color="auto"/>
              <w:right w:val="nil"/>
            </w:tcBorders>
            <w:shd w:val="clear" w:color="000000" w:fill="FFFFFF"/>
            <w:noWrap/>
            <w:vAlign w:val="center"/>
            <w:hideMark/>
          </w:tcPr>
          <w:p w14:paraId="4ED291A7" w14:textId="77777777" w:rsidR="00AF0F02" w:rsidRPr="00D618B7" w:rsidRDefault="00AF0F02" w:rsidP="004B11B7">
            <w:pPr>
              <w:jc w:val="right"/>
              <w:rPr>
                <w:color w:val="000000"/>
              </w:rPr>
            </w:pPr>
            <w:r w:rsidRPr="00D618B7">
              <w:rPr>
                <w:color w:val="000000"/>
              </w:rPr>
              <w:t>0.12</w:t>
            </w:r>
          </w:p>
        </w:tc>
      </w:tr>
    </w:tbl>
    <w:p w14:paraId="1E80A608" w14:textId="77777777" w:rsidR="00AF0F02" w:rsidRPr="00D618B7" w:rsidRDefault="00AF0F02" w:rsidP="00AF0F02">
      <w:pPr>
        <w:rPr>
          <w:b/>
          <w:bCs/>
        </w:rPr>
      </w:pPr>
    </w:p>
    <w:p w14:paraId="5446BCFE" w14:textId="3B64D5C1" w:rsidR="00B53316" w:rsidRDefault="00AF0F02" w:rsidP="007C5074">
      <w:pPr>
        <w:pStyle w:val="Caption"/>
      </w:pPr>
      <w:r w:rsidRPr="00F11AB1">
        <w:rPr>
          <w:b w:val="0"/>
          <w:bCs w:val="0"/>
        </w:rPr>
        <w:t>Note</w:t>
      </w:r>
      <w:r w:rsidRPr="00940E58">
        <w:t xml:space="preserve">: </w:t>
      </w:r>
      <w:r w:rsidRPr="00F11AB1">
        <w:rPr>
          <w:b w:val="0"/>
          <w:bCs w:val="0"/>
          <w:i w:val="0"/>
          <w:iCs w:val="0"/>
        </w:rPr>
        <w:t>This table lists the estimated mean frequency and standard errors for each week of observation around reach-onset for each group</w:t>
      </w:r>
      <w:r w:rsidR="00940E58">
        <w:t>.</w:t>
      </w:r>
    </w:p>
    <w:p w14:paraId="2A2DBA25" w14:textId="77777777" w:rsidR="00940E58" w:rsidRPr="00940E58" w:rsidRDefault="00940E58" w:rsidP="00940E58"/>
    <w:p w14:paraId="07ABDA59" w14:textId="77777777" w:rsidR="00F11AB1" w:rsidRDefault="00F11AB1" w:rsidP="007C5074">
      <w:pPr>
        <w:pStyle w:val="Caption"/>
      </w:pPr>
      <w:bookmarkStart w:id="185" w:name="_Toc172716873"/>
    </w:p>
    <w:p w14:paraId="5E4CF50F" w14:textId="77777777" w:rsidR="00F11AB1" w:rsidRDefault="00F11AB1" w:rsidP="00F11AB1"/>
    <w:p w14:paraId="53B9D900" w14:textId="77777777" w:rsidR="00F11AB1" w:rsidRDefault="00F11AB1" w:rsidP="00F11AB1"/>
    <w:p w14:paraId="3433517B" w14:textId="77777777" w:rsidR="00F11AB1" w:rsidRDefault="00F11AB1" w:rsidP="00F11AB1"/>
    <w:p w14:paraId="6593C663" w14:textId="77777777" w:rsidR="00F11AB1" w:rsidRDefault="00F11AB1" w:rsidP="00F11AB1"/>
    <w:p w14:paraId="28D5468E" w14:textId="77777777" w:rsidR="00F11AB1" w:rsidRDefault="00F11AB1" w:rsidP="00F11AB1"/>
    <w:p w14:paraId="439CB083" w14:textId="77777777" w:rsidR="00F11AB1" w:rsidRDefault="00F11AB1" w:rsidP="00F11AB1"/>
    <w:p w14:paraId="5ECE4DDA" w14:textId="77777777" w:rsidR="00F11AB1" w:rsidRDefault="00F11AB1" w:rsidP="00F11AB1"/>
    <w:p w14:paraId="7095D501" w14:textId="77777777" w:rsidR="00F11AB1" w:rsidRDefault="00F11AB1" w:rsidP="00F11AB1"/>
    <w:p w14:paraId="503665A6" w14:textId="77777777" w:rsidR="00F11AB1" w:rsidRDefault="00F11AB1" w:rsidP="00F11AB1"/>
    <w:p w14:paraId="0F951D06" w14:textId="77777777" w:rsidR="00F11AB1" w:rsidRPr="00F11AB1" w:rsidRDefault="00F11AB1" w:rsidP="00F11AB1"/>
    <w:p w14:paraId="323878EC" w14:textId="5023C791" w:rsidR="009628DB" w:rsidRPr="00940E58" w:rsidRDefault="009628DB" w:rsidP="007C5074">
      <w:pPr>
        <w:pStyle w:val="Caption"/>
      </w:pPr>
      <w:r w:rsidRPr="00940E58">
        <w:lastRenderedPageBreak/>
        <w:t xml:space="preserve">Table </w:t>
      </w:r>
      <w:r w:rsidR="00000000">
        <w:fldChar w:fldCharType="begin"/>
      </w:r>
      <w:r w:rsidR="00000000">
        <w:instrText xml:space="preserve"> SEQ Table \* ARABIC </w:instrText>
      </w:r>
      <w:r w:rsidR="00000000">
        <w:fldChar w:fldCharType="separate"/>
      </w:r>
      <w:r w:rsidR="000C6E43" w:rsidRPr="00940E58">
        <w:rPr>
          <w:noProof/>
        </w:rPr>
        <w:t>45</w:t>
      </w:r>
      <w:r w:rsidR="00000000">
        <w:rPr>
          <w:noProof/>
        </w:rPr>
        <w:fldChar w:fldCharType="end"/>
      </w:r>
      <w:r w:rsidR="0013518A" w:rsidRPr="00940E58">
        <w:t xml:space="preserve">: </w:t>
      </w:r>
      <w:r w:rsidR="00940E58" w:rsidRPr="00940E58">
        <w:t xml:space="preserve">Event </w:t>
      </w:r>
      <w:r w:rsidR="004B5A83">
        <w:t>f</w:t>
      </w:r>
      <w:r w:rsidR="0013518A" w:rsidRPr="00940E58">
        <w:t xml:space="preserve">requency by </w:t>
      </w:r>
      <w:r w:rsidR="004B5A83">
        <w:t>t</w:t>
      </w:r>
      <w:r w:rsidR="0013518A" w:rsidRPr="00940E58">
        <w:t xml:space="preserve">ype by </w:t>
      </w:r>
      <w:r w:rsidR="004B5A83">
        <w:t>g</w:t>
      </w:r>
      <w:r w:rsidR="0013518A" w:rsidRPr="00940E58">
        <w:t>roup</w:t>
      </w:r>
      <w:bookmarkEnd w:id="185"/>
    </w:p>
    <w:p w14:paraId="3B83C562" w14:textId="77777777" w:rsidR="009628DB" w:rsidRPr="00D618B7" w:rsidRDefault="009628DB" w:rsidP="009628DB">
      <w:r w:rsidRPr="00D618B7">
        <w:t>Estimated Mean Frequency of Events by Type and Group</w:t>
      </w:r>
    </w:p>
    <w:tbl>
      <w:tblPr>
        <w:tblW w:w="5000" w:type="pct"/>
        <w:tblLook w:val="04A0" w:firstRow="1" w:lastRow="0" w:firstColumn="1" w:lastColumn="0" w:noHBand="0" w:noVBand="1"/>
      </w:tblPr>
      <w:tblGrid>
        <w:gridCol w:w="3000"/>
        <w:gridCol w:w="1379"/>
        <w:gridCol w:w="1237"/>
        <w:gridCol w:w="276"/>
        <w:gridCol w:w="96"/>
        <w:gridCol w:w="1078"/>
        <w:gridCol w:w="1574"/>
      </w:tblGrid>
      <w:tr w:rsidR="009628DB" w:rsidRPr="00D618B7" w14:paraId="2CB2A899" w14:textId="77777777" w:rsidTr="004B11B7">
        <w:trPr>
          <w:trHeight w:val="343"/>
        </w:trPr>
        <w:tc>
          <w:tcPr>
            <w:tcW w:w="1739" w:type="pct"/>
            <w:tcBorders>
              <w:top w:val="nil"/>
              <w:left w:val="nil"/>
              <w:bottom w:val="single" w:sz="8" w:space="0" w:color="auto"/>
              <w:right w:val="nil"/>
            </w:tcBorders>
            <w:shd w:val="clear" w:color="auto" w:fill="auto"/>
            <w:noWrap/>
            <w:vAlign w:val="bottom"/>
            <w:hideMark/>
          </w:tcPr>
          <w:p w14:paraId="49381DAA" w14:textId="77777777" w:rsidR="009628DB" w:rsidRPr="00D618B7" w:rsidRDefault="009628DB" w:rsidP="004B11B7">
            <w:pPr>
              <w:rPr>
                <w:color w:val="000000"/>
              </w:rPr>
            </w:pPr>
          </w:p>
        </w:tc>
        <w:tc>
          <w:tcPr>
            <w:tcW w:w="1519" w:type="pct"/>
            <w:gridSpan w:val="2"/>
            <w:tcBorders>
              <w:top w:val="nil"/>
              <w:left w:val="nil"/>
              <w:bottom w:val="single" w:sz="8" w:space="0" w:color="auto"/>
              <w:right w:val="nil"/>
            </w:tcBorders>
            <w:shd w:val="clear" w:color="auto" w:fill="auto"/>
            <w:noWrap/>
            <w:vAlign w:val="bottom"/>
            <w:hideMark/>
          </w:tcPr>
          <w:p w14:paraId="08D6CD2A" w14:textId="77777777" w:rsidR="009628DB" w:rsidRPr="00D618B7" w:rsidRDefault="009628DB" w:rsidP="004B11B7">
            <w:pPr>
              <w:rPr>
                <w:color w:val="000000"/>
              </w:rPr>
            </w:pPr>
            <w:r w:rsidRPr="00D618B7">
              <w:rPr>
                <w:color w:val="000000"/>
              </w:rPr>
              <w:t> </w:t>
            </w:r>
          </w:p>
        </w:tc>
        <w:tc>
          <w:tcPr>
            <w:tcW w:w="145" w:type="pct"/>
            <w:tcBorders>
              <w:top w:val="nil"/>
              <w:left w:val="nil"/>
              <w:bottom w:val="single" w:sz="8" w:space="0" w:color="auto"/>
              <w:right w:val="nil"/>
            </w:tcBorders>
            <w:shd w:val="clear" w:color="auto" w:fill="auto"/>
            <w:noWrap/>
            <w:vAlign w:val="bottom"/>
            <w:hideMark/>
          </w:tcPr>
          <w:p w14:paraId="338985E5" w14:textId="77777777" w:rsidR="009628DB" w:rsidRPr="00D618B7" w:rsidRDefault="009628DB" w:rsidP="004B11B7">
            <w:pPr>
              <w:rPr>
                <w:color w:val="000000"/>
              </w:rPr>
            </w:pPr>
            <w:r w:rsidRPr="00D618B7">
              <w:rPr>
                <w:color w:val="000000"/>
              </w:rPr>
              <w:t> </w:t>
            </w:r>
          </w:p>
        </w:tc>
        <w:tc>
          <w:tcPr>
            <w:tcW w:w="684" w:type="pct"/>
            <w:gridSpan w:val="2"/>
            <w:tcBorders>
              <w:top w:val="nil"/>
              <w:left w:val="nil"/>
              <w:bottom w:val="single" w:sz="8" w:space="0" w:color="auto"/>
              <w:right w:val="nil"/>
            </w:tcBorders>
            <w:shd w:val="clear" w:color="auto" w:fill="auto"/>
            <w:noWrap/>
            <w:vAlign w:val="bottom"/>
            <w:hideMark/>
          </w:tcPr>
          <w:p w14:paraId="3DE28087" w14:textId="77777777" w:rsidR="009628DB" w:rsidRPr="00D618B7" w:rsidRDefault="009628DB" w:rsidP="004B11B7">
            <w:pPr>
              <w:rPr>
                <w:color w:val="000000"/>
              </w:rPr>
            </w:pPr>
            <w:r w:rsidRPr="00D618B7">
              <w:rPr>
                <w:color w:val="000000"/>
              </w:rPr>
              <w:t> </w:t>
            </w:r>
          </w:p>
        </w:tc>
        <w:tc>
          <w:tcPr>
            <w:tcW w:w="913" w:type="pct"/>
            <w:tcBorders>
              <w:top w:val="nil"/>
              <w:left w:val="nil"/>
              <w:bottom w:val="single" w:sz="8" w:space="0" w:color="auto"/>
              <w:right w:val="nil"/>
            </w:tcBorders>
            <w:shd w:val="clear" w:color="auto" w:fill="auto"/>
            <w:noWrap/>
            <w:vAlign w:val="bottom"/>
            <w:hideMark/>
          </w:tcPr>
          <w:p w14:paraId="356988D2" w14:textId="77777777" w:rsidR="009628DB" w:rsidRPr="00D618B7" w:rsidRDefault="009628DB" w:rsidP="004B11B7">
            <w:pPr>
              <w:rPr>
                <w:color w:val="000000"/>
              </w:rPr>
            </w:pPr>
            <w:r w:rsidRPr="00D618B7">
              <w:rPr>
                <w:color w:val="000000"/>
              </w:rPr>
              <w:t> </w:t>
            </w:r>
          </w:p>
        </w:tc>
      </w:tr>
      <w:tr w:rsidR="009628DB" w:rsidRPr="00D618B7" w14:paraId="64BCAE4B" w14:textId="77777777" w:rsidTr="004B11B7">
        <w:trPr>
          <w:trHeight w:val="343"/>
        </w:trPr>
        <w:tc>
          <w:tcPr>
            <w:tcW w:w="1739" w:type="pct"/>
            <w:tcBorders>
              <w:top w:val="nil"/>
              <w:left w:val="nil"/>
              <w:bottom w:val="nil"/>
              <w:right w:val="nil"/>
            </w:tcBorders>
            <w:shd w:val="clear" w:color="000000" w:fill="FFFFFF"/>
            <w:vAlign w:val="center"/>
            <w:hideMark/>
          </w:tcPr>
          <w:p w14:paraId="5CFAB3EC" w14:textId="77777777" w:rsidR="009628DB" w:rsidRPr="00D618B7" w:rsidRDefault="009628DB" w:rsidP="004B11B7">
            <w:pPr>
              <w:rPr>
                <w:color w:val="000000"/>
              </w:rPr>
            </w:pPr>
            <w:r w:rsidRPr="00D618B7">
              <w:rPr>
                <w:color w:val="000000"/>
              </w:rPr>
              <w:t>Week</w:t>
            </w:r>
          </w:p>
        </w:tc>
        <w:tc>
          <w:tcPr>
            <w:tcW w:w="1722" w:type="pct"/>
            <w:gridSpan w:val="4"/>
            <w:tcBorders>
              <w:top w:val="nil"/>
              <w:left w:val="nil"/>
              <w:bottom w:val="single" w:sz="8" w:space="0" w:color="auto"/>
              <w:right w:val="nil"/>
            </w:tcBorders>
            <w:shd w:val="clear" w:color="000000" w:fill="FFFFFF"/>
            <w:vAlign w:val="center"/>
            <w:hideMark/>
          </w:tcPr>
          <w:p w14:paraId="18D5435F" w14:textId="77777777" w:rsidR="009628DB" w:rsidRPr="00D618B7" w:rsidRDefault="009628DB" w:rsidP="004B11B7">
            <w:pPr>
              <w:jc w:val="center"/>
              <w:rPr>
                <w:color w:val="000000"/>
              </w:rPr>
            </w:pPr>
            <w:r w:rsidRPr="00D618B7">
              <w:rPr>
                <w:color w:val="000000"/>
              </w:rPr>
              <w:t>Early Reach Group</w:t>
            </w:r>
          </w:p>
        </w:tc>
        <w:tc>
          <w:tcPr>
            <w:tcW w:w="1538" w:type="pct"/>
            <w:gridSpan w:val="2"/>
            <w:tcBorders>
              <w:top w:val="nil"/>
              <w:left w:val="nil"/>
              <w:bottom w:val="single" w:sz="8" w:space="0" w:color="auto"/>
              <w:right w:val="nil"/>
            </w:tcBorders>
            <w:shd w:val="clear" w:color="000000" w:fill="FFFFFF"/>
            <w:vAlign w:val="center"/>
            <w:hideMark/>
          </w:tcPr>
          <w:p w14:paraId="488656CC" w14:textId="77777777" w:rsidR="009628DB" w:rsidRPr="00D618B7" w:rsidRDefault="009628DB" w:rsidP="004B11B7">
            <w:pPr>
              <w:jc w:val="center"/>
              <w:rPr>
                <w:color w:val="000000"/>
              </w:rPr>
            </w:pPr>
            <w:r w:rsidRPr="00D618B7">
              <w:rPr>
                <w:color w:val="000000"/>
              </w:rPr>
              <w:t>Late Reach Group</w:t>
            </w:r>
          </w:p>
        </w:tc>
      </w:tr>
      <w:tr w:rsidR="009628DB" w:rsidRPr="00D618B7" w14:paraId="1E4799F0" w14:textId="77777777" w:rsidTr="004B11B7">
        <w:trPr>
          <w:trHeight w:val="343"/>
        </w:trPr>
        <w:tc>
          <w:tcPr>
            <w:tcW w:w="1739" w:type="pct"/>
            <w:tcBorders>
              <w:top w:val="nil"/>
              <w:left w:val="nil"/>
              <w:bottom w:val="single" w:sz="8" w:space="0" w:color="auto"/>
              <w:right w:val="nil"/>
            </w:tcBorders>
            <w:shd w:val="clear" w:color="000000" w:fill="FFFFFF"/>
            <w:noWrap/>
            <w:vAlign w:val="bottom"/>
            <w:hideMark/>
          </w:tcPr>
          <w:p w14:paraId="35775973" w14:textId="77777777" w:rsidR="009628DB" w:rsidRPr="00D618B7" w:rsidRDefault="009628DB" w:rsidP="004B11B7">
            <w:pPr>
              <w:rPr>
                <w:color w:val="000000"/>
              </w:rPr>
            </w:pPr>
            <w:r w:rsidRPr="00D618B7">
              <w:rPr>
                <w:color w:val="000000"/>
              </w:rPr>
              <w:t> </w:t>
            </w:r>
          </w:p>
        </w:tc>
        <w:tc>
          <w:tcPr>
            <w:tcW w:w="801" w:type="pct"/>
            <w:tcBorders>
              <w:top w:val="nil"/>
              <w:left w:val="nil"/>
              <w:bottom w:val="single" w:sz="8" w:space="0" w:color="auto"/>
              <w:right w:val="nil"/>
            </w:tcBorders>
            <w:shd w:val="clear" w:color="000000" w:fill="FFFFFF"/>
            <w:noWrap/>
            <w:vAlign w:val="center"/>
            <w:hideMark/>
          </w:tcPr>
          <w:p w14:paraId="3EAF6153" w14:textId="77777777" w:rsidR="009628DB" w:rsidRPr="00D618B7" w:rsidRDefault="009628DB" w:rsidP="004B11B7">
            <w:pPr>
              <w:jc w:val="right"/>
              <w:rPr>
                <w:color w:val="000000"/>
              </w:rPr>
            </w:pPr>
            <w:r w:rsidRPr="00D618B7">
              <w:rPr>
                <w:color w:val="000000"/>
              </w:rPr>
              <w:t>Mean</w:t>
            </w:r>
          </w:p>
        </w:tc>
        <w:tc>
          <w:tcPr>
            <w:tcW w:w="921" w:type="pct"/>
            <w:gridSpan w:val="3"/>
            <w:tcBorders>
              <w:top w:val="nil"/>
              <w:left w:val="nil"/>
              <w:bottom w:val="single" w:sz="8" w:space="0" w:color="auto"/>
              <w:right w:val="nil"/>
            </w:tcBorders>
            <w:shd w:val="clear" w:color="000000" w:fill="FFFFFF"/>
            <w:noWrap/>
            <w:vAlign w:val="center"/>
            <w:hideMark/>
          </w:tcPr>
          <w:p w14:paraId="6935911B" w14:textId="77777777" w:rsidR="009628DB" w:rsidRPr="00D618B7" w:rsidRDefault="009628DB" w:rsidP="004B11B7">
            <w:pPr>
              <w:jc w:val="right"/>
              <w:rPr>
                <w:color w:val="000000"/>
              </w:rPr>
            </w:pPr>
            <w:r w:rsidRPr="00D618B7">
              <w:rPr>
                <w:color w:val="000000"/>
              </w:rPr>
              <w:t>Std. Error</w:t>
            </w:r>
          </w:p>
        </w:tc>
        <w:tc>
          <w:tcPr>
            <w:tcW w:w="626" w:type="pct"/>
            <w:tcBorders>
              <w:top w:val="nil"/>
              <w:left w:val="nil"/>
              <w:bottom w:val="single" w:sz="8" w:space="0" w:color="auto"/>
              <w:right w:val="nil"/>
            </w:tcBorders>
            <w:shd w:val="clear" w:color="000000" w:fill="FFFFFF"/>
            <w:noWrap/>
            <w:vAlign w:val="center"/>
            <w:hideMark/>
          </w:tcPr>
          <w:p w14:paraId="470C9E7C" w14:textId="77777777" w:rsidR="009628DB" w:rsidRPr="00D618B7" w:rsidRDefault="009628DB" w:rsidP="004B11B7">
            <w:pPr>
              <w:jc w:val="right"/>
              <w:rPr>
                <w:color w:val="000000"/>
              </w:rPr>
            </w:pPr>
            <w:r w:rsidRPr="00D618B7">
              <w:rPr>
                <w:color w:val="000000"/>
              </w:rPr>
              <w:t>Mean</w:t>
            </w:r>
          </w:p>
        </w:tc>
        <w:tc>
          <w:tcPr>
            <w:tcW w:w="913" w:type="pct"/>
            <w:tcBorders>
              <w:top w:val="nil"/>
              <w:left w:val="nil"/>
              <w:bottom w:val="single" w:sz="8" w:space="0" w:color="auto"/>
              <w:right w:val="nil"/>
            </w:tcBorders>
            <w:shd w:val="clear" w:color="000000" w:fill="FFFFFF"/>
            <w:noWrap/>
            <w:vAlign w:val="center"/>
            <w:hideMark/>
          </w:tcPr>
          <w:p w14:paraId="4A28E78B" w14:textId="77777777" w:rsidR="009628DB" w:rsidRPr="00D618B7" w:rsidRDefault="009628DB" w:rsidP="004B11B7">
            <w:pPr>
              <w:jc w:val="right"/>
              <w:rPr>
                <w:color w:val="000000"/>
              </w:rPr>
            </w:pPr>
            <w:r w:rsidRPr="00D618B7">
              <w:rPr>
                <w:color w:val="000000"/>
              </w:rPr>
              <w:t>Std. Error</w:t>
            </w:r>
          </w:p>
        </w:tc>
      </w:tr>
      <w:tr w:rsidR="009628DB" w:rsidRPr="00D618B7" w14:paraId="57BAE2E1" w14:textId="77777777" w:rsidTr="004B11B7">
        <w:trPr>
          <w:trHeight w:val="343"/>
        </w:trPr>
        <w:tc>
          <w:tcPr>
            <w:tcW w:w="1739" w:type="pct"/>
            <w:tcBorders>
              <w:top w:val="nil"/>
              <w:left w:val="nil"/>
              <w:bottom w:val="nil"/>
              <w:right w:val="nil"/>
            </w:tcBorders>
            <w:shd w:val="clear" w:color="000000" w:fill="FFFFFF"/>
            <w:vAlign w:val="center"/>
            <w:hideMark/>
          </w:tcPr>
          <w:p w14:paraId="3BE948E1" w14:textId="77777777" w:rsidR="009628DB" w:rsidRPr="00D618B7" w:rsidRDefault="009628DB" w:rsidP="004B11B7">
            <w:pPr>
              <w:rPr>
                <w:color w:val="000000"/>
              </w:rPr>
            </w:pPr>
            <w:r w:rsidRPr="00D618B7">
              <w:rPr>
                <w:color w:val="000000"/>
              </w:rPr>
              <w:t>Face</w:t>
            </w:r>
          </w:p>
        </w:tc>
        <w:tc>
          <w:tcPr>
            <w:tcW w:w="801" w:type="pct"/>
            <w:tcBorders>
              <w:top w:val="nil"/>
              <w:left w:val="nil"/>
              <w:bottom w:val="nil"/>
              <w:right w:val="nil"/>
            </w:tcBorders>
            <w:shd w:val="clear" w:color="000000" w:fill="FFFFFF"/>
            <w:noWrap/>
            <w:vAlign w:val="center"/>
            <w:hideMark/>
          </w:tcPr>
          <w:p w14:paraId="7F9DBE85" w14:textId="77777777" w:rsidR="009628DB" w:rsidRPr="00D618B7" w:rsidRDefault="009628DB" w:rsidP="004B11B7">
            <w:pPr>
              <w:jc w:val="right"/>
              <w:rPr>
                <w:color w:val="000000"/>
              </w:rPr>
            </w:pPr>
            <w:r w:rsidRPr="00D618B7">
              <w:rPr>
                <w:color w:val="000000"/>
              </w:rPr>
              <w:t>0.61</w:t>
            </w:r>
          </w:p>
        </w:tc>
        <w:tc>
          <w:tcPr>
            <w:tcW w:w="921" w:type="pct"/>
            <w:gridSpan w:val="3"/>
            <w:tcBorders>
              <w:top w:val="nil"/>
              <w:left w:val="nil"/>
              <w:bottom w:val="nil"/>
              <w:right w:val="nil"/>
            </w:tcBorders>
            <w:shd w:val="clear" w:color="000000" w:fill="FFFFFF"/>
            <w:noWrap/>
            <w:vAlign w:val="center"/>
            <w:hideMark/>
          </w:tcPr>
          <w:p w14:paraId="61A2EBE6" w14:textId="77777777" w:rsidR="009628DB" w:rsidRPr="00D618B7" w:rsidRDefault="009628DB" w:rsidP="004B11B7">
            <w:pPr>
              <w:jc w:val="right"/>
              <w:rPr>
                <w:color w:val="000000"/>
              </w:rPr>
            </w:pPr>
            <w:r w:rsidRPr="00D618B7">
              <w:rPr>
                <w:color w:val="000000"/>
              </w:rPr>
              <w:t>0.04</w:t>
            </w:r>
          </w:p>
        </w:tc>
        <w:tc>
          <w:tcPr>
            <w:tcW w:w="626" w:type="pct"/>
            <w:tcBorders>
              <w:top w:val="nil"/>
              <w:left w:val="nil"/>
              <w:bottom w:val="nil"/>
              <w:right w:val="nil"/>
            </w:tcBorders>
            <w:shd w:val="clear" w:color="000000" w:fill="FFFFFF"/>
            <w:noWrap/>
            <w:vAlign w:val="center"/>
            <w:hideMark/>
          </w:tcPr>
          <w:p w14:paraId="4240D2DC" w14:textId="77777777" w:rsidR="009628DB" w:rsidRPr="00D618B7" w:rsidRDefault="009628DB" w:rsidP="004B11B7">
            <w:pPr>
              <w:jc w:val="right"/>
              <w:rPr>
                <w:color w:val="000000"/>
              </w:rPr>
            </w:pPr>
            <w:r w:rsidRPr="00D618B7">
              <w:rPr>
                <w:color w:val="000000"/>
              </w:rPr>
              <w:t>0.11</w:t>
            </w:r>
          </w:p>
        </w:tc>
        <w:tc>
          <w:tcPr>
            <w:tcW w:w="913" w:type="pct"/>
            <w:tcBorders>
              <w:top w:val="nil"/>
              <w:left w:val="nil"/>
              <w:bottom w:val="nil"/>
              <w:right w:val="nil"/>
            </w:tcBorders>
            <w:shd w:val="clear" w:color="000000" w:fill="FFFFFF"/>
            <w:noWrap/>
            <w:vAlign w:val="center"/>
            <w:hideMark/>
          </w:tcPr>
          <w:p w14:paraId="4BE628DF" w14:textId="77777777" w:rsidR="009628DB" w:rsidRPr="00D618B7" w:rsidRDefault="009628DB" w:rsidP="004B11B7">
            <w:pPr>
              <w:jc w:val="right"/>
              <w:rPr>
                <w:color w:val="000000"/>
              </w:rPr>
            </w:pPr>
            <w:r w:rsidRPr="00D618B7">
              <w:rPr>
                <w:color w:val="000000"/>
              </w:rPr>
              <w:t>0.01</w:t>
            </w:r>
          </w:p>
        </w:tc>
      </w:tr>
      <w:tr w:rsidR="009628DB" w:rsidRPr="00D618B7" w14:paraId="0298D6F3" w14:textId="77777777" w:rsidTr="004B11B7">
        <w:trPr>
          <w:trHeight w:val="343"/>
        </w:trPr>
        <w:tc>
          <w:tcPr>
            <w:tcW w:w="1739" w:type="pct"/>
            <w:tcBorders>
              <w:top w:val="nil"/>
              <w:left w:val="nil"/>
              <w:bottom w:val="nil"/>
              <w:right w:val="nil"/>
            </w:tcBorders>
            <w:shd w:val="clear" w:color="000000" w:fill="FFFFFF"/>
            <w:vAlign w:val="center"/>
            <w:hideMark/>
          </w:tcPr>
          <w:p w14:paraId="379EB2D9" w14:textId="77777777" w:rsidR="009628DB" w:rsidRPr="00D618B7" w:rsidRDefault="009628DB" w:rsidP="004B11B7">
            <w:pPr>
              <w:rPr>
                <w:color w:val="000000"/>
              </w:rPr>
            </w:pPr>
            <w:r w:rsidRPr="00D618B7">
              <w:rPr>
                <w:color w:val="000000"/>
              </w:rPr>
              <w:t>Hand</w:t>
            </w:r>
          </w:p>
        </w:tc>
        <w:tc>
          <w:tcPr>
            <w:tcW w:w="801" w:type="pct"/>
            <w:tcBorders>
              <w:top w:val="nil"/>
              <w:left w:val="nil"/>
              <w:bottom w:val="nil"/>
              <w:right w:val="nil"/>
            </w:tcBorders>
            <w:shd w:val="clear" w:color="000000" w:fill="FFFFFF"/>
            <w:noWrap/>
            <w:vAlign w:val="center"/>
            <w:hideMark/>
          </w:tcPr>
          <w:p w14:paraId="5E3FF1E4" w14:textId="77777777" w:rsidR="009628DB" w:rsidRPr="00D618B7" w:rsidRDefault="009628DB" w:rsidP="004B11B7">
            <w:pPr>
              <w:jc w:val="right"/>
              <w:rPr>
                <w:color w:val="000000"/>
              </w:rPr>
            </w:pPr>
            <w:r w:rsidRPr="00D618B7">
              <w:rPr>
                <w:color w:val="000000"/>
              </w:rPr>
              <w:t>0.36</w:t>
            </w:r>
          </w:p>
        </w:tc>
        <w:tc>
          <w:tcPr>
            <w:tcW w:w="921" w:type="pct"/>
            <w:gridSpan w:val="3"/>
            <w:tcBorders>
              <w:top w:val="nil"/>
              <w:left w:val="nil"/>
              <w:bottom w:val="nil"/>
              <w:right w:val="nil"/>
            </w:tcBorders>
            <w:shd w:val="clear" w:color="000000" w:fill="FFFFFF"/>
            <w:noWrap/>
            <w:vAlign w:val="center"/>
            <w:hideMark/>
          </w:tcPr>
          <w:p w14:paraId="562FA778" w14:textId="77777777" w:rsidR="009628DB" w:rsidRPr="00D618B7" w:rsidRDefault="009628DB" w:rsidP="004B11B7">
            <w:pPr>
              <w:jc w:val="right"/>
              <w:rPr>
                <w:color w:val="000000"/>
              </w:rPr>
            </w:pPr>
            <w:r w:rsidRPr="00D618B7">
              <w:rPr>
                <w:color w:val="000000"/>
              </w:rPr>
              <w:t>0.16</w:t>
            </w:r>
          </w:p>
        </w:tc>
        <w:tc>
          <w:tcPr>
            <w:tcW w:w="626" w:type="pct"/>
            <w:tcBorders>
              <w:top w:val="nil"/>
              <w:left w:val="nil"/>
              <w:bottom w:val="nil"/>
              <w:right w:val="nil"/>
            </w:tcBorders>
            <w:shd w:val="clear" w:color="000000" w:fill="FFFFFF"/>
            <w:noWrap/>
            <w:vAlign w:val="center"/>
            <w:hideMark/>
          </w:tcPr>
          <w:p w14:paraId="7D389928" w14:textId="77777777" w:rsidR="009628DB" w:rsidRPr="00D618B7" w:rsidRDefault="009628DB" w:rsidP="004B11B7">
            <w:pPr>
              <w:jc w:val="right"/>
              <w:rPr>
                <w:color w:val="000000"/>
              </w:rPr>
            </w:pPr>
            <w:r w:rsidRPr="00D618B7">
              <w:rPr>
                <w:color w:val="000000"/>
              </w:rPr>
              <w:t>0.05</w:t>
            </w:r>
          </w:p>
        </w:tc>
        <w:tc>
          <w:tcPr>
            <w:tcW w:w="913" w:type="pct"/>
            <w:tcBorders>
              <w:top w:val="nil"/>
              <w:left w:val="nil"/>
              <w:bottom w:val="nil"/>
              <w:right w:val="nil"/>
            </w:tcBorders>
            <w:shd w:val="clear" w:color="000000" w:fill="FFFFFF"/>
            <w:noWrap/>
            <w:vAlign w:val="center"/>
            <w:hideMark/>
          </w:tcPr>
          <w:p w14:paraId="7F588951" w14:textId="77777777" w:rsidR="009628DB" w:rsidRPr="00D618B7" w:rsidRDefault="009628DB" w:rsidP="004B11B7">
            <w:pPr>
              <w:jc w:val="right"/>
              <w:rPr>
                <w:color w:val="000000"/>
              </w:rPr>
            </w:pPr>
            <w:r w:rsidRPr="00D618B7">
              <w:rPr>
                <w:color w:val="000000"/>
              </w:rPr>
              <w:t>0.03</w:t>
            </w:r>
          </w:p>
        </w:tc>
      </w:tr>
      <w:tr w:rsidR="009628DB" w:rsidRPr="00D618B7" w14:paraId="1732DCAD" w14:textId="77777777" w:rsidTr="004B11B7">
        <w:trPr>
          <w:trHeight w:val="343"/>
        </w:trPr>
        <w:tc>
          <w:tcPr>
            <w:tcW w:w="1739" w:type="pct"/>
            <w:tcBorders>
              <w:top w:val="nil"/>
              <w:left w:val="nil"/>
              <w:bottom w:val="single" w:sz="8" w:space="0" w:color="auto"/>
              <w:right w:val="nil"/>
            </w:tcBorders>
            <w:shd w:val="clear" w:color="000000" w:fill="FFFFFF"/>
            <w:vAlign w:val="center"/>
            <w:hideMark/>
          </w:tcPr>
          <w:p w14:paraId="3C7AD8C2" w14:textId="77777777" w:rsidR="009628DB" w:rsidRPr="00D618B7" w:rsidRDefault="009628DB" w:rsidP="004B11B7">
            <w:pPr>
              <w:rPr>
                <w:color w:val="000000"/>
              </w:rPr>
            </w:pPr>
            <w:r w:rsidRPr="00D618B7">
              <w:rPr>
                <w:color w:val="000000"/>
              </w:rPr>
              <w:t>Mouth</w:t>
            </w:r>
          </w:p>
        </w:tc>
        <w:tc>
          <w:tcPr>
            <w:tcW w:w="801" w:type="pct"/>
            <w:tcBorders>
              <w:top w:val="nil"/>
              <w:left w:val="nil"/>
              <w:bottom w:val="single" w:sz="8" w:space="0" w:color="auto"/>
              <w:right w:val="nil"/>
            </w:tcBorders>
            <w:shd w:val="clear" w:color="000000" w:fill="FFFFFF"/>
            <w:noWrap/>
            <w:vAlign w:val="center"/>
            <w:hideMark/>
          </w:tcPr>
          <w:p w14:paraId="4FDA51F6" w14:textId="77777777" w:rsidR="009628DB" w:rsidRPr="00D618B7" w:rsidRDefault="009628DB" w:rsidP="004B11B7">
            <w:pPr>
              <w:jc w:val="right"/>
              <w:rPr>
                <w:color w:val="000000"/>
              </w:rPr>
            </w:pPr>
            <w:r w:rsidRPr="00D618B7">
              <w:rPr>
                <w:color w:val="000000"/>
              </w:rPr>
              <w:t>3.36</w:t>
            </w:r>
          </w:p>
        </w:tc>
        <w:tc>
          <w:tcPr>
            <w:tcW w:w="921" w:type="pct"/>
            <w:gridSpan w:val="3"/>
            <w:tcBorders>
              <w:top w:val="nil"/>
              <w:left w:val="nil"/>
              <w:bottom w:val="single" w:sz="8" w:space="0" w:color="auto"/>
              <w:right w:val="nil"/>
            </w:tcBorders>
            <w:shd w:val="clear" w:color="000000" w:fill="FFFFFF"/>
            <w:noWrap/>
            <w:vAlign w:val="center"/>
            <w:hideMark/>
          </w:tcPr>
          <w:p w14:paraId="05871FCA" w14:textId="77777777" w:rsidR="009628DB" w:rsidRPr="00D618B7" w:rsidRDefault="009628DB" w:rsidP="004B11B7">
            <w:pPr>
              <w:jc w:val="right"/>
              <w:rPr>
                <w:color w:val="000000"/>
              </w:rPr>
            </w:pPr>
            <w:r w:rsidRPr="00D618B7">
              <w:rPr>
                <w:color w:val="000000"/>
              </w:rPr>
              <w:t>1.14</w:t>
            </w:r>
          </w:p>
        </w:tc>
        <w:tc>
          <w:tcPr>
            <w:tcW w:w="626" w:type="pct"/>
            <w:tcBorders>
              <w:top w:val="nil"/>
              <w:left w:val="nil"/>
              <w:bottom w:val="single" w:sz="8" w:space="0" w:color="auto"/>
              <w:right w:val="nil"/>
            </w:tcBorders>
            <w:shd w:val="clear" w:color="000000" w:fill="FFFFFF"/>
            <w:noWrap/>
            <w:vAlign w:val="center"/>
            <w:hideMark/>
          </w:tcPr>
          <w:p w14:paraId="2BDB3E8F" w14:textId="77777777" w:rsidR="009628DB" w:rsidRPr="00D618B7" w:rsidRDefault="009628DB" w:rsidP="004B11B7">
            <w:pPr>
              <w:jc w:val="right"/>
              <w:rPr>
                <w:color w:val="000000"/>
              </w:rPr>
            </w:pPr>
            <w:r w:rsidRPr="00D618B7">
              <w:rPr>
                <w:color w:val="000000"/>
              </w:rPr>
              <w:t>1.34</w:t>
            </w:r>
          </w:p>
        </w:tc>
        <w:tc>
          <w:tcPr>
            <w:tcW w:w="913" w:type="pct"/>
            <w:tcBorders>
              <w:top w:val="nil"/>
              <w:left w:val="nil"/>
              <w:bottom w:val="single" w:sz="8" w:space="0" w:color="auto"/>
              <w:right w:val="nil"/>
            </w:tcBorders>
            <w:shd w:val="clear" w:color="000000" w:fill="FFFFFF"/>
            <w:noWrap/>
            <w:vAlign w:val="center"/>
            <w:hideMark/>
          </w:tcPr>
          <w:p w14:paraId="14FBB3F1" w14:textId="77777777" w:rsidR="009628DB" w:rsidRPr="00D618B7" w:rsidRDefault="009628DB" w:rsidP="004B11B7">
            <w:pPr>
              <w:jc w:val="right"/>
              <w:rPr>
                <w:color w:val="000000"/>
              </w:rPr>
            </w:pPr>
            <w:r w:rsidRPr="00D618B7">
              <w:rPr>
                <w:color w:val="000000"/>
              </w:rPr>
              <w:t>0.21</w:t>
            </w:r>
          </w:p>
        </w:tc>
      </w:tr>
    </w:tbl>
    <w:p w14:paraId="15488E33" w14:textId="77777777" w:rsidR="009628DB" w:rsidRPr="00D618B7" w:rsidRDefault="009628DB" w:rsidP="009628DB">
      <w:pPr>
        <w:rPr>
          <w:i/>
          <w:iCs/>
        </w:rPr>
      </w:pPr>
    </w:p>
    <w:p w14:paraId="1B83FA98" w14:textId="77777777" w:rsidR="009628DB" w:rsidRPr="00D618B7" w:rsidRDefault="009628DB" w:rsidP="009628DB">
      <w:r w:rsidRPr="00D618B7">
        <w:rPr>
          <w:i/>
          <w:iCs/>
        </w:rPr>
        <w:t>Note</w:t>
      </w:r>
      <w:r w:rsidRPr="00D618B7">
        <w:t>: This table lists the estimated mean frequency and standard errors for face, hand, and mouth events by group.</w:t>
      </w:r>
    </w:p>
    <w:p w14:paraId="79C91506" w14:textId="77777777" w:rsidR="009628DB" w:rsidRPr="00D618B7" w:rsidRDefault="009628DB" w:rsidP="007C5074">
      <w:pPr>
        <w:pStyle w:val="Caption"/>
      </w:pPr>
    </w:p>
    <w:p w14:paraId="030215E9" w14:textId="2E027F4C" w:rsidR="003B5FE0" w:rsidRPr="00D618B7" w:rsidRDefault="003B5FE0" w:rsidP="007C5074">
      <w:pPr>
        <w:pStyle w:val="Caption"/>
      </w:pPr>
      <w:bookmarkStart w:id="186" w:name="_Toc172716874"/>
      <w:r w:rsidRPr="00D618B7">
        <w:t xml:space="preserve">Table </w:t>
      </w:r>
      <w:r w:rsidR="00000000">
        <w:fldChar w:fldCharType="begin"/>
      </w:r>
      <w:r w:rsidR="00000000">
        <w:instrText xml:space="preserve"> SEQ Table \* ARABIC </w:instrText>
      </w:r>
      <w:r w:rsidR="00000000">
        <w:fldChar w:fldCharType="separate"/>
      </w:r>
      <w:r w:rsidR="000C6E43">
        <w:rPr>
          <w:noProof/>
        </w:rPr>
        <w:t>46</w:t>
      </w:r>
      <w:r w:rsidR="00000000">
        <w:rPr>
          <w:noProof/>
        </w:rPr>
        <w:fldChar w:fldCharType="end"/>
      </w:r>
      <w:r w:rsidR="00BA36EF">
        <w:t xml:space="preserve">: </w:t>
      </w:r>
      <w:r w:rsidR="00940E58">
        <w:t xml:space="preserve">Event </w:t>
      </w:r>
      <w:r w:rsidR="004B5A83">
        <w:t>f</w:t>
      </w:r>
      <w:r w:rsidR="00BA36EF">
        <w:t xml:space="preserve">requency by </w:t>
      </w:r>
      <w:r w:rsidR="004B5A83">
        <w:t>p</w:t>
      </w:r>
      <w:r w:rsidR="00BA36EF">
        <w:t xml:space="preserve">roximity by </w:t>
      </w:r>
      <w:r w:rsidR="004B5A83">
        <w:t>g</w:t>
      </w:r>
      <w:r w:rsidR="00BA36EF">
        <w:t>roup</w:t>
      </w:r>
      <w:bookmarkEnd w:id="186"/>
    </w:p>
    <w:p w14:paraId="4DA5899C" w14:textId="799FD02C" w:rsidR="00B53316" w:rsidRPr="00D618B7" w:rsidRDefault="00B53316" w:rsidP="00B53316">
      <w:r w:rsidRPr="00D618B7">
        <w:t>Estimated Mean Frequency of Events by Proximity and Group</w:t>
      </w:r>
    </w:p>
    <w:tbl>
      <w:tblPr>
        <w:tblW w:w="5000" w:type="pct"/>
        <w:tblLook w:val="04A0" w:firstRow="1" w:lastRow="0" w:firstColumn="1" w:lastColumn="0" w:noHBand="0" w:noVBand="1"/>
      </w:tblPr>
      <w:tblGrid>
        <w:gridCol w:w="3011"/>
        <w:gridCol w:w="1474"/>
        <w:gridCol w:w="1495"/>
        <w:gridCol w:w="1082"/>
        <w:gridCol w:w="1578"/>
      </w:tblGrid>
      <w:tr w:rsidR="00B53316" w:rsidRPr="00D618B7" w14:paraId="4ABDE0B4" w14:textId="77777777" w:rsidTr="004B11B7">
        <w:trPr>
          <w:trHeight w:val="322"/>
        </w:trPr>
        <w:tc>
          <w:tcPr>
            <w:tcW w:w="1743" w:type="pct"/>
            <w:tcBorders>
              <w:top w:val="nil"/>
              <w:left w:val="nil"/>
              <w:bottom w:val="single" w:sz="8" w:space="0" w:color="auto"/>
              <w:right w:val="nil"/>
            </w:tcBorders>
            <w:shd w:val="clear" w:color="auto" w:fill="auto"/>
            <w:noWrap/>
            <w:vAlign w:val="bottom"/>
            <w:hideMark/>
          </w:tcPr>
          <w:p w14:paraId="629D0594" w14:textId="77777777" w:rsidR="00B53316" w:rsidRPr="00D618B7" w:rsidRDefault="00B53316" w:rsidP="004B11B7">
            <w:pPr>
              <w:rPr>
                <w:color w:val="000000"/>
              </w:rPr>
            </w:pPr>
            <w:r w:rsidRPr="00D618B7">
              <w:rPr>
                <w:color w:val="000000"/>
              </w:rPr>
              <w:t> </w:t>
            </w:r>
          </w:p>
        </w:tc>
        <w:tc>
          <w:tcPr>
            <w:tcW w:w="853" w:type="pct"/>
            <w:tcBorders>
              <w:top w:val="nil"/>
              <w:left w:val="nil"/>
              <w:bottom w:val="single" w:sz="8" w:space="0" w:color="auto"/>
              <w:right w:val="nil"/>
            </w:tcBorders>
            <w:shd w:val="clear" w:color="auto" w:fill="auto"/>
            <w:noWrap/>
            <w:vAlign w:val="bottom"/>
            <w:hideMark/>
          </w:tcPr>
          <w:p w14:paraId="3CEBEBC9" w14:textId="77777777" w:rsidR="00B53316" w:rsidRPr="00D618B7" w:rsidRDefault="00B53316" w:rsidP="004B11B7">
            <w:pPr>
              <w:rPr>
                <w:color w:val="000000"/>
              </w:rPr>
            </w:pPr>
            <w:r w:rsidRPr="00D618B7">
              <w:rPr>
                <w:color w:val="000000"/>
              </w:rPr>
              <w:t> </w:t>
            </w:r>
          </w:p>
        </w:tc>
        <w:tc>
          <w:tcPr>
            <w:tcW w:w="865" w:type="pct"/>
            <w:tcBorders>
              <w:top w:val="nil"/>
              <w:left w:val="nil"/>
              <w:bottom w:val="single" w:sz="8" w:space="0" w:color="auto"/>
              <w:right w:val="nil"/>
            </w:tcBorders>
            <w:shd w:val="clear" w:color="auto" w:fill="auto"/>
            <w:noWrap/>
            <w:vAlign w:val="bottom"/>
            <w:hideMark/>
          </w:tcPr>
          <w:p w14:paraId="41C162E0" w14:textId="77777777" w:rsidR="00B53316" w:rsidRPr="00D618B7" w:rsidRDefault="00B53316" w:rsidP="004B11B7">
            <w:pPr>
              <w:rPr>
                <w:color w:val="000000"/>
              </w:rPr>
            </w:pPr>
            <w:r w:rsidRPr="00D618B7">
              <w:rPr>
                <w:color w:val="000000"/>
              </w:rPr>
              <w:t> </w:t>
            </w:r>
          </w:p>
        </w:tc>
        <w:tc>
          <w:tcPr>
            <w:tcW w:w="626" w:type="pct"/>
            <w:tcBorders>
              <w:top w:val="nil"/>
              <w:left w:val="nil"/>
              <w:bottom w:val="single" w:sz="8" w:space="0" w:color="auto"/>
              <w:right w:val="nil"/>
            </w:tcBorders>
            <w:shd w:val="clear" w:color="auto" w:fill="auto"/>
            <w:noWrap/>
            <w:vAlign w:val="bottom"/>
            <w:hideMark/>
          </w:tcPr>
          <w:p w14:paraId="32FAF195" w14:textId="77777777" w:rsidR="00B53316" w:rsidRPr="00D618B7" w:rsidRDefault="00B53316" w:rsidP="004B11B7">
            <w:pPr>
              <w:rPr>
                <w:color w:val="000000"/>
              </w:rPr>
            </w:pPr>
            <w:r w:rsidRPr="00D618B7">
              <w:rPr>
                <w:color w:val="000000"/>
              </w:rPr>
              <w:t> </w:t>
            </w:r>
          </w:p>
        </w:tc>
        <w:tc>
          <w:tcPr>
            <w:tcW w:w="913" w:type="pct"/>
            <w:tcBorders>
              <w:top w:val="nil"/>
              <w:left w:val="nil"/>
              <w:bottom w:val="single" w:sz="8" w:space="0" w:color="auto"/>
              <w:right w:val="nil"/>
            </w:tcBorders>
            <w:shd w:val="clear" w:color="auto" w:fill="auto"/>
            <w:noWrap/>
            <w:vAlign w:val="bottom"/>
            <w:hideMark/>
          </w:tcPr>
          <w:p w14:paraId="6012C289" w14:textId="77777777" w:rsidR="00B53316" w:rsidRPr="00D618B7" w:rsidRDefault="00B53316" w:rsidP="004B11B7">
            <w:pPr>
              <w:rPr>
                <w:color w:val="000000"/>
              </w:rPr>
            </w:pPr>
            <w:r w:rsidRPr="00D618B7">
              <w:rPr>
                <w:color w:val="000000"/>
              </w:rPr>
              <w:t> </w:t>
            </w:r>
          </w:p>
        </w:tc>
      </w:tr>
      <w:tr w:rsidR="00B53316" w:rsidRPr="00D618B7" w14:paraId="2CEC7205" w14:textId="77777777" w:rsidTr="004B11B7">
        <w:trPr>
          <w:trHeight w:val="322"/>
        </w:trPr>
        <w:tc>
          <w:tcPr>
            <w:tcW w:w="1743" w:type="pct"/>
            <w:tcBorders>
              <w:top w:val="nil"/>
              <w:left w:val="nil"/>
              <w:bottom w:val="nil"/>
              <w:right w:val="nil"/>
            </w:tcBorders>
            <w:shd w:val="clear" w:color="000000" w:fill="FFFFFF"/>
            <w:vAlign w:val="center"/>
            <w:hideMark/>
          </w:tcPr>
          <w:p w14:paraId="7162388C" w14:textId="77777777" w:rsidR="00B53316" w:rsidRPr="00D618B7" w:rsidRDefault="00B53316" w:rsidP="004B11B7">
            <w:pPr>
              <w:rPr>
                <w:color w:val="000000"/>
              </w:rPr>
            </w:pPr>
            <w:r w:rsidRPr="00D618B7">
              <w:rPr>
                <w:color w:val="000000"/>
              </w:rPr>
              <w:t>Week</w:t>
            </w:r>
          </w:p>
        </w:tc>
        <w:tc>
          <w:tcPr>
            <w:tcW w:w="1718" w:type="pct"/>
            <w:gridSpan w:val="2"/>
            <w:tcBorders>
              <w:top w:val="nil"/>
              <w:left w:val="nil"/>
              <w:bottom w:val="single" w:sz="8" w:space="0" w:color="auto"/>
              <w:right w:val="nil"/>
            </w:tcBorders>
            <w:shd w:val="clear" w:color="000000" w:fill="FFFFFF"/>
            <w:vAlign w:val="center"/>
            <w:hideMark/>
          </w:tcPr>
          <w:p w14:paraId="602046EC" w14:textId="77777777" w:rsidR="00B53316" w:rsidRPr="00D618B7" w:rsidRDefault="00B53316" w:rsidP="004B11B7">
            <w:pPr>
              <w:jc w:val="center"/>
              <w:rPr>
                <w:color w:val="000000"/>
              </w:rPr>
            </w:pPr>
            <w:r w:rsidRPr="00D618B7">
              <w:rPr>
                <w:color w:val="000000"/>
              </w:rPr>
              <w:t>Early Reach Group</w:t>
            </w:r>
          </w:p>
        </w:tc>
        <w:tc>
          <w:tcPr>
            <w:tcW w:w="1539" w:type="pct"/>
            <w:gridSpan w:val="2"/>
            <w:tcBorders>
              <w:top w:val="nil"/>
              <w:left w:val="nil"/>
              <w:bottom w:val="single" w:sz="8" w:space="0" w:color="auto"/>
              <w:right w:val="nil"/>
            </w:tcBorders>
            <w:shd w:val="clear" w:color="000000" w:fill="FFFFFF"/>
            <w:vAlign w:val="center"/>
            <w:hideMark/>
          </w:tcPr>
          <w:p w14:paraId="514DB382" w14:textId="77777777" w:rsidR="00B53316" w:rsidRPr="00D618B7" w:rsidRDefault="00B53316" w:rsidP="004B11B7">
            <w:pPr>
              <w:jc w:val="center"/>
              <w:rPr>
                <w:color w:val="000000"/>
              </w:rPr>
            </w:pPr>
            <w:r w:rsidRPr="00D618B7">
              <w:rPr>
                <w:color w:val="000000"/>
              </w:rPr>
              <w:t>Late Reach Group</w:t>
            </w:r>
          </w:p>
        </w:tc>
      </w:tr>
      <w:tr w:rsidR="00B53316" w:rsidRPr="00D618B7" w14:paraId="594AC329" w14:textId="77777777" w:rsidTr="004B11B7">
        <w:trPr>
          <w:trHeight w:val="322"/>
        </w:trPr>
        <w:tc>
          <w:tcPr>
            <w:tcW w:w="1743" w:type="pct"/>
            <w:tcBorders>
              <w:top w:val="nil"/>
              <w:left w:val="nil"/>
              <w:bottom w:val="single" w:sz="8" w:space="0" w:color="auto"/>
              <w:right w:val="nil"/>
            </w:tcBorders>
            <w:shd w:val="clear" w:color="000000" w:fill="FFFFFF"/>
            <w:noWrap/>
            <w:vAlign w:val="bottom"/>
            <w:hideMark/>
          </w:tcPr>
          <w:p w14:paraId="05DF03F6" w14:textId="77777777" w:rsidR="00B53316" w:rsidRPr="00D618B7" w:rsidRDefault="00B53316" w:rsidP="004B11B7">
            <w:pPr>
              <w:rPr>
                <w:color w:val="000000"/>
              </w:rPr>
            </w:pPr>
            <w:r w:rsidRPr="00D618B7">
              <w:rPr>
                <w:color w:val="000000"/>
              </w:rPr>
              <w:t> </w:t>
            </w:r>
          </w:p>
        </w:tc>
        <w:tc>
          <w:tcPr>
            <w:tcW w:w="853" w:type="pct"/>
            <w:tcBorders>
              <w:top w:val="nil"/>
              <w:left w:val="nil"/>
              <w:bottom w:val="single" w:sz="8" w:space="0" w:color="auto"/>
              <w:right w:val="nil"/>
            </w:tcBorders>
            <w:shd w:val="clear" w:color="000000" w:fill="FFFFFF"/>
            <w:noWrap/>
            <w:vAlign w:val="center"/>
            <w:hideMark/>
          </w:tcPr>
          <w:p w14:paraId="57A7952F" w14:textId="77777777" w:rsidR="00B53316" w:rsidRPr="00D618B7" w:rsidRDefault="00B53316" w:rsidP="004B11B7">
            <w:pPr>
              <w:jc w:val="right"/>
              <w:rPr>
                <w:color w:val="000000"/>
              </w:rPr>
            </w:pPr>
            <w:r w:rsidRPr="00D618B7">
              <w:rPr>
                <w:color w:val="000000"/>
              </w:rPr>
              <w:t>Mean</w:t>
            </w:r>
          </w:p>
        </w:tc>
        <w:tc>
          <w:tcPr>
            <w:tcW w:w="865" w:type="pct"/>
            <w:tcBorders>
              <w:top w:val="nil"/>
              <w:left w:val="nil"/>
              <w:bottom w:val="single" w:sz="8" w:space="0" w:color="auto"/>
              <w:right w:val="nil"/>
            </w:tcBorders>
            <w:shd w:val="clear" w:color="000000" w:fill="FFFFFF"/>
            <w:noWrap/>
            <w:vAlign w:val="center"/>
            <w:hideMark/>
          </w:tcPr>
          <w:p w14:paraId="53131B58" w14:textId="77777777" w:rsidR="00B53316" w:rsidRPr="00D618B7" w:rsidRDefault="00B53316" w:rsidP="004B11B7">
            <w:pPr>
              <w:jc w:val="right"/>
              <w:rPr>
                <w:color w:val="000000"/>
              </w:rPr>
            </w:pPr>
            <w:r w:rsidRPr="00D618B7">
              <w:rPr>
                <w:color w:val="000000"/>
              </w:rPr>
              <w:t>Std. Error</w:t>
            </w:r>
          </w:p>
        </w:tc>
        <w:tc>
          <w:tcPr>
            <w:tcW w:w="626" w:type="pct"/>
            <w:tcBorders>
              <w:top w:val="nil"/>
              <w:left w:val="nil"/>
              <w:bottom w:val="single" w:sz="8" w:space="0" w:color="auto"/>
              <w:right w:val="nil"/>
            </w:tcBorders>
            <w:shd w:val="clear" w:color="000000" w:fill="FFFFFF"/>
            <w:noWrap/>
            <w:vAlign w:val="center"/>
            <w:hideMark/>
          </w:tcPr>
          <w:p w14:paraId="1F0CCEB2" w14:textId="77777777" w:rsidR="00B53316" w:rsidRPr="00D618B7" w:rsidRDefault="00B53316" w:rsidP="004B11B7">
            <w:pPr>
              <w:jc w:val="right"/>
              <w:rPr>
                <w:color w:val="000000"/>
              </w:rPr>
            </w:pPr>
            <w:r w:rsidRPr="00D618B7">
              <w:rPr>
                <w:color w:val="000000"/>
              </w:rPr>
              <w:t>Mean</w:t>
            </w:r>
          </w:p>
        </w:tc>
        <w:tc>
          <w:tcPr>
            <w:tcW w:w="913" w:type="pct"/>
            <w:tcBorders>
              <w:top w:val="nil"/>
              <w:left w:val="nil"/>
              <w:bottom w:val="single" w:sz="8" w:space="0" w:color="auto"/>
              <w:right w:val="nil"/>
            </w:tcBorders>
            <w:shd w:val="clear" w:color="000000" w:fill="FFFFFF"/>
            <w:noWrap/>
            <w:vAlign w:val="center"/>
            <w:hideMark/>
          </w:tcPr>
          <w:p w14:paraId="49624054" w14:textId="77777777" w:rsidR="00B53316" w:rsidRPr="00D618B7" w:rsidRDefault="00B53316" w:rsidP="004B11B7">
            <w:pPr>
              <w:jc w:val="right"/>
              <w:rPr>
                <w:color w:val="000000"/>
              </w:rPr>
            </w:pPr>
            <w:r w:rsidRPr="00D618B7">
              <w:rPr>
                <w:color w:val="000000"/>
              </w:rPr>
              <w:t>Std. Error</w:t>
            </w:r>
          </w:p>
        </w:tc>
      </w:tr>
      <w:tr w:rsidR="00B53316" w:rsidRPr="00D618B7" w14:paraId="640797E6" w14:textId="77777777" w:rsidTr="004B11B7">
        <w:trPr>
          <w:trHeight w:val="322"/>
        </w:trPr>
        <w:tc>
          <w:tcPr>
            <w:tcW w:w="1743" w:type="pct"/>
            <w:tcBorders>
              <w:top w:val="nil"/>
              <w:left w:val="nil"/>
              <w:bottom w:val="nil"/>
              <w:right w:val="nil"/>
            </w:tcBorders>
            <w:shd w:val="clear" w:color="000000" w:fill="FFFFFF"/>
            <w:hideMark/>
          </w:tcPr>
          <w:p w14:paraId="242DE446" w14:textId="77777777" w:rsidR="00B53316" w:rsidRPr="00D618B7" w:rsidRDefault="00B53316" w:rsidP="004B11B7">
            <w:pPr>
              <w:rPr>
                <w:color w:val="000000"/>
              </w:rPr>
            </w:pPr>
            <w:r w:rsidRPr="00D618B7">
              <w:t>Toy-out-of-Reach</w:t>
            </w:r>
          </w:p>
        </w:tc>
        <w:tc>
          <w:tcPr>
            <w:tcW w:w="853" w:type="pct"/>
            <w:tcBorders>
              <w:top w:val="nil"/>
              <w:left w:val="nil"/>
              <w:bottom w:val="nil"/>
              <w:right w:val="nil"/>
            </w:tcBorders>
            <w:shd w:val="clear" w:color="000000" w:fill="FFFFFF"/>
            <w:noWrap/>
            <w:vAlign w:val="center"/>
            <w:hideMark/>
          </w:tcPr>
          <w:p w14:paraId="0F9B05E2" w14:textId="77777777" w:rsidR="00B53316" w:rsidRPr="00D618B7" w:rsidRDefault="00B53316" w:rsidP="004B11B7">
            <w:pPr>
              <w:jc w:val="right"/>
              <w:rPr>
                <w:color w:val="000000"/>
              </w:rPr>
            </w:pPr>
            <w:r w:rsidRPr="00D618B7">
              <w:rPr>
                <w:color w:val="000000"/>
              </w:rPr>
              <w:t>0.61</w:t>
            </w:r>
          </w:p>
        </w:tc>
        <w:tc>
          <w:tcPr>
            <w:tcW w:w="865" w:type="pct"/>
            <w:tcBorders>
              <w:top w:val="nil"/>
              <w:left w:val="nil"/>
              <w:bottom w:val="nil"/>
              <w:right w:val="nil"/>
            </w:tcBorders>
            <w:shd w:val="clear" w:color="000000" w:fill="FFFFFF"/>
            <w:noWrap/>
            <w:vAlign w:val="center"/>
            <w:hideMark/>
          </w:tcPr>
          <w:p w14:paraId="493D6846" w14:textId="77777777" w:rsidR="00B53316" w:rsidRPr="00D618B7" w:rsidRDefault="00B53316" w:rsidP="004B11B7">
            <w:pPr>
              <w:jc w:val="right"/>
              <w:rPr>
                <w:color w:val="000000"/>
              </w:rPr>
            </w:pPr>
            <w:r w:rsidRPr="00D618B7">
              <w:rPr>
                <w:color w:val="000000"/>
              </w:rPr>
              <w:t>0.04</w:t>
            </w:r>
          </w:p>
        </w:tc>
        <w:tc>
          <w:tcPr>
            <w:tcW w:w="626" w:type="pct"/>
            <w:tcBorders>
              <w:top w:val="nil"/>
              <w:left w:val="nil"/>
              <w:bottom w:val="nil"/>
              <w:right w:val="nil"/>
            </w:tcBorders>
            <w:shd w:val="clear" w:color="000000" w:fill="FFFFFF"/>
            <w:noWrap/>
            <w:vAlign w:val="center"/>
            <w:hideMark/>
          </w:tcPr>
          <w:p w14:paraId="53D60F9C" w14:textId="77777777" w:rsidR="00B53316" w:rsidRPr="00D618B7" w:rsidRDefault="00B53316" w:rsidP="004B11B7">
            <w:pPr>
              <w:jc w:val="right"/>
              <w:rPr>
                <w:color w:val="000000"/>
              </w:rPr>
            </w:pPr>
            <w:r w:rsidRPr="00D618B7">
              <w:rPr>
                <w:color w:val="000000"/>
              </w:rPr>
              <w:t>0.11</w:t>
            </w:r>
          </w:p>
        </w:tc>
        <w:tc>
          <w:tcPr>
            <w:tcW w:w="913" w:type="pct"/>
            <w:tcBorders>
              <w:top w:val="nil"/>
              <w:left w:val="nil"/>
              <w:bottom w:val="nil"/>
              <w:right w:val="nil"/>
            </w:tcBorders>
            <w:shd w:val="clear" w:color="000000" w:fill="FFFFFF"/>
            <w:noWrap/>
            <w:vAlign w:val="center"/>
            <w:hideMark/>
          </w:tcPr>
          <w:p w14:paraId="5621A6C4" w14:textId="77777777" w:rsidR="00B53316" w:rsidRPr="00D618B7" w:rsidRDefault="00B53316" w:rsidP="004B11B7">
            <w:pPr>
              <w:jc w:val="right"/>
              <w:rPr>
                <w:color w:val="000000"/>
              </w:rPr>
            </w:pPr>
            <w:r w:rsidRPr="00D618B7">
              <w:rPr>
                <w:color w:val="000000"/>
              </w:rPr>
              <w:t>0.01</w:t>
            </w:r>
          </w:p>
        </w:tc>
      </w:tr>
      <w:tr w:rsidR="00B53316" w:rsidRPr="00D618B7" w14:paraId="283C0B13" w14:textId="77777777" w:rsidTr="004B11B7">
        <w:trPr>
          <w:trHeight w:val="322"/>
        </w:trPr>
        <w:tc>
          <w:tcPr>
            <w:tcW w:w="1743" w:type="pct"/>
            <w:tcBorders>
              <w:top w:val="nil"/>
              <w:left w:val="nil"/>
              <w:bottom w:val="nil"/>
              <w:right w:val="nil"/>
            </w:tcBorders>
            <w:shd w:val="clear" w:color="000000" w:fill="FFFFFF"/>
            <w:hideMark/>
          </w:tcPr>
          <w:p w14:paraId="125B4593" w14:textId="77777777" w:rsidR="00B53316" w:rsidRPr="00D618B7" w:rsidRDefault="00B53316" w:rsidP="004B11B7">
            <w:pPr>
              <w:rPr>
                <w:color w:val="000000"/>
              </w:rPr>
            </w:pPr>
            <w:r w:rsidRPr="00D618B7">
              <w:t>Toy-Moving-into-Reach</w:t>
            </w:r>
          </w:p>
        </w:tc>
        <w:tc>
          <w:tcPr>
            <w:tcW w:w="853" w:type="pct"/>
            <w:tcBorders>
              <w:top w:val="nil"/>
              <w:left w:val="nil"/>
              <w:bottom w:val="nil"/>
              <w:right w:val="nil"/>
            </w:tcBorders>
            <w:shd w:val="clear" w:color="000000" w:fill="FFFFFF"/>
            <w:noWrap/>
            <w:vAlign w:val="center"/>
            <w:hideMark/>
          </w:tcPr>
          <w:p w14:paraId="5288C4E9" w14:textId="77777777" w:rsidR="00B53316" w:rsidRPr="00D618B7" w:rsidRDefault="00B53316" w:rsidP="004B11B7">
            <w:pPr>
              <w:jc w:val="right"/>
              <w:rPr>
                <w:color w:val="000000"/>
              </w:rPr>
            </w:pPr>
            <w:r w:rsidRPr="00D618B7">
              <w:rPr>
                <w:color w:val="000000"/>
              </w:rPr>
              <w:t>0.36</w:t>
            </w:r>
          </w:p>
        </w:tc>
        <w:tc>
          <w:tcPr>
            <w:tcW w:w="865" w:type="pct"/>
            <w:tcBorders>
              <w:top w:val="nil"/>
              <w:left w:val="nil"/>
              <w:bottom w:val="nil"/>
              <w:right w:val="nil"/>
            </w:tcBorders>
            <w:shd w:val="clear" w:color="000000" w:fill="FFFFFF"/>
            <w:noWrap/>
            <w:vAlign w:val="center"/>
            <w:hideMark/>
          </w:tcPr>
          <w:p w14:paraId="63F6F470" w14:textId="77777777" w:rsidR="00B53316" w:rsidRPr="00D618B7" w:rsidRDefault="00B53316" w:rsidP="004B11B7">
            <w:pPr>
              <w:jc w:val="right"/>
              <w:rPr>
                <w:color w:val="000000"/>
              </w:rPr>
            </w:pPr>
            <w:r w:rsidRPr="00D618B7">
              <w:rPr>
                <w:color w:val="000000"/>
              </w:rPr>
              <w:t>0.16</w:t>
            </w:r>
          </w:p>
        </w:tc>
        <w:tc>
          <w:tcPr>
            <w:tcW w:w="626" w:type="pct"/>
            <w:tcBorders>
              <w:top w:val="nil"/>
              <w:left w:val="nil"/>
              <w:bottom w:val="nil"/>
              <w:right w:val="nil"/>
            </w:tcBorders>
            <w:shd w:val="clear" w:color="000000" w:fill="FFFFFF"/>
            <w:noWrap/>
            <w:vAlign w:val="center"/>
            <w:hideMark/>
          </w:tcPr>
          <w:p w14:paraId="140C45B5" w14:textId="77777777" w:rsidR="00B53316" w:rsidRPr="00D618B7" w:rsidRDefault="00B53316" w:rsidP="004B11B7">
            <w:pPr>
              <w:jc w:val="right"/>
              <w:rPr>
                <w:color w:val="000000"/>
              </w:rPr>
            </w:pPr>
            <w:r w:rsidRPr="00D618B7">
              <w:rPr>
                <w:color w:val="000000"/>
              </w:rPr>
              <w:t>0.05</w:t>
            </w:r>
          </w:p>
        </w:tc>
        <w:tc>
          <w:tcPr>
            <w:tcW w:w="913" w:type="pct"/>
            <w:tcBorders>
              <w:top w:val="nil"/>
              <w:left w:val="nil"/>
              <w:bottom w:val="nil"/>
              <w:right w:val="nil"/>
            </w:tcBorders>
            <w:shd w:val="clear" w:color="000000" w:fill="FFFFFF"/>
            <w:noWrap/>
            <w:vAlign w:val="center"/>
            <w:hideMark/>
          </w:tcPr>
          <w:p w14:paraId="35DADC23" w14:textId="77777777" w:rsidR="00B53316" w:rsidRPr="00D618B7" w:rsidRDefault="00B53316" w:rsidP="004B11B7">
            <w:pPr>
              <w:jc w:val="right"/>
              <w:rPr>
                <w:color w:val="000000"/>
              </w:rPr>
            </w:pPr>
            <w:r w:rsidRPr="00D618B7">
              <w:rPr>
                <w:color w:val="000000"/>
              </w:rPr>
              <w:t>0.03</w:t>
            </w:r>
          </w:p>
        </w:tc>
      </w:tr>
      <w:tr w:rsidR="00B53316" w:rsidRPr="00D618B7" w14:paraId="3736278D" w14:textId="77777777" w:rsidTr="004B11B7">
        <w:trPr>
          <w:trHeight w:val="322"/>
        </w:trPr>
        <w:tc>
          <w:tcPr>
            <w:tcW w:w="1743" w:type="pct"/>
            <w:tcBorders>
              <w:top w:val="nil"/>
              <w:left w:val="nil"/>
              <w:bottom w:val="single" w:sz="8" w:space="0" w:color="auto"/>
              <w:right w:val="nil"/>
            </w:tcBorders>
            <w:shd w:val="clear" w:color="000000" w:fill="FFFFFF"/>
            <w:hideMark/>
          </w:tcPr>
          <w:p w14:paraId="2281A202" w14:textId="77777777" w:rsidR="00B53316" w:rsidRPr="00D618B7" w:rsidRDefault="00B53316" w:rsidP="004B11B7">
            <w:pPr>
              <w:rPr>
                <w:color w:val="000000"/>
              </w:rPr>
            </w:pPr>
            <w:r w:rsidRPr="00D618B7">
              <w:t>Toy-in-Reach</w:t>
            </w:r>
          </w:p>
        </w:tc>
        <w:tc>
          <w:tcPr>
            <w:tcW w:w="853" w:type="pct"/>
            <w:tcBorders>
              <w:top w:val="nil"/>
              <w:left w:val="nil"/>
              <w:bottom w:val="single" w:sz="8" w:space="0" w:color="auto"/>
              <w:right w:val="nil"/>
            </w:tcBorders>
            <w:shd w:val="clear" w:color="000000" w:fill="FFFFFF"/>
            <w:noWrap/>
            <w:vAlign w:val="center"/>
            <w:hideMark/>
          </w:tcPr>
          <w:p w14:paraId="6230F2DA" w14:textId="77777777" w:rsidR="00B53316" w:rsidRPr="00D618B7" w:rsidRDefault="00B53316" w:rsidP="004B11B7">
            <w:pPr>
              <w:jc w:val="right"/>
              <w:rPr>
                <w:color w:val="000000"/>
              </w:rPr>
            </w:pPr>
            <w:r w:rsidRPr="00D618B7">
              <w:rPr>
                <w:color w:val="000000"/>
              </w:rPr>
              <w:t>3.36</w:t>
            </w:r>
          </w:p>
        </w:tc>
        <w:tc>
          <w:tcPr>
            <w:tcW w:w="865" w:type="pct"/>
            <w:tcBorders>
              <w:top w:val="nil"/>
              <w:left w:val="nil"/>
              <w:bottom w:val="single" w:sz="8" w:space="0" w:color="auto"/>
              <w:right w:val="nil"/>
            </w:tcBorders>
            <w:shd w:val="clear" w:color="000000" w:fill="FFFFFF"/>
            <w:noWrap/>
            <w:vAlign w:val="center"/>
            <w:hideMark/>
          </w:tcPr>
          <w:p w14:paraId="0AE18405" w14:textId="77777777" w:rsidR="00B53316" w:rsidRPr="00D618B7" w:rsidRDefault="00B53316" w:rsidP="004B11B7">
            <w:pPr>
              <w:jc w:val="right"/>
              <w:rPr>
                <w:color w:val="000000"/>
              </w:rPr>
            </w:pPr>
            <w:r w:rsidRPr="00D618B7">
              <w:rPr>
                <w:color w:val="000000"/>
              </w:rPr>
              <w:t>1.14</w:t>
            </w:r>
          </w:p>
        </w:tc>
        <w:tc>
          <w:tcPr>
            <w:tcW w:w="626" w:type="pct"/>
            <w:tcBorders>
              <w:top w:val="nil"/>
              <w:left w:val="nil"/>
              <w:bottom w:val="single" w:sz="8" w:space="0" w:color="auto"/>
              <w:right w:val="nil"/>
            </w:tcBorders>
            <w:shd w:val="clear" w:color="000000" w:fill="FFFFFF"/>
            <w:noWrap/>
            <w:vAlign w:val="center"/>
            <w:hideMark/>
          </w:tcPr>
          <w:p w14:paraId="089259BC" w14:textId="77777777" w:rsidR="00B53316" w:rsidRPr="00D618B7" w:rsidRDefault="00B53316" w:rsidP="004B11B7">
            <w:pPr>
              <w:jc w:val="right"/>
              <w:rPr>
                <w:color w:val="000000"/>
              </w:rPr>
            </w:pPr>
            <w:r w:rsidRPr="00D618B7">
              <w:rPr>
                <w:color w:val="000000"/>
              </w:rPr>
              <w:t>1.34</w:t>
            </w:r>
          </w:p>
        </w:tc>
        <w:tc>
          <w:tcPr>
            <w:tcW w:w="913" w:type="pct"/>
            <w:tcBorders>
              <w:top w:val="nil"/>
              <w:left w:val="nil"/>
              <w:bottom w:val="single" w:sz="8" w:space="0" w:color="auto"/>
              <w:right w:val="nil"/>
            </w:tcBorders>
            <w:shd w:val="clear" w:color="000000" w:fill="FFFFFF"/>
            <w:noWrap/>
            <w:vAlign w:val="center"/>
            <w:hideMark/>
          </w:tcPr>
          <w:p w14:paraId="71893153" w14:textId="77777777" w:rsidR="00B53316" w:rsidRPr="00D618B7" w:rsidRDefault="00B53316" w:rsidP="004B11B7">
            <w:pPr>
              <w:jc w:val="right"/>
              <w:rPr>
                <w:color w:val="000000"/>
              </w:rPr>
            </w:pPr>
            <w:r w:rsidRPr="00D618B7">
              <w:rPr>
                <w:color w:val="000000"/>
              </w:rPr>
              <w:t>0.21</w:t>
            </w:r>
          </w:p>
        </w:tc>
      </w:tr>
    </w:tbl>
    <w:p w14:paraId="3398235E" w14:textId="77777777" w:rsidR="00B53316" w:rsidRPr="00D618B7" w:rsidRDefault="00B53316" w:rsidP="00B53316">
      <w:pPr>
        <w:rPr>
          <w:i/>
          <w:iCs/>
        </w:rPr>
      </w:pPr>
    </w:p>
    <w:p w14:paraId="6E918A23" w14:textId="77777777" w:rsidR="00B53316" w:rsidRPr="00D618B7" w:rsidRDefault="00B53316" w:rsidP="00B53316">
      <w:r w:rsidRPr="00D618B7">
        <w:rPr>
          <w:i/>
          <w:iCs/>
        </w:rPr>
        <w:t>Note</w:t>
      </w:r>
      <w:r w:rsidRPr="00D618B7">
        <w:t>: This table lists the estimated mean frequency and standard errors for toy-out-of-reach, toy-moving-into-reach, and toy-in-reach events by group.</w:t>
      </w:r>
    </w:p>
    <w:p w14:paraId="09BAEC89" w14:textId="77777777" w:rsidR="00F11AB1" w:rsidRDefault="009628DB" w:rsidP="009628DB">
      <w:pPr>
        <w:rPr>
          <w:rFonts w:eastAsia="Aptos"/>
        </w:rPr>
      </w:pPr>
      <w:r w:rsidRPr="00D618B7">
        <w:rPr>
          <w:rFonts w:eastAsia="Aptos"/>
        </w:rPr>
        <w:br w:type="page"/>
      </w:r>
    </w:p>
    <w:p w14:paraId="7D836847" w14:textId="003844FA" w:rsidR="004B5A83" w:rsidRPr="00F11AB1" w:rsidRDefault="004B5A83" w:rsidP="009628DB">
      <w:pPr>
        <w:rPr>
          <w:rFonts w:eastAsia="Aptos"/>
        </w:rPr>
      </w:pPr>
      <w:r w:rsidRPr="00D618B7">
        <w:rPr>
          <w:noProof/>
        </w:rPr>
        <w:lastRenderedPageBreak/>
        <w:drawing>
          <wp:anchor distT="0" distB="0" distL="114300" distR="114300" simplePos="0" relativeHeight="252069376" behindDoc="0" locked="0" layoutInCell="1" allowOverlap="1" wp14:anchorId="150C4F7A" wp14:editId="1F220061">
            <wp:simplePos x="0" y="0"/>
            <wp:positionH relativeFrom="column">
              <wp:posOffset>221615</wp:posOffset>
            </wp:positionH>
            <wp:positionV relativeFrom="paragraph">
              <wp:posOffset>12700</wp:posOffset>
            </wp:positionV>
            <wp:extent cx="4419600" cy="6307455"/>
            <wp:effectExtent l="0" t="0" r="0" b="0"/>
            <wp:wrapTopAndBottom/>
            <wp:docPr id="1501093242" name="Picture 7" descr="A diagram of a to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093242" name="Picture 7" descr="A diagram of a toy&#10;&#10;Description automatically generated with medium confidence"/>
                    <pic:cNvPicPr>
                      <a:picLocks noChangeAspect="1" noChangeArrowheads="1"/>
                    </pic:cNvPicPr>
                  </pic:nvPicPr>
                  <pic:blipFill>
                    <a:blip r:embed="rId42">
                      <a:extLst>
                        <a:ext uri="{28A0092B-C50C-407E-A947-70E740481C1C}">
                          <a14:useLocalDpi xmlns:a14="http://schemas.microsoft.com/office/drawing/2010/main" val="0"/>
                        </a:ext>
                      </a:extLst>
                    </a:blip>
                    <a:srcRect l="9842" r="9842"/>
                    <a:stretch>
                      <a:fillRect/>
                    </a:stretch>
                  </pic:blipFill>
                  <pic:spPr bwMode="auto">
                    <a:xfrm>
                      <a:off x="0" y="0"/>
                      <a:ext cx="4419600" cy="6307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46ABDC" w14:textId="77777777" w:rsidR="00F11AB1" w:rsidRDefault="00F11AB1" w:rsidP="00F11AB1">
      <w:pPr>
        <w:pStyle w:val="Caption"/>
      </w:pPr>
      <w:bookmarkStart w:id="187" w:name="_Toc172716962"/>
      <w:r w:rsidRPr="00D618B7">
        <w:t xml:space="preserve">Figure </w:t>
      </w:r>
      <w:r>
        <w:fldChar w:fldCharType="begin"/>
      </w:r>
      <w:r>
        <w:instrText xml:space="preserve"> SEQ Figure \* ARABIC </w:instrText>
      </w:r>
      <w:r>
        <w:fldChar w:fldCharType="separate"/>
      </w:r>
      <w:r>
        <w:rPr>
          <w:noProof/>
        </w:rPr>
        <w:t>22</w:t>
      </w:r>
      <w:r>
        <w:rPr>
          <w:noProof/>
        </w:rPr>
        <w:fldChar w:fldCharType="end"/>
      </w:r>
      <w:r>
        <w:rPr>
          <w:noProof/>
        </w:rPr>
        <w:t>:</w:t>
      </w:r>
      <w:r w:rsidRPr="00711BCC">
        <w:t xml:space="preserve"> </w:t>
      </w:r>
      <w:r>
        <w:t>Event f</w:t>
      </w:r>
      <w:r w:rsidRPr="00BA36EF">
        <w:t xml:space="preserve">requency by </w:t>
      </w:r>
      <w:r>
        <w:t>type, proximity, and w</w:t>
      </w:r>
      <w:r w:rsidRPr="00BA36EF">
        <w:t xml:space="preserve">eek by </w:t>
      </w:r>
      <w:r>
        <w:t>g</w:t>
      </w:r>
      <w:r w:rsidRPr="00BA36EF">
        <w:t>roup</w:t>
      </w:r>
      <w:bookmarkEnd w:id="187"/>
    </w:p>
    <w:p w14:paraId="204EDAF0" w14:textId="77777777" w:rsidR="00F11AB1" w:rsidRPr="00F11AB1" w:rsidRDefault="00F11AB1" w:rsidP="00F11AB1"/>
    <w:p w14:paraId="0F5E53D7" w14:textId="2A3BF389" w:rsidR="00F11AB1" w:rsidRDefault="00F11AB1" w:rsidP="00F11AB1">
      <w:pPr>
        <w:rPr>
          <w:i/>
          <w:iCs/>
        </w:rPr>
      </w:pPr>
      <w:r w:rsidRPr="00D618B7">
        <w:t>Estimated Mean Frequency of Events by Type, Proximity, and Week by Group</w:t>
      </w:r>
    </w:p>
    <w:p w14:paraId="4BD7C0FC" w14:textId="30C30DC9" w:rsidR="009628DB" w:rsidRPr="00D618B7" w:rsidRDefault="009628DB" w:rsidP="009628DB">
      <w:r w:rsidRPr="00D618B7">
        <w:rPr>
          <w:i/>
          <w:iCs/>
        </w:rPr>
        <w:t>Note</w:t>
      </w:r>
      <w:r w:rsidRPr="00D618B7">
        <w:t>. This figure illustrates the estimated mean frequency of face, hand, and mouth events for toy-out-of-reach, toy-moving-into-reach, and toy-in-reach for each week of observation around reach-onset by group.</w:t>
      </w:r>
    </w:p>
    <w:p w14:paraId="0794B18C" w14:textId="46C05657" w:rsidR="003B5FE0" w:rsidRPr="004B5A83" w:rsidRDefault="009628DB" w:rsidP="009628DB">
      <w:pPr>
        <w:rPr>
          <w:b/>
          <w:bCs/>
          <w:i/>
          <w:iCs/>
        </w:rPr>
      </w:pPr>
      <w:r w:rsidRPr="00BA36EF">
        <w:rPr>
          <w:b/>
          <w:bCs/>
        </w:rPr>
        <w:br w:type="page"/>
      </w:r>
      <w:bookmarkStart w:id="188" w:name="_Toc172716875"/>
      <w:r w:rsidR="003B5FE0" w:rsidRPr="004B5A83">
        <w:rPr>
          <w:b/>
          <w:bCs/>
          <w:i/>
          <w:iCs/>
        </w:rPr>
        <w:lastRenderedPageBreak/>
        <w:t xml:space="preserve">Table </w:t>
      </w:r>
      <w:r w:rsidRPr="004B5A83">
        <w:rPr>
          <w:b/>
          <w:bCs/>
          <w:i/>
          <w:iCs/>
        </w:rPr>
        <w:fldChar w:fldCharType="begin"/>
      </w:r>
      <w:r w:rsidRPr="004B5A83">
        <w:rPr>
          <w:b/>
          <w:bCs/>
          <w:i/>
          <w:iCs/>
        </w:rPr>
        <w:instrText xml:space="preserve"> SEQ Table \* ARABIC </w:instrText>
      </w:r>
      <w:r w:rsidRPr="004B5A83">
        <w:rPr>
          <w:b/>
          <w:bCs/>
          <w:i/>
          <w:iCs/>
        </w:rPr>
        <w:fldChar w:fldCharType="separate"/>
      </w:r>
      <w:r w:rsidR="000C6E43" w:rsidRPr="004B5A83">
        <w:rPr>
          <w:b/>
          <w:bCs/>
          <w:i/>
          <w:iCs/>
          <w:noProof/>
        </w:rPr>
        <w:t>47</w:t>
      </w:r>
      <w:r w:rsidRPr="004B5A83">
        <w:rPr>
          <w:b/>
          <w:bCs/>
          <w:i/>
          <w:iCs/>
          <w:noProof/>
        </w:rPr>
        <w:fldChar w:fldCharType="end"/>
      </w:r>
      <w:r w:rsidR="00BA36EF" w:rsidRPr="004B5A83">
        <w:rPr>
          <w:b/>
          <w:bCs/>
          <w:i/>
          <w:iCs/>
          <w:noProof/>
        </w:rPr>
        <w:t xml:space="preserve">: </w:t>
      </w:r>
      <w:r w:rsidR="00205741">
        <w:rPr>
          <w:b/>
          <w:bCs/>
          <w:i/>
          <w:iCs/>
          <w:noProof/>
        </w:rPr>
        <w:t>E</w:t>
      </w:r>
      <w:r w:rsidR="00940E58" w:rsidRPr="004B5A83">
        <w:rPr>
          <w:b/>
          <w:bCs/>
          <w:i/>
          <w:iCs/>
        </w:rPr>
        <w:t>vent</w:t>
      </w:r>
      <w:r w:rsidR="00940E58" w:rsidRPr="004B5A83">
        <w:rPr>
          <w:i/>
          <w:iCs/>
        </w:rPr>
        <w:t xml:space="preserve"> </w:t>
      </w:r>
      <w:r w:rsidR="00205741">
        <w:rPr>
          <w:i/>
          <w:iCs/>
        </w:rPr>
        <w:t>f</w:t>
      </w:r>
      <w:r w:rsidR="00BA36EF" w:rsidRPr="004B5A83">
        <w:rPr>
          <w:b/>
          <w:bCs/>
          <w:i/>
          <w:iCs/>
        </w:rPr>
        <w:t xml:space="preserve">requency by </w:t>
      </w:r>
      <w:r w:rsidR="00205741">
        <w:rPr>
          <w:b/>
          <w:bCs/>
          <w:i/>
          <w:iCs/>
        </w:rPr>
        <w:t>t</w:t>
      </w:r>
      <w:r w:rsidR="00BA36EF" w:rsidRPr="004B5A83">
        <w:rPr>
          <w:b/>
          <w:bCs/>
          <w:i/>
          <w:iCs/>
        </w:rPr>
        <w:t xml:space="preserve">ype and </w:t>
      </w:r>
      <w:r w:rsidR="00205741">
        <w:rPr>
          <w:b/>
          <w:bCs/>
          <w:i/>
          <w:iCs/>
        </w:rPr>
        <w:t>w</w:t>
      </w:r>
      <w:r w:rsidR="00BA36EF" w:rsidRPr="004B5A83">
        <w:rPr>
          <w:b/>
          <w:bCs/>
          <w:i/>
          <w:iCs/>
        </w:rPr>
        <w:t xml:space="preserve">eek by </w:t>
      </w:r>
      <w:r w:rsidR="00205741">
        <w:rPr>
          <w:b/>
          <w:bCs/>
          <w:i/>
          <w:iCs/>
        </w:rPr>
        <w:t>g</w:t>
      </w:r>
      <w:r w:rsidR="00BA36EF" w:rsidRPr="004B5A83">
        <w:rPr>
          <w:b/>
          <w:bCs/>
          <w:i/>
          <w:iCs/>
        </w:rPr>
        <w:t>roup</w:t>
      </w:r>
      <w:bookmarkEnd w:id="188"/>
    </w:p>
    <w:p w14:paraId="1D4294DD" w14:textId="0D18B2EC" w:rsidR="00B53316" w:rsidRPr="00D618B7" w:rsidRDefault="00B53316" w:rsidP="00B53316">
      <w:r w:rsidRPr="00D618B7">
        <w:t>Estimated Mean Frequency of Events by Type and Week by Group</w:t>
      </w:r>
    </w:p>
    <w:tbl>
      <w:tblPr>
        <w:tblW w:w="5000" w:type="pct"/>
        <w:tblLook w:val="04A0" w:firstRow="1" w:lastRow="0" w:firstColumn="1" w:lastColumn="0" w:noHBand="0" w:noVBand="1"/>
      </w:tblPr>
      <w:tblGrid>
        <w:gridCol w:w="1235"/>
        <w:gridCol w:w="931"/>
        <w:gridCol w:w="1538"/>
        <w:gridCol w:w="931"/>
        <w:gridCol w:w="1538"/>
        <w:gridCol w:w="931"/>
        <w:gridCol w:w="1536"/>
      </w:tblGrid>
      <w:tr w:rsidR="00B53316" w:rsidRPr="00D618B7" w14:paraId="206809A0" w14:textId="77777777" w:rsidTr="004B11B7">
        <w:trPr>
          <w:trHeight w:val="303"/>
        </w:trPr>
        <w:tc>
          <w:tcPr>
            <w:tcW w:w="714" w:type="pct"/>
            <w:tcBorders>
              <w:top w:val="single" w:sz="4" w:space="0" w:color="auto"/>
              <w:left w:val="nil"/>
              <w:bottom w:val="nil"/>
              <w:right w:val="nil"/>
            </w:tcBorders>
            <w:shd w:val="clear" w:color="000000" w:fill="FFFFFF"/>
            <w:vAlign w:val="center"/>
            <w:hideMark/>
          </w:tcPr>
          <w:p w14:paraId="1E55B6CF" w14:textId="77777777" w:rsidR="00B53316" w:rsidRPr="00D618B7" w:rsidRDefault="00B53316" w:rsidP="004B11B7">
            <w:pPr>
              <w:jc w:val="center"/>
              <w:rPr>
                <w:color w:val="000000"/>
              </w:rPr>
            </w:pPr>
            <w:r w:rsidRPr="00D618B7">
              <w:rPr>
                <w:color w:val="000000"/>
              </w:rPr>
              <w:t>Week</w:t>
            </w:r>
          </w:p>
        </w:tc>
        <w:tc>
          <w:tcPr>
            <w:tcW w:w="1429" w:type="pct"/>
            <w:gridSpan w:val="2"/>
            <w:tcBorders>
              <w:top w:val="single" w:sz="4" w:space="0" w:color="auto"/>
              <w:left w:val="nil"/>
              <w:bottom w:val="single" w:sz="8" w:space="0" w:color="auto"/>
              <w:right w:val="nil"/>
            </w:tcBorders>
            <w:shd w:val="clear" w:color="000000" w:fill="FFFFFF"/>
            <w:vAlign w:val="center"/>
            <w:hideMark/>
          </w:tcPr>
          <w:p w14:paraId="5952D27A" w14:textId="77777777" w:rsidR="00B53316" w:rsidRPr="00D618B7" w:rsidRDefault="00B53316" w:rsidP="004B11B7">
            <w:pPr>
              <w:jc w:val="center"/>
              <w:rPr>
                <w:color w:val="000000"/>
              </w:rPr>
            </w:pPr>
            <w:r w:rsidRPr="00D618B7">
              <w:rPr>
                <w:color w:val="000000"/>
              </w:rPr>
              <w:t>Face</w:t>
            </w:r>
          </w:p>
        </w:tc>
        <w:tc>
          <w:tcPr>
            <w:tcW w:w="1429" w:type="pct"/>
            <w:gridSpan w:val="2"/>
            <w:tcBorders>
              <w:top w:val="single" w:sz="4" w:space="0" w:color="auto"/>
              <w:left w:val="nil"/>
              <w:bottom w:val="single" w:sz="8" w:space="0" w:color="auto"/>
              <w:right w:val="nil"/>
            </w:tcBorders>
            <w:shd w:val="clear" w:color="000000" w:fill="FFFFFF"/>
            <w:vAlign w:val="center"/>
            <w:hideMark/>
          </w:tcPr>
          <w:p w14:paraId="596183C3" w14:textId="77777777" w:rsidR="00B53316" w:rsidRPr="00D618B7" w:rsidRDefault="00B53316" w:rsidP="004B11B7">
            <w:pPr>
              <w:jc w:val="center"/>
              <w:rPr>
                <w:color w:val="000000"/>
              </w:rPr>
            </w:pPr>
            <w:r w:rsidRPr="00D618B7">
              <w:rPr>
                <w:color w:val="000000"/>
              </w:rPr>
              <w:t>Hand</w:t>
            </w:r>
          </w:p>
        </w:tc>
        <w:tc>
          <w:tcPr>
            <w:tcW w:w="1428" w:type="pct"/>
            <w:gridSpan w:val="2"/>
            <w:tcBorders>
              <w:top w:val="single" w:sz="4" w:space="0" w:color="auto"/>
              <w:left w:val="nil"/>
              <w:bottom w:val="single" w:sz="8" w:space="0" w:color="auto"/>
              <w:right w:val="nil"/>
            </w:tcBorders>
            <w:shd w:val="clear" w:color="000000" w:fill="FFFFFF"/>
            <w:vAlign w:val="center"/>
            <w:hideMark/>
          </w:tcPr>
          <w:p w14:paraId="0D08A9D5" w14:textId="77777777" w:rsidR="00B53316" w:rsidRPr="00D618B7" w:rsidRDefault="00B53316" w:rsidP="004B11B7">
            <w:pPr>
              <w:jc w:val="center"/>
              <w:rPr>
                <w:color w:val="000000"/>
              </w:rPr>
            </w:pPr>
            <w:r w:rsidRPr="00D618B7">
              <w:rPr>
                <w:color w:val="000000"/>
              </w:rPr>
              <w:t>Mouth</w:t>
            </w:r>
          </w:p>
        </w:tc>
      </w:tr>
      <w:tr w:rsidR="00B53316" w:rsidRPr="00D618B7" w14:paraId="42CA1796" w14:textId="77777777" w:rsidTr="004B11B7">
        <w:trPr>
          <w:trHeight w:val="303"/>
        </w:trPr>
        <w:tc>
          <w:tcPr>
            <w:tcW w:w="714" w:type="pct"/>
            <w:tcBorders>
              <w:top w:val="nil"/>
              <w:left w:val="nil"/>
              <w:bottom w:val="single" w:sz="8" w:space="0" w:color="auto"/>
              <w:right w:val="nil"/>
            </w:tcBorders>
            <w:shd w:val="clear" w:color="000000" w:fill="FFFFFF"/>
            <w:noWrap/>
            <w:vAlign w:val="bottom"/>
            <w:hideMark/>
          </w:tcPr>
          <w:p w14:paraId="52461046" w14:textId="77777777" w:rsidR="00B53316" w:rsidRPr="00D618B7" w:rsidRDefault="00B53316" w:rsidP="004B11B7">
            <w:pPr>
              <w:jc w:val="center"/>
              <w:rPr>
                <w:color w:val="000000"/>
              </w:rPr>
            </w:pPr>
          </w:p>
        </w:tc>
        <w:tc>
          <w:tcPr>
            <w:tcW w:w="539" w:type="pct"/>
            <w:tcBorders>
              <w:top w:val="nil"/>
              <w:left w:val="nil"/>
              <w:bottom w:val="single" w:sz="8" w:space="0" w:color="auto"/>
              <w:right w:val="nil"/>
            </w:tcBorders>
            <w:shd w:val="clear" w:color="000000" w:fill="FFFFFF"/>
            <w:noWrap/>
            <w:vAlign w:val="center"/>
            <w:hideMark/>
          </w:tcPr>
          <w:p w14:paraId="64EB1C67" w14:textId="77777777" w:rsidR="00B53316" w:rsidRPr="00D618B7" w:rsidRDefault="00B53316" w:rsidP="004B11B7">
            <w:pPr>
              <w:jc w:val="right"/>
              <w:rPr>
                <w:color w:val="000000"/>
              </w:rPr>
            </w:pPr>
            <w:r w:rsidRPr="00D618B7">
              <w:rPr>
                <w:color w:val="000000"/>
              </w:rPr>
              <w:t>Mean</w:t>
            </w:r>
          </w:p>
        </w:tc>
        <w:tc>
          <w:tcPr>
            <w:tcW w:w="890" w:type="pct"/>
            <w:tcBorders>
              <w:top w:val="nil"/>
              <w:left w:val="nil"/>
              <w:bottom w:val="single" w:sz="8" w:space="0" w:color="auto"/>
              <w:right w:val="nil"/>
            </w:tcBorders>
            <w:shd w:val="clear" w:color="000000" w:fill="FFFFFF"/>
            <w:noWrap/>
            <w:vAlign w:val="center"/>
            <w:hideMark/>
          </w:tcPr>
          <w:p w14:paraId="2AAD867E" w14:textId="77777777" w:rsidR="00B53316" w:rsidRPr="00D618B7" w:rsidRDefault="00B53316" w:rsidP="004B11B7">
            <w:pPr>
              <w:jc w:val="right"/>
              <w:rPr>
                <w:color w:val="000000"/>
              </w:rPr>
            </w:pPr>
            <w:r w:rsidRPr="00D618B7">
              <w:rPr>
                <w:color w:val="000000"/>
              </w:rPr>
              <w:t>Std. Error</w:t>
            </w:r>
          </w:p>
        </w:tc>
        <w:tc>
          <w:tcPr>
            <w:tcW w:w="539" w:type="pct"/>
            <w:tcBorders>
              <w:top w:val="nil"/>
              <w:left w:val="nil"/>
              <w:bottom w:val="single" w:sz="8" w:space="0" w:color="auto"/>
              <w:right w:val="nil"/>
            </w:tcBorders>
            <w:shd w:val="clear" w:color="000000" w:fill="FFFFFF"/>
            <w:noWrap/>
            <w:vAlign w:val="center"/>
            <w:hideMark/>
          </w:tcPr>
          <w:p w14:paraId="5E0D58E7" w14:textId="77777777" w:rsidR="00B53316" w:rsidRPr="00D618B7" w:rsidRDefault="00B53316" w:rsidP="004B11B7">
            <w:pPr>
              <w:jc w:val="right"/>
              <w:rPr>
                <w:color w:val="000000"/>
              </w:rPr>
            </w:pPr>
            <w:r w:rsidRPr="00D618B7">
              <w:rPr>
                <w:color w:val="000000"/>
              </w:rPr>
              <w:t>Mean</w:t>
            </w:r>
          </w:p>
        </w:tc>
        <w:tc>
          <w:tcPr>
            <w:tcW w:w="890" w:type="pct"/>
            <w:tcBorders>
              <w:top w:val="nil"/>
              <w:left w:val="nil"/>
              <w:bottom w:val="single" w:sz="8" w:space="0" w:color="auto"/>
              <w:right w:val="nil"/>
            </w:tcBorders>
            <w:shd w:val="clear" w:color="000000" w:fill="FFFFFF"/>
            <w:noWrap/>
            <w:vAlign w:val="center"/>
            <w:hideMark/>
          </w:tcPr>
          <w:p w14:paraId="41187A8C" w14:textId="77777777" w:rsidR="00B53316" w:rsidRPr="00D618B7" w:rsidRDefault="00B53316" w:rsidP="004B11B7">
            <w:pPr>
              <w:jc w:val="right"/>
              <w:rPr>
                <w:color w:val="000000"/>
              </w:rPr>
            </w:pPr>
            <w:r w:rsidRPr="00D618B7">
              <w:rPr>
                <w:color w:val="000000"/>
              </w:rPr>
              <w:t>Std. Error</w:t>
            </w:r>
          </w:p>
        </w:tc>
        <w:tc>
          <w:tcPr>
            <w:tcW w:w="539" w:type="pct"/>
            <w:tcBorders>
              <w:top w:val="nil"/>
              <w:left w:val="nil"/>
              <w:bottom w:val="single" w:sz="8" w:space="0" w:color="auto"/>
              <w:right w:val="nil"/>
            </w:tcBorders>
            <w:shd w:val="clear" w:color="000000" w:fill="FFFFFF"/>
            <w:noWrap/>
            <w:vAlign w:val="center"/>
            <w:hideMark/>
          </w:tcPr>
          <w:p w14:paraId="63222486" w14:textId="77777777" w:rsidR="00B53316" w:rsidRPr="00D618B7" w:rsidRDefault="00B53316" w:rsidP="004B11B7">
            <w:pPr>
              <w:jc w:val="right"/>
              <w:rPr>
                <w:color w:val="000000"/>
              </w:rPr>
            </w:pPr>
            <w:r w:rsidRPr="00D618B7">
              <w:rPr>
                <w:color w:val="000000"/>
              </w:rPr>
              <w:t>Mean</w:t>
            </w:r>
          </w:p>
        </w:tc>
        <w:tc>
          <w:tcPr>
            <w:tcW w:w="889" w:type="pct"/>
            <w:tcBorders>
              <w:top w:val="nil"/>
              <w:left w:val="nil"/>
              <w:bottom w:val="single" w:sz="8" w:space="0" w:color="auto"/>
              <w:right w:val="nil"/>
            </w:tcBorders>
            <w:shd w:val="clear" w:color="000000" w:fill="FFFFFF"/>
            <w:noWrap/>
            <w:vAlign w:val="center"/>
            <w:hideMark/>
          </w:tcPr>
          <w:p w14:paraId="2FE01673" w14:textId="77777777" w:rsidR="00B53316" w:rsidRPr="00D618B7" w:rsidRDefault="00B53316" w:rsidP="004B11B7">
            <w:pPr>
              <w:jc w:val="right"/>
              <w:rPr>
                <w:color w:val="000000"/>
              </w:rPr>
            </w:pPr>
            <w:r w:rsidRPr="00D618B7">
              <w:rPr>
                <w:color w:val="000000"/>
              </w:rPr>
              <w:t>Std. Error</w:t>
            </w:r>
          </w:p>
        </w:tc>
      </w:tr>
      <w:tr w:rsidR="00B53316" w:rsidRPr="00D618B7" w14:paraId="4579A86F" w14:textId="77777777" w:rsidTr="004B11B7">
        <w:trPr>
          <w:trHeight w:val="303"/>
        </w:trPr>
        <w:tc>
          <w:tcPr>
            <w:tcW w:w="714" w:type="pct"/>
            <w:tcBorders>
              <w:top w:val="nil"/>
              <w:left w:val="nil"/>
              <w:bottom w:val="nil"/>
              <w:right w:val="nil"/>
            </w:tcBorders>
            <w:shd w:val="clear" w:color="000000" w:fill="FFFFFF"/>
            <w:noWrap/>
            <w:vAlign w:val="bottom"/>
            <w:hideMark/>
          </w:tcPr>
          <w:p w14:paraId="5DF7BF37" w14:textId="77777777" w:rsidR="00B53316" w:rsidRPr="00D618B7" w:rsidRDefault="00B53316" w:rsidP="004B11B7">
            <w:pPr>
              <w:jc w:val="center"/>
              <w:rPr>
                <w:color w:val="000000"/>
              </w:rPr>
            </w:pPr>
          </w:p>
        </w:tc>
        <w:tc>
          <w:tcPr>
            <w:tcW w:w="4286" w:type="pct"/>
            <w:gridSpan w:val="6"/>
            <w:tcBorders>
              <w:top w:val="single" w:sz="8" w:space="0" w:color="auto"/>
              <w:left w:val="nil"/>
              <w:bottom w:val="nil"/>
              <w:right w:val="nil"/>
            </w:tcBorders>
            <w:shd w:val="clear" w:color="000000" w:fill="FFFFFF"/>
            <w:noWrap/>
            <w:vAlign w:val="center"/>
            <w:hideMark/>
          </w:tcPr>
          <w:p w14:paraId="046F8623" w14:textId="77777777" w:rsidR="00B53316" w:rsidRPr="00D618B7" w:rsidRDefault="00B53316" w:rsidP="004B11B7">
            <w:pPr>
              <w:jc w:val="center"/>
              <w:rPr>
                <w:color w:val="000000"/>
              </w:rPr>
            </w:pPr>
            <w:r w:rsidRPr="00D618B7">
              <w:rPr>
                <w:color w:val="000000"/>
              </w:rPr>
              <w:t>Early Reach Group</w:t>
            </w:r>
          </w:p>
        </w:tc>
      </w:tr>
      <w:tr w:rsidR="00B53316" w:rsidRPr="00D618B7" w14:paraId="59F1E947" w14:textId="77777777" w:rsidTr="004B11B7">
        <w:trPr>
          <w:trHeight w:val="303"/>
        </w:trPr>
        <w:tc>
          <w:tcPr>
            <w:tcW w:w="714" w:type="pct"/>
            <w:tcBorders>
              <w:top w:val="nil"/>
              <w:left w:val="nil"/>
              <w:bottom w:val="nil"/>
              <w:right w:val="nil"/>
            </w:tcBorders>
            <w:shd w:val="clear" w:color="000000" w:fill="FFFFFF"/>
            <w:vAlign w:val="center"/>
            <w:hideMark/>
          </w:tcPr>
          <w:p w14:paraId="673F7B3F" w14:textId="77777777" w:rsidR="00B53316" w:rsidRPr="00D618B7" w:rsidRDefault="00B53316" w:rsidP="004B11B7">
            <w:pPr>
              <w:jc w:val="center"/>
              <w:rPr>
                <w:color w:val="000000"/>
              </w:rPr>
            </w:pPr>
            <w:r w:rsidRPr="00D618B7">
              <w:rPr>
                <w:color w:val="000000"/>
              </w:rPr>
              <w:t>-5</w:t>
            </w:r>
          </w:p>
        </w:tc>
        <w:tc>
          <w:tcPr>
            <w:tcW w:w="539" w:type="pct"/>
            <w:tcBorders>
              <w:top w:val="nil"/>
              <w:left w:val="nil"/>
              <w:bottom w:val="nil"/>
              <w:right w:val="nil"/>
            </w:tcBorders>
            <w:shd w:val="clear" w:color="000000" w:fill="FFFFFF"/>
            <w:noWrap/>
            <w:vAlign w:val="center"/>
            <w:hideMark/>
          </w:tcPr>
          <w:p w14:paraId="09680053" w14:textId="77777777" w:rsidR="00B53316" w:rsidRPr="00D618B7" w:rsidRDefault="00B53316" w:rsidP="004B11B7">
            <w:pPr>
              <w:jc w:val="right"/>
              <w:rPr>
                <w:color w:val="000000"/>
              </w:rPr>
            </w:pPr>
            <w:r w:rsidRPr="00D618B7">
              <w:rPr>
                <w:color w:val="000000"/>
              </w:rPr>
              <w:t>4.77</w:t>
            </w:r>
          </w:p>
        </w:tc>
        <w:tc>
          <w:tcPr>
            <w:tcW w:w="890" w:type="pct"/>
            <w:tcBorders>
              <w:top w:val="nil"/>
              <w:left w:val="nil"/>
              <w:bottom w:val="nil"/>
              <w:right w:val="nil"/>
            </w:tcBorders>
            <w:shd w:val="clear" w:color="000000" w:fill="FFFFFF"/>
            <w:noWrap/>
            <w:vAlign w:val="center"/>
            <w:hideMark/>
          </w:tcPr>
          <w:p w14:paraId="75E11ADC" w14:textId="77777777" w:rsidR="00B53316" w:rsidRPr="00D618B7" w:rsidRDefault="00B53316" w:rsidP="004B11B7">
            <w:pPr>
              <w:jc w:val="right"/>
              <w:rPr>
                <w:color w:val="000000"/>
              </w:rPr>
            </w:pPr>
            <w:r w:rsidRPr="00D618B7">
              <w:rPr>
                <w:color w:val="000000"/>
              </w:rPr>
              <w:t>0.10</w:t>
            </w:r>
          </w:p>
        </w:tc>
        <w:tc>
          <w:tcPr>
            <w:tcW w:w="539" w:type="pct"/>
            <w:tcBorders>
              <w:top w:val="nil"/>
              <w:left w:val="nil"/>
              <w:bottom w:val="nil"/>
              <w:right w:val="nil"/>
            </w:tcBorders>
            <w:shd w:val="clear" w:color="000000" w:fill="FFFFFF"/>
            <w:noWrap/>
            <w:vAlign w:val="center"/>
            <w:hideMark/>
          </w:tcPr>
          <w:p w14:paraId="57D0584A" w14:textId="77777777" w:rsidR="00B53316" w:rsidRPr="00D618B7" w:rsidRDefault="00B53316" w:rsidP="004B11B7">
            <w:pPr>
              <w:jc w:val="right"/>
              <w:rPr>
                <w:color w:val="000000"/>
              </w:rPr>
            </w:pPr>
            <w:r w:rsidRPr="00D618B7">
              <w:rPr>
                <w:color w:val="000000"/>
              </w:rPr>
              <w:t>-0.05</w:t>
            </w:r>
          </w:p>
        </w:tc>
        <w:tc>
          <w:tcPr>
            <w:tcW w:w="890" w:type="pct"/>
            <w:tcBorders>
              <w:top w:val="nil"/>
              <w:left w:val="nil"/>
              <w:bottom w:val="nil"/>
              <w:right w:val="nil"/>
            </w:tcBorders>
            <w:shd w:val="clear" w:color="000000" w:fill="FFFFFF"/>
            <w:noWrap/>
            <w:vAlign w:val="center"/>
            <w:hideMark/>
          </w:tcPr>
          <w:p w14:paraId="6ED7FE26" w14:textId="77777777" w:rsidR="00B53316" w:rsidRPr="00D618B7" w:rsidRDefault="00B53316" w:rsidP="004B11B7">
            <w:pPr>
              <w:jc w:val="right"/>
              <w:rPr>
                <w:color w:val="000000"/>
              </w:rPr>
            </w:pPr>
            <w:r w:rsidRPr="00D618B7">
              <w:rPr>
                <w:color w:val="000000"/>
              </w:rPr>
              <w:t>0.13</w:t>
            </w:r>
          </w:p>
        </w:tc>
        <w:tc>
          <w:tcPr>
            <w:tcW w:w="539" w:type="pct"/>
            <w:tcBorders>
              <w:top w:val="nil"/>
              <w:left w:val="nil"/>
              <w:bottom w:val="nil"/>
              <w:right w:val="nil"/>
            </w:tcBorders>
            <w:shd w:val="clear" w:color="000000" w:fill="FFFFFF"/>
            <w:noWrap/>
            <w:vAlign w:val="center"/>
            <w:hideMark/>
          </w:tcPr>
          <w:p w14:paraId="6F3DEDE4" w14:textId="77777777" w:rsidR="00B53316" w:rsidRPr="00D618B7" w:rsidRDefault="00B53316" w:rsidP="004B11B7">
            <w:pPr>
              <w:jc w:val="right"/>
              <w:rPr>
                <w:color w:val="000000"/>
              </w:rPr>
            </w:pPr>
            <w:r w:rsidRPr="00D618B7">
              <w:rPr>
                <w:color w:val="000000"/>
              </w:rPr>
              <w:t>-0.79</w:t>
            </w:r>
          </w:p>
        </w:tc>
        <w:tc>
          <w:tcPr>
            <w:tcW w:w="889" w:type="pct"/>
            <w:tcBorders>
              <w:top w:val="nil"/>
              <w:left w:val="nil"/>
              <w:bottom w:val="nil"/>
              <w:right w:val="nil"/>
            </w:tcBorders>
            <w:shd w:val="clear" w:color="000000" w:fill="FFFFFF"/>
            <w:noWrap/>
            <w:vAlign w:val="center"/>
            <w:hideMark/>
          </w:tcPr>
          <w:p w14:paraId="35DC27DC" w14:textId="77777777" w:rsidR="00B53316" w:rsidRPr="00D618B7" w:rsidRDefault="00B53316" w:rsidP="004B11B7">
            <w:pPr>
              <w:jc w:val="right"/>
              <w:rPr>
                <w:color w:val="000000"/>
              </w:rPr>
            </w:pPr>
            <w:r w:rsidRPr="00D618B7">
              <w:rPr>
                <w:color w:val="000000"/>
              </w:rPr>
              <w:t>1.36</w:t>
            </w:r>
          </w:p>
        </w:tc>
      </w:tr>
      <w:tr w:rsidR="00B53316" w:rsidRPr="00D618B7" w14:paraId="51D3388A" w14:textId="77777777" w:rsidTr="004B11B7">
        <w:trPr>
          <w:trHeight w:val="303"/>
        </w:trPr>
        <w:tc>
          <w:tcPr>
            <w:tcW w:w="714" w:type="pct"/>
            <w:tcBorders>
              <w:top w:val="nil"/>
              <w:left w:val="nil"/>
              <w:bottom w:val="nil"/>
              <w:right w:val="nil"/>
            </w:tcBorders>
            <w:shd w:val="clear" w:color="000000" w:fill="FFFFFF"/>
            <w:vAlign w:val="center"/>
            <w:hideMark/>
          </w:tcPr>
          <w:p w14:paraId="308F3823" w14:textId="77777777" w:rsidR="00B53316" w:rsidRPr="00D618B7" w:rsidRDefault="00B53316" w:rsidP="004B11B7">
            <w:pPr>
              <w:jc w:val="center"/>
              <w:rPr>
                <w:color w:val="000000"/>
              </w:rPr>
            </w:pPr>
            <w:r w:rsidRPr="00D618B7">
              <w:rPr>
                <w:color w:val="000000"/>
              </w:rPr>
              <w:t>-4</w:t>
            </w:r>
          </w:p>
        </w:tc>
        <w:tc>
          <w:tcPr>
            <w:tcW w:w="539" w:type="pct"/>
            <w:tcBorders>
              <w:top w:val="nil"/>
              <w:left w:val="nil"/>
              <w:bottom w:val="nil"/>
              <w:right w:val="nil"/>
            </w:tcBorders>
            <w:shd w:val="clear" w:color="000000" w:fill="FFFFFF"/>
            <w:noWrap/>
            <w:vAlign w:val="center"/>
            <w:hideMark/>
          </w:tcPr>
          <w:p w14:paraId="01696D69" w14:textId="77777777" w:rsidR="00B53316" w:rsidRPr="00D618B7" w:rsidRDefault="00B53316" w:rsidP="004B11B7">
            <w:pPr>
              <w:jc w:val="right"/>
              <w:rPr>
                <w:color w:val="000000"/>
              </w:rPr>
            </w:pPr>
            <w:r w:rsidRPr="00D618B7">
              <w:rPr>
                <w:color w:val="000000"/>
              </w:rPr>
              <w:t>0.33</w:t>
            </w:r>
          </w:p>
        </w:tc>
        <w:tc>
          <w:tcPr>
            <w:tcW w:w="890" w:type="pct"/>
            <w:tcBorders>
              <w:top w:val="nil"/>
              <w:left w:val="nil"/>
              <w:bottom w:val="nil"/>
              <w:right w:val="nil"/>
            </w:tcBorders>
            <w:shd w:val="clear" w:color="000000" w:fill="FFFFFF"/>
            <w:noWrap/>
            <w:vAlign w:val="center"/>
            <w:hideMark/>
          </w:tcPr>
          <w:p w14:paraId="44970EB1" w14:textId="77777777" w:rsidR="00B53316" w:rsidRPr="00D618B7" w:rsidRDefault="00B53316" w:rsidP="004B11B7">
            <w:pPr>
              <w:jc w:val="right"/>
              <w:rPr>
                <w:color w:val="000000"/>
              </w:rPr>
            </w:pPr>
            <w:r w:rsidRPr="00D618B7">
              <w:rPr>
                <w:color w:val="000000"/>
              </w:rPr>
              <w:t>0.17</w:t>
            </w:r>
          </w:p>
        </w:tc>
        <w:tc>
          <w:tcPr>
            <w:tcW w:w="539" w:type="pct"/>
            <w:tcBorders>
              <w:top w:val="nil"/>
              <w:left w:val="nil"/>
              <w:bottom w:val="nil"/>
              <w:right w:val="nil"/>
            </w:tcBorders>
            <w:shd w:val="clear" w:color="000000" w:fill="FFFFFF"/>
            <w:noWrap/>
            <w:vAlign w:val="center"/>
            <w:hideMark/>
          </w:tcPr>
          <w:p w14:paraId="721B62F5" w14:textId="77777777" w:rsidR="00B53316" w:rsidRPr="00D618B7" w:rsidRDefault="00B53316" w:rsidP="004B11B7">
            <w:pPr>
              <w:jc w:val="right"/>
              <w:rPr>
                <w:color w:val="000000"/>
              </w:rPr>
            </w:pPr>
            <w:r w:rsidRPr="00D618B7">
              <w:rPr>
                <w:color w:val="000000"/>
              </w:rPr>
              <w:t>0.65</w:t>
            </w:r>
          </w:p>
        </w:tc>
        <w:tc>
          <w:tcPr>
            <w:tcW w:w="890" w:type="pct"/>
            <w:tcBorders>
              <w:top w:val="nil"/>
              <w:left w:val="nil"/>
              <w:bottom w:val="nil"/>
              <w:right w:val="nil"/>
            </w:tcBorders>
            <w:shd w:val="clear" w:color="000000" w:fill="FFFFFF"/>
            <w:noWrap/>
            <w:vAlign w:val="center"/>
            <w:hideMark/>
          </w:tcPr>
          <w:p w14:paraId="1FB04153" w14:textId="77777777" w:rsidR="00B53316" w:rsidRPr="00D618B7" w:rsidRDefault="00B53316" w:rsidP="004B11B7">
            <w:pPr>
              <w:jc w:val="right"/>
              <w:rPr>
                <w:color w:val="000000"/>
              </w:rPr>
            </w:pPr>
            <w:r w:rsidRPr="00D618B7">
              <w:rPr>
                <w:color w:val="000000"/>
              </w:rPr>
              <w:t>0.38</w:t>
            </w:r>
          </w:p>
        </w:tc>
        <w:tc>
          <w:tcPr>
            <w:tcW w:w="539" w:type="pct"/>
            <w:tcBorders>
              <w:top w:val="nil"/>
              <w:left w:val="nil"/>
              <w:bottom w:val="nil"/>
              <w:right w:val="nil"/>
            </w:tcBorders>
            <w:shd w:val="clear" w:color="000000" w:fill="FFFFFF"/>
            <w:noWrap/>
            <w:vAlign w:val="center"/>
            <w:hideMark/>
          </w:tcPr>
          <w:p w14:paraId="47C6CB6B" w14:textId="77777777" w:rsidR="00B53316" w:rsidRPr="00D618B7" w:rsidRDefault="00B53316" w:rsidP="004B11B7">
            <w:pPr>
              <w:jc w:val="right"/>
              <w:rPr>
                <w:color w:val="000000"/>
              </w:rPr>
            </w:pPr>
            <w:r w:rsidRPr="00D618B7">
              <w:rPr>
                <w:color w:val="000000"/>
              </w:rPr>
              <w:t>1.70</w:t>
            </w:r>
          </w:p>
        </w:tc>
        <w:tc>
          <w:tcPr>
            <w:tcW w:w="889" w:type="pct"/>
            <w:tcBorders>
              <w:top w:val="nil"/>
              <w:left w:val="nil"/>
              <w:bottom w:val="nil"/>
              <w:right w:val="nil"/>
            </w:tcBorders>
            <w:shd w:val="clear" w:color="000000" w:fill="FFFFFF"/>
            <w:noWrap/>
            <w:vAlign w:val="center"/>
            <w:hideMark/>
          </w:tcPr>
          <w:p w14:paraId="30769F8A" w14:textId="77777777" w:rsidR="00B53316" w:rsidRPr="00D618B7" w:rsidRDefault="00B53316" w:rsidP="004B11B7">
            <w:pPr>
              <w:jc w:val="right"/>
              <w:rPr>
                <w:color w:val="000000"/>
              </w:rPr>
            </w:pPr>
            <w:r w:rsidRPr="00D618B7">
              <w:rPr>
                <w:color w:val="000000"/>
              </w:rPr>
              <w:t>2.13</w:t>
            </w:r>
          </w:p>
        </w:tc>
      </w:tr>
      <w:tr w:rsidR="00B53316" w:rsidRPr="00D618B7" w14:paraId="797B30E7" w14:textId="77777777" w:rsidTr="004B11B7">
        <w:trPr>
          <w:trHeight w:val="303"/>
        </w:trPr>
        <w:tc>
          <w:tcPr>
            <w:tcW w:w="714" w:type="pct"/>
            <w:tcBorders>
              <w:top w:val="nil"/>
              <w:left w:val="nil"/>
              <w:bottom w:val="nil"/>
              <w:right w:val="nil"/>
            </w:tcBorders>
            <w:shd w:val="clear" w:color="000000" w:fill="FFFFFF"/>
            <w:vAlign w:val="center"/>
            <w:hideMark/>
          </w:tcPr>
          <w:p w14:paraId="2F2CE3F2" w14:textId="77777777" w:rsidR="00B53316" w:rsidRPr="00D618B7" w:rsidRDefault="00B53316" w:rsidP="004B11B7">
            <w:pPr>
              <w:jc w:val="center"/>
              <w:rPr>
                <w:color w:val="000000"/>
              </w:rPr>
            </w:pPr>
            <w:r w:rsidRPr="00D618B7">
              <w:rPr>
                <w:color w:val="000000"/>
              </w:rPr>
              <w:t>-3</w:t>
            </w:r>
          </w:p>
        </w:tc>
        <w:tc>
          <w:tcPr>
            <w:tcW w:w="539" w:type="pct"/>
            <w:tcBorders>
              <w:top w:val="nil"/>
              <w:left w:val="nil"/>
              <w:bottom w:val="nil"/>
              <w:right w:val="nil"/>
            </w:tcBorders>
            <w:shd w:val="clear" w:color="000000" w:fill="FFFFFF"/>
            <w:noWrap/>
            <w:vAlign w:val="center"/>
            <w:hideMark/>
          </w:tcPr>
          <w:p w14:paraId="68317E46" w14:textId="77777777" w:rsidR="00B53316" w:rsidRPr="00D618B7" w:rsidRDefault="00B53316" w:rsidP="004B11B7">
            <w:pPr>
              <w:jc w:val="right"/>
              <w:rPr>
                <w:color w:val="000000"/>
              </w:rPr>
            </w:pPr>
            <w:r w:rsidRPr="00D618B7">
              <w:rPr>
                <w:color w:val="000000"/>
              </w:rPr>
              <w:t>0.65</w:t>
            </w:r>
          </w:p>
        </w:tc>
        <w:tc>
          <w:tcPr>
            <w:tcW w:w="890" w:type="pct"/>
            <w:tcBorders>
              <w:top w:val="nil"/>
              <w:left w:val="nil"/>
              <w:bottom w:val="nil"/>
              <w:right w:val="nil"/>
            </w:tcBorders>
            <w:shd w:val="clear" w:color="000000" w:fill="FFFFFF"/>
            <w:noWrap/>
            <w:vAlign w:val="center"/>
            <w:hideMark/>
          </w:tcPr>
          <w:p w14:paraId="4DC62895" w14:textId="77777777" w:rsidR="00B53316" w:rsidRPr="00D618B7" w:rsidRDefault="00B53316" w:rsidP="004B11B7">
            <w:pPr>
              <w:jc w:val="right"/>
              <w:rPr>
                <w:color w:val="000000"/>
              </w:rPr>
            </w:pPr>
            <w:r w:rsidRPr="00D618B7">
              <w:rPr>
                <w:color w:val="000000"/>
              </w:rPr>
              <w:t>0.45</w:t>
            </w:r>
          </w:p>
        </w:tc>
        <w:tc>
          <w:tcPr>
            <w:tcW w:w="539" w:type="pct"/>
            <w:tcBorders>
              <w:top w:val="nil"/>
              <w:left w:val="nil"/>
              <w:bottom w:val="nil"/>
              <w:right w:val="nil"/>
            </w:tcBorders>
            <w:shd w:val="clear" w:color="000000" w:fill="FFFFFF"/>
            <w:noWrap/>
            <w:vAlign w:val="center"/>
            <w:hideMark/>
          </w:tcPr>
          <w:p w14:paraId="460FBE36" w14:textId="77777777" w:rsidR="00B53316" w:rsidRPr="00D618B7" w:rsidRDefault="00B53316" w:rsidP="004B11B7">
            <w:pPr>
              <w:jc w:val="right"/>
              <w:rPr>
                <w:color w:val="000000"/>
              </w:rPr>
            </w:pPr>
            <w:r w:rsidRPr="00D618B7">
              <w:rPr>
                <w:color w:val="000000"/>
              </w:rPr>
              <w:t>0.11</w:t>
            </w:r>
          </w:p>
        </w:tc>
        <w:tc>
          <w:tcPr>
            <w:tcW w:w="890" w:type="pct"/>
            <w:tcBorders>
              <w:top w:val="nil"/>
              <w:left w:val="nil"/>
              <w:bottom w:val="nil"/>
              <w:right w:val="nil"/>
            </w:tcBorders>
            <w:shd w:val="clear" w:color="000000" w:fill="FFFFFF"/>
            <w:noWrap/>
            <w:vAlign w:val="center"/>
            <w:hideMark/>
          </w:tcPr>
          <w:p w14:paraId="6500EE8A" w14:textId="77777777" w:rsidR="00B53316" w:rsidRPr="00D618B7" w:rsidRDefault="00B53316" w:rsidP="004B11B7">
            <w:pPr>
              <w:jc w:val="right"/>
              <w:rPr>
                <w:color w:val="000000"/>
              </w:rPr>
            </w:pPr>
            <w:r w:rsidRPr="00D618B7">
              <w:rPr>
                <w:color w:val="000000"/>
              </w:rPr>
              <w:t>0.14</w:t>
            </w:r>
          </w:p>
        </w:tc>
        <w:tc>
          <w:tcPr>
            <w:tcW w:w="539" w:type="pct"/>
            <w:tcBorders>
              <w:top w:val="nil"/>
              <w:left w:val="nil"/>
              <w:bottom w:val="nil"/>
              <w:right w:val="nil"/>
            </w:tcBorders>
            <w:shd w:val="clear" w:color="000000" w:fill="FFFFFF"/>
            <w:noWrap/>
            <w:vAlign w:val="center"/>
            <w:hideMark/>
          </w:tcPr>
          <w:p w14:paraId="6FCC0490" w14:textId="77777777" w:rsidR="00B53316" w:rsidRPr="00D618B7" w:rsidRDefault="00B53316" w:rsidP="004B11B7">
            <w:pPr>
              <w:jc w:val="right"/>
              <w:rPr>
                <w:color w:val="000000"/>
              </w:rPr>
            </w:pPr>
            <w:r w:rsidRPr="00D618B7">
              <w:rPr>
                <w:color w:val="000000"/>
              </w:rPr>
              <w:t>6.86</w:t>
            </w:r>
          </w:p>
        </w:tc>
        <w:tc>
          <w:tcPr>
            <w:tcW w:w="889" w:type="pct"/>
            <w:tcBorders>
              <w:top w:val="nil"/>
              <w:left w:val="nil"/>
              <w:bottom w:val="nil"/>
              <w:right w:val="nil"/>
            </w:tcBorders>
            <w:shd w:val="clear" w:color="000000" w:fill="FFFFFF"/>
            <w:noWrap/>
            <w:vAlign w:val="center"/>
            <w:hideMark/>
          </w:tcPr>
          <w:p w14:paraId="00D7FFC1" w14:textId="77777777" w:rsidR="00B53316" w:rsidRPr="00D618B7" w:rsidRDefault="00B53316" w:rsidP="004B11B7">
            <w:pPr>
              <w:jc w:val="right"/>
              <w:rPr>
                <w:color w:val="000000"/>
              </w:rPr>
            </w:pPr>
            <w:r w:rsidRPr="00D618B7">
              <w:rPr>
                <w:color w:val="000000"/>
              </w:rPr>
              <w:t>4.21</w:t>
            </w:r>
          </w:p>
        </w:tc>
      </w:tr>
      <w:tr w:rsidR="00B53316" w:rsidRPr="00D618B7" w14:paraId="5C621D17" w14:textId="77777777" w:rsidTr="004B11B7">
        <w:trPr>
          <w:trHeight w:val="303"/>
        </w:trPr>
        <w:tc>
          <w:tcPr>
            <w:tcW w:w="714" w:type="pct"/>
            <w:tcBorders>
              <w:top w:val="nil"/>
              <w:left w:val="nil"/>
              <w:bottom w:val="nil"/>
              <w:right w:val="nil"/>
            </w:tcBorders>
            <w:shd w:val="clear" w:color="000000" w:fill="FFFFFF"/>
            <w:vAlign w:val="center"/>
            <w:hideMark/>
          </w:tcPr>
          <w:p w14:paraId="06100B0E" w14:textId="77777777" w:rsidR="00B53316" w:rsidRPr="00D618B7" w:rsidRDefault="00B53316" w:rsidP="004B11B7">
            <w:pPr>
              <w:jc w:val="center"/>
              <w:rPr>
                <w:color w:val="000000"/>
              </w:rPr>
            </w:pPr>
            <w:r w:rsidRPr="00D618B7">
              <w:rPr>
                <w:color w:val="000000"/>
              </w:rPr>
              <w:t>-2</w:t>
            </w:r>
          </w:p>
        </w:tc>
        <w:tc>
          <w:tcPr>
            <w:tcW w:w="539" w:type="pct"/>
            <w:tcBorders>
              <w:top w:val="nil"/>
              <w:left w:val="nil"/>
              <w:bottom w:val="nil"/>
              <w:right w:val="nil"/>
            </w:tcBorders>
            <w:shd w:val="clear" w:color="000000" w:fill="FFFFFF"/>
            <w:noWrap/>
            <w:vAlign w:val="center"/>
            <w:hideMark/>
          </w:tcPr>
          <w:p w14:paraId="3084BDC7" w14:textId="77777777" w:rsidR="00B53316" w:rsidRPr="00D618B7" w:rsidRDefault="00B53316" w:rsidP="004B11B7">
            <w:pPr>
              <w:jc w:val="right"/>
              <w:rPr>
                <w:color w:val="000000"/>
              </w:rPr>
            </w:pPr>
            <w:r w:rsidRPr="00D618B7">
              <w:rPr>
                <w:color w:val="000000"/>
              </w:rPr>
              <w:t>0.64</w:t>
            </w:r>
          </w:p>
        </w:tc>
        <w:tc>
          <w:tcPr>
            <w:tcW w:w="890" w:type="pct"/>
            <w:tcBorders>
              <w:top w:val="nil"/>
              <w:left w:val="nil"/>
              <w:bottom w:val="nil"/>
              <w:right w:val="nil"/>
            </w:tcBorders>
            <w:shd w:val="clear" w:color="000000" w:fill="FFFFFF"/>
            <w:noWrap/>
            <w:vAlign w:val="center"/>
            <w:hideMark/>
          </w:tcPr>
          <w:p w14:paraId="6F713CC7" w14:textId="77777777" w:rsidR="00B53316" w:rsidRPr="00D618B7" w:rsidRDefault="00B53316" w:rsidP="004B11B7">
            <w:pPr>
              <w:jc w:val="right"/>
              <w:rPr>
                <w:color w:val="000000"/>
              </w:rPr>
            </w:pPr>
            <w:r w:rsidRPr="00D618B7">
              <w:rPr>
                <w:color w:val="000000"/>
              </w:rPr>
              <w:t>0.24</w:t>
            </w:r>
          </w:p>
        </w:tc>
        <w:tc>
          <w:tcPr>
            <w:tcW w:w="539" w:type="pct"/>
            <w:tcBorders>
              <w:top w:val="nil"/>
              <w:left w:val="nil"/>
              <w:bottom w:val="nil"/>
              <w:right w:val="nil"/>
            </w:tcBorders>
            <w:shd w:val="clear" w:color="000000" w:fill="FFFFFF"/>
            <w:noWrap/>
            <w:vAlign w:val="center"/>
            <w:hideMark/>
          </w:tcPr>
          <w:p w14:paraId="6635950D" w14:textId="77777777" w:rsidR="00B53316" w:rsidRPr="00D618B7" w:rsidRDefault="00B53316" w:rsidP="004B11B7">
            <w:pPr>
              <w:jc w:val="right"/>
              <w:rPr>
                <w:color w:val="000000"/>
              </w:rPr>
            </w:pPr>
            <w:r w:rsidRPr="00D618B7">
              <w:rPr>
                <w:color w:val="000000"/>
              </w:rPr>
              <w:t>0.31</w:t>
            </w:r>
          </w:p>
        </w:tc>
        <w:tc>
          <w:tcPr>
            <w:tcW w:w="890" w:type="pct"/>
            <w:tcBorders>
              <w:top w:val="nil"/>
              <w:left w:val="nil"/>
              <w:bottom w:val="nil"/>
              <w:right w:val="nil"/>
            </w:tcBorders>
            <w:shd w:val="clear" w:color="000000" w:fill="FFFFFF"/>
            <w:noWrap/>
            <w:vAlign w:val="center"/>
            <w:hideMark/>
          </w:tcPr>
          <w:p w14:paraId="30A4102E" w14:textId="77777777" w:rsidR="00B53316" w:rsidRPr="00D618B7" w:rsidRDefault="00B53316" w:rsidP="004B11B7">
            <w:pPr>
              <w:jc w:val="right"/>
              <w:rPr>
                <w:color w:val="000000"/>
              </w:rPr>
            </w:pPr>
            <w:r w:rsidRPr="00D618B7">
              <w:rPr>
                <w:color w:val="000000"/>
              </w:rPr>
              <w:t>0.29</w:t>
            </w:r>
          </w:p>
        </w:tc>
        <w:tc>
          <w:tcPr>
            <w:tcW w:w="539" w:type="pct"/>
            <w:tcBorders>
              <w:top w:val="nil"/>
              <w:left w:val="nil"/>
              <w:bottom w:val="nil"/>
              <w:right w:val="nil"/>
            </w:tcBorders>
            <w:shd w:val="clear" w:color="000000" w:fill="FFFFFF"/>
            <w:noWrap/>
            <w:vAlign w:val="center"/>
            <w:hideMark/>
          </w:tcPr>
          <w:p w14:paraId="210D833D" w14:textId="77777777" w:rsidR="00B53316" w:rsidRPr="00D618B7" w:rsidRDefault="00B53316" w:rsidP="004B11B7">
            <w:pPr>
              <w:jc w:val="right"/>
              <w:rPr>
                <w:color w:val="000000"/>
              </w:rPr>
            </w:pPr>
            <w:r w:rsidRPr="00D618B7">
              <w:rPr>
                <w:color w:val="000000"/>
              </w:rPr>
              <w:t>5.41</w:t>
            </w:r>
          </w:p>
        </w:tc>
        <w:tc>
          <w:tcPr>
            <w:tcW w:w="889" w:type="pct"/>
            <w:tcBorders>
              <w:top w:val="nil"/>
              <w:left w:val="nil"/>
              <w:bottom w:val="nil"/>
              <w:right w:val="nil"/>
            </w:tcBorders>
            <w:shd w:val="clear" w:color="000000" w:fill="FFFFFF"/>
            <w:noWrap/>
            <w:vAlign w:val="center"/>
            <w:hideMark/>
          </w:tcPr>
          <w:p w14:paraId="1E707C6D" w14:textId="77777777" w:rsidR="00B53316" w:rsidRPr="00D618B7" w:rsidRDefault="00B53316" w:rsidP="004B11B7">
            <w:pPr>
              <w:jc w:val="right"/>
              <w:rPr>
                <w:color w:val="000000"/>
              </w:rPr>
            </w:pPr>
            <w:r w:rsidRPr="00D618B7">
              <w:rPr>
                <w:color w:val="000000"/>
              </w:rPr>
              <w:t>3.28</w:t>
            </w:r>
          </w:p>
        </w:tc>
      </w:tr>
      <w:tr w:rsidR="00B53316" w:rsidRPr="00D618B7" w14:paraId="1F91F11D" w14:textId="77777777" w:rsidTr="004B11B7">
        <w:trPr>
          <w:trHeight w:val="303"/>
        </w:trPr>
        <w:tc>
          <w:tcPr>
            <w:tcW w:w="714" w:type="pct"/>
            <w:tcBorders>
              <w:top w:val="nil"/>
              <w:left w:val="nil"/>
              <w:bottom w:val="nil"/>
              <w:right w:val="nil"/>
            </w:tcBorders>
            <w:shd w:val="clear" w:color="000000" w:fill="FFFFFF"/>
            <w:vAlign w:val="center"/>
            <w:hideMark/>
          </w:tcPr>
          <w:p w14:paraId="3B02DDBD" w14:textId="77777777" w:rsidR="00B53316" w:rsidRPr="00D618B7" w:rsidRDefault="00B53316" w:rsidP="004B11B7">
            <w:pPr>
              <w:jc w:val="center"/>
              <w:rPr>
                <w:color w:val="000000"/>
              </w:rPr>
            </w:pPr>
            <w:r w:rsidRPr="00D618B7">
              <w:rPr>
                <w:color w:val="000000"/>
              </w:rPr>
              <w:t>-1</w:t>
            </w:r>
          </w:p>
        </w:tc>
        <w:tc>
          <w:tcPr>
            <w:tcW w:w="539" w:type="pct"/>
            <w:tcBorders>
              <w:top w:val="nil"/>
              <w:left w:val="nil"/>
              <w:bottom w:val="nil"/>
              <w:right w:val="nil"/>
            </w:tcBorders>
            <w:shd w:val="clear" w:color="000000" w:fill="FFFFFF"/>
            <w:noWrap/>
            <w:vAlign w:val="center"/>
            <w:hideMark/>
          </w:tcPr>
          <w:p w14:paraId="78016217" w14:textId="77777777" w:rsidR="00B53316" w:rsidRPr="00D618B7" w:rsidRDefault="00B53316" w:rsidP="004B11B7">
            <w:pPr>
              <w:jc w:val="right"/>
              <w:rPr>
                <w:color w:val="000000"/>
              </w:rPr>
            </w:pPr>
            <w:r w:rsidRPr="00D618B7">
              <w:rPr>
                <w:color w:val="000000"/>
              </w:rPr>
              <w:t>-0.04</w:t>
            </w:r>
          </w:p>
        </w:tc>
        <w:tc>
          <w:tcPr>
            <w:tcW w:w="890" w:type="pct"/>
            <w:tcBorders>
              <w:top w:val="nil"/>
              <w:left w:val="nil"/>
              <w:bottom w:val="nil"/>
              <w:right w:val="nil"/>
            </w:tcBorders>
            <w:shd w:val="clear" w:color="000000" w:fill="FFFFFF"/>
            <w:noWrap/>
            <w:vAlign w:val="center"/>
            <w:hideMark/>
          </w:tcPr>
          <w:p w14:paraId="681D02AA" w14:textId="77777777" w:rsidR="00B53316" w:rsidRPr="00D618B7" w:rsidRDefault="00B53316" w:rsidP="004B11B7">
            <w:pPr>
              <w:jc w:val="right"/>
              <w:rPr>
                <w:color w:val="000000"/>
              </w:rPr>
            </w:pPr>
            <w:r w:rsidRPr="00D618B7">
              <w:rPr>
                <w:color w:val="000000"/>
              </w:rPr>
              <w:t>0.15</w:t>
            </w:r>
          </w:p>
        </w:tc>
        <w:tc>
          <w:tcPr>
            <w:tcW w:w="539" w:type="pct"/>
            <w:tcBorders>
              <w:top w:val="nil"/>
              <w:left w:val="nil"/>
              <w:bottom w:val="nil"/>
              <w:right w:val="nil"/>
            </w:tcBorders>
            <w:shd w:val="clear" w:color="000000" w:fill="FFFFFF"/>
            <w:noWrap/>
            <w:vAlign w:val="center"/>
            <w:hideMark/>
          </w:tcPr>
          <w:p w14:paraId="3BFC2CC4" w14:textId="77777777" w:rsidR="00B53316" w:rsidRPr="00D618B7" w:rsidRDefault="00B53316" w:rsidP="004B11B7">
            <w:pPr>
              <w:jc w:val="right"/>
              <w:rPr>
                <w:color w:val="000000"/>
              </w:rPr>
            </w:pPr>
            <w:r w:rsidRPr="00D618B7">
              <w:rPr>
                <w:color w:val="000000"/>
              </w:rPr>
              <w:t>0.19</w:t>
            </w:r>
          </w:p>
        </w:tc>
        <w:tc>
          <w:tcPr>
            <w:tcW w:w="890" w:type="pct"/>
            <w:tcBorders>
              <w:top w:val="nil"/>
              <w:left w:val="nil"/>
              <w:bottom w:val="nil"/>
              <w:right w:val="nil"/>
            </w:tcBorders>
            <w:shd w:val="clear" w:color="000000" w:fill="FFFFFF"/>
            <w:noWrap/>
            <w:vAlign w:val="center"/>
            <w:hideMark/>
          </w:tcPr>
          <w:p w14:paraId="544E4274" w14:textId="77777777" w:rsidR="00B53316" w:rsidRPr="00D618B7" w:rsidRDefault="00B53316" w:rsidP="004B11B7">
            <w:pPr>
              <w:jc w:val="right"/>
              <w:rPr>
                <w:color w:val="000000"/>
              </w:rPr>
            </w:pPr>
            <w:r w:rsidRPr="00D618B7">
              <w:rPr>
                <w:color w:val="000000"/>
              </w:rPr>
              <w:t>0.14</w:t>
            </w:r>
          </w:p>
        </w:tc>
        <w:tc>
          <w:tcPr>
            <w:tcW w:w="539" w:type="pct"/>
            <w:tcBorders>
              <w:top w:val="nil"/>
              <w:left w:val="nil"/>
              <w:bottom w:val="nil"/>
              <w:right w:val="nil"/>
            </w:tcBorders>
            <w:shd w:val="clear" w:color="000000" w:fill="FFFFFF"/>
            <w:noWrap/>
            <w:vAlign w:val="center"/>
            <w:hideMark/>
          </w:tcPr>
          <w:p w14:paraId="59584184" w14:textId="77777777" w:rsidR="00B53316" w:rsidRPr="00D618B7" w:rsidRDefault="00B53316" w:rsidP="004B11B7">
            <w:pPr>
              <w:jc w:val="right"/>
              <w:rPr>
                <w:color w:val="000000"/>
              </w:rPr>
            </w:pPr>
            <w:r w:rsidRPr="00D618B7">
              <w:rPr>
                <w:color w:val="000000"/>
              </w:rPr>
              <w:t>7.34</w:t>
            </w:r>
          </w:p>
        </w:tc>
        <w:tc>
          <w:tcPr>
            <w:tcW w:w="889" w:type="pct"/>
            <w:tcBorders>
              <w:top w:val="nil"/>
              <w:left w:val="nil"/>
              <w:bottom w:val="nil"/>
              <w:right w:val="nil"/>
            </w:tcBorders>
            <w:shd w:val="clear" w:color="000000" w:fill="FFFFFF"/>
            <w:noWrap/>
            <w:vAlign w:val="center"/>
            <w:hideMark/>
          </w:tcPr>
          <w:p w14:paraId="29D65BF1" w14:textId="77777777" w:rsidR="00B53316" w:rsidRPr="00D618B7" w:rsidRDefault="00B53316" w:rsidP="004B11B7">
            <w:pPr>
              <w:jc w:val="right"/>
              <w:rPr>
                <w:color w:val="000000"/>
              </w:rPr>
            </w:pPr>
            <w:r w:rsidRPr="00D618B7">
              <w:rPr>
                <w:color w:val="000000"/>
              </w:rPr>
              <w:t>1.84</w:t>
            </w:r>
          </w:p>
        </w:tc>
      </w:tr>
      <w:tr w:rsidR="00B53316" w:rsidRPr="00D618B7" w14:paraId="4BFA3ABB" w14:textId="77777777" w:rsidTr="004B11B7">
        <w:trPr>
          <w:trHeight w:val="303"/>
        </w:trPr>
        <w:tc>
          <w:tcPr>
            <w:tcW w:w="714" w:type="pct"/>
            <w:tcBorders>
              <w:top w:val="nil"/>
              <w:left w:val="nil"/>
              <w:bottom w:val="nil"/>
              <w:right w:val="nil"/>
            </w:tcBorders>
            <w:shd w:val="clear" w:color="000000" w:fill="FFFFFF"/>
            <w:vAlign w:val="center"/>
            <w:hideMark/>
          </w:tcPr>
          <w:p w14:paraId="3CDBA0BB" w14:textId="77777777" w:rsidR="00B53316" w:rsidRPr="00D618B7" w:rsidRDefault="00B53316" w:rsidP="004B11B7">
            <w:pPr>
              <w:jc w:val="center"/>
              <w:rPr>
                <w:color w:val="000000"/>
              </w:rPr>
            </w:pPr>
            <w:r w:rsidRPr="00D618B7">
              <w:rPr>
                <w:color w:val="000000"/>
              </w:rPr>
              <w:t>0</w:t>
            </w:r>
          </w:p>
        </w:tc>
        <w:tc>
          <w:tcPr>
            <w:tcW w:w="539" w:type="pct"/>
            <w:tcBorders>
              <w:top w:val="nil"/>
              <w:left w:val="nil"/>
              <w:bottom w:val="nil"/>
              <w:right w:val="nil"/>
            </w:tcBorders>
            <w:shd w:val="clear" w:color="000000" w:fill="FFFFFF"/>
            <w:noWrap/>
            <w:vAlign w:val="center"/>
            <w:hideMark/>
          </w:tcPr>
          <w:p w14:paraId="50B1EC71" w14:textId="77777777" w:rsidR="00B53316" w:rsidRPr="00D618B7" w:rsidRDefault="00B53316" w:rsidP="004B11B7">
            <w:pPr>
              <w:jc w:val="right"/>
              <w:rPr>
                <w:color w:val="000000"/>
              </w:rPr>
            </w:pPr>
            <w:r w:rsidRPr="00D618B7">
              <w:rPr>
                <w:color w:val="000000"/>
              </w:rPr>
              <w:t>0.05</w:t>
            </w:r>
          </w:p>
        </w:tc>
        <w:tc>
          <w:tcPr>
            <w:tcW w:w="890" w:type="pct"/>
            <w:tcBorders>
              <w:top w:val="nil"/>
              <w:left w:val="nil"/>
              <w:bottom w:val="nil"/>
              <w:right w:val="nil"/>
            </w:tcBorders>
            <w:shd w:val="clear" w:color="000000" w:fill="FFFFFF"/>
            <w:noWrap/>
            <w:vAlign w:val="center"/>
            <w:hideMark/>
          </w:tcPr>
          <w:p w14:paraId="54C881F7" w14:textId="77777777" w:rsidR="00B53316" w:rsidRPr="00D618B7" w:rsidRDefault="00B53316" w:rsidP="004B11B7">
            <w:pPr>
              <w:jc w:val="right"/>
              <w:rPr>
                <w:color w:val="000000"/>
              </w:rPr>
            </w:pPr>
            <w:r w:rsidRPr="00D618B7">
              <w:rPr>
                <w:color w:val="000000"/>
              </w:rPr>
              <w:t>0.04</w:t>
            </w:r>
          </w:p>
        </w:tc>
        <w:tc>
          <w:tcPr>
            <w:tcW w:w="539" w:type="pct"/>
            <w:tcBorders>
              <w:top w:val="nil"/>
              <w:left w:val="nil"/>
              <w:bottom w:val="nil"/>
              <w:right w:val="nil"/>
            </w:tcBorders>
            <w:shd w:val="clear" w:color="000000" w:fill="FFFFFF"/>
            <w:noWrap/>
            <w:vAlign w:val="center"/>
            <w:hideMark/>
          </w:tcPr>
          <w:p w14:paraId="2B2ED58C" w14:textId="77777777" w:rsidR="00B53316" w:rsidRPr="00D618B7" w:rsidRDefault="00B53316" w:rsidP="004B11B7">
            <w:pPr>
              <w:jc w:val="right"/>
              <w:rPr>
                <w:color w:val="000000"/>
              </w:rPr>
            </w:pPr>
            <w:r w:rsidRPr="00D618B7">
              <w:rPr>
                <w:color w:val="000000"/>
              </w:rPr>
              <w:t>0.19</w:t>
            </w:r>
          </w:p>
        </w:tc>
        <w:tc>
          <w:tcPr>
            <w:tcW w:w="890" w:type="pct"/>
            <w:tcBorders>
              <w:top w:val="nil"/>
              <w:left w:val="nil"/>
              <w:bottom w:val="nil"/>
              <w:right w:val="nil"/>
            </w:tcBorders>
            <w:shd w:val="clear" w:color="000000" w:fill="FFFFFF"/>
            <w:noWrap/>
            <w:vAlign w:val="center"/>
            <w:hideMark/>
          </w:tcPr>
          <w:p w14:paraId="3EC31627" w14:textId="77777777" w:rsidR="00B53316" w:rsidRPr="00D618B7" w:rsidRDefault="00B53316" w:rsidP="004B11B7">
            <w:pPr>
              <w:jc w:val="right"/>
              <w:rPr>
                <w:color w:val="000000"/>
              </w:rPr>
            </w:pPr>
            <w:r w:rsidRPr="00D618B7">
              <w:rPr>
                <w:color w:val="000000"/>
              </w:rPr>
              <w:t>0.28</w:t>
            </w:r>
          </w:p>
        </w:tc>
        <w:tc>
          <w:tcPr>
            <w:tcW w:w="539" w:type="pct"/>
            <w:tcBorders>
              <w:top w:val="nil"/>
              <w:left w:val="nil"/>
              <w:bottom w:val="nil"/>
              <w:right w:val="nil"/>
            </w:tcBorders>
            <w:shd w:val="clear" w:color="000000" w:fill="FFFFFF"/>
            <w:noWrap/>
            <w:vAlign w:val="center"/>
            <w:hideMark/>
          </w:tcPr>
          <w:p w14:paraId="5D35BC25" w14:textId="77777777" w:rsidR="00B53316" w:rsidRPr="00D618B7" w:rsidRDefault="00B53316" w:rsidP="004B11B7">
            <w:pPr>
              <w:jc w:val="right"/>
              <w:rPr>
                <w:color w:val="000000"/>
              </w:rPr>
            </w:pPr>
            <w:r w:rsidRPr="00D618B7">
              <w:rPr>
                <w:color w:val="000000"/>
              </w:rPr>
              <w:t>6.18</w:t>
            </w:r>
          </w:p>
        </w:tc>
        <w:tc>
          <w:tcPr>
            <w:tcW w:w="889" w:type="pct"/>
            <w:tcBorders>
              <w:top w:val="nil"/>
              <w:left w:val="nil"/>
              <w:bottom w:val="nil"/>
              <w:right w:val="nil"/>
            </w:tcBorders>
            <w:shd w:val="clear" w:color="000000" w:fill="FFFFFF"/>
            <w:noWrap/>
            <w:vAlign w:val="center"/>
            <w:hideMark/>
          </w:tcPr>
          <w:p w14:paraId="717FB972" w14:textId="77777777" w:rsidR="00B53316" w:rsidRPr="00D618B7" w:rsidRDefault="00B53316" w:rsidP="004B11B7">
            <w:pPr>
              <w:jc w:val="right"/>
              <w:rPr>
                <w:color w:val="000000"/>
              </w:rPr>
            </w:pPr>
            <w:r w:rsidRPr="00D618B7">
              <w:rPr>
                <w:color w:val="000000"/>
              </w:rPr>
              <w:t>1.47</w:t>
            </w:r>
          </w:p>
        </w:tc>
      </w:tr>
      <w:tr w:rsidR="00B53316" w:rsidRPr="00D618B7" w14:paraId="167861A7" w14:textId="77777777" w:rsidTr="004B11B7">
        <w:trPr>
          <w:trHeight w:val="303"/>
        </w:trPr>
        <w:tc>
          <w:tcPr>
            <w:tcW w:w="714" w:type="pct"/>
            <w:tcBorders>
              <w:top w:val="nil"/>
              <w:left w:val="nil"/>
              <w:bottom w:val="nil"/>
              <w:right w:val="nil"/>
            </w:tcBorders>
            <w:shd w:val="clear" w:color="000000" w:fill="FFFFFF"/>
            <w:vAlign w:val="center"/>
            <w:hideMark/>
          </w:tcPr>
          <w:p w14:paraId="59ABFC90" w14:textId="77777777" w:rsidR="00B53316" w:rsidRPr="00D618B7" w:rsidRDefault="00B53316" w:rsidP="004B11B7">
            <w:pPr>
              <w:jc w:val="center"/>
              <w:rPr>
                <w:color w:val="000000"/>
              </w:rPr>
            </w:pPr>
            <w:r w:rsidRPr="00D618B7">
              <w:rPr>
                <w:color w:val="000000"/>
              </w:rPr>
              <w:t>1</w:t>
            </w:r>
          </w:p>
        </w:tc>
        <w:tc>
          <w:tcPr>
            <w:tcW w:w="539" w:type="pct"/>
            <w:tcBorders>
              <w:top w:val="nil"/>
              <w:left w:val="nil"/>
              <w:bottom w:val="nil"/>
              <w:right w:val="nil"/>
            </w:tcBorders>
            <w:shd w:val="clear" w:color="000000" w:fill="FFFFFF"/>
            <w:noWrap/>
            <w:vAlign w:val="center"/>
            <w:hideMark/>
          </w:tcPr>
          <w:p w14:paraId="3604F7FB" w14:textId="77777777" w:rsidR="00B53316" w:rsidRPr="00D618B7" w:rsidRDefault="00B53316" w:rsidP="004B11B7">
            <w:pPr>
              <w:jc w:val="right"/>
              <w:rPr>
                <w:color w:val="000000"/>
              </w:rPr>
            </w:pPr>
            <w:r w:rsidRPr="00D618B7">
              <w:rPr>
                <w:color w:val="000000"/>
              </w:rPr>
              <w:t>0.25</w:t>
            </w:r>
          </w:p>
        </w:tc>
        <w:tc>
          <w:tcPr>
            <w:tcW w:w="890" w:type="pct"/>
            <w:tcBorders>
              <w:top w:val="nil"/>
              <w:left w:val="nil"/>
              <w:bottom w:val="nil"/>
              <w:right w:val="nil"/>
            </w:tcBorders>
            <w:shd w:val="clear" w:color="000000" w:fill="FFFFFF"/>
            <w:noWrap/>
            <w:vAlign w:val="center"/>
            <w:hideMark/>
          </w:tcPr>
          <w:p w14:paraId="77AA1F96" w14:textId="77777777" w:rsidR="00B53316" w:rsidRPr="00D618B7" w:rsidRDefault="00B53316" w:rsidP="004B11B7">
            <w:pPr>
              <w:jc w:val="right"/>
              <w:rPr>
                <w:color w:val="000000"/>
              </w:rPr>
            </w:pPr>
            <w:r w:rsidRPr="00D618B7">
              <w:rPr>
                <w:color w:val="000000"/>
              </w:rPr>
              <w:t>0.13</w:t>
            </w:r>
          </w:p>
        </w:tc>
        <w:tc>
          <w:tcPr>
            <w:tcW w:w="539" w:type="pct"/>
            <w:tcBorders>
              <w:top w:val="nil"/>
              <w:left w:val="nil"/>
              <w:bottom w:val="nil"/>
              <w:right w:val="nil"/>
            </w:tcBorders>
            <w:shd w:val="clear" w:color="000000" w:fill="FFFFFF"/>
            <w:noWrap/>
            <w:vAlign w:val="center"/>
            <w:hideMark/>
          </w:tcPr>
          <w:p w14:paraId="548AC1AA" w14:textId="77777777" w:rsidR="00B53316" w:rsidRPr="00D618B7" w:rsidRDefault="00B53316" w:rsidP="004B11B7">
            <w:pPr>
              <w:jc w:val="right"/>
              <w:rPr>
                <w:color w:val="000000"/>
              </w:rPr>
            </w:pPr>
            <w:r w:rsidRPr="00D618B7">
              <w:rPr>
                <w:color w:val="000000"/>
              </w:rPr>
              <w:t>0.26</w:t>
            </w:r>
          </w:p>
        </w:tc>
        <w:tc>
          <w:tcPr>
            <w:tcW w:w="890" w:type="pct"/>
            <w:tcBorders>
              <w:top w:val="nil"/>
              <w:left w:val="nil"/>
              <w:bottom w:val="nil"/>
              <w:right w:val="nil"/>
            </w:tcBorders>
            <w:shd w:val="clear" w:color="000000" w:fill="FFFFFF"/>
            <w:noWrap/>
            <w:vAlign w:val="center"/>
            <w:hideMark/>
          </w:tcPr>
          <w:p w14:paraId="6A34807B" w14:textId="77777777" w:rsidR="00B53316" w:rsidRPr="00D618B7" w:rsidRDefault="00B53316" w:rsidP="004B11B7">
            <w:pPr>
              <w:jc w:val="right"/>
              <w:rPr>
                <w:color w:val="000000"/>
              </w:rPr>
            </w:pPr>
            <w:r w:rsidRPr="00D618B7">
              <w:rPr>
                <w:color w:val="000000"/>
              </w:rPr>
              <w:t>0.29</w:t>
            </w:r>
          </w:p>
        </w:tc>
        <w:tc>
          <w:tcPr>
            <w:tcW w:w="539" w:type="pct"/>
            <w:tcBorders>
              <w:top w:val="nil"/>
              <w:left w:val="nil"/>
              <w:bottom w:val="nil"/>
              <w:right w:val="nil"/>
            </w:tcBorders>
            <w:shd w:val="clear" w:color="000000" w:fill="FFFFFF"/>
            <w:noWrap/>
            <w:vAlign w:val="center"/>
            <w:hideMark/>
          </w:tcPr>
          <w:p w14:paraId="7B31D3D5" w14:textId="77777777" w:rsidR="00B53316" w:rsidRPr="00D618B7" w:rsidRDefault="00B53316" w:rsidP="004B11B7">
            <w:pPr>
              <w:jc w:val="right"/>
              <w:rPr>
                <w:color w:val="000000"/>
              </w:rPr>
            </w:pPr>
            <w:r w:rsidRPr="00D618B7">
              <w:rPr>
                <w:color w:val="000000"/>
              </w:rPr>
              <w:t>1.14</w:t>
            </w:r>
          </w:p>
        </w:tc>
        <w:tc>
          <w:tcPr>
            <w:tcW w:w="889" w:type="pct"/>
            <w:tcBorders>
              <w:top w:val="nil"/>
              <w:left w:val="nil"/>
              <w:bottom w:val="nil"/>
              <w:right w:val="nil"/>
            </w:tcBorders>
            <w:shd w:val="clear" w:color="000000" w:fill="FFFFFF"/>
            <w:noWrap/>
            <w:vAlign w:val="center"/>
            <w:hideMark/>
          </w:tcPr>
          <w:p w14:paraId="41989AD3" w14:textId="77777777" w:rsidR="00B53316" w:rsidRPr="00D618B7" w:rsidRDefault="00B53316" w:rsidP="004B11B7">
            <w:pPr>
              <w:jc w:val="right"/>
              <w:rPr>
                <w:color w:val="000000"/>
              </w:rPr>
            </w:pPr>
            <w:r w:rsidRPr="00D618B7">
              <w:rPr>
                <w:color w:val="000000"/>
              </w:rPr>
              <w:t>0.50</w:t>
            </w:r>
          </w:p>
        </w:tc>
      </w:tr>
      <w:tr w:rsidR="00B53316" w:rsidRPr="00D618B7" w14:paraId="024ECCB3" w14:textId="77777777" w:rsidTr="004B11B7">
        <w:trPr>
          <w:trHeight w:val="303"/>
        </w:trPr>
        <w:tc>
          <w:tcPr>
            <w:tcW w:w="714" w:type="pct"/>
            <w:tcBorders>
              <w:top w:val="nil"/>
              <w:left w:val="nil"/>
              <w:bottom w:val="nil"/>
              <w:right w:val="nil"/>
            </w:tcBorders>
            <w:shd w:val="clear" w:color="000000" w:fill="FFFFFF"/>
            <w:vAlign w:val="center"/>
            <w:hideMark/>
          </w:tcPr>
          <w:p w14:paraId="234704B5" w14:textId="77777777" w:rsidR="00B53316" w:rsidRPr="00D618B7" w:rsidRDefault="00B53316" w:rsidP="004B11B7">
            <w:pPr>
              <w:jc w:val="center"/>
              <w:rPr>
                <w:color w:val="000000"/>
              </w:rPr>
            </w:pPr>
            <w:r w:rsidRPr="00D618B7">
              <w:rPr>
                <w:color w:val="000000"/>
              </w:rPr>
              <w:t>2</w:t>
            </w:r>
          </w:p>
        </w:tc>
        <w:tc>
          <w:tcPr>
            <w:tcW w:w="539" w:type="pct"/>
            <w:tcBorders>
              <w:top w:val="nil"/>
              <w:left w:val="nil"/>
              <w:bottom w:val="nil"/>
              <w:right w:val="nil"/>
            </w:tcBorders>
            <w:shd w:val="clear" w:color="000000" w:fill="FFFFFF"/>
            <w:noWrap/>
            <w:vAlign w:val="center"/>
            <w:hideMark/>
          </w:tcPr>
          <w:p w14:paraId="768C60B4" w14:textId="77777777" w:rsidR="00B53316" w:rsidRPr="00D618B7" w:rsidRDefault="00B53316" w:rsidP="004B11B7">
            <w:pPr>
              <w:jc w:val="right"/>
              <w:rPr>
                <w:color w:val="000000"/>
              </w:rPr>
            </w:pPr>
            <w:r w:rsidRPr="00D618B7">
              <w:rPr>
                <w:color w:val="000000"/>
              </w:rPr>
              <w:t>-0.02</w:t>
            </w:r>
          </w:p>
        </w:tc>
        <w:tc>
          <w:tcPr>
            <w:tcW w:w="890" w:type="pct"/>
            <w:tcBorders>
              <w:top w:val="nil"/>
              <w:left w:val="nil"/>
              <w:bottom w:val="nil"/>
              <w:right w:val="nil"/>
            </w:tcBorders>
            <w:shd w:val="clear" w:color="000000" w:fill="FFFFFF"/>
            <w:noWrap/>
            <w:vAlign w:val="center"/>
            <w:hideMark/>
          </w:tcPr>
          <w:p w14:paraId="0266C824" w14:textId="77777777" w:rsidR="00B53316" w:rsidRPr="00D618B7" w:rsidRDefault="00B53316" w:rsidP="004B11B7">
            <w:pPr>
              <w:jc w:val="right"/>
              <w:rPr>
                <w:color w:val="000000"/>
              </w:rPr>
            </w:pPr>
            <w:r w:rsidRPr="00D618B7">
              <w:rPr>
                <w:color w:val="000000"/>
              </w:rPr>
              <w:t>0.00</w:t>
            </w:r>
          </w:p>
        </w:tc>
        <w:tc>
          <w:tcPr>
            <w:tcW w:w="539" w:type="pct"/>
            <w:tcBorders>
              <w:top w:val="nil"/>
              <w:left w:val="nil"/>
              <w:bottom w:val="nil"/>
              <w:right w:val="nil"/>
            </w:tcBorders>
            <w:shd w:val="clear" w:color="000000" w:fill="FFFFFF"/>
            <w:noWrap/>
            <w:vAlign w:val="center"/>
            <w:hideMark/>
          </w:tcPr>
          <w:p w14:paraId="3C18AC2D" w14:textId="77777777" w:rsidR="00B53316" w:rsidRPr="00D618B7" w:rsidRDefault="00B53316" w:rsidP="004B11B7">
            <w:pPr>
              <w:jc w:val="right"/>
              <w:rPr>
                <w:color w:val="000000"/>
              </w:rPr>
            </w:pPr>
            <w:r w:rsidRPr="00D618B7">
              <w:rPr>
                <w:color w:val="000000"/>
              </w:rPr>
              <w:t>0.58</w:t>
            </w:r>
          </w:p>
        </w:tc>
        <w:tc>
          <w:tcPr>
            <w:tcW w:w="890" w:type="pct"/>
            <w:tcBorders>
              <w:top w:val="nil"/>
              <w:left w:val="nil"/>
              <w:bottom w:val="nil"/>
              <w:right w:val="nil"/>
            </w:tcBorders>
            <w:shd w:val="clear" w:color="000000" w:fill="FFFFFF"/>
            <w:noWrap/>
            <w:vAlign w:val="center"/>
            <w:hideMark/>
          </w:tcPr>
          <w:p w14:paraId="1991FC70" w14:textId="77777777" w:rsidR="00B53316" w:rsidRPr="00D618B7" w:rsidRDefault="00B53316" w:rsidP="004B11B7">
            <w:pPr>
              <w:jc w:val="right"/>
              <w:rPr>
                <w:color w:val="000000"/>
              </w:rPr>
            </w:pPr>
            <w:r w:rsidRPr="00D618B7">
              <w:rPr>
                <w:color w:val="000000"/>
              </w:rPr>
              <w:t>0.37</w:t>
            </w:r>
          </w:p>
        </w:tc>
        <w:tc>
          <w:tcPr>
            <w:tcW w:w="539" w:type="pct"/>
            <w:tcBorders>
              <w:top w:val="nil"/>
              <w:left w:val="nil"/>
              <w:bottom w:val="nil"/>
              <w:right w:val="nil"/>
            </w:tcBorders>
            <w:shd w:val="clear" w:color="000000" w:fill="FFFFFF"/>
            <w:noWrap/>
            <w:vAlign w:val="center"/>
            <w:hideMark/>
          </w:tcPr>
          <w:p w14:paraId="108E271D" w14:textId="77777777" w:rsidR="00B53316" w:rsidRPr="00D618B7" w:rsidRDefault="00B53316" w:rsidP="004B11B7">
            <w:pPr>
              <w:jc w:val="right"/>
              <w:rPr>
                <w:color w:val="000000"/>
              </w:rPr>
            </w:pPr>
            <w:r w:rsidRPr="00D618B7">
              <w:rPr>
                <w:color w:val="000000"/>
              </w:rPr>
              <w:t>0.96</w:t>
            </w:r>
          </w:p>
        </w:tc>
        <w:tc>
          <w:tcPr>
            <w:tcW w:w="889" w:type="pct"/>
            <w:tcBorders>
              <w:top w:val="nil"/>
              <w:left w:val="nil"/>
              <w:bottom w:val="nil"/>
              <w:right w:val="nil"/>
            </w:tcBorders>
            <w:shd w:val="clear" w:color="000000" w:fill="FFFFFF"/>
            <w:noWrap/>
            <w:vAlign w:val="center"/>
            <w:hideMark/>
          </w:tcPr>
          <w:p w14:paraId="387F2F85" w14:textId="77777777" w:rsidR="00B53316" w:rsidRPr="00D618B7" w:rsidRDefault="00B53316" w:rsidP="004B11B7">
            <w:pPr>
              <w:jc w:val="right"/>
              <w:rPr>
                <w:color w:val="000000"/>
              </w:rPr>
            </w:pPr>
            <w:r w:rsidRPr="00D618B7">
              <w:rPr>
                <w:color w:val="000000"/>
              </w:rPr>
              <w:t>0.52</w:t>
            </w:r>
          </w:p>
        </w:tc>
      </w:tr>
      <w:tr w:rsidR="00B53316" w:rsidRPr="00D618B7" w14:paraId="14C4BC34" w14:textId="77777777" w:rsidTr="004B11B7">
        <w:trPr>
          <w:trHeight w:val="303"/>
        </w:trPr>
        <w:tc>
          <w:tcPr>
            <w:tcW w:w="714" w:type="pct"/>
            <w:tcBorders>
              <w:top w:val="nil"/>
              <w:left w:val="nil"/>
              <w:bottom w:val="nil"/>
              <w:right w:val="nil"/>
            </w:tcBorders>
            <w:shd w:val="clear" w:color="000000" w:fill="FFFFFF"/>
            <w:vAlign w:val="center"/>
            <w:hideMark/>
          </w:tcPr>
          <w:p w14:paraId="240F982A" w14:textId="77777777" w:rsidR="00B53316" w:rsidRPr="00D618B7" w:rsidRDefault="00B53316" w:rsidP="004B11B7">
            <w:pPr>
              <w:jc w:val="center"/>
              <w:rPr>
                <w:color w:val="000000"/>
              </w:rPr>
            </w:pPr>
            <w:r w:rsidRPr="00D618B7">
              <w:rPr>
                <w:color w:val="000000"/>
              </w:rPr>
              <w:t>3</w:t>
            </w:r>
          </w:p>
        </w:tc>
        <w:tc>
          <w:tcPr>
            <w:tcW w:w="539" w:type="pct"/>
            <w:tcBorders>
              <w:top w:val="nil"/>
              <w:left w:val="nil"/>
              <w:bottom w:val="nil"/>
              <w:right w:val="nil"/>
            </w:tcBorders>
            <w:shd w:val="clear" w:color="000000" w:fill="FFFFFF"/>
            <w:noWrap/>
            <w:vAlign w:val="center"/>
            <w:hideMark/>
          </w:tcPr>
          <w:p w14:paraId="054D5263" w14:textId="77777777" w:rsidR="00B53316" w:rsidRPr="00D618B7" w:rsidRDefault="00B53316" w:rsidP="004B11B7">
            <w:pPr>
              <w:jc w:val="right"/>
              <w:rPr>
                <w:color w:val="000000"/>
              </w:rPr>
            </w:pPr>
            <w:r w:rsidRPr="00D618B7">
              <w:rPr>
                <w:color w:val="000000"/>
              </w:rPr>
              <w:t>0.06</w:t>
            </w:r>
          </w:p>
        </w:tc>
        <w:tc>
          <w:tcPr>
            <w:tcW w:w="890" w:type="pct"/>
            <w:tcBorders>
              <w:top w:val="nil"/>
              <w:left w:val="nil"/>
              <w:bottom w:val="nil"/>
              <w:right w:val="nil"/>
            </w:tcBorders>
            <w:shd w:val="clear" w:color="000000" w:fill="FFFFFF"/>
            <w:noWrap/>
            <w:vAlign w:val="center"/>
            <w:hideMark/>
          </w:tcPr>
          <w:p w14:paraId="025E6341" w14:textId="77777777" w:rsidR="00B53316" w:rsidRPr="00D618B7" w:rsidRDefault="00B53316" w:rsidP="004B11B7">
            <w:pPr>
              <w:jc w:val="right"/>
              <w:rPr>
                <w:color w:val="000000"/>
              </w:rPr>
            </w:pPr>
            <w:r w:rsidRPr="00D618B7">
              <w:rPr>
                <w:color w:val="000000"/>
              </w:rPr>
              <w:t>0.03</w:t>
            </w:r>
          </w:p>
        </w:tc>
        <w:tc>
          <w:tcPr>
            <w:tcW w:w="539" w:type="pct"/>
            <w:tcBorders>
              <w:top w:val="nil"/>
              <w:left w:val="nil"/>
              <w:bottom w:val="nil"/>
              <w:right w:val="nil"/>
            </w:tcBorders>
            <w:shd w:val="clear" w:color="000000" w:fill="FFFFFF"/>
            <w:noWrap/>
            <w:vAlign w:val="center"/>
            <w:hideMark/>
          </w:tcPr>
          <w:p w14:paraId="7A126C6F" w14:textId="77777777" w:rsidR="00B53316" w:rsidRPr="00D618B7" w:rsidRDefault="00B53316" w:rsidP="004B11B7">
            <w:pPr>
              <w:jc w:val="right"/>
              <w:rPr>
                <w:color w:val="000000"/>
              </w:rPr>
            </w:pPr>
            <w:r w:rsidRPr="00D618B7">
              <w:rPr>
                <w:color w:val="000000"/>
              </w:rPr>
              <w:t>0.02</w:t>
            </w:r>
          </w:p>
        </w:tc>
        <w:tc>
          <w:tcPr>
            <w:tcW w:w="890" w:type="pct"/>
            <w:tcBorders>
              <w:top w:val="nil"/>
              <w:left w:val="nil"/>
              <w:bottom w:val="nil"/>
              <w:right w:val="nil"/>
            </w:tcBorders>
            <w:shd w:val="clear" w:color="000000" w:fill="FFFFFF"/>
            <w:noWrap/>
            <w:vAlign w:val="center"/>
            <w:hideMark/>
          </w:tcPr>
          <w:p w14:paraId="2FD6C488" w14:textId="77777777" w:rsidR="00B53316" w:rsidRPr="00D618B7" w:rsidRDefault="00B53316" w:rsidP="004B11B7">
            <w:pPr>
              <w:jc w:val="right"/>
              <w:rPr>
                <w:color w:val="000000"/>
              </w:rPr>
            </w:pPr>
            <w:r w:rsidRPr="00D618B7">
              <w:rPr>
                <w:color w:val="000000"/>
              </w:rPr>
              <w:t>0.35</w:t>
            </w:r>
          </w:p>
        </w:tc>
        <w:tc>
          <w:tcPr>
            <w:tcW w:w="539" w:type="pct"/>
            <w:tcBorders>
              <w:top w:val="nil"/>
              <w:left w:val="nil"/>
              <w:bottom w:val="nil"/>
              <w:right w:val="nil"/>
            </w:tcBorders>
            <w:shd w:val="clear" w:color="000000" w:fill="FFFFFF"/>
            <w:noWrap/>
            <w:vAlign w:val="center"/>
            <w:hideMark/>
          </w:tcPr>
          <w:p w14:paraId="5D3E56AB" w14:textId="77777777" w:rsidR="00B53316" w:rsidRPr="00D618B7" w:rsidRDefault="00B53316" w:rsidP="004B11B7">
            <w:pPr>
              <w:jc w:val="right"/>
              <w:rPr>
                <w:color w:val="000000"/>
              </w:rPr>
            </w:pPr>
            <w:r w:rsidRPr="00D618B7">
              <w:rPr>
                <w:color w:val="000000"/>
              </w:rPr>
              <w:t>3.00</w:t>
            </w:r>
          </w:p>
        </w:tc>
        <w:tc>
          <w:tcPr>
            <w:tcW w:w="889" w:type="pct"/>
            <w:tcBorders>
              <w:top w:val="nil"/>
              <w:left w:val="nil"/>
              <w:bottom w:val="nil"/>
              <w:right w:val="nil"/>
            </w:tcBorders>
            <w:shd w:val="clear" w:color="000000" w:fill="FFFFFF"/>
            <w:noWrap/>
            <w:vAlign w:val="center"/>
            <w:hideMark/>
          </w:tcPr>
          <w:p w14:paraId="3B8FBFFA" w14:textId="77777777" w:rsidR="00B53316" w:rsidRPr="00D618B7" w:rsidRDefault="00B53316" w:rsidP="004B11B7">
            <w:pPr>
              <w:jc w:val="right"/>
              <w:rPr>
                <w:color w:val="000000"/>
              </w:rPr>
            </w:pPr>
            <w:r w:rsidRPr="00D618B7">
              <w:rPr>
                <w:color w:val="000000"/>
              </w:rPr>
              <w:t>1.24</w:t>
            </w:r>
          </w:p>
        </w:tc>
      </w:tr>
      <w:tr w:rsidR="00B53316" w:rsidRPr="00D618B7" w14:paraId="3B75AEAA" w14:textId="77777777" w:rsidTr="004B11B7">
        <w:trPr>
          <w:trHeight w:val="303"/>
        </w:trPr>
        <w:tc>
          <w:tcPr>
            <w:tcW w:w="714" w:type="pct"/>
            <w:tcBorders>
              <w:top w:val="nil"/>
              <w:left w:val="nil"/>
              <w:bottom w:val="nil"/>
              <w:right w:val="nil"/>
            </w:tcBorders>
            <w:shd w:val="clear" w:color="000000" w:fill="FFFFFF"/>
            <w:vAlign w:val="center"/>
            <w:hideMark/>
          </w:tcPr>
          <w:p w14:paraId="5A74DD52" w14:textId="77777777" w:rsidR="00B53316" w:rsidRPr="00D618B7" w:rsidRDefault="00B53316" w:rsidP="004B11B7">
            <w:pPr>
              <w:jc w:val="center"/>
              <w:rPr>
                <w:color w:val="000000"/>
              </w:rPr>
            </w:pPr>
            <w:r w:rsidRPr="00D618B7">
              <w:rPr>
                <w:color w:val="000000"/>
              </w:rPr>
              <w:t>4</w:t>
            </w:r>
          </w:p>
        </w:tc>
        <w:tc>
          <w:tcPr>
            <w:tcW w:w="539" w:type="pct"/>
            <w:tcBorders>
              <w:top w:val="nil"/>
              <w:left w:val="nil"/>
              <w:bottom w:val="nil"/>
              <w:right w:val="nil"/>
            </w:tcBorders>
            <w:shd w:val="clear" w:color="000000" w:fill="FFFFFF"/>
            <w:noWrap/>
            <w:vAlign w:val="center"/>
            <w:hideMark/>
          </w:tcPr>
          <w:p w14:paraId="505B891A" w14:textId="77777777" w:rsidR="00B53316" w:rsidRPr="00D618B7" w:rsidRDefault="00B53316" w:rsidP="004B11B7">
            <w:pPr>
              <w:jc w:val="right"/>
              <w:rPr>
                <w:color w:val="000000"/>
              </w:rPr>
            </w:pPr>
            <w:r w:rsidRPr="00D618B7">
              <w:rPr>
                <w:color w:val="000000"/>
              </w:rPr>
              <w:t>-0.04</w:t>
            </w:r>
          </w:p>
        </w:tc>
        <w:tc>
          <w:tcPr>
            <w:tcW w:w="890" w:type="pct"/>
            <w:tcBorders>
              <w:top w:val="nil"/>
              <w:left w:val="nil"/>
              <w:bottom w:val="nil"/>
              <w:right w:val="nil"/>
            </w:tcBorders>
            <w:shd w:val="clear" w:color="000000" w:fill="FFFFFF"/>
            <w:noWrap/>
            <w:vAlign w:val="center"/>
            <w:hideMark/>
          </w:tcPr>
          <w:p w14:paraId="62A77D04" w14:textId="77777777" w:rsidR="00B53316" w:rsidRPr="00D618B7" w:rsidRDefault="00B53316" w:rsidP="004B11B7">
            <w:pPr>
              <w:jc w:val="right"/>
              <w:rPr>
                <w:color w:val="000000"/>
              </w:rPr>
            </w:pPr>
            <w:r w:rsidRPr="00D618B7">
              <w:rPr>
                <w:color w:val="000000"/>
              </w:rPr>
              <w:t>0.07</w:t>
            </w:r>
          </w:p>
        </w:tc>
        <w:tc>
          <w:tcPr>
            <w:tcW w:w="539" w:type="pct"/>
            <w:tcBorders>
              <w:top w:val="nil"/>
              <w:left w:val="nil"/>
              <w:bottom w:val="nil"/>
              <w:right w:val="nil"/>
            </w:tcBorders>
            <w:shd w:val="clear" w:color="000000" w:fill="FFFFFF"/>
            <w:noWrap/>
            <w:vAlign w:val="center"/>
            <w:hideMark/>
          </w:tcPr>
          <w:p w14:paraId="4E73E2BC" w14:textId="77777777" w:rsidR="00B53316" w:rsidRPr="00D618B7" w:rsidRDefault="00B53316" w:rsidP="004B11B7">
            <w:pPr>
              <w:jc w:val="right"/>
              <w:rPr>
                <w:color w:val="000000"/>
              </w:rPr>
            </w:pPr>
            <w:r w:rsidRPr="00D618B7">
              <w:rPr>
                <w:color w:val="000000"/>
              </w:rPr>
              <w:t>0.70</w:t>
            </w:r>
          </w:p>
        </w:tc>
        <w:tc>
          <w:tcPr>
            <w:tcW w:w="890" w:type="pct"/>
            <w:tcBorders>
              <w:top w:val="nil"/>
              <w:left w:val="nil"/>
              <w:bottom w:val="nil"/>
              <w:right w:val="nil"/>
            </w:tcBorders>
            <w:shd w:val="clear" w:color="000000" w:fill="FFFFFF"/>
            <w:noWrap/>
            <w:vAlign w:val="center"/>
            <w:hideMark/>
          </w:tcPr>
          <w:p w14:paraId="4ECE2FCC" w14:textId="77777777" w:rsidR="00B53316" w:rsidRPr="00D618B7" w:rsidRDefault="00B53316" w:rsidP="004B11B7">
            <w:pPr>
              <w:jc w:val="right"/>
              <w:rPr>
                <w:color w:val="000000"/>
              </w:rPr>
            </w:pPr>
            <w:r w:rsidRPr="00D618B7">
              <w:rPr>
                <w:color w:val="000000"/>
              </w:rPr>
              <w:t>0.48</w:t>
            </w:r>
          </w:p>
        </w:tc>
        <w:tc>
          <w:tcPr>
            <w:tcW w:w="539" w:type="pct"/>
            <w:tcBorders>
              <w:top w:val="nil"/>
              <w:left w:val="nil"/>
              <w:bottom w:val="nil"/>
              <w:right w:val="nil"/>
            </w:tcBorders>
            <w:shd w:val="clear" w:color="000000" w:fill="FFFFFF"/>
            <w:noWrap/>
            <w:vAlign w:val="center"/>
            <w:hideMark/>
          </w:tcPr>
          <w:p w14:paraId="570C755B" w14:textId="77777777" w:rsidR="00B53316" w:rsidRPr="00D618B7" w:rsidRDefault="00B53316" w:rsidP="004B11B7">
            <w:pPr>
              <w:jc w:val="right"/>
              <w:rPr>
                <w:color w:val="000000"/>
              </w:rPr>
            </w:pPr>
            <w:r w:rsidRPr="00D618B7">
              <w:rPr>
                <w:color w:val="000000"/>
              </w:rPr>
              <w:t>3.87</w:t>
            </w:r>
          </w:p>
        </w:tc>
        <w:tc>
          <w:tcPr>
            <w:tcW w:w="889" w:type="pct"/>
            <w:tcBorders>
              <w:top w:val="nil"/>
              <w:left w:val="nil"/>
              <w:bottom w:val="nil"/>
              <w:right w:val="nil"/>
            </w:tcBorders>
            <w:shd w:val="clear" w:color="000000" w:fill="FFFFFF"/>
            <w:noWrap/>
            <w:vAlign w:val="center"/>
            <w:hideMark/>
          </w:tcPr>
          <w:p w14:paraId="13FF1282" w14:textId="77777777" w:rsidR="00B53316" w:rsidRPr="00D618B7" w:rsidRDefault="00B53316" w:rsidP="004B11B7">
            <w:pPr>
              <w:jc w:val="right"/>
              <w:rPr>
                <w:color w:val="000000"/>
              </w:rPr>
            </w:pPr>
            <w:r w:rsidRPr="00D618B7">
              <w:rPr>
                <w:color w:val="000000"/>
              </w:rPr>
              <w:t>1.86</w:t>
            </w:r>
          </w:p>
        </w:tc>
      </w:tr>
      <w:tr w:rsidR="00B53316" w:rsidRPr="00D618B7" w14:paraId="68DF84B7" w14:textId="77777777" w:rsidTr="004B11B7">
        <w:trPr>
          <w:trHeight w:val="303"/>
        </w:trPr>
        <w:tc>
          <w:tcPr>
            <w:tcW w:w="714" w:type="pct"/>
            <w:tcBorders>
              <w:top w:val="nil"/>
              <w:left w:val="nil"/>
              <w:bottom w:val="single" w:sz="8" w:space="0" w:color="auto"/>
              <w:right w:val="nil"/>
            </w:tcBorders>
            <w:shd w:val="clear" w:color="000000" w:fill="FFFFFF"/>
            <w:vAlign w:val="center"/>
            <w:hideMark/>
          </w:tcPr>
          <w:p w14:paraId="2CBA7465" w14:textId="77777777" w:rsidR="00B53316" w:rsidRPr="00D618B7" w:rsidRDefault="00B53316" w:rsidP="004B11B7">
            <w:pPr>
              <w:jc w:val="center"/>
              <w:rPr>
                <w:color w:val="000000"/>
              </w:rPr>
            </w:pPr>
            <w:r w:rsidRPr="00D618B7">
              <w:rPr>
                <w:color w:val="000000"/>
              </w:rPr>
              <w:t>5</w:t>
            </w:r>
          </w:p>
        </w:tc>
        <w:tc>
          <w:tcPr>
            <w:tcW w:w="539" w:type="pct"/>
            <w:tcBorders>
              <w:top w:val="nil"/>
              <w:left w:val="nil"/>
              <w:bottom w:val="single" w:sz="8" w:space="0" w:color="auto"/>
              <w:right w:val="nil"/>
            </w:tcBorders>
            <w:shd w:val="clear" w:color="000000" w:fill="FFFFFF"/>
            <w:noWrap/>
            <w:vAlign w:val="center"/>
            <w:hideMark/>
          </w:tcPr>
          <w:p w14:paraId="081008DB" w14:textId="77777777" w:rsidR="00B53316" w:rsidRPr="00D618B7" w:rsidRDefault="00B53316" w:rsidP="004B11B7">
            <w:pPr>
              <w:jc w:val="right"/>
              <w:rPr>
                <w:color w:val="000000"/>
              </w:rPr>
            </w:pPr>
            <w:r w:rsidRPr="00D618B7">
              <w:rPr>
                <w:color w:val="000000"/>
              </w:rPr>
              <w:t>0.01</w:t>
            </w:r>
          </w:p>
        </w:tc>
        <w:tc>
          <w:tcPr>
            <w:tcW w:w="890" w:type="pct"/>
            <w:tcBorders>
              <w:top w:val="nil"/>
              <w:left w:val="nil"/>
              <w:bottom w:val="single" w:sz="8" w:space="0" w:color="auto"/>
              <w:right w:val="nil"/>
            </w:tcBorders>
            <w:shd w:val="clear" w:color="000000" w:fill="FFFFFF"/>
            <w:noWrap/>
            <w:vAlign w:val="center"/>
            <w:hideMark/>
          </w:tcPr>
          <w:p w14:paraId="6A307BF1" w14:textId="77777777" w:rsidR="00B53316" w:rsidRPr="00D618B7" w:rsidRDefault="00B53316" w:rsidP="004B11B7">
            <w:pPr>
              <w:jc w:val="right"/>
              <w:rPr>
                <w:color w:val="000000"/>
              </w:rPr>
            </w:pPr>
            <w:r w:rsidRPr="00D618B7">
              <w:rPr>
                <w:color w:val="000000"/>
              </w:rPr>
              <w:t>0.01</w:t>
            </w:r>
          </w:p>
        </w:tc>
        <w:tc>
          <w:tcPr>
            <w:tcW w:w="539" w:type="pct"/>
            <w:tcBorders>
              <w:top w:val="nil"/>
              <w:left w:val="nil"/>
              <w:bottom w:val="single" w:sz="8" w:space="0" w:color="auto"/>
              <w:right w:val="nil"/>
            </w:tcBorders>
            <w:shd w:val="clear" w:color="000000" w:fill="FFFFFF"/>
            <w:noWrap/>
            <w:vAlign w:val="center"/>
            <w:hideMark/>
          </w:tcPr>
          <w:p w14:paraId="610FCA34" w14:textId="77777777" w:rsidR="00B53316" w:rsidRPr="00D618B7" w:rsidRDefault="00B53316" w:rsidP="004B11B7">
            <w:pPr>
              <w:jc w:val="right"/>
              <w:rPr>
                <w:color w:val="000000"/>
              </w:rPr>
            </w:pPr>
            <w:r w:rsidRPr="00D618B7">
              <w:rPr>
                <w:color w:val="000000"/>
              </w:rPr>
              <w:t>1.04</w:t>
            </w:r>
          </w:p>
        </w:tc>
        <w:tc>
          <w:tcPr>
            <w:tcW w:w="890" w:type="pct"/>
            <w:tcBorders>
              <w:top w:val="nil"/>
              <w:left w:val="nil"/>
              <w:bottom w:val="single" w:sz="8" w:space="0" w:color="auto"/>
              <w:right w:val="nil"/>
            </w:tcBorders>
            <w:shd w:val="clear" w:color="000000" w:fill="FFFFFF"/>
            <w:noWrap/>
            <w:vAlign w:val="center"/>
            <w:hideMark/>
          </w:tcPr>
          <w:p w14:paraId="35CD1E2F" w14:textId="77777777" w:rsidR="00B53316" w:rsidRPr="00D618B7" w:rsidRDefault="00B53316" w:rsidP="004B11B7">
            <w:pPr>
              <w:jc w:val="right"/>
              <w:rPr>
                <w:color w:val="000000"/>
              </w:rPr>
            </w:pPr>
            <w:r w:rsidRPr="00D618B7">
              <w:rPr>
                <w:color w:val="000000"/>
              </w:rPr>
              <w:t>0.86</w:t>
            </w:r>
          </w:p>
        </w:tc>
        <w:tc>
          <w:tcPr>
            <w:tcW w:w="539" w:type="pct"/>
            <w:tcBorders>
              <w:top w:val="nil"/>
              <w:left w:val="nil"/>
              <w:bottom w:val="single" w:sz="8" w:space="0" w:color="auto"/>
              <w:right w:val="nil"/>
            </w:tcBorders>
            <w:shd w:val="clear" w:color="000000" w:fill="FFFFFF"/>
            <w:noWrap/>
            <w:vAlign w:val="center"/>
            <w:hideMark/>
          </w:tcPr>
          <w:p w14:paraId="190BBD21" w14:textId="77777777" w:rsidR="00B53316" w:rsidRPr="00D618B7" w:rsidRDefault="00B53316" w:rsidP="004B11B7">
            <w:pPr>
              <w:jc w:val="right"/>
              <w:rPr>
                <w:color w:val="000000"/>
              </w:rPr>
            </w:pPr>
            <w:r w:rsidRPr="00D618B7">
              <w:rPr>
                <w:color w:val="000000"/>
              </w:rPr>
              <w:t>1.30</w:t>
            </w:r>
          </w:p>
        </w:tc>
        <w:tc>
          <w:tcPr>
            <w:tcW w:w="889" w:type="pct"/>
            <w:tcBorders>
              <w:top w:val="nil"/>
              <w:left w:val="nil"/>
              <w:bottom w:val="single" w:sz="8" w:space="0" w:color="auto"/>
              <w:right w:val="nil"/>
            </w:tcBorders>
            <w:shd w:val="clear" w:color="000000" w:fill="FFFFFF"/>
            <w:noWrap/>
            <w:vAlign w:val="center"/>
            <w:hideMark/>
          </w:tcPr>
          <w:p w14:paraId="72635C79" w14:textId="77777777" w:rsidR="00B53316" w:rsidRPr="00D618B7" w:rsidRDefault="00B53316" w:rsidP="004B11B7">
            <w:pPr>
              <w:jc w:val="right"/>
              <w:rPr>
                <w:color w:val="000000"/>
              </w:rPr>
            </w:pPr>
            <w:r w:rsidRPr="00D618B7">
              <w:rPr>
                <w:color w:val="000000"/>
              </w:rPr>
              <w:t>0.35</w:t>
            </w:r>
          </w:p>
        </w:tc>
      </w:tr>
      <w:tr w:rsidR="00B53316" w:rsidRPr="00D618B7" w14:paraId="701CFABE" w14:textId="77777777" w:rsidTr="004B11B7">
        <w:trPr>
          <w:trHeight w:val="303"/>
        </w:trPr>
        <w:tc>
          <w:tcPr>
            <w:tcW w:w="714" w:type="pct"/>
            <w:tcBorders>
              <w:top w:val="nil"/>
              <w:left w:val="nil"/>
              <w:bottom w:val="nil"/>
              <w:right w:val="nil"/>
            </w:tcBorders>
            <w:shd w:val="clear" w:color="000000" w:fill="FFFFFF"/>
            <w:noWrap/>
            <w:vAlign w:val="bottom"/>
            <w:hideMark/>
          </w:tcPr>
          <w:p w14:paraId="61F35CEF" w14:textId="77777777" w:rsidR="00B53316" w:rsidRPr="00D618B7" w:rsidRDefault="00B53316" w:rsidP="004B11B7">
            <w:pPr>
              <w:jc w:val="center"/>
              <w:rPr>
                <w:color w:val="000000"/>
              </w:rPr>
            </w:pPr>
          </w:p>
        </w:tc>
        <w:tc>
          <w:tcPr>
            <w:tcW w:w="4286" w:type="pct"/>
            <w:gridSpan w:val="6"/>
            <w:tcBorders>
              <w:top w:val="single" w:sz="8" w:space="0" w:color="auto"/>
              <w:left w:val="nil"/>
              <w:bottom w:val="nil"/>
              <w:right w:val="nil"/>
            </w:tcBorders>
            <w:shd w:val="clear" w:color="000000" w:fill="FFFFFF"/>
            <w:noWrap/>
            <w:vAlign w:val="center"/>
            <w:hideMark/>
          </w:tcPr>
          <w:p w14:paraId="504131B6" w14:textId="77777777" w:rsidR="00B53316" w:rsidRPr="00D618B7" w:rsidRDefault="00B53316" w:rsidP="004B11B7">
            <w:pPr>
              <w:jc w:val="center"/>
              <w:rPr>
                <w:color w:val="000000"/>
              </w:rPr>
            </w:pPr>
            <w:r w:rsidRPr="00D618B7">
              <w:rPr>
                <w:color w:val="000000"/>
              </w:rPr>
              <w:t>Late Reach Group</w:t>
            </w:r>
          </w:p>
        </w:tc>
      </w:tr>
      <w:tr w:rsidR="00B53316" w:rsidRPr="00D618B7" w14:paraId="5D462DC4" w14:textId="77777777" w:rsidTr="004B11B7">
        <w:trPr>
          <w:trHeight w:val="303"/>
        </w:trPr>
        <w:tc>
          <w:tcPr>
            <w:tcW w:w="714" w:type="pct"/>
            <w:tcBorders>
              <w:top w:val="nil"/>
              <w:left w:val="nil"/>
              <w:bottom w:val="nil"/>
              <w:right w:val="nil"/>
            </w:tcBorders>
            <w:shd w:val="clear" w:color="000000" w:fill="FFFFFF"/>
            <w:vAlign w:val="center"/>
            <w:hideMark/>
          </w:tcPr>
          <w:p w14:paraId="22CC2CE2" w14:textId="77777777" w:rsidR="00B53316" w:rsidRPr="00D618B7" w:rsidRDefault="00B53316" w:rsidP="004B11B7">
            <w:pPr>
              <w:jc w:val="center"/>
              <w:rPr>
                <w:color w:val="000000"/>
              </w:rPr>
            </w:pPr>
            <w:r w:rsidRPr="00D618B7">
              <w:rPr>
                <w:color w:val="000000"/>
              </w:rPr>
              <w:t>-5</w:t>
            </w:r>
          </w:p>
        </w:tc>
        <w:tc>
          <w:tcPr>
            <w:tcW w:w="539" w:type="pct"/>
            <w:tcBorders>
              <w:top w:val="nil"/>
              <w:left w:val="nil"/>
              <w:bottom w:val="nil"/>
              <w:right w:val="nil"/>
            </w:tcBorders>
            <w:shd w:val="clear" w:color="000000" w:fill="FFFFFF"/>
            <w:noWrap/>
            <w:vAlign w:val="center"/>
            <w:hideMark/>
          </w:tcPr>
          <w:p w14:paraId="0DE29646" w14:textId="77777777" w:rsidR="00B53316" w:rsidRPr="00D618B7" w:rsidRDefault="00B53316" w:rsidP="004B11B7">
            <w:pPr>
              <w:jc w:val="right"/>
              <w:rPr>
                <w:color w:val="000000"/>
              </w:rPr>
            </w:pPr>
            <w:r w:rsidRPr="00D618B7">
              <w:rPr>
                <w:color w:val="000000"/>
              </w:rPr>
              <w:t>-0.11</w:t>
            </w:r>
          </w:p>
        </w:tc>
        <w:tc>
          <w:tcPr>
            <w:tcW w:w="890" w:type="pct"/>
            <w:tcBorders>
              <w:top w:val="nil"/>
              <w:left w:val="nil"/>
              <w:bottom w:val="nil"/>
              <w:right w:val="nil"/>
            </w:tcBorders>
            <w:shd w:val="clear" w:color="000000" w:fill="FFFFFF"/>
            <w:noWrap/>
            <w:vAlign w:val="center"/>
            <w:hideMark/>
          </w:tcPr>
          <w:p w14:paraId="48ABA96F" w14:textId="77777777" w:rsidR="00B53316" w:rsidRPr="00D618B7" w:rsidRDefault="00B53316" w:rsidP="004B11B7">
            <w:pPr>
              <w:jc w:val="right"/>
              <w:rPr>
                <w:color w:val="000000"/>
              </w:rPr>
            </w:pPr>
            <w:r w:rsidRPr="00D618B7">
              <w:rPr>
                <w:color w:val="000000"/>
              </w:rPr>
              <w:t>0.00</w:t>
            </w:r>
          </w:p>
        </w:tc>
        <w:tc>
          <w:tcPr>
            <w:tcW w:w="539" w:type="pct"/>
            <w:tcBorders>
              <w:top w:val="nil"/>
              <w:left w:val="nil"/>
              <w:bottom w:val="nil"/>
              <w:right w:val="nil"/>
            </w:tcBorders>
            <w:shd w:val="clear" w:color="000000" w:fill="FFFFFF"/>
            <w:noWrap/>
            <w:vAlign w:val="center"/>
            <w:hideMark/>
          </w:tcPr>
          <w:p w14:paraId="7C8FF564" w14:textId="77777777" w:rsidR="00B53316" w:rsidRPr="00D618B7" w:rsidRDefault="00B53316" w:rsidP="004B11B7">
            <w:pPr>
              <w:jc w:val="right"/>
              <w:rPr>
                <w:color w:val="000000"/>
              </w:rPr>
            </w:pPr>
            <w:r w:rsidRPr="00D618B7">
              <w:rPr>
                <w:color w:val="000000"/>
              </w:rPr>
              <w:t>-0.09</w:t>
            </w:r>
          </w:p>
        </w:tc>
        <w:tc>
          <w:tcPr>
            <w:tcW w:w="890" w:type="pct"/>
            <w:tcBorders>
              <w:top w:val="nil"/>
              <w:left w:val="nil"/>
              <w:bottom w:val="nil"/>
              <w:right w:val="nil"/>
            </w:tcBorders>
            <w:shd w:val="clear" w:color="000000" w:fill="FFFFFF"/>
            <w:noWrap/>
            <w:vAlign w:val="center"/>
            <w:hideMark/>
          </w:tcPr>
          <w:p w14:paraId="39C5F703" w14:textId="77777777" w:rsidR="00B53316" w:rsidRPr="00D618B7" w:rsidRDefault="00B53316" w:rsidP="004B11B7">
            <w:pPr>
              <w:jc w:val="right"/>
              <w:rPr>
                <w:color w:val="000000"/>
              </w:rPr>
            </w:pPr>
            <w:r w:rsidRPr="00D618B7">
              <w:rPr>
                <w:color w:val="000000"/>
              </w:rPr>
              <w:t>0.03</w:t>
            </w:r>
          </w:p>
        </w:tc>
        <w:tc>
          <w:tcPr>
            <w:tcW w:w="539" w:type="pct"/>
            <w:tcBorders>
              <w:top w:val="nil"/>
              <w:left w:val="nil"/>
              <w:bottom w:val="nil"/>
              <w:right w:val="nil"/>
            </w:tcBorders>
            <w:shd w:val="clear" w:color="000000" w:fill="FFFFFF"/>
            <w:noWrap/>
            <w:vAlign w:val="center"/>
            <w:hideMark/>
          </w:tcPr>
          <w:p w14:paraId="7AA20754" w14:textId="77777777" w:rsidR="00B53316" w:rsidRPr="00D618B7" w:rsidRDefault="00B53316" w:rsidP="004B11B7">
            <w:pPr>
              <w:jc w:val="right"/>
              <w:rPr>
                <w:color w:val="000000"/>
              </w:rPr>
            </w:pPr>
            <w:r w:rsidRPr="00D618B7">
              <w:rPr>
                <w:color w:val="000000"/>
              </w:rPr>
              <w:t>0.04</w:t>
            </w:r>
          </w:p>
        </w:tc>
        <w:tc>
          <w:tcPr>
            <w:tcW w:w="889" w:type="pct"/>
            <w:tcBorders>
              <w:top w:val="nil"/>
              <w:left w:val="nil"/>
              <w:bottom w:val="nil"/>
              <w:right w:val="nil"/>
            </w:tcBorders>
            <w:shd w:val="clear" w:color="000000" w:fill="FFFFFF"/>
            <w:noWrap/>
            <w:vAlign w:val="center"/>
            <w:hideMark/>
          </w:tcPr>
          <w:p w14:paraId="3500082B" w14:textId="77777777" w:rsidR="00B53316" w:rsidRPr="00D618B7" w:rsidRDefault="00B53316" w:rsidP="004B11B7">
            <w:pPr>
              <w:jc w:val="right"/>
              <w:rPr>
                <w:color w:val="000000"/>
              </w:rPr>
            </w:pPr>
            <w:r w:rsidRPr="00D618B7">
              <w:rPr>
                <w:color w:val="000000"/>
              </w:rPr>
              <w:t>0.24</w:t>
            </w:r>
          </w:p>
        </w:tc>
      </w:tr>
      <w:tr w:rsidR="00B53316" w:rsidRPr="00D618B7" w14:paraId="485AC934" w14:textId="77777777" w:rsidTr="004B11B7">
        <w:trPr>
          <w:trHeight w:val="303"/>
        </w:trPr>
        <w:tc>
          <w:tcPr>
            <w:tcW w:w="714" w:type="pct"/>
            <w:tcBorders>
              <w:top w:val="nil"/>
              <w:left w:val="nil"/>
              <w:bottom w:val="nil"/>
              <w:right w:val="nil"/>
            </w:tcBorders>
            <w:shd w:val="clear" w:color="000000" w:fill="FFFFFF"/>
            <w:vAlign w:val="center"/>
            <w:hideMark/>
          </w:tcPr>
          <w:p w14:paraId="6856915E" w14:textId="77777777" w:rsidR="00B53316" w:rsidRPr="00D618B7" w:rsidRDefault="00B53316" w:rsidP="004B11B7">
            <w:pPr>
              <w:jc w:val="center"/>
              <w:rPr>
                <w:color w:val="000000"/>
              </w:rPr>
            </w:pPr>
            <w:r w:rsidRPr="00D618B7">
              <w:rPr>
                <w:color w:val="000000"/>
              </w:rPr>
              <w:t>-4</w:t>
            </w:r>
          </w:p>
        </w:tc>
        <w:tc>
          <w:tcPr>
            <w:tcW w:w="539" w:type="pct"/>
            <w:tcBorders>
              <w:top w:val="nil"/>
              <w:left w:val="nil"/>
              <w:bottom w:val="nil"/>
              <w:right w:val="nil"/>
            </w:tcBorders>
            <w:shd w:val="clear" w:color="000000" w:fill="FFFFFF"/>
            <w:noWrap/>
            <w:vAlign w:val="center"/>
            <w:hideMark/>
          </w:tcPr>
          <w:p w14:paraId="5C13A2D5" w14:textId="77777777" w:rsidR="00B53316" w:rsidRPr="00D618B7" w:rsidRDefault="00B53316" w:rsidP="004B11B7">
            <w:pPr>
              <w:jc w:val="right"/>
              <w:rPr>
                <w:color w:val="000000"/>
              </w:rPr>
            </w:pPr>
            <w:r w:rsidRPr="00D618B7">
              <w:rPr>
                <w:color w:val="000000"/>
              </w:rPr>
              <w:t>0.02</w:t>
            </w:r>
          </w:p>
        </w:tc>
        <w:tc>
          <w:tcPr>
            <w:tcW w:w="890" w:type="pct"/>
            <w:tcBorders>
              <w:top w:val="nil"/>
              <w:left w:val="nil"/>
              <w:bottom w:val="nil"/>
              <w:right w:val="nil"/>
            </w:tcBorders>
            <w:shd w:val="clear" w:color="000000" w:fill="FFFFFF"/>
            <w:noWrap/>
            <w:vAlign w:val="center"/>
            <w:hideMark/>
          </w:tcPr>
          <w:p w14:paraId="785A9D7E" w14:textId="77777777" w:rsidR="00B53316" w:rsidRPr="00D618B7" w:rsidRDefault="00B53316" w:rsidP="004B11B7">
            <w:pPr>
              <w:jc w:val="right"/>
              <w:rPr>
                <w:color w:val="000000"/>
              </w:rPr>
            </w:pPr>
            <w:r w:rsidRPr="00D618B7">
              <w:rPr>
                <w:color w:val="000000"/>
              </w:rPr>
              <w:t>0.03</w:t>
            </w:r>
          </w:p>
        </w:tc>
        <w:tc>
          <w:tcPr>
            <w:tcW w:w="539" w:type="pct"/>
            <w:tcBorders>
              <w:top w:val="nil"/>
              <w:left w:val="nil"/>
              <w:bottom w:val="nil"/>
              <w:right w:val="nil"/>
            </w:tcBorders>
            <w:shd w:val="clear" w:color="000000" w:fill="FFFFFF"/>
            <w:noWrap/>
            <w:vAlign w:val="center"/>
            <w:hideMark/>
          </w:tcPr>
          <w:p w14:paraId="4758DBFD" w14:textId="77777777" w:rsidR="00B53316" w:rsidRPr="00D618B7" w:rsidRDefault="00B53316" w:rsidP="004B11B7">
            <w:pPr>
              <w:jc w:val="right"/>
              <w:rPr>
                <w:color w:val="000000"/>
              </w:rPr>
            </w:pPr>
            <w:r w:rsidRPr="00D618B7">
              <w:rPr>
                <w:color w:val="000000"/>
              </w:rPr>
              <w:t>0.12</w:t>
            </w:r>
          </w:p>
        </w:tc>
        <w:tc>
          <w:tcPr>
            <w:tcW w:w="890" w:type="pct"/>
            <w:tcBorders>
              <w:top w:val="nil"/>
              <w:left w:val="nil"/>
              <w:bottom w:val="nil"/>
              <w:right w:val="nil"/>
            </w:tcBorders>
            <w:shd w:val="clear" w:color="000000" w:fill="FFFFFF"/>
            <w:noWrap/>
            <w:vAlign w:val="center"/>
            <w:hideMark/>
          </w:tcPr>
          <w:p w14:paraId="36FC646F" w14:textId="77777777" w:rsidR="00B53316" w:rsidRPr="00D618B7" w:rsidRDefault="00B53316" w:rsidP="004B11B7">
            <w:pPr>
              <w:jc w:val="right"/>
              <w:rPr>
                <w:color w:val="000000"/>
              </w:rPr>
            </w:pPr>
            <w:r w:rsidRPr="00D618B7">
              <w:rPr>
                <w:color w:val="000000"/>
              </w:rPr>
              <w:t>0.06</w:t>
            </w:r>
          </w:p>
        </w:tc>
        <w:tc>
          <w:tcPr>
            <w:tcW w:w="539" w:type="pct"/>
            <w:tcBorders>
              <w:top w:val="nil"/>
              <w:left w:val="nil"/>
              <w:bottom w:val="nil"/>
              <w:right w:val="nil"/>
            </w:tcBorders>
            <w:shd w:val="clear" w:color="000000" w:fill="FFFFFF"/>
            <w:noWrap/>
            <w:vAlign w:val="center"/>
            <w:hideMark/>
          </w:tcPr>
          <w:p w14:paraId="0BA5C2E8" w14:textId="77777777" w:rsidR="00B53316" w:rsidRPr="00D618B7" w:rsidRDefault="00B53316" w:rsidP="004B11B7">
            <w:pPr>
              <w:jc w:val="right"/>
              <w:rPr>
                <w:color w:val="000000"/>
              </w:rPr>
            </w:pPr>
            <w:r w:rsidRPr="00D618B7">
              <w:rPr>
                <w:color w:val="000000"/>
              </w:rPr>
              <w:t>0.21</w:t>
            </w:r>
          </w:p>
        </w:tc>
        <w:tc>
          <w:tcPr>
            <w:tcW w:w="889" w:type="pct"/>
            <w:tcBorders>
              <w:top w:val="nil"/>
              <w:left w:val="nil"/>
              <w:bottom w:val="nil"/>
              <w:right w:val="nil"/>
            </w:tcBorders>
            <w:shd w:val="clear" w:color="000000" w:fill="FFFFFF"/>
            <w:noWrap/>
            <w:vAlign w:val="center"/>
            <w:hideMark/>
          </w:tcPr>
          <w:p w14:paraId="7132E3D1" w14:textId="77777777" w:rsidR="00B53316" w:rsidRPr="00D618B7" w:rsidRDefault="00B53316" w:rsidP="004B11B7">
            <w:pPr>
              <w:jc w:val="right"/>
              <w:rPr>
                <w:color w:val="000000"/>
              </w:rPr>
            </w:pPr>
            <w:r w:rsidRPr="00D618B7">
              <w:rPr>
                <w:color w:val="000000"/>
              </w:rPr>
              <w:t>0.08</w:t>
            </w:r>
          </w:p>
        </w:tc>
      </w:tr>
      <w:tr w:rsidR="00B53316" w:rsidRPr="00D618B7" w14:paraId="3D541B39" w14:textId="77777777" w:rsidTr="004B11B7">
        <w:trPr>
          <w:trHeight w:val="303"/>
        </w:trPr>
        <w:tc>
          <w:tcPr>
            <w:tcW w:w="714" w:type="pct"/>
            <w:tcBorders>
              <w:top w:val="nil"/>
              <w:left w:val="nil"/>
              <w:bottom w:val="nil"/>
              <w:right w:val="nil"/>
            </w:tcBorders>
            <w:shd w:val="clear" w:color="000000" w:fill="FFFFFF"/>
            <w:vAlign w:val="center"/>
            <w:hideMark/>
          </w:tcPr>
          <w:p w14:paraId="5DE5A887" w14:textId="77777777" w:rsidR="00B53316" w:rsidRPr="00D618B7" w:rsidRDefault="00B53316" w:rsidP="004B11B7">
            <w:pPr>
              <w:jc w:val="center"/>
              <w:rPr>
                <w:color w:val="000000"/>
              </w:rPr>
            </w:pPr>
            <w:r w:rsidRPr="00D618B7">
              <w:rPr>
                <w:color w:val="000000"/>
              </w:rPr>
              <w:t>-3</w:t>
            </w:r>
          </w:p>
        </w:tc>
        <w:tc>
          <w:tcPr>
            <w:tcW w:w="539" w:type="pct"/>
            <w:tcBorders>
              <w:top w:val="nil"/>
              <w:left w:val="nil"/>
              <w:bottom w:val="nil"/>
              <w:right w:val="nil"/>
            </w:tcBorders>
            <w:shd w:val="clear" w:color="000000" w:fill="FFFFFF"/>
            <w:noWrap/>
            <w:vAlign w:val="center"/>
            <w:hideMark/>
          </w:tcPr>
          <w:p w14:paraId="4E7F3EAD" w14:textId="77777777" w:rsidR="00B53316" w:rsidRPr="00D618B7" w:rsidRDefault="00B53316" w:rsidP="004B11B7">
            <w:pPr>
              <w:jc w:val="right"/>
              <w:rPr>
                <w:color w:val="000000"/>
              </w:rPr>
            </w:pPr>
            <w:r w:rsidRPr="00D618B7">
              <w:rPr>
                <w:color w:val="000000"/>
              </w:rPr>
              <w:t>0.15</w:t>
            </w:r>
          </w:p>
        </w:tc>
        <w:tc>
          <w:tcPr>
            <w:tcW w:w="890" w:type="pct"/>
            <w:tcBorders>
              <w:top w:val="nil"/>
              <w:left w:val="nil"/>
              <w:bottom w:val="nil"/>
              <w:right w:val="nil"/>
            </w:tcBorders>
            <w:shd w:val="clear" w:color="000000" w:fill="FFFFFF"/>
            <w:noWrap/>
            <w:vAlign w:val="center"/>
            <w:hideMark/>
          </w:tcPr>
          <w:p w14:paraId="02944174" w14:textId="77777777" w:rsidR="00B53316" w:rsidRPr="00D618B7" w:rsidRDefault="00B53316" w:rsidP="004B11B7">
            <w:pPr>
              <w:jc w:val="right"/>
              <w:rPr>
                <w:color w:val="000000"/>
              </w:rPr>
            </w:pPr>
            <w:r w:rsidRPr="00D618B7">
              <w:rPr>
                <w:color w:val="000000"/>
              </w:rPr>
              <w:t>0.07</w:t>
            </w:r>
          </w:p>
        </w:tc>
        <w:tc>
          <w:tcPr>
            <w:tcW w:w="539" w:type="pct"/>
            <w:tcBorders>
              <w:top w:val="nil"/>
              <w:left w:val="nil"/>
              <w:bottom w:val="nil"/>
              <w:right w:val="nil"/>
            </w:tcBorders>
            <w:shd w:val="clear" w:color="000000" w:fill="FFFFFF"/>
            <w:noWrap/>
            <w:vAlign w:val="center"/>
            <w:hideMark/>
          </w:tcPr>
          <w:p w14:paraId="0C9FA103" w14:textId="77777777" w:rsidR="00B53316" w:rsidRPr="00D618B7" w:rsidRDefault="00B53316" w:rsidP="004B11B7">
            <w:pPr>
              <w:jc w:val="right"/>
              <w:rPr>
                <w:color w:val="000000"/>
              </w:rPr>
            </w:pPr>
            <w:r w:rsidRPr="00D618B7">
              <w:rPr>
                <w:color w:val="000000"/>
              </w:rPr>
              <w:t>0.17</w:t>
            </w:r>
          </w:p>
        </w:tc>
        <w:tc>
          <w:tcPr>
            <w:tcW w:w="890" w:type="pct"/>
            <w:tcBorders>
              <w:top w:val="nil"/>
              <w:left w:val="nil"/>
              <w:bottom w:val="nil"/>
              <w:right w:val="nil"/>
            </w:tcBorders>
            <w:shd w:val="clear" w:color="000000" w:fill="FFFFFF"/>
            <w:noWrap/>
            <w:vAlign w:val="center"/>
            <w:hideMark/>
          </w:tcPr>
          <w:p w14:paraId="62F0A776" w14:textId="77777777" w:rsidR="00B53316" w:rsidRPr="00D618B7" w:rsidRDefault="00B53316" w:rsidP="004B11B7">
            <w:pPr>
              <w:jc w:val="right"/>
              <w:rPr>
                <w:color w:val="000000"/>
              </w:rPr>
            </w:pPr>
            <w:r w:rsidRPr="00D618B7">
              <w:rPr>
                <w:color w:val="000000"/>
              </w:rPr>
              <w:t>0.11</w:t>
            </w:r>
          </w:p>
        </w:tc>
        <w:tc>
          <w:tcPr>
            <w:tcW w:w="539" w:type="pct"/>
            <w:tcBorders>
              <w:top w:val="nil"/>
              <w:left w:val="nil"/>
              <w:bottom w:val="nil"/>
              <w:right w:val="nil"/>
            </w:tcBorders>
            <w:shd w:val="clear" w:color="000000" w:fill="FFFFFF"/>
            <w:noWrap/>
            <w:vAlign w:val="center"/>
            <w:hideMark/>
          </w:tcPr>
          <w:p w14:paraId="4555539E" w14:textId="77777777" w:rsidR="00B53316" w:rsidRPr="00D618B7" w:rsidRDefault="00B53316" w:rsidP="004B11B7">
            <w:pPr>
              <w:jc w:val="right"/>
              <w:rPr>
                <w:color w:val="000000"/>
              </w:rPr>
            </w:pPr>
            <w:r w:rsidRPr="00D618B7">
              <w:rPr>
                <w:color w:val="000000"/>
              </w:rPr>
              <w:t>0.36</w:t>
            </w:r>
          </w:p>
        </w:tc>
        <w:tc>
          <w:tcPr>
            <w:tcW w:w="889" w:type="pct"/>
            <w:tcBorders>
              <w:top w:val="nil"/>
              <w:left w:val="nil"/>
              <w:bottom w:val="nil"/>
              <w:right w:val="nil"/>
            </w:tcBorders>
            <w:shd w:val="clear" w:color="000000" w:fill="FFFFFF"/>
            <w:noWrap/>
            <w:vAlign w:val="center"/>
            <w:hideMark/>
          </w:tcPr>
          <w:p w14:paraId="7575A551" w14:textId="77777777" w:rsidR="00B53316" w:rsidRPr="00D618B7" w:rsidRDefault="00B53316" w:rsidP="004B11B7">
            <w:pPr>
              <w:jc w:val="right"/>
              <w:rPr>
                <w:color w:val="000000"/>
              </w:rPr>
            </w:pPr>
            <w:r w:rsidRPr="00D618B7">
              <w:rPr>
                <w:color w:val="000000"/>
              </w:rPr>
              <w:t>0.14</w:t>
            </w:r>
          </w:p>
        </w:tc>
      </w:tr>
      <w:tr w:rsidR="00B53316" w:rsidRPr="00D618B7" w14:paraId="3FE72FD5" w14:textId="77777777" w:rsidTr="004B11B7">
        <w:trPr>
          <w:trHeight w:val="303"/>
        </w:trPr>
        <w:tc>
          <w:tcPr>
            <w:tcW w:w="714" w:type="pct"/>
            <w:tcBorders>
              <w:top w:val="nil"/>
              <w:left w:val="nil"/>
              <w:bottom w:val="nil"/>
              <w:right w:val="nil"/>
            </w:tcBorders>
            <w:shd w:val="clear" w:color="000000" w:fill="FFFFFF"/>
            <w:vAlign w:val="center"/>
            <w:hideMark/>
          </w:tcPr>
          <w:p w14:paraId="5EA52ADA" w14:textId="77777777" w:rsidR="00B53316" w:rsidRPr="00D618B7" w:rsidRDefault="00B53316" w:rsidP="004B11B7">
            <w:pPr>
              <w:jc w:val="center"/>
              <w:rPr>
                <w:color w:val="000000"/>
              </w:rPr>
            </w:pPr>
            <w:r w:rsidRPr="00D618B7">
              <w:rPr>
                <w:color w:val="000000"/>
              </w:rPr>
              <w:t>-2</w:t>
            </w:r>
          </w:p>
        </w:tc>
        <w:tc>
          <w:tcPr>
            <w:tcW w:w="539" w:type="pct"/>
            <w:tcBorders>
              <w:top w:val="nil"/>
              <w:left w:val="nil"/>
              <w:bottom w:val="nil"/>
              <w:right w:val="nil"/>
            </w:tcBorders>
            <w:shd w:val="clear" w:color="000000" w:fill="FFFFFF"/>
            <w:noWrap/>
            <w:vAlign w:val="center"/>
            <w:hideMark/>
          </w:tcPr>
          <w:p w14:paraId="0169E28A" w14:textId="77777777" w:rsidR="00B53316" w:rsidRPr="00D618B7" w:rsidRDefault="00B53316" w:rsidP="004B11B7">
            <w:pPr>
              <w:jc w:val="right"/>
              <w:rPr>
                <w:color w:val="000000"/>
              </w:rPr>
            </w:pPr>
            <w:r w:rsidRPr="00D618B7">
              <w:rPr>
                <w:color w:val="000000"/>
              </w:rPr>
              <w:t>0.15</w:t>
            </w:r>
          </w:p>
        </w:tc>
        <w:tc>
          <w:tcPr>
            <w:tcW w:w="890" w:type="pct"/>
            <w:tcBorders>
              <w:top w:val="nil"/>
              <w:left w:val="nil"/>
              <w:bottom w:val="nil"/>
              <w:right w:val="nil"/>
            </w:tcBorders>
            <w:shd w:val="clear" w:color="000000" w:fill="FFFFFF"/>
            <w:noWrap/>
            <w:vAlign w:val="center"/>
            <w:hideMark/>
          </w:tcPr>
          <w:p w14:paraId="5624667A" w14:textId="77777777" w:rsidR="00B53316" w:rsidRPr="00D618B7" w:rsidRDefault="00B53316" w:rsidP="004B11B7">
            <w:pPr>
              <w:jc w:val="right"/>
              <w:rPr>
                <w:color w:val="000000"/>
              </w:rPr>
            </w:pPr>
            <w:r w:rsidRPr="00D618B7">
              <w:rPr>
                <w:color w:val="000000"/>
              </w:rPr>
              <w:t>0.05</w:t>
            </w:r>
          </w:p>
        </w:tc>
        <w:tc>
          <w:tcPr>
            <w:tcW w:w="539" w:type="pct"/>
            <w:tcBorders>
              <w:top w:val="nil"/>
              <w:left w:val="nil"/>
              <w:bottom w:val="nil"/>
              <w:right w:val="nil"/>
            </w:tcBorders>
            <w:shd w:val="clear" w:color="000000" w:fill="FFFFFF"/>
            <w:noWrap/>
            <w:vAlign w:val="center"/>
            <w:hideMark/>
          </w:tcPr>
          <w:p w14:paraId="4D7C45D0" w14:textId="77777777" w:rsidR="00B53316" w:rsidRPr="00D618B7" w:rsidRDefault="00B53316" w:rsidP="004B11B7">
            <w:pPr>
              <w:jc w:val="right"/>
              <w:rPr>
                <w:color w:val="000000"/>
              </w:rPr>
            </w:pPr>
            <w:r w:rsidRPr="00D618B7">
              <w:rPr>
                <w:color w:val="000000"/>
              </w:rPr>
              <w:t>-0.01</w:t>
            </w:r>
          </w:p>
        </w:tc>
        <w:tc>
          <w:tcPr>
            <w:tcW w:w="890" w:type="pct"/>
            <w:tcBorders>
              <w:top w:val="nil"/>
              <w:left w:val="nil"/>
              <w:bottom w:val="nil"/>
              <w:right w:val="nil"/>
            </w:tcBorders>
            <w:shd w:val="clear" w:color="000000" w:fill="FFFFFF"/>
            <w:noWrap/>
            <w:vAlign w:val="center"/>
            <w:hideMark/>
          </w:tcPr>
          <w:p w14:paraId="338F2CA8" w14:textId="77777777" w:rsidR="00B53316" w:rsidRPr="00D618B7" w:rsidRDefault="00B53316" w:rsidP="004B11B7">
            <w:pPr>
              <w:jc w:val="right"/>
              <w:rPr>
                <w:color w:val="000000"/>
              </w:rPr>
            </w:pPr>
            <w:r w:rsidRPr="00D618B7">
              <w:rPr>
                <w:color w:val="000000"/>
              </w:rPr>
              <w:t>0.14</w:t>
            </w:r>
          </w:p>
        </w:tc>
        <w:tc>
          <w:tcPr>
            <w:tcW w:w="539" w:type="pct"/>
            <w:tcBorders>
              <w:top w:val="nil"/>
              <w:left w:val="nil"/>
              <w:bottom w:val="nil"/>
              <w:right w:val="nil"/>
            </w:tcBorders>
            <w:shd w:val="clear" w:color="000000" w:fill="FFFFFF"/>
            <w:noWrap/>
            <w:vAlign w:val="center"/>
            <w:hideMark/>
          </w:tcPr>
          <w:p w14:paraId="16B0F8AF" w14:textId="77777777" w:rsidR="00B53316" w:rsidRPr="00D618B7" w:rsidRDefault="00B53316" w:rsidP="004B11B7">
            <w:pPr>
              <w:jc w:val="right"/>
              <w:rPr>
                <w:color w:val="000000"/>
              </w:rPr>
            </w:pPr>
            <w:r w:rsidRPr="00D618B7">
              <w:rPr>
                <w:color w:val="000000"/>
              </w:rPr>
              <w:t>0.86</w:t>
            </w:r>
          </w:p>
        </w:tc>
        <w:tc>
          <w:tcPr>
            <w:tcW w:w="889" w:type="pct"/>
            <w:tcBorders>
              <w:top w:val="nil"/>
              <w:left w:val="nil"/>
              <w:bottom w:val="nil"/>
              <w:right w:val="nil"/>
            </w:tcBorders>
            <w:shd w:val="clear" w:color="000000" w:fill="FFFFFF"/>
            <w:noWrap/>
            <w:vAlign w:val="center"/>
            <w:hideMark/>
          </w:tcPr>
          <w:p w14:paraId="1E410846" w14:textId="77777777" w:rsidR="00B53316" w:rsidRPr="00D618B7" w:rsidRDefault="00B53316" w:rsidP="004B11B7">
            <w:pPr>
              <w:jc w:val="right"/>
              <w:rPr>
                <w:color w:val="000000"/>
              </w:rPr>
            </w:pPr>
            <w:r w:rsidRPr="00D618B7">
              <w:rPr>
                <w:color w:val="000000"/>
              </w:rPr>
              <w:t>0.38</w:t>
            </w:r>
          </w:p>
        </w:tc>
      </w:tr>
      <w:tr w:rsidR="00B53316" w:rsidRPr="00D618B7" w14:paraId="7E642CAA" w14:textId="77777777" w:rsidTr="004B11B7">
        <w:trPr>
          <w:trHeight w:val="303"/>
        </w:trPr>
        <w:tc>
          <w:tcPr>
            <w:tcW w:w="714" w:type="pct"/>
            <w:tcBorders>
              <w:top w:val="nil"/>
              <w:left w:val="nil"/>
              <w:bottom w:val="nil"/>
              <w:right w:val="nil"/>
            </w:tcBorders>
            <w:shd w:val="clear" w:color="000000" w:fill="FFFFFF"/>
            <w:vAlign w:val="center"/>
            <w:hideMark/>
          </w:tcPr>
          <w:p w14:paraId="2322E662" w14:textId="77777777" w:rsidR="00B53316" w:rsidRPr="00D618B7" w:rsidRDefault="00B53316" w:rsidP="004B11B7">
            <w:pPr>
              <w:jc w:val="center"/>
              <w:rPr>
                <w:color w:val="000000"/>
              </w:rPr>
            </w:pPr>
            <w:r w:rsidRPr="00D618B7">
              <w:rPr>
                <w:color w:val="000000"/>
              </w:rPr>
              <w:t>-1</w:t>
            </w:r>
          </w:p>
        </w:tc>
        <w:tc>
          <w:tcPr>
            <w:tcW w:w="539" w:type="pct"/>
            <w:tcBorders>
              <w:top w:val="nil"/>
              <w:left w:val="nil"/>
              <w:bottom w:val="nil"/>
              <w:right w:val="nil"/>
            </w:tcBorders>
            <w:shd w:val="clear" w:color="000000" w:fill="FFFFFF"/>
            <w:noWrap/>
            <w:vAlign w:val="center"/>
            <w:hideMark/>
          </w:tcPr>
          <w:p w14:paraId="0CECF594" w14:textId="77777777" w:rsidR="00B53316" w:rsidRPr="00D618B7" w:rsidRDefault="00B53316" w:rsidP="004B11B7">
            <w:pPr>
              <w:jc w:val="right"/>
              <w:rPr>
                <w:color w:val="000000"/>
              </w:rPr>
            </w:pPr>
            <w:r w:rsidRPr="00D618B7">
              <w:rPr>
                <w:color w:val="000000"/>
              </w:rPr>
              <w:t>-0.07</w:t>
            </w:r>
          </w:p>
        </w:tc>
        <w:tc>
          <w:tcPr>
            <w:tcW w:w="890" w:type="pct"/>
            <w:tcBorders>
              <w:top w:val="nil"/>
              <w:left w:val="nil"/>
              <w:bottom w:val="nil"/>
              <w:right w:val="nil"/>
            </w:tcBorders>
            <w:shd w:val="clear" w:color="000000" w:fill="FFFFFF"/>
            <w:noWrap/>
            <w:vAlign w:val="center"/>
            <w:hideMark/>
          </w:tcPr>
          <w:p w14:paraId="7995D62D" w14:textId="77777777" w:rsidR="00B53316" w:rsidRPr="00D618B7" w:rsidRDefault="00B53316" w:rsidP="004B11B7">
            <w:pPr>
              <w:jc w:val="right"/>
              <w:rPr>
                <w:color w:val="000000"/>
              </w:rPr>
            </w:pPr>
            <w:r w:rsidRPr="00D618B7">
              <w:rPr>
                <w:color w:val="000000"/>
              </w:rPr>
              <w:t>0.09</w:t>
            </w:r>
          </w:p>
        </w:tc>
        <w:tc>
          <w:tcPr>
            <w:tcW w:w="539" w:type="pct"/>
            <w:tcBorders>
              <w:top w:val="nil"/>
              <w:left w:val="nil"/>
              <w:bottom w:val="nil"/>
              <w:right w:val="nil"/>
            </w:tcBorders>
            <w:shd w:val="clear" w:color="000000" w:fill="FFFFFF"/>
            <w:noWrap/>
            <w:vAlign w:val="center"/>
            <w:hideMark/>
          </w:tcPr>
          <w:p w14:paraId="04466B05" w14:textId="77777777" w:rsidR="00B53316" w:rsidRPr="00D618B7" w:rsidRDefault="00B53316" w:rsidP="004B11B7">
            <w:pPr>
              <w:jc w:val="right"/>
              <w:rPr>
                <w:color w:val="000000"/>
              </w:rPr>
            </w:pPr>
            <w:r w:rsidRPr="00D618B7">
              <w:rPr>
                <w:color w:val="000000"/>
              </w:rPr>
              <w:t>-0.17</w:t>
            </w:r>
          </w:p>
        </w:tc>
        <w:tc>
          <w:tcPr>
            <w:tcW w:w="890" w:type="pct"/>
            <w:tcBorders>
              <w:top w:val="nil"/>
              <w:left w:val="nil"/>
              <w:bottom w:val="nil"/>
              <w:right w:val="nil"/>
            </w:tcBorders>
            <w:shd w:val="clear" w:color="000000" w:fill="FFFFFF"/>
            <w:noWrap/>
            <w:vAlign w:val="center"/>
            <w:hideMark/>
          </w:tcPr>
          <w:p w14:paraId="1C845D3C" w14:textId="77777777" w:rsidR="00B53316" w:rsidRPr="00D618B7" w:rsidRDefault="00B53316" w:rsidP="004B11B7">
            <w:pPr>
              <w:jc w:val="right"/>
              <w:rPr>
                <w:color w:val="000000"/>
              </w:rPr>
            </w:pPr>
            <w:r w:rsidRPr="00D618B7">
              <w:rPr>
                <w:color w:val="000000"/>
              </w:rPr>
              <w:t>0.12</w:t>
            </w:r>
          </w:p>
        </w:tc>
        <w:tc>
          <w:tcPr>
            <w:tcW w:w="539" w:type="pct"/>
            <w:tcBorders>
              <w:top w:val="nil"/>
              <w:left w:val="nil"/>
              <w:bottom w:val="nil"/>
              <w:right w:val="nil"/>
            </w:tcBorders>
            <w:shd w:val="clear" w:color="000000" w:fill="FFFFFF"/>
            <w:noWrap/>
            <w:vAlign w:val="center"/>
            <w:hideMark/>
          </w:tcPr>
          <w:p w14:paraId="1CF9860A" w14:textId="77777777" w:rsidR="00B53316" w:rsidRPr="00D618B7" w:rsidRDefault="00B53316" w:rsidP="004B11B7">
            <w:pPr>
              <w:jc w:val="right"/>
              <w:rPr>
                <w:color w:val="000000"/>
              </w:rPr>
            </w:pPr>
            <w:r w:rsidRPr="00D618B7">
              <w:rPr>
                <w:color w:val="000000"/>
              </w:rPr>
              <w:t>0.34</w:t>
            </w:r>
          </w:p>
        </w:tc>
        <w:tc>
          <w:tcPr>
            <w:tcW w:w="889" w:type="pct"/>
            <w:tcBorders>
              <w:top w:val="nil"/>
              <w:left w:val="nil"/>
              <w:bottom w:val="nil"/>
              <w:right w:val="nil"/>
            </w:tcBorders>
            <w:shd w:val="clear" w:color="000000" w:fill="FFFFFF"/>
            <w:noWrap/>
            <w:vAlign w:val="center"/>
            <w:hideMark/>
          </w:tcPr>
          <w:p w14:paraId="2B97ECCD" w14:textId="77777777" w:rsidR="00B53316" w:rsidRPr="00D618B7" w:rsidRDefault="00B53316" w:rsidP="004B11B7">
            <w:pPr>
              <w:jc w:val="right"/>
              <w:rPr>
                <w:color w:val="000000"/>
              </w:rPr>
            </w:pPr>
            <w:r w:rsidRPr="00D618B7">
              <w:rPr>
                <w:color w:val="000000"/>
              </w:rPr>
              <w:t>0.65</w:t>
            </w:r>
          </w:p>
        </w:tc>
      </w:tr>
      <w:tr w:rsidR="00B53316" w:rsidRPr="00D618B7" w14:paraId="13B60D73" w14:textId="77777777" w:rsidTr="004B11B7">
        <w:trPr>
          <w:trHeight w:val="303"/>
        </w:trPr>
        <w:tc>
          <w:tcPr>
            <w:tcW w:w="714" w:type="pct"/>
            <w:tcBorders>
              <w:top w:val="nil"/>
              <w:left w:val="nil"/>
              <w:bottom w:val="nil"/>
              <w:right w:val="nil"/>
            </w:tcBorders>
            <w:shd w:val="clear" w:color="000000" w:fill="FFFFFF"/>
            <w:vAlign w:val="center"/>
            <w:hideMark/>
          </w:tcPr>
          <w:p w14:paraId="64127ECD" w14:textId="77777777" w:rsidR="00B53316" w:rsidRPr="00D618B7" w:rsidRDefault="00B53316" w:rsidP="004B11B7">
            <w:pPr>
              <w:jc w:val="center"/>
              <w:rPr>
                <w:color w:val="000000"/>
              </w:rPr>
            </w:pPr>
            <w:r w:rsidRPr="00D618B7">
              <w:rPr>
                <w:color w:val="000000"/>
              </w:rPr>
              <w:t>0</w:t>
            </w:r>
          </w:p>
        </w:tc>
        <w:tc>
          <w:tcPr>
            <w:tcW w:w="539" w:type="pct"/>
            <w:tcBorders>
              <w:top w:val="nil"/>
              <w:left w:val="nil"/>
              <w:bottom w:val="nil"/>
              <w:right w:val="nil"/>
            </w:tcBorders>
            <w:shd w:val="clear" w:color="000000" w:fill="FFFFFF"/>
            <w:noWrap/>
            <w:vAlign w:val="center"/>
            <w:hideMark/>
          </w:tcPr>
          <w:p w14:paraId="349760DB" w14:textId="77777777" w:rsidR="00B53316" w:rsidRPr="00D618B7" w:rsidRDefault="00B53316" w:rsidP="004B11B7">
            <w:pPr>
              <w:jc w:val="right"/>
              <w:rPr>
                <w:color w:val="000000"/>
              </w:rPr>
            </w:pPr>
            <w:r w:rsidRPr="00D618B7">
              <w:rPr>
                <w:color w:val="000000"/>
              </w:rPr>
              <w:t>0.38</w:t>
            </w:r>
          </w:p>
        </w:tc>
        <w:tc>
          <w:tcPr>
            <w:tcW w:w="890" w:type="pct"/>
            <w:tcBorders>
              <w:top w:val="nil"/>
              <w:left w:val="nil"/>
              <w:bottom w:val="nil"/>
              <w:right w:val="nil"/>
            </w:tcBorders>
            <w:shd w:val="clear" w:color="000000" w:fill="FFFFFF"/>
            <w:noWrap/>
            <w:vAlign w:val="center"/>
            <w:hideMark/>
          </w:tcPr>
          <w:p w14:paraId="2E6B77FE" w14:textId="77777777" w:rsidR="00B53316" w:rsidRPr="00D618B7" w:rsidRDefault="00B53316" w:rsidP="004B11B7">
            <w:pPr>
              <w:jc w:val="right"/>
              <w:rPr>
                <w:color w:val="000000"/>
              </w:rPr>
            </w:pPr>
            <w:r w:rsidRPr="00D618B7">
              <w:rPr>
                <w:color w:val="000000"/>
              </w:rPr>
              <w:t>0.11</w:t>
            </w:r>
          </w:p>
        </w:tc>
        <w:tc>
          <w:tcPr>
            <w:tcW w:w="539" w:type="pct"/>
            <w:tcBorders>
              <w:top w:val="nil"/>
              <w:left w:val="nil"/>
              <w:bottom w:val="nil"/>
              <w:right w:val="nil"/>
            </w:tcBorders>
            <w:shd w:val="clear" w:color="000000" w:fill="FFFFFF"/>
            <w:noWrap/>
            <w:vAlign w:val="center"/>
            <w:hideMark/>
          </w:tcPr>
          <w:p w14:paraId="6BE71B38" w14:textId="77777777" w:rsidR="00B53316" w:rsidRPr="00D618B7" w:rsidRDefault="00B53316" w:rsidP="004B11B7">
            <w:pPr>
              <w:jc w:val="right"/>
              <w:rPr>
                <w:color w:val="000000"/>
              </w:rPr>
            </w:pPr>
            <w:r w:rsidRPr="00D618B7">
              <w:rPr>
                <w:color w:val="000000"/>
              </w:rPr>
              <w:t>0.46</w:t>
            </w:r>
          </w:p>
        </w:tc>
        <w:tc>
          <w:tcPr>
            <w:tcW w:w="890" w:type="pct"/>
            <w:tcBorders>
              <w:top w:val="nil"/>
              <w:left w:val="nil"/>
              <w:bottom w:val="nil"/>
              <w:right w:val="nil"/>
            </w:tcBorders>
            <w:shd w:val="clear" w:color="000000" w:fill="FFFFFF"/>
            <w:noWrap/>
            <w:vAlign w:val="center"/>
            <w:hideMark/>
          </w:tcPr>
          <w:p w14:paraId="1C0C2C48" w14:textId="77777777" w:rsidR="00B53316" w:rsidRPr="00D618B7" w:rsidRDefault="00B53316" w:rsidP="004B11B7">
            <w:pPr>
              <w:jc w:val="right"/>
              <w:rPr>
                <w:color w:val="000000"/>
              </w:rPr>
            </w:pPr>
            <w:r w:rsidRPr="00D618B7">
              <w:rPr>
                <w:color w:val="000000"/>
              </w:rPr>
              <w:t>0.05</w:t>
            </w:r>
          </w:p>
        </w:tc>
        <w:tc>
          <w:tcPr>
            <w:tcW w:w="539" w:type="pct"/>
            <w:tcBorders>
              <w:top w:val="nil"/>
              <w:left w:val="nil"/>
              <w:bottom w:val="nil"/>
              <w:right w:val="nil"/>
            </w:tcBorders>
            <w:shd w:val="clear" w:color="000000" w:fill="FFFFFF"/>
            <w:noWrap/>
            <w:vAlign w:val="center"/>
            <w:hideMark/>
          </w:tcPr>
          <w:p w14:paraId="1A0B803A" w14:textId="77777777" w:rsidR="00B53316" w:rsidRPr="00D618B7" w:rsidRDefault="00B53316" w:rsidP="004B11B7">
            <w:pPr>
              <w:jc w:val="right"/>
              <w:rPr>
                <w:color w:val="000000"/>
              </w:rPr>
            </w:pPr>
            <w:r w:rsidRPr="00D618B7">
              <w:rPr>
                <w:color w:val="000000"/>
              </w:rPr>
              <w:t>1.58</w:t>
            </w:r>
          </w:p>
        </w:tc>
        <w:tc>
          <w:tcPr>
            <w:tcW w:w="889" w:type="pct"/>
            <w:tcBorders>
              <w:top w:val="nil"/>
              <w:left w:val="nil"/>
              <w:bottom w:val="nil"/>
              <w:right w:val="nil"/>
            </w:tcBorders>
            <w:shd w:val="clear" w:color="000000" w:fill="FFFFFF"/>
            <w:noWrap/>
            <w:vAlign w:val="center"/>
            <w:hideMark/>
          </w:tcPr>
          <w:p w14:paraId="46430225" w14:textId="77777777" w:rsidR="00B53316" w:rsidRPr="00D618B7" w:rsidRDefault="00B53316" w:rsidP="004B11B7">
            <w:pPr>
              <w:jc w:val="right"/>
              <w:rPr>
                <w:color w:val="000000"/>
              </w:rPr>
            </w:pPr>
            <w:r w:rsidRPr="00D618B7">
              <w:rPr>
                <w:color w:val="000000"/>
              </w:rPr>
              <w:t>0.56</w:t>
            </w:r>
          </w:p>
        </w:tc>
      </w:tr>
      <w:tr w:rsidR="00B53316" w:rsidRPr="00D618B7" w14:paraId="7CE53B8F" w14:textId="77777777" w:rsidTr="004B11B7">
        <w:trPr>
          <w:trHeight w:val="303"/>
        </w:trPr>
        <w:tc>
          <w:tcPr>
            <w:tcW w:w="714" w:type="pct"/>
            <w:tcBorders>
              <w:top w:val="nil"/>
              <w:left w:val="nil"/>
              <w:bottom w:val="nil"/>
              <w:right w:val="nil"/>
            </w:tcBorders>
            <w:shd w:val="clear" w:color="000000" w:fill="FFFFFF"/>
            <w:vAlign w:val="center"/>
            <w:hideMark/>
          </w:tcPr>
          <w:p w14:paraId="4A2EBD9B" w14:textId="77777777" w:rsidR="00B53316" w:rsidRPr="00D618B7" w:rsidRDefault="00B53316" w:rsidP="004B11B7">
            <w:pPr>
              <w:jc w:val="center"/>
              <w:rPr>
                <w:color w:val="000000"/>
              </w:rPr>
            </w:pPr>
            <w:r w:rsidRPr="00D618B7">
              <w:rPr>
                <w:color w:val="000000"/>
              </w:rPr>
              <w:t>1</w:t>
            </w:r>
          </w:p>
        </w:tc>
        <w:tc>
          <w:tcPr>
            <w:tcW w:w="539" w:type="pct"/>
            <w:tcBorders>
              <w:top w:val="nil"/>
              <w:left w:val="nil"/>
              <w:bottom w:val="nil"/>
              <w:right w:val="nil"/>
            </w:tcBorders>
            <w:shd w:val="clear" w:color="000000" w:fill="FFFFFF"/>
            <w:noWrap/>
            <w:vAlign w:val="center"/>
            <w:hideMark/>
          </w:tcPr>
          <w:p w14:paraId="7E2CD26C" w14:textId="77777777" w:rsidR="00B53316" w:rsidRPr="00D618B7" w:rsidRDefault="00B53316" w:rsidP="004B11B7">
            <w:pPr>
              <w:jc w:val="right"/>
              <w:rPr>
                <w:color w:val="000000"/>
              </w:rPr>
            </w:pPr>
            <w:r w:rsidRPr="00D618B7">
              <w:rPr>
                <w:color w:val="000000"/>
              </w:rPr>
              <w:t>-0.05</w:t>
            </w:r>
          </w:p>
        </w:tc>
        <w:tc>
          <w:tcPr>
            <w:tcW w:w="890" w:type="pct"/>
            <w:tcBorders>
              <w:top w:val="nil"/>
              <w:left w:val="nil"/>
              <w:bottom w:val="nil"/>
              <w:right w:val="nil"/>
            </w:tcBorders>
            <w:shd w:val="clear" w:color="000000" w:fill="FFFFFF"/>
            <w:noWrap/>
            <w:vAlign w:val="center"/>
            <w:hideMark/>
          </w:tcPr>
          <w:p w14:paraId="189187C0" w14:textId="77777777" w:rsidR="00B53316" w:rsidRPr="00D618B7" w:rsidRDefault="00B53316" w:rsidP="004B11B7">
            <w:pPr>
              <w:jc w:val="right"/>
              <w:rPr>
                <w:color w:val="000000"/>
              </w:rPr>
            </w:pPr>
            <w:r w:rsidRPr="00D618B7">
              <w:rPr>
                <w:color w:val="000000"/>
              </w:rPr>
              <w:t>0.04</w:t>
            </w:r>
          </w:p>
        </w:tc>
        <w:tc>
          <w:tcPr>
            <w:tcW w:w="539" w:type="pct"/>
            <w:tcBorders>
              <w:top w:val="nil"/>
              <w:left w:val="nil"/>
              <w:bottom w:val="nil"/>
              <w:right w:val="nil"/>
            </w:tcBorders>
            <w:shd w:val="clear" w:color="000000" w:fill="FFFFFF"/>
            <w:noWrap/>
            <w:vAlign w:val="center"/>
            <w:hideMark/>
          </w:tcPr>
          <w:p w14:paraId="221196CF" w14:textId="77777777" w:rsidR="00B53316" w:rsidRPr="00D618B7" w:rsidRDefault="00B53316" w:rsidP="004B11B7">
            <w:pPr>
              <w:jc w:val="right"/>
              <w:rPr>
                <w:color w:val="000000"/>
              </w:rPr>
            </w:pPr>
            <w:r w:rsidRPr="00D618B7">
              <w:rPr>
                <w:color w:val="000000"/>
              </w:rPr>
              <w:t>-0.11</w:t>
            </w:r>
          </w:p>
        </w:tc>
        <w:tc>
          <w:tcPr>
            <w:tcW w:w="890" w:type="pct"/>
            <w:tcBorders>
              <w:top w:val="nil"/>
              <w:left w:val="nil"/>
              <w:bottom w:val="nil"/>
              <w:right w:val="nil"/>
            </w:tcBorders>
            <w:shd w:val="clear" w:color="000000" w:fill="FFFFFF"/>
            <w:noWrap/>
            <w:vAlign w:val="center"/>
            <w:hideMark/>
          </w:tcPr>
          <w:p w14:paraId="17D356AC" w14:textId="77777777" w:rsidR="00B53316" w:rsidRPr="00D618B7" w:rsidRDefault="00B53316" w:rsidP="004B11B7">
            <w:pPr>
              <w:jc w:val="right"/>
              <w:rPr>
                <w:color w:val="000000"/>
              </w:rPr>
            </w:pPr>
            <w:r w:rsidRPr="00D618B7">
              <w:rPr>
                <w:color w:val="000000"/>
              </w:rPr>
              <w:t>0.01</w:t>
            </w:r>
          </w:p>
        </w:tc>
        <w:tc>
          <w:tcPr>
            <w:tcW w:w="539" w:type="pct"/>
            <w:tcBorders>
              <w:top w:val="nil"/>
              <w:left w:val="nil"/>
              <w:bottom w:val="nil"/>
              <w:right w:val="nil"/>
            </w:tcBorders>
            <w:shd w:val="clear" w:color="000000" w:fill="FFFFFF"/>
            <w:noWrap/>
            <w:vAlign w:val="center"/>
            <w:hideMark/>
          </w:tcPr>
          <w:p w14:paraId="21B0C54D" w14:textId="77777777" w:rsidR="00B53316" w:rsidRPr="00D618B7" w:rsidRDefault="00B53316" w:rsidP="004B11B7">
            <w:pPr>
              <w:jc w:val="right"/>
              <w:rPr>
                <w:color w:val="000000"/>
              </w:rPr>
            </w:pPr>
            <w:r w:rsidRPr="00D618B7">
              <w:rPr>
                <w:color w:val="000000"/>
              </w:rPr>
              <w:t>2.41</w:t>
            </w:r>
          </w:p>
        </w:tc>
        <w:tc>
          <w:tcPr>
            <w:tcW w:w="889" w:type="pct"/>
            <w:tcBorders>
              <w:top w:val="nil"/>
              <w:left w:val="nil"/>
              <w:bottom w:val="nil"/>
              <w:right w:val="nil"/>
            </w:tcBorders>
            <w:shd w:val="clear" w:color="000000" w:fill="FFFFFF"/>
            <w:noWrap/>
            <w:vAlign w:val="center"/>
            <w:hideMark/>
          </w:tcPr>
          <w:p w14:paraId="158DD306" w14:textId="77777777" w:rsidR="00B53316" w:rsidRPr="00D618B7" w:rsidRDefault="00B53316" w:rsidP="004B11B7">
            <w:pPr>
              <w:jc w:val="right"/>
              <w:rPr>
                <w:color w:val="000000"/>
              </w:rPr>
            </w:pPr>
            <w:r w:rsidRPr="00D618B7">
              <w:rPr>
                <w:color w:val="000000"/>
              </w:rPr>
              <w:t>0.65</w:t>
            </w:r>
          </w:p>
        </w:tc>
      </w:tr>
      <w:tr w:rsidR="00B53316" w:rsidRPr="00D618B7" w14:paraId="2ECB5B98" w14:textId="77777777" w:rsidTr="004B11B7">
        <w:trPr>
          <w:trHeight w:val="303"/>
        </w:trPr>
        <w:tc>
          <w:tcPr>
            <w:tcW w:w="714" w:type="pct"/>
            <w:tcBorders>
              <w:top w:val="nil"/>
              <w:left w:val="nil"/>
              <w:bottom w:val="nil"/>
              <w:right w:val="nil"/>
            </w:tcBorders>
            <w:shd w:val="clear" w:color="000000" w:fill="FFFFFF"/>
            <w:vAlign w:val="center"/>
            <w:hideMark/>
          </w:tcPr>
          <w:p w14:paraId="012AC780" w14:textId="77777777" w:rsidR="00B53316" w:rsidRPr="00D618B7" w:rsidRDefault="00B53316" w:rsidP="004B11B7">
            <w:pPr>
              <w:jc w:val="center"/>
              <w:rPr>
                <w:color w:val="000000"/>
              </w:rPr>
            </w:pPr>
            <w:r w:rsidRPr="00D618B7">
              <w:rPr>
                <w:color w:val="000000"/>
              </w:rPr>
              <w:t>2</w:t>
            </w:r>
          </w:p>
        </w:tc>
        <w:tc>
          <w:tcPr>
            <w:tcW w:w="539" w:type="pct"/>
            <w:tcBorders>
              <w:top w:val="nil"/>
              <w:left w:val="nil"/>
              <w:bottom w:val="nil"/>
              <w:right w:val="nil"/>
            </w:tcBorders>
            <w:shd w:val="clear" w:color="000000" w:fill="FFFFFF"/>
            <w:noWrap/>
            <w:vAlign w:val="center"/>
            <w:hideMark/>
          </w:tcPr>
          <w:p w14:paraId="6134385D" w14:textId="77777777" w:rsidR="00B53316" w:rsidRPr="00D618B7" w:rsidRDefault="00B53316" w:rsidP="004B11B7">
            <w:pPr>
              <w:jc w:val="right"/>
              <w:rPr>
                <w:color w:val="000000"/>
              </w:rPr>
            </w:pPr>
            <w:r w:rsidRPr="00D618B7">
              <w:rPr>
                <w:color w:val="000000"/>
              </w:rPr>
              <w:t>0.44</w:t>
            </w:r>
          </w:p>
        </w:tc>
        <w:tc>
          <w:tcPr>
            <w:tcW w:w="890" w:type="pct"/>
            <w:tcBorders>
              <w:top w:val="nil"/>
              <w:left w:val="nil"/>
              <w:bottom w:val="nil"/>
              <w:right w:val="nil"/>
            </w:tcBorders>
            <w:shd w:val="clear" w:color="000000" w:fill="FFFFFF"/>
            <w:noWrap/>
            <w:vAlign w:val="center"/>
            <w:hideMark/>
          </w:tcPr>
          <w:p w14:paraId="2B6330D6" w14:textId="77777777" w:rsidR="00B53316" w:rsidRPr="00D618B7" w:rsidRDefault="00B53316" w:rsidP="004B11B7">
            <w:pPr>
              <w:jc w:val="right"/>
              <w:rPr>
                <w:color w:val="000000"/>
              </w:rPr>
            </w:pPr>
            <w:r w:rsidRPr="00D618B7">
              <w:rPr>
                <w:color w:val="000000"/>
              </w:rPr>
              <w:t>0.05</w:t>
            </w:r>
          </w:p>
        </w:tc>
        <w:tc>
          <w:tcPr>
            <w:tcW w:w="539" w:type="pct"/>
            <w:tcBorders>
              <w:top w:val="nil"/>
              <w:left w:val="nil"/>
              <w:bottom w:val="nil"/>
              <w:right w:val="nil"/>
            </w:tcBorders>
            <w:shd w:val="clear" w:color="000000" w:fill="FFFFFF"/>
            <w:noWrap/>
            <w:vAlign w:val="center"/>
            <w:hideMark/>
          </w:tcPr>
          <w:p w14:paraId="17555A03" w14:textId="77777777" w:rsidR="00B53316" w:rsidRPr="00D618B7" w:rsidRDefault="00B53316" w:rsidP="004B11B7">
            <w:pPr>
              <w:jc w:val="right"/>
              <w:rPr>
                <w:color w:val="000000"/>
              </w:rPr>
            </w:pPr>
            <w:r w:rsidRPr="00D618B7">
              <w:rPr>
                <w:color w:val="000000"/>
              </w:rPr>
              <w:t>-0.13</w:t>
            </w:r>
          </w:p>
        </w:tc>
        <w:tc>
          <w:tcPr>
            <w:tcW w:w="890" w:type="pct"/>
            <w:tcBorders>
              <w:top w:val="nil"/>
              <w:left w:val="nil"/>
              <w:bottom w:val="nil"/>
              <w:right w:val="nil"/>
            </w:tcBorders>
            <w:shd w:val="clear" w:color="000000" w:fill="FFFFFF"/>
            <w:noWrap/>
            <w:vAlign w:val="center"/>
            <w:hideMark/>
          </w:tcPr>
          <w:p w14:paraId="406AD784" w14:textId="77777777" w:rsidR="00B53316" w:rsidRPr="00D618B7" w:rsidRDefault="00B53316" w:rsidP="004B11B7">
            <w:pPr>
              <w:jc w:val="right"/>
              <w:rPr>
                <w:color w:val="000000"/>
              </w:rPr>
            </w:pPr>
            <w:r w:rsidRPr="00D618B7">
              <w:rPr>
                <w:color w:val="000000"/>
              </w:rPr>
              <w:t>0.04</w:t>
            </w:r>
          </w:p>
        </w:tc>
        <w:tc>
          <w:tcPr>
            <w:tcW w:w="539" w:type="pct"/>
            <w:tcBorders>
              <w:top w:val="nil"/>
              <w:left w:val="nil"/>
              <w:bottom w:val="nil"/>
              <w:right w:val="nil"/>
            </w:tcBorders>
            <w:shd w:val="clear" w:color="000000" w:fill="FFFFFF"/>
            <w:noWrap/>
            <w:vAlign w:val="center"/>
            <w:hideMark/>
          </w:tcPr>
          <w:p w14:paraId="5DDAC628" w14:textId="77777777" w:rsidR="00B53316" w:rsidRPr="00D618B7" w:rsidRDefault="00B53316" w:rsidP="004B11B7">
            <w:pPr>
              <w:jc w:val="right"/>
              <w:rPr>
                <w:color w:val="000000"/>
              </w:rPr>
            </w:pPr>
            <w:r w:rsidRPr="00D618B7">
              <w:rPr>
                <w:color w:val="000000"/>
              </w:rPr>
              <w:t>2.89</w:t>
            </w:r>
          </w:p>
        </w:tc>
        <w:tc>
          <w:tcPr>
            <w:tcW w:w="889" w:type="pct"/>
            <w:tcBorders>
              <w:top w:val="nil"/>
              <w:left w:val="nil"/>
              <w:bottom w:val="nil"/>
              <w:right w:val="nil"/>
            </w:tcBorders>
            <w:shd w:val="clear" w:color="000000" w:fill="FFFFFF"/>
            <w:noWrap/>
            <w:vAlign w:val="center"/>
            <w:hideMark/>
          </w:tcPr>
          <w:p w14:paraId="2CF0D941" w14:textId="77777777" w:rsidR="00B53316" w:rsidRPr="00D618B7" w:rsidRDefault="00B53316" w:rsidP="004B11B7">
            <w:pPr>
              <w:jc w:val="right"/>
              <w:rPr>
                <w:color w:val="000000"/>
              </w:rPr>
            </w:pPr>
            <w:r w:rsidRPr="00D618B7">
              <w:rPr>
                <w:color w:val="000000"/>
              </w:rPr>
              <w:t>0.33</w:t>
            </w:r>
          </w:p>
        </w:tc>
      </w:tr>
      <w:tr w:rsidR="00B53316" w:rsidRPr="00D618B7" w14:paraId="599C5929" w14:textId="77777777" w:rsidTr="004B11B7">
        <w:trPr>
          <w:trHeight w:val="303"/>
        </w:trPr>
        <w:tc>
          <w:tcPr>
            <w:tcW w:w="714" w:type="pct"/>
            <w:tcBorders>
              <w:top w:val="nil"/>
              <w:left w:val="nil"/>
              <w:bottom w:val="nil"/>
              <w:right w:val="nil"/>
            </w:tcBorders>
            <w:shd w:val="clear" w:color="000000" w:fill="FFFFFF"/>
            <w:vAlign w:val="center"/>
            <w:hideMark/>
          </w:tcPr>
          <w:p w14:paraId="4A85ACE9" w14:textId="77777777" w:rsidR="00B53316" w:rsidRPr="00D618B7" w:rsidRDefault="00B53316" w:rsidP="004B11B7">
            <w:pPr>
              <w:jc w:val="center"/>
              <w:rPr>
                <w:color w:val="000000"/>
              </w:rPr>
            </w:pPr>
            <w:r w:rsidRPr="00D618B7">
              <w:rPr>
                <w:color w:val="000000"/>
              </w:rPr>
              <w:t>3</w:t>
            </w:r>
          </w:p>
        </w:tc>
        <w:tc>
          <w:tcPr>
            <w:tcW w:w="539" w:type="pct"/>
            <w:tcBorders>
              <w:top w:val="nil"/>
              <w:left w:val="nil"/>
              <w:bottom w:val="nil"/>
              <w:right w:val="nil"/>
            </w:tcBorders>
            <w:shd w:val="clear" w:color="000000" w:fill="FFFFFF"/>
            <w:noWrap/>
            <w:vAlign w:val="center"/>
            <w:hideMark/>
          </w:tcPr>
          <w:p w14:paraId="0547468F" w14:textId="77777777" w:rsidR="00B53316" w:rsidRPr="00D618B7" w:rsidRDefault="00B53316" w:rsidP="004B11B7">
            <w:pPr>
              <w:jc w:val="right"/>
              <w:rPr>
                <w:color w:val="000000"/>
              </w:rPr>
            </w:pPr>
            <w:r w:rsidRPr="00D618B7">
              <w:rPr>
                <w:color w:val="000000"/>
              </w:rPr>
              <w:t>0.14</w:t>
            </w:r>
          </w:p>
        </w:tc>
        <w:tc>
          <w:tcPr>
            <w:tcW w:w="890" w:type="pct"/>
            <w:tcBorders>
              <w:top w:val="nil"/>
              <w:left w:val="nil"/>
              <w:bottom w:val="nil"/>
              <w:right w:val="nil"/>
            </w:tcBorders>
            <w:shd w:val="clear" w:color="000000" w:fill="FFFFFF"/>
            <w:noWrap/>
            <w:vAlign w:val="center"/>
            <w:hideMark/>
          </w:tcPr>
          <w:p w14:paraId="1A6A7C3F" w14:textId="77777777" w:rsidR="00B53316" w:rsidRPr="00D618B7" w:rsidRDefault="00B53316" w:rsidP="004B11B7">
            <w:pPr>
              <w:jc w:val="right"/>
              <w:rPr>
                <w:color w:val="000000"/>
              </w:rPr>
            </w:pPr>
            <w:r w:rsidRPr="00D618B7">
              <w:rPr>
                <w:color w:val="000000"/>
              </w:rPr>
              <w:t>0.09</w:t>
            </w:r>
          </w:p>
        </w:tc>
        <w:tc>
          <w:tcPr>
            <w:tcW w:w="539" w:type="pct"/>
            <w:tcBorders>
              <w:top w:val="nil"/>
              <w:left w:val="nil"/>
              <w:bottom w:val="nil"/>
              <w:right w:val="nil"/>
            </w:tcBorders>
            <w:shd w:val="clear" w:color="000000" w:fill="FFFFFF"/>
            <w:noWrap/>
            <w:vAlign w:val="center"/>
            <w:hideMark/>
          </w:tcPr>
          <w:p w14:paraId="022D3B62" w14:textId="77777777" w:rsidR="00B53316" w:rsidRPr="00D618B7" w:rsidRDefault="00B53316" w:rsidP="004B11B7">
            <w:pPr>
              <w:jc w:val="right"/>
              <w:rPr>
                <w:color w:val="000000"/>
              </w:rPr>
            </w:pPr>
            <w:r w:rsidRPr="00D618B7">
              <w:rPr>
                <w:color w:val="000000"/>
              </w:rPr>
              <w:t>0.39</w:t>
            </w:r>
          </w:p>
        </w:tc>
        <w:tc>
          <w:tcPr>
            <w:tcW w:w="890" w:type="pct"/>
            <w:tcBorders>
              <w:top w:val="nil"/>
              <w:left w:val="nil"/>
              <w:bottom w:val="nil"/>
              <w:right w:val="nil"/>
            </w:tcBorders>
            <w:shd w:val="clear" w:color="000000" w:fill="FFFFFF"/>
            <w:noWrap/>
            <w:vAlign w:val="center"/>
            <w:hideMark/>
          </w:tcPr>
          <w:p w14:paraId="1C4BBE73" w14:textId="77777777" w:rsidR="00B53316" w:rsidRPr="00D618B7" w:rsidRDefault="00B53316" w:rsidP="004B11B7">
            <w:pPr>
              <w:jc w:val="right"/>
              <w:rPr>
                <w:color w:val="000000"/>
              </w:rPr>
            </w:pPr>
            <w:r w:rsidRPr="00D618B7">
              <w:rPr>
                <w:color w:val="000000"/>
              </w:rPr>
              <w:t>0.18</w:t>
            </w:r>
          </w:p>
        </w:tc>
        <w:tc>
          <w:tcPr>
            <w:tcW w:w="539" w:type="pct"/>
            <w:tcBorders>
              <w:top w:val="nil"/>
              <w:left w:val="nil"/>
              <w:bottom w:val="nil"/>
              <w:right w:val="nil"/>
            </w:tcBorders>
            <w:shd w:val="clear" w:color="000000" w:fill="FFFFFF"/>
            <w:noWrap/>
            <w:vAlign w:val="center"/>
            <w:hideMark/>
          </w:tcPr>
          <w:p w14:paraId="20D5FCD3" w14:textId="77777777" w:rsidR="00B53316" w:rsidRPr="00D618B7" w:rsidRDefault="00B53316" w:rsidP="004B11B7">
            <w:pPr>
              <w:jc w:val="right"/>
              <w:rPr>
                <w:color w:val="000000"/>
              </w:rPr>
            </w:pPr>
            <w:r w:rsidRPr="00D618B7">
              <w:rPr>
                <w:color w:val="000000"/>
              </w:rPr>
              <w:t>1.51</w:t>
            </w:r>
          </w:p>
        </w:tc>
        <w:tc>
          <w:tcPr>
            <w:tcW w:w="889" w:type="pct"/>
            <w:tcBorders>
              <w:top w:val="nil"/>
              <w:left w:val="nil"/>
              <w:bottom w:val="nil"/>
              <w:right w:val="nil"/>
            </w:tcBorders>
            <w:shd w:val="clear" w:color="000000" w:fill="FFFFFF"/>
            <w:noWrap/>
            <w:vAlign w:val="center"/>
            <w:hideMark/>
          </w:tcPr>
          <w:p w14:paraId="4C50FA3A" w14:textId="77777777" w:rsidR="00B53316" w:rsidRPr="00D618B7" w:rsidRDefault="00B53316" w:rsidP="004B11B7">
            <w:pPr>
              <w:jc w:val="right"/>
              <w:rPr>
                <w:color w:val="000000"/>
              </w:rPr>
            </w:pPr>
            <w:r w:rsidRPr="00D618B7">
              <w:rPr>
                <w:color w:val="000000"/>
              </w:rPr>
              <w:t>0.29</w:t>
            </w:r>
          </w:p>
        </w:tc>
      </w:tr>
      <w:tr w:rsidR="00B53316" w:rsidRPr="00D618B7" w14:paraId="06E397CF" w14:textId="77777777" w:rsidTr="004B11B7">
        <w:trPr>
          <w:trHeight w:val="303"/>
        </w:trPr>
        <w:tc>
          <w:tcPr>
            <w:tcW w:w="714" w:type="pct"/>
            <w:tcBorders>
              <w:top w:val="nil"/>
              <w:left w:val="nil"/>
              <w:bottom w:val="nil"/>
              <w:right w:val="nil"/>
            </w:tcBorders>
            <w:shd w:val="clear" w:color="000000" w:fill="FFFFFF"/>
            <w:vAlign w:val="center"/>
            <w:hideMark/>
          </w:tcPr>
          <w:p w14:paraId="5E156EC8" w14:textId="77777777" w:rsidR="00B53316" w:rsidRPr="00D618B7" w:rsidRDefault="00B53316" w:rsidP="004B11B7">
            <w:pPr>
              <w:jc w:val="center"/>
              <w:rPr>
                <w:color w:val="000000"/>
              </w:rPr>
            </w:pPr>
            <w:r w:rsidRPr="00D618B7">
              <w:rPr>
                <w:color w:val="000000"/>
              </w:rPr>
              <w:t>4</w:t>
            </w:r>
          </w:p>
        </w:tc>
        <w:tc>
          <w:tcPr>
            <w:tcW w:w="539" w:type="pct"/>
            <w:tcBorders>
              <w:top w:val="nil"/>
              <w:left w:val="nil"/>
              <w:bottom w:val="nil"/>
              <w:right w:val="nil"/>
            </w:tcBorders>
            <w:shd w:val="clear" w:color="000000" w:fill="FFFFFF"/>
            <w:noWrap/>
            <w:vAlign w:val="center"/>
            <w:hideMark/>
          </w:tcPr>
          <w:p w14:paraId="7747D647" w14:textId="77777777" w:rsidR="00B53316" w:rsidRPr="00D618B7" w:rsidRDefault="00B53316" w:rsidP="004B11B7">
            <w:pPr>
              <w:jc w:val="right"/>
              <w:rPr>
                <w:color w:val="000000"/>
              </w:rPr>
            </w:pPr>
            <w:r w:rsidRPr="00D618B7">
              <w:rPr>
                <w:color w:val="000000"/>
              </w:rPr>
              <w:t>0.16</w:t>
            </w:r>
          </w:p>
        </w:tc>
        <w:tc>
          <w:tcPr>
            <w:tcW w:w="890" w:type="pct"/>
            <w:tcBorders>
              <w:top w:val="nil"/>
              <w:left w:val="nil"/>
              <w:bottom w:val="nil"/>
              <w:right w:val="nil"/>
            </w:tcBorders>
            <w:shd w:val="clear" w:color="000000" w:fill="FFFFFF"/>
            <w:noWrap/>
            <w:vAlign w:val="center"/>
            <w:hideMark/>
          </w:tcPr>
          <w:p w14:paraId="19F46A04" w14:textId="77777777" w:rsidR="00B53316" w:rsidRPr="00D618B7" w:rsidRDefault="00B53316" w:rsidP="004B11B7">
            <w:pPr>
              <w:jc w:val="right"/>
              <w:rPr>
                <w:color w:val="000000"/>
              </w:rPr>
            </w:pPr>
            <w:r w:rsidRPr="00D618B7">
              <w:rPr>
                <w:color w:val="000000"/>
              </w:rPr>
              <w:t>0.05</w:t>
            </w:r>
          </w:p>
        </w:tc>
        <w:tc>
          <w:tcPr>
            <w:tcW w:w="539" w:type="pct"/>
            <w:tcBorders>
              <w:top w:val="nil"/>
              <w:left w:val="nil"/>
              <w:bottom w:val="nil"/>
              <w:right w:val="nil"/>
            </w:tcBorders>
            <w:shd w:val="clear" w:color="000000" w:fill="FFFFFF"/>
            <w:noWrap/>
            <w:vAlign w:val="center"/>
            <w:hideMark/>
          </w:tcPr>
          <w:p w14:paraId="5093D79F" w14:textId="77777777" w:rsidR="00B53316" w:rsidRPr="00D618B7" w:rsidRDefault="00B53316" w:rsidP="004B11B7">
            <w:pPr>
              <w:jc w:val="right"/>
              <w:rPr>
                <w:color w:val="000000"/>
              </w:rPr>
            </w:pPr>
            <w:r w:rsidRPr="00D618B7">
              <w:rPr>
                <w:color w:val="000000"/>
              </w:rPr>
              <w:t>-0.11</w:t>
            </w:r>
          </w:p>
        </w:tc>
        <w:tc>
          <w:tcPr>
            <w:tcW w:w="890" w:type="pct"/>
            <w:tcBorders>
              <w:top w:val="nil"/>
              <w:left w:val="nil"/>
              <w:bottom w:val="nil"/>
              <w:right w:val="nil"/>
            </w:tcBorders>
            <w:shd w:val="clear" w:color="000000" w:fill="FFFFFF"/>
            <w:noWrap/>
            <w:vAlign w:val="center"/>
            <w:hideMark/>
          </w:tcPr>
          <w:p w14:paraId="52C3C321" w14:textId="77777777" w:rsidR="00B53316" w:rsidRPr="00D618B7" w:rsidRDefault="00B53316" w:rsidP="004B11B7">
            <w:pPr>
              <w:jc w:val="right"/>
              <w:rPr>
                <w:color w:val="000000"/>
              </w:rPr>
            </w:pPr>
            <w:r w:rsidRPr="00D618B7">
              <w:rPr>
                <w:color w:val="000000"/>
              </w:rPr>
              <w:t>0.21</w:t>
            </w:r>
          </w:p>
        </w:tc>
        <w:tc>
          <w:tcPr>
            <w:tcW w:w="539" w:type="pct"/>
            <w:tcBorders>
              <w:top w:val="nil"/>
              <w:left w:val="nil"/>
              <w:bottom w:val="nil"/>
              <w:right w:val="nil"/>
            </w:tcBorders>
            <w:shd w:val="clear" w:color="000000" w:fill="FFFFFF"/>
            <w:noWrap/>
            <w:vAlign w:val="center"/>
            <w:hideMark/>
          </w:tcPr>
          <w:p w14:paraId="3B21B70F" w14:textId="77777777" w:rsidR="00B53316" w:rsidRPr="00D618B7" w:rsidRDefault="00B53316" w:rsidP="004B11B7">
            <w:pPr>
              <w:jc w:val="right"/>
              <w:rPr>
                <w:color w:val="000000"/>
              </w:rPr>
            </w:pPr>
            <w:r w:rsidRPr="00D618B7">
              <w:rPr>
                <w:color w:val="000000"/>
              </w:rPr>
              <w:t>3.83</w:t>
            </w:r>
          </w:p>
        </w:tc>
        <w:tc>
          <w:tcPr>
            <w:tcW w:w="889" w:type="pct"/>
            <w:tcBorders>
              <w:top w:val="nil"/>
              <w:left w:val="nil"/>
              <w:bottom w:val="nil"/>
              <w:right w:val="nil"/>
            </w:tcBorders>
            <w:shd w:val="clear" w:color="000000" w:fill="FFFFFF"/>
            <w:noWrap/>
            <w:vAlign w:val="center"/>
            <w:hideMark/>
          </w:tcPr>
          <w:p w14:paraId="17788DC6" w14:textId="77777777" w:rsidR="00B53316" w:rsidRPr="00D618B7" w:rsidRDefault="00B53316" w:rsidP="004B11B7">
            <w:pPr>
              <w:jc w:val="right"/>
              <w:rPr>
                <w:color w:val="000000"/>
              </w:rPr>
            </w:pPr>
            <w:r w:rsidRPr="00D618B7">
              <w:rPr>
                <w:color w:val="000000"/>
              </w:rPr>
              <w:t>0.40</w:t>
            </w:r>
          </w:p>
        </w:tc>
      </w:tr>
      <w:tr w:rsidR="00B53316" w:rsidRPr="00D618B7" w14:paraId="1D062F73" w14:textId="77777777" w:rsidTr="004B11B7">
        <w:trPr>
          <w:trHeight w:val="303"/>
        </w:trPr>
        <w:tc>
          <w:tcPr>
            <w:tcW w:w="714" w:type="pct"/>
            <w:tcBorders>
              <w:top w:val="nil"/>
              <w:left w:val="nil"/>
              <w:bottom w:val="single" w:sz="8" w:space="0" w:color="auto"/>
              <w:right w:val="nil"/>
            </w:tcBorders>
            <w:shd w:val="clear" w:color="000000" w:fill="FFFFFF"/>
            <w:vAlign w:val="center"/>
            <w:hideMark/>
          </w:tcPr>
          <w:p w14:paraId="6443A07C" w14:textId="77777777" w:rsidR="00B53316" w:rsidRPr="00D618B7" w:rsidRDefault="00B53316" w:rsidP="004B11B7">
            <w:pPr>
              <w:jc w:val="center"/>
              <w:rPr>
                <w:color w:val="000000"/>
              </w:rPr>
            </w:pPr>
            <w:r w:rsidRPr="00D618B7">
              <w:rPr>
                <w:color w:val="000000"/>
              </w:rPr>
              <w:t>5</w:t>
            </w:r>
          </w:p>
        </w:tc>
        <w:tc>
          <w:tcPr>
            <w:tcW w:w="539" w:type="pct"/>
            <w:tcBorders>
              <w:top w:val="nil"/>
              <w:left w:val="nil"/>
              <w:bottom w:val="single" w:sz="8" w:space="0" w:color="auto"/>
              <w:right w:val="nil"/>
            </w:tcBorders>
            <w:shd w:val="clear" w:color="000000" w:fill="FFFFFF"/>
            <w:noWrap/>
            <w:vAlign w:val="center"/>
            <w:hideMark/>
          </w:tcPr>
          <w:p w14:paraId="1170AF68" w14:textId="77777777" w:rsidR="00B53316" w:rsidRPr="00D618B7" w:rsidRDefault="00B53316" w:rsidP="004B11B7">
            <w:pPr>
              <w:jc w:val="right"/>
              <w:rPr>
                <w:color w:val="000000"/>
              </w:rPr>
            </w:pPr>
            <w:r w:rsidRPr="00D618B7">
              <w:rPr>
                <w:color w:val="000000"/>
              </w:rPr>
              <w:t>0.04</w:t>
            </w:r>
          </w:p>
        </w:tc>
        <w:tc>
          <w:tcPr>
            <w:tcW w:w="890" w:type="pct"/>
            <w:tcBorders>
              <w:top w:val="nil"/>
              <w:left w:val="nil"/>
              <w:bottom w:val="single" w:sz="8" w:space="0" w:color="auto"/>
              <w:right w:val="nil"/>
            </w:tcBorders>
            <w:shd w:val="clear" w:color="000000" w:fill="FFFFFF"/>
            <w:noWrap/>
            <w:vAlign w:val="center"/>
            <w:hideMark/>
          </w:tcPr>
          <w:p w14:paraId="2B05F403" w14:textId="77777777" w:rsidR="00B53316" w:rsidRPr="00D618B7" w:rsidRDefault="00B53316" w:rsidP="004B11B7">
            <w:pPr>
              <w:jc w:val="right"/>
              <w:rPr>
                <w:color w:val="000000"/>
              </w:rPr>
            </w:pPr>
            <w:r w:rsidRPr="00D618B7">
              <w:rPr>
                <w:color w:val="000000"/>
              </w:rPr>
              <w:t>0.08</w:t>
            </w:r>
          </w:p>
        </w:tc>
        <w:tc>
          <w:tcPr>
            <w:tcW w:w="539" w:type="pct"/>
            <w:tcBorders>
              <w:top w:val="nil"/>
              <w:left w:val="nil"/>
              <w:bottom w:val="single" w:sz="8" w:space="0" w:color="auto"/>
              <w:right w:val="nil"/>
            </w:tcBorders>
            <w:shd w:val="clear" w:color="000000" w:fill="FFFFFF"/>
            <w:noWrap/>
            <w:vAlign w:val="center"/>
            <w:hideMark/>
          </w:tcPr>
          <w:p w14:paraId="1E6ED8A8" w14:textId="77777777" w:rsidR="00B53316" w:rsidRPr="00D618B7" w:rsidRDefault="00B53316" w:rsidP="004B11B7">
            <w:pPr>
              <w:jc w:val="right"/>
              <w:rPr>
                <w:color w:val="000000"/>
              </w:rPr>
            </w:pPr>
            <w:r w:rsidRPr="00D618B7">
              <w:rPr>
                <w:color w:val="000000"/>
              </w:rPr>
              <w:t>0.00</w:t>
            </w:r>
          </w:p>
        </w:tc>
        <w:tc>
          <w:tcPr>
            <w:tcW w:w="890" w:type="pct"/>
            <w:tcBorders>
              <w:top w:val="nil"/>
              <w:left w:val="nil"/>
              <w:bottom w:val="single" w:sz="8" w:space="0" w:color="auto"/>
              <w:right w:val="nil"/>
            </w:tcBorders>
            <w:shd w:val="clear" w:color="000000" w:fill="FFFFFF"/>
            <w:noWrap/>
            <w:vAlign w:val="center"/>
            <w:hideMark/>
          </w:tcPr>
          <w:p w14:paraId="1D7A5609" w14:textId="77777777" w:rsidR="00B53316" w:rsidRPr="00D618B7" w:rsidRDefault="00B53316" w:rsidP="004B11B7">
            <w:pPr>
              <w:jc w:val="right"/>
              <w:rPr>
                <w:color w:val="000000"/>
              </w:rPr>
            </w:pPr>
            <w:r w:rsidRPr="00D618B7">
              <w:rPr>
                <w:color w:val="000000"/>
              </w:rPr>
              <w:t>0.15</w:t>
            </w:r>
          </w:p>
        </w:tc>
        <w:tc>
          <w:tcPr>
            <w:tcW w:w="539" w:type="pct"/>
            <w:tcBorders>
              <w:top w:val="nil"/>
              <w:left w:val="nil"/>
              <w:bottom w:val="single" w:sz="8" w:space="0" w:color="auto"/>
              <w:right w:val="nil"/>
            </w:tcBorders>
            <w:shd w:val="clear" w:color="000000" w:fill="FFFFFF"/>
            <w:noWrap/>
            <w:vAlign w:val="center"/>
            <w:hideMark/>
          </w:tcPr>
          <w:p w14:paraId="7943692A" w14:textId="77777777" w:rsidR="00B53316" w:rsidRPr="00D618B7" w:rsidRDefault="00B53316" w:rsidP="004B11B7">
            <w:pPr>
              <w:jc w:val="right"/>
              <w:rPr>
                <w:color w:val="000000"/>
              </w:rPr>
            </w:pPr>
            <w:r w:rsidRPr="00D618B7">
              <w:rPr>
                <w:color w:val="000000"/>
              </w:rPr>
              <w:t>0.71</w:t>
            </w:r>
          </w:p>
        </w:tc>
        <w:tc>
          <w:tcPr>
            <w:tcW w:w="889" w:type="pct"/>
            <w:tcBorders>
              <w:top w:val="nil"/>
              <w:left w:val="nil"/>
              <w:bottom w:val="single" w:sz="8" w:space="0" w:color="auto"/>
              <w:right w:val="nil"/>
            </w:tcBorders>
            <w:shd w:val="clear" w:color="000000" w:fill="FFFFFF"/>
            <w:noWrap/>
            <w:vAlign w:val="center"/>
            <w:hideMark/>
          </w:tcPr>
          <w:p w14:paraId="2A265E8E" w14:textId="77777777" w:rsidR="00B53316" w:rsidRPr="00D618B7" w:rsidRDefault="00B53316" w:rsidP="004B11B7">
            <w:pPr>
              <w:jc w:val="right"/>
              <w:rPr>
                <w:color w:val="000000"/>
              </w:rPr>
            </w:pPr>
            <w:r w:rsidRPr="00D618B7">
              <w:rPr>
                <w:color w:val="000000"/>
              </w:rPr>
              <w:t>0.21</w:t>
            </w:r>
          </w:p>
        </w:tc>
      </w:tr>
    </w:tbl>
    <w:p w14:paraId="11571BA8" w14:textId="77777777" w:rsidR="00B53316" w:rsidRPr="00D618B7" w:rsidRDefault="00B53316" w:rsidP="00B53316"/>
    <w:p w14:paraId="55CCBD71" w14:textId="45ABB782" w:rsidR="009628DB" w:rsidRPr="00D618B7" w:rsidRDefault="00B53316" w:rsidP="00B53316">
      <w:r w:rsidRPr="00D618B7">
        <w:rPr>
          <w:i/>
          <w:iCs/>
        </w:rPr>
        <w:t>Note</w:t>
      </w:r>
      <w:r w:rsidRPr="00D618B7">
        <w:t>: This table lists the estimated mean frequency and standard error of face, hand, and mouth events for each week of observation around reach-onset by group.</w:t>
      </w:r>
    </w:p>
    <w:p w14:paraId="67ABD6CF" w14:textId="77777777" w:rsidR="009628DB" w:rsidRPr="00D618B7" w:rsidRDefault="009628DB">
      <w:r w:rsidRPr="00D618B7">
        <w:br w:type="page"/>
      </w:r>
    </w:p>
    <w:p w14:paraId="1F4B7AFE" w14:textId="7D635925" w:rsidR="009628DB" w:rsidRPr="00BA36EF" w:rsidRDefault="009628DB" w:rsidP="007C5074">
      <w:pPr>
        <w:pStyle w:val="Caption"/>
      </w:pPr>
      <w:bookmarkStart w:id="189" w:name="_Toc172716876"/>
      <w:r w:rsidRPr="00BA36EF">
        <w:lastRenderedPageBreak/>
        <w:t xml:space="preserve">Table </w:t>
      </w:r>
      <w:r w:rsidR="00000000">
        <w:fldChar w:fldCharType="begin"/>
      </w:r>
      <w:r w:rsidR="00000000">
        <w:instrText xml:space="preserve"> SEQ Table \* ARABIC </w:instrText>
      </w:r>
      <w:r w:rsidR="00000000">
        <w:fldChar w:fldCharType="separate"/>
      </w:r>
      <w:r w:rsidR="000C6E43" w:rsidRPr="00BA36EF">
        <w:t>48</w:t>
      </w:r>
      <w:r w:rsidR="00000000">
        <w:fldChar w:fldCharType="end"/>
      </w:r>
      <w:r w:rsidR="00BA36EF" w:rsidRPr="00BA36EF">
        <w:t xml:space="preserve">: </w:t>
      </w:r>
      <w:r w:rsidR="00940E58">
        <w:t xml:space="preserve">Event </w:t>
      </w:r>
      <w:r w:rsidR="00205741">
        <w:t>f</w:t>
      </w:r>
      <w:r w:rsidR="00BA36EF" w:rsidRPr="00BA36EF">
        <w:t xml:space="preserve">requency by </w:t>
      </w:r>
      <w:r w:rsidR="00205741">
        <w:t>p</w:t>
      </w:r>
      <w:r w:rsidR="00BA36EF">
        <w:t>roximity</w:t>
      </w:r>
      <w:r w:rsidR="00BA36EF" w:rsidRPr="00BA36EF">
        <w:t xml:space="preserve"> and </w:t>
      </w:r>
      <w:r w:rsidR="00205741">
        <w:t>w</w:t>
      </w:r>
      <w:r w:rsidR="00BA36EF" w:rsidRPr="00BA36EF">
        <w:t xml:space="preserve">eek by </w:t>
      </w:r>
      <w:r w:rsidR="00205741">
        <w:t>g</w:t>
      </w:r>
      <w:r w:rsidR="00BA36EF" w:rsidRPr="00BA36EF">
        <w:t>roup</w:t>
      </w:r>
      <w:bookmarkEnd w:id="189"/>
    </w:p>
    <w:p w14:paraId="1AEFFE4D" w14:textId="6840F6DD" w:rsidR="00B53316" w:rsidRPr="00D618B7" w:rsidRDefault="00B53316" w:rsidP="00B53316">
      <w:r w:rsidRPr="00D618B7">
        <w:t>Estimated Mean Frequency of Events by Proximity, Week, and Group</w:t>
      </w:r>
    </w:p>
    <w:tbl>
      <w:tblPr>
        <w:tblW w:w="5011" w:type="pct"/>
        <w:tblLook w:val="04A0" w:firstRow="1" w:lastRow="0" w:firstColumn="1" w:lastColumn="0" w:noHBand="0" w:noVBand="1"/>
      </w:tblPr>
      <w:tblGrid>
        <w:gridCol w:w="1236"/>
        <w:gridCol w:w="1236"/>
        <w:gridCol w:w="1238"/>
        <w:gridCol w:w="1237"/>
        <w:gridCol w:w="1238"/>
        <w:gridCol w:w="1237"/>
        <w:gridCol w:w="1237"/>
      </w:tblGrid>
      <w:tr w:rsidR="00B53316" w:rsidRPr="00D618B7" w14:paraId="574CB759" w14:textId="77777777" w:rsidTr="004B11B7">
        <w:trPr>
          <w:trHeight w:val="325"/>
        </w:trPr>
        <w:tc>
          <w:tcPr>
            <w:tcW w:w="714" w:type="pct"/>
            <w:tcBorders>
              <w:top w:val="nil"/>
              <w:left w:val="nil"/>
              <w:bottom w:val="single" w:sz="8" w:space="0" w:color="auto"/>
              <w:right w:val="nil"/>
            </w:tcBorders>
            <w:shd w:val="clear" w:color="auto" w:fill="auto"/>
            <w:noWrap/>
            <w:vAlign w:val="bottom"/>
            <w:hideMark/>
          </w:tcPr>
          <w:p w14:paraId="03FB803B" w14:textId="77777777" w:rsidR="00B53316" w:rsidRPr="00D618B7" w:rsidRDefault="00B53316" w:rsidP="004B11B7">
            <w:pPr>
              <w:rPr>
                <w:color w:val="000000"/>
              </w:rPr>
            </w:pPr>
            <w:r w:rsidRPr="00D618B7">
              <w:rPr>
                <w:color w:val="000000"/>
              </w:rPr>
              <w:t> </w:t>
            </w:r>
          </w:p>
        </w:tc>
        <w:tc>
          <w:tcPr>
            <w:tcW w:w="714" w:type="pct"/>
            <w:tcBorders>
              <w:top w:val="nil"/>
              <w:left w:val="nil"/>
              <w:bottom w:val="single" w:sz="8" w:space="0" w:color="auto"/>
              <w:right w:val="nil"/>
            </w:tcBorders>
            <w:shd w:val="clear" w:color="auto" w:fill="auto"/>
            <w:noWrap/>
            <w:vAlign w:val="bottom"/>
            <w:hideMark/>
          </w:tcPr>
          <w:p w14:paraId="62730A02" w14:textId="77777777" w:rsidR="00B53316" w:rsidRPr="00D618B7" w:rsidRDefault="00B53316" w:rsidP="004B11B7">
            <w:pPr>
              <w:rPr>
                <w:color w:val="000000"/>
              </w:rPr>
            </w:pPr>
            <w:r w:rsidRPr="00D618B7">
              <w:rPr>
                <w:color w:val="000000"/>
              </w:rPr>
              <w:t> </w:t>
            </w:r>
          </w:p>
        </w:tc>
        <w:tc>
          <w:tcPr>
            <w:tcW w:w="715" w:type="pct"/>
            <w:tcBorders>
              <w:top w:val="nil"/>
              <w:left w:val="nil"/>
              <w:bottom w:val="single" w:sz="8" w:space="0" w:color="auto"/>
              <w:right w:val="nil"/>
            </w:tcBorders>
            <w:shd w:val="clear" w:color="auto" w:fill="auto"/>
            <w:noWrap/>
            <w:vAlign w:val="bottom"/>
            <w:hideMark/>
          </w:tcPr>
          <w:p w14:paraId="7253DFDE" w14:textId="77777777" w:rsidR="00B53316" w:rsidRPr="00D618B7" w:rsidRDefault="00B53316" w:rsidP="004B11B7">
            <w:pPr>
              <w:rPr>
                <w:color w:val="000000"/>
              </w:rPr>
            </w:pPr>
            <w:r w:rsidRPr="00D618B7">
              <w:rPr>
                <w:color w:val="000000"/>
              </w:rPr>
              <w:t> </w:t>
            </w:r>
          </w:p>
        </w:tc>
        <w:tc>
          <w:tcPr>
            <w:tcW w:w="714" w:type="pct"/>
            <w:tcBorders>
              <w:top w:val="nil"/>
              <w:left w:val="nil"/>
              <w:bottom w:val="single" w:sz="8" w:space="0" w:color="auto"/>
              <w:right w:val="nil"/>
            </w:tcBorders>
            <w:shd w:val="clear" w:color="auto" w:fill="auto"/>
            <w:noWrap/>
            <w:vAlign w:val="bottom"/>
            <w:hideMark/>
          </w:tcPr>
          <w:p w14:paraId="16C02C21" w14:textId="77777777" w:rsidR="00B53316" w:rsidRPr="00D618B7" w:rsidRDefault="00B53316" w:rsidP="004B11B7">
            <w:pPr>
              <w:rPr>
                <w:color w:val="000000"/>
              </w:rPr>
            </w:pPr>
            <w:r w:rsidRPr="00D618B7">
              <w:rPr>
                <w:color w:val="000000"/>
              </w:rPr>
              <w:t> </w:t>
            </w:r>
          </w:p>
        </w:tc>
        <w:tc>
          <w:tcPr>
            <w:tcW w:w="715" w:type="pct"/>
            <w:tcBorders>
              <w:top w:val="nil"/>
              <w:left w:val="nil"/>
              <w:bottom w:val="single" w:sz="8" w:space="0" w:color="auto"/>
              <w:right w:val="nil"/>
            </w:tcBorders>
            <w:shd w:val="clear" w:color="auto" w:fill="auto"/>
            <w:noWrap/>
            <w:vAlign w:val="bottom"/>
            <w:hideMark/>
          </w:tcPr>
          <w:p w14:paraId="6569B7CA" w14:textId="77777777" w:rsidR="00B53316" w:rsidRPr="00D618B7" w:rsidRDefault="00B53316" w:rsidP="004B11B7">
            <w:pPr>
              <w:rPr>
                <w:color w:val="000000"/>
              </w:rPr>
            </w:pPr>
            <w:r w:rsidRPr="00D618B7">
              <w:rPr>
                <w:color w:val="000000"/>
              </w:rPr>
              <w:t> </w:t>
            </w:r>
          </w:p>
        </w:tc>
        <w:tc>
          <w:tcPr>
            <w:tcW w:w="714" w:type="pct"/>
            <w:tcBorders>
              <w:top w:val="nil"/>
              <w:left w:val="nil"/>
              <w:bottom w:val="single" w:sz="8" w:space="0" w:color="auto"/>
              <w:right w:val="nil"/>
            </w:tcBorders>
            <w:shd w:val="clear" w:color="auto" w:fill="auto"/>
            <w:noWrap/>
            <w:vAlign w:val="bottom"/>
            <w:hideMark/>
          </w:tcPr>
          <w:p w14:paraId="23BCBD5E" w14:textId="77777777" w:rsidR="00B53316" w:rsidRPr="00D618B7" w:rsidRDefault="00B53316" w:rsidP="004B11B7">
            <w:pPr>
              <w:rPr>
                <w:color w:val="000000"/>
              </w:rPr>
            </w:pPr>
            <w:r w:rsidRPr="00D618B7">
              <w:rPr>
                <w:color w:val="000000"/>
              </w:rPr>
              <w:t> </w:t>
            </w:r>
          </w:p>
        </w:tc>
        <w:tc>
          <w:tcPr>
            <w:tcW w:w="714" w:type="pct"/>
            <w:tcBorders>
              <w:top w:val="nil"/>
              <w:left w:val="nil"/>
              <w:bottom w:val="single" w:sz="8" w:space="0" w:color="auto"/>
              <w:right w:val="nil"/>
            </w:tcBorders>
            <w:shd w:val="clear" w:color="auto" w:fill="auto"/>
            <w:noWrap/>
            <w:vAlign w:val="bottom"/>
            <w:hideMark/>
          </w:tcPr>
          <w:p w14:paraId="1AB971BA" w14:textId="77777777" w:rsidR="00B53316" w:rsidRPr="00D618B7" w:rsidRDefault="00B53316" w:rsidP="004B11B7">
            <w:pPr>
              <w:rPr>
                <w:color w:val="000000"/>
              </w:rPr>
            </w:pPr>
            <w:r w:rsidRPr="00D618B7">
              <w:rPr>
                <w:color w:val="000000"/>
              </w:rPr>
              <w:t> </w:t>
            </w:r>
          </w:p>
        </w:tc>
      </w:tr>
      <w:tr w:rsidR="00B53316" w:rsidRPr="00D618B7" w14:paraId="3D383805" w14:textId="77777777" w:rsidTr="004B11B7">
        <w:trPr>
          <w:trHeight w:val="325"/>
        </w:trPr>
        <w:tc>
          <w:tcPr>
            <w:tcW w:w="714" w:type="pct"/>
            <w:tcBorders>
              <w:top w:val="nil"/>
              <w:left w:val="nil"/>
              <w:bottom w:val="nil"/>
              <w:right w:val="nil"/>
            </w:tcBorders>
            <w:shd w:val="clear" w:color="000000" w:fill="FFFFFF"/>
            <w:vAlign w:val="center"/>
            <w:hideMark/>
          </w:tcPr>
          <w:p w14:paraId="3522B5D0" w14:textId="77777777" w:rsidR="00B53316" w:rsidRPr="00D618B7" w:rsidRDefault="00B53316" w:rsidP="004B11B7">
            <w:pPr>
              <w:jc w:val="center"/>
              <w:rPr>
                <w:color w:val="000000"/>
              </w:rPr>
            </w:pPr>
            <w:r w:rsidRPr="00D618B7">
              <w:rPr>
                <w:color w:val="000000"/>
              </w:rPr>
              <w:t>Week</w:t>
            </w:r>
          </w:p>
        </w:tc>
        <w:tc>
          <w:tcPr>
            <w:tcW w:w="1429" w:type="pct"/>
            <w:gridSpan w:val="2"/>
            <w:tcBorders>
              <w:top w:val="nil"/>
              <w:left w:val="nil"/>
              <w:bottom w:val="single" w:sz="8" w:space="0" w:color="auto"/>
              <w:right w:val="nil"/>
            </w:tcBorders>
            <w:shd w:val="clear" w:color="000000" w:fill="FFFFFF"/>
            <w:vAlign w:val="center"/>
            <w:hideMark/>
          </w:tcPr>
          <w:p w14:paraId="0FA5B64C" w14:textId="77777777" w:rsidR="00B53316" w:rsidRPr="00D618B7" w:rsidRDefault="00B53316" w:rsidP="004B11B7">
            <w:pPr>
              <w:jc w:val="center"/>
              <w:rPr>
                <w:color w:val="000000"/>
              </w:rPr>
            </w:pPr>
            <w:r w:rsidRPr="00D618B7">
              <w:rPr>
                <w:color w:val="000000"/>
              </w:rPr>
              <w:t>Toy-out-of-Reach</w:t>
            </w:r>
          </w:p>
        </w:tc>
        <w:tc>
          <w:tcPr>
            <w:tcW w:w="1429" w:type="pct"/>
            <w:gridSpan w:val="2"/>
            <w:tcBorders>
              <w:top w:val="nil"/>
              <w:left w:val="nil"/>
              <w:bottom w:val="single" w:sz="8" w:space="0" w:color="auto"/>
              <w:right w:val="nil"/>
            </w:tcBorders>
            <w:shd w:val="clear" w:color="000000" w:fill="FFFFFF"/>
            <w:vAlign w:val="center"/>
            <w:hideMark/>
          </w:tcPr>
          <w:p w14:paraId="634F2AE5" w14:textId="77777777" w:rsidR="00B53316" w:rsidRPr="00D618B7" w:rsidRDefault="00B53316" w:rsidP="004B11B7">
            <w:pPr>
              <w:jc w:val="center"/>
              <w:rPr>
                <w:color w:val="000000"/>
              </w:rPr>
            </w:pPr>
            <w:r w:rsidRPr="00D618B7">
              <w:rPr>
                <w:color w:val="000000"/>
              </w:rPr>
              <w:t xml:space="preserve">           Toy-Moving-into-Reach</w:t>
            </w:r>
          </w:p>
        </w:tc>
        <w:tc>
          <w:tcPr>
            <w:tcW w:w="1428" w:type="pct"/>
            <w:gridSpan w:val="2"/>
            <w:tcBorders>
              <w:top w:val="nil"/>
              <w:left w:val="nil"/>
              <w:bottom w:val="single" w:sz="8" w:space="0" w:color="auto"/>
              <w:right w:val="nil"/>
            </w:tcBorders>
            <w:shd w:val="clear" w:color="000000" w:fill="FFFFFF"/>
            <w:vAlign w:val="center"/>
            <w:hideMark/>
          </w:tcPr>
          <w:p w14:paraId="6F2D7040" w14:textId="77777777" w:rsidR="00B53316" w:rsidRPr="00D618B7" w:rsidRDefault="00B53316" w:rsidP="004B11B7">
            <w:pPr>
              <w:jc w:val="center"/>
              <w:rPr>
                <w:color w:val="000000"/>
              </w:rPr>
            </w:pPr>
            <w:r w:rsidRPr="00D618B7">
              <w:rPr>
                <w:color w:val="000000"/>
              </w:rPr>
              <w:t>Toy-in-Reach</w:t>
            </w:r>
          </w:p>
        </w:tc>
      </w:tr>
      <w:tr w:rsidR="00B53316" w:rsidRPr="00D618B7" w14:paraId="6CA2C0D6" w14:textId="77777777" w:rsidTr="004B11B7">
        <w:trPr>
          <w:trHeight w:val="325"/>
        </w:trPr>
        <w:tc>
          <w:tcPr>
            <w:tcW w:w="714" w:type="pct"/>
            <w:tcBorders>
              <w:top w:val="nil"/>
              <w:left w:val="nil"/>
              <w:bottom w:val="single" w:sz="8" w:space="0" w:color="auto"/>
              <w:right w:val="nil"/>
            </w:tcBorders>
            <w:shd w:val="clear" w:color="000000" w:fill="FFFFFF"/>
            <w:noWrap/>
            <w:vAlign w:val="bottom"/>
            <w:hideMark/>
          </w:tcPr>
          <w:p w14:paraId="30C9D988" w14:textId="77777777" w:rsidR="00B53316" w:rsidRPr="00D618B7" w:rsidRDefault="00B53316" w:rsidP="004B11B7">
            <w:pPr>
              <w:rPr>
                <w:color w:val="000000"/>
              </w:rPr>
            </w:pPr>
            <w:r w:rsidRPr="00D618B7">
              <w:rPr>
                <w:color w:val="000000"/>
              </w:rPr>
              <w:t> </w:t>
            </w:r>
          </w:p>
        </w:tc>
        <w:tc>
          <w:tcPr>
            <w:tcW w:w="714" w:type="pct"/>
            <w:tcBorders>
              <w:top w:val="nil"/>
              <w:left w:val="nil"/>
              <w:bottom w:val="single" w:sz="8" w:space="0" w:color="auto"/>
              <w:right w:val="nil"/>
            </w:tcBorders>
            <w:shd w:val="clear" w:color="000000" w:fill="FFFFFF"/>
            <w:noWrap/>
            <w:vAlign w:val="center"/>
            <w:hideMark/>
          </w:tcPr>
          <w:p w14:paraId="4AAAF558" w14:textId="77777777" w:rsidR="00B53316" w:rsidRPr="00D618B7" w:rsidRDefault="00B53316" w:rsidP="004B11B7">
            <w:pPr>
              <w:jc w:val="right"/>
              <w:rPr>
                <w:color w:val="000000"/>
              </w:rPr>
            </w:pPr>
            <w:r w:rsidRPr="00D618B7">
              <w:rPr>
                <w:color w:val="000000"/>
              </w:rPr>
              <w:t>Mean</w:t>
            </w:r>
          </w:p>
        </w:tc>
        <w:tc>
          <w:tcPr>
            <w:tcW w:w="715" w:type="pct"/>
            <w:tcBorders>
              <w:top w:val="nil"/>
              <w:left w:val="nil"/>
              <w:bottom w:val="single" w:sz="8" w:space="0" w:color="auto"/>
              <w:right w:val="nil"/>
            </w:tcBorders>
            <w:shd w:val="clear" w:color="000000" w:fill="FFFFFF"/>
            <w:noWrap/>
            <w:vAlign w:val="center"/>
            <w:hideMark/>
          </w:tcPr>
          <w:p w14:paraId="1B9320FD" w14:textId="77777777" w:rsidR="00B53316" w:rsidRPr="00D618B7" w:rsidRDefault="00B53316" w:rsidP="004B11B7">
            <w:pPr>
              <w:jc w:val="right"/>
              <w:rPr>
                <w:color w:val="000000"/>
              </w:rPr>
            </w:pPr>
            <w:r w:rsidRPr="00D618B7">
              <w:rPr>
                <w:color w:val="000000"/>
              </w:rPr>
              <w:t>Std. Error</w:t>
            </w:r>
          </w:p>
        </w:tc>
        <w:tc>
          <w:tcPr>
            <w:tcW w:w="714" w:type="pct"/>
            <w:tcBorders>
              <w:top w:val="nil"/>
              <w:left w:val="nil"/>
              <w:bottom w:val="single" w:sz="8" w:space="0" w:color="auto"/>
              <w:right w:val="nil"/>
            </w:tcBorders>
            <w:shd w:val="clear" w:color="000000" w:fill="FFFFFF"/>
            <w:noWrap/>
            <w:vAlign w:val="center"/>
            <w:hideMark/>
          </w:tcPr>
          <w:p w14:paraId="76655296" w14:textId="77777777" w:rsidR="00B53316" w:rsidRPr="00D618B7" w:rsidRDefault="00B53316" w:rsidP="004B11B7">
            <w:pPr>
              <w:jc w:val="right"/>
              <w:rPr>
                <w:color w:val="000000"/>
              </w:rPr>
            </w:pPr>
            <w:r w:rsidRPr="00D618B7">
              <w:rPr>
                <w:color w:val="000000"/>
              </w:rPr>
              <w:t>Mean</w:t>
            </w:r>
          </w:p>
        </w:tc>
        <w:tc>
          <w:tcPr>
            <w:tcW w:w="715" w:type="pct"/>
            <w:tcBorders>
              <w:top w:val="nil"/>
              <w:left w:val="nil"/>
              <w:bottom w:val="single" w:sz="8" w:space="0" w:color="auto"/>
              <w:right w:val="nil"/>
            </w:tcBorders>
            <w:shd w:val="clear" w:color="000000" w:fill="FFFFFF"/>
            <w:noWrap/>
            <w:vAlign w:val="center"/>
            <w:hideMark/>
          </w:tcPr>
          <w:p w14:paraId="281E4C0A" w14:textId="77777777" w:rsidR="00B53316" w:rsidRPr="00D618B7" w:rsidRDefault="00B53316" w:rsidP="004B11B7">
            <w:pPr>
              <w:jc w:val="right"/>
              <w:rPr>
                <w:color w:val="000000"/>
              </w:rPr>
            </w:pPr>
            <w:r w:rsidRPr="00D618B7">
              <w:rPr>
                <w:color w:val="000000"/>
              </w:rPr>
              <w:t>Std. Error</w:t>
            </w:r>
          </w:p>
        </w:tc>
        <w:tc>
          <w:tcPr>
            <w:tcW w:w="714" w:type="pct"/>
            <w:tcBorders>
              <w:top w:val="nil"/>
              <w:left w:val="nil"/>
              <w:bottom w:val="single" w:sz="8" w:space="0" w:color="auto"/>
              <w:right w:val="nil"/>
            </w:tcBorders>
            <w:shd w:val="clear" w:color="000000" w:fill="FFFFFF"/>
            <w:noWrap/>
            <w:vAlign w:val="center"/>
            <w:hideMark/>
          </w:tcPr>
          <w:p w14:paraId="2D57E5BD" w14:textId="77777777" w:rsidR="00B53316" w:rsidRPr="00D618B7" w:rsidRDefault="00B53316" w:rsidP="004B11B7">
            <w:pPr>
              <w:jc w:val="right"/>
              <w:rPr>
                <w:color w:val="000000"/>
              </w:rPr>
            </w:pPr>
            <w:r w:rsidRPr="00D618B7">
              <w:rPr>
                <w:color w:val="000000"/>
              </w:rPr>
              <w:t>Mean</w:t>
            </w:r>
          </w:p>
        </w:tc>
        <w:tc>
          <w:tcPr>
            <w:tcW w:w="714" w:type="pct"/>
            <w:tcBorders>
              <w:top w:val="nil"/>
              <w:left w:val="nil"/>
              <w:bottom w:val="single" w:sz="8" w:space="0" w:color="auto"/>
              <w:right w:val="nil"/>
            </w:tcBorders>
            <w:shd w:val="clear" w:color="000000" w:fill="FFFFFF"/>
            <w:noWrap/>
            <w:vAlign w:val="center"/>
            <w:hideMark/>
          </w:tcPr>
          <w:p w14:paraId="20154FCA" w14:textId="77777777" w:rsidR="00B53316" w:rsidRPr="00D618B7" w:rsidRDefault="00B53316" w:rsidP="004B11B7">
            <w:pPr>
              <w:jc w:val="right"/>
              <w:rPr>
                <w:color w:val="000000"/>
              </w:rPr>
            </w:pPr>
            <w:r w:rsidRPr="00D618B7">
              <w:rPr>
                <w:color w:val="000000"/>
              </w:rPr>
              <w:t>Std. Error</w:t>
            </w:r>
          </w:p>
        </w:tc>
      </w:tr>
      <w:tr w:rsidR="00B53316" w:rsidRPr="00D618B7" w14:paraId="1D6FEF6A" w14:textId="77777777" w:rsidTr="004B11B7">
        <w:trPr>
          <w:trHeight w:val="325"/>
        </w:trPr>
        <w:tc>
          <w:tcPr>
            <w:tcW w:w="714" w:type="pct"/>
            <w:tcBorders>
              <w:top w:val="nil"/>
              <w:left w:val="nil"/>
              <w:bottom w:val="nil"/>
              <w:right w:val="nil"/>
            </w:tcBorders>
            <w:shd w:val="clear" w:color="000000" w:fill="FFFFFF"/>
            <w:noWrap/>
            <w:vAlign w:val="bottom"/>
            <w:hideMark/>
          </w:tcPr>
          <w:p w14:paraId="3ACCC462" w14:textId="77777777" w:rsidR="00B53316" w:rsidRPr="00D618B7" w:rsidRDefault="00B53316" w:rsidP="004B11B7">
            <w:pPr>
              <w:rPr>
                <w:color w:val="000000"/>
              </w:rPr>
            </w:pPr>
            <w:r w:rsidRPr="00D618B7">
              <w:rPr>
                <w:color w:val="000000"/>
              </w:rPr>
              <w:t> </w:t>
            </w:r>
          </w:p>
        </w:tc>
        <w:tc>
          <w:tcPr>
            <w:tcW w:w="4286" w:type="pct"/>
            <w:gridSpan w:val="6"/>
            <w:tcBorders>
              <w:top w:val="single" w:sz="8" w:space="0" w:color="auto"/>
              <w:left w:val="nil"/>
              <w:bottom w:val="nil"/>
              <w:right w:val="nil"/>
            </w:tcBorders>
            <w:shd w:val="clear" w:color="000000" w:fill="FFFFFF"/>
            <w:noWrap/>
            <w:vAlign w:val="center"/>
            <w:hideMark/>
          </w:tcPr>
          <w:p w14:paraId="5C96BA24" w14:textId="77777777" w:rsidR="00B53316" w:rsidRPr="00D618B7" w:rsidRDefault="00B53316" w:rsidP="004B11B7">
            <w:pPr>
              <w:jc w:val="center"/>
              <w:rPr>
                <w:color w:val="000000"/>
              </w:rPr>
            </w:pPr>
            <w:r w:rsidRPr="00D618B7">
              <w:rPr>
                <w:color w:val="000000"/>
              </w:rPr>
              <w:t>Early Reach Group</w:t>
            </w:r>
          </w:p>
        </w:tc>
      </w:tr>
      <w:tr w:rsidR="00B53316" w:rsidRPr="00D618B7" w14:paraId="1C07D366" w14:textId="77777777" w:rsidTr="004B11B7">
        <w:trPr>
          <w:trHeight w:val="325"/>
        </w:trPr>
        <w:tc>
          <w:tcPr>
            <w:tcW w:w="714" w:type="pct"/>
            <w:tcBorders>
              <w:top w:val="nil"/>
              <w:left w:val="nil"/>
              <w:bottom w:val="nil"/>
              <w:right w:val="nil"/>
            </w:tcBorders>
            <w:shd w:val="clear" w:color="000000" w:fill="FFFFFF"/>
            <w:vAlign w:val="center"/>
            <w:hideMark/>
          </w:tcPr>
          <w:p w14:paraId="6A408468" w14:textId="77777777" w:rsidR="00B53316" w:rsidRPr="00D618B7" w:rsidRDefault="00B53316" w:rsidP="004B11B7">
            <w:pPr>
              <w:jc w:val="right"/>
              <w:rPr>
                <w:color w:val="000000"/>
              </w:rPr>
            </w:pPr>
            <w:r w:rsidRPr="00D618B7">
              <w:rPr>
                <w:color w:val="000000"/>
              </w:rPr>
              <w:t>-5</w:t>
            </w:r>
          </w:p>
        </w:tc>
        <w:tc>
          <w:tcPr>
            <w:tcW w:w="714" w:type="pct"/>
            <w:tcBorders>
              <w:top w:val="nil"/>
              <w:left w:val="nil"/>
              <w:bottom w:val="nil"/>
              <w:right w:val="nil"/>
            </w:tcBorders>
            <w:shd w:val="clear" w:color="000000" w:fill="FFFFFF"/>
            <w:noWrap/>
            <w:vAlign w:val="center"/>
            <w:hideMark/>
          </w:tcPr>
          <w:p w14:paraId="48246DE3" w14:textId="77777777" w:rsidR="00B53316" w:rsidRPr="00D618B7" w:rsidRDefault="00B53316" w:rsidP="004B11B7">
            <w:pPr>
              <w:jc w:val="right"/>
              <w:rPr>
                <w:color w:val="000000"/>
              </w:rPr>
            </w:pPr>
            <w:r w:rsidRPr="00D618B7">
              <w:rPr>
                <w:color w:val="000000"/>
              </w:rPr>
              <w:t>4.77</w:t>
            </w:r>
          </w:p>
        </w:tc>
        <w:tc>
          <w:tcPr>
            <w:tcW w:w="715" w:type="pct"/>
            <w:tcBorders>
              <w:top w:val="nil"/>
              <w:left w:val="nil"/>
              <w:bottom w:val="nil"/>
              <w:right w:val="nil"/>
            </w:tcBorders>
            <w:shd w:val="clear" w:color="000000" w:fill="FFFFFF"/>
            <w:noWrap/>
            <w:vAlign w:val="center"/>
            <w:hideMark/>
          </w:tcPr>
          <w:p w14:paraId="38986AB7" w14:textId="77777777" w:rsidR="00B53316" w:rsidRPr="00D618B7" w:rsidRDefault="00B53316" w:rsidP="004B11B7">
            <w:pPr>
              <w:jc w:val="right"/>
              <w:rPr>
                <w:color w:val="000000"/>
              </w:rPr>
            </w:pPr>
            <w:r w:rsidRPr="00D618B7">
              <w:rPr>
                <w:color w:val="000000"/>
              </w:rPr>
              <w:t>0.10</w:t>
            </w:r>
          </w:p>
        </w:tc>
        <w:tc>
          <w:tcPr>
            <w:tcW w:w="714" w:type="pct"/>
            <w:tcBorders>
              <w:top w:val="nil"/>
              <w:left w:val="nil"/>
              <w:bottom w:val="nil"/>
              <w:right w:val="nil"/>
            </w:tcBorders>
            <w:shd w:val="clear" w:color="000000" w:fill="FFFFFF"/>
            <w:noWrap/>
            <w:vAlign w:val="center"/>
            <w:hideMark/>
          </w:tcPr>
          <w:p w14:paraId="4A42D2BC" w14:textId="77777777" w:rsidR="00B53316" w:rsidRPr="00D618B7" w:rsidRDefault="00B53316" w:rsidP="004B11B7">
            <w:pPr>
              <w:jc w:val="right"/>
              <w:rPr>
                <w:color w:val="000000"/>
              </w:rPr>
            </w:pPr>
            <w:r w:rsidRPr="00D618B7">
              <w:rPr>
                <w:color w:val="000000"/>
              </w:rPr>
              <w:t>-0.05</w:t>
            </w:r>
          </w:p>
        </w:tc>
        <w:tc>
          <w:tcPr>
            <w:tcW w:w="715" w:type="pct"/>
            <w:tcBorders>
              <w:top w:val="nil"/>
              <w:left w:val="nil"/>
              <w:bottom w:val="nil"/>
              <w:right w:val="nil"/>
            </w:tcBorders>
            <w:shd w:val="clear" w:color="000000" w:fill="FFFFFF"/>
            <w:noWrap/>
            <w:vAlign w:val="center"/>
            <w:hideMark/>
          </w:tcPr>
          <w:p w14:paraId="009B517D" w14:textId="77777777" w:rsidR="00B53316" w:rsidRPr="00D618B7" w:rsidRDefault="00B53316" w:rsidP="004B11B7">
            <w:pPr>
              <w:jc w:val="right"/>
              <w:rPr>
                <w:color w:val="000000"/>
              </w:rPr>
            </w:pPr>
            <w:r w:rsidRPr="00D618B7">
              <w:rPr>
                <w:color w:val="000000"/>
              </w:rPr>
              <w:t>0.13</w:t>
            </w:r>
          </w:p>
        </w:tc>
        <w:tc>
          <w:tcPr>
            <w:tcW w:w="714" w:type="pct"/>
            <w:tcBorders>
              <w:top w:val="nil"/>
              <w:left w:val="nil"/>
              <w:bottom w:val="nil"/>
              <w:right w:val="nil"/>
            </w:tcBorders>
            <w:shd w:val="clear" w:color="000000" w:fill="FFFFFF"/>
            <w:noWrap/>
            <w:vAlign w:val="center"/>
            <w:hideMark/>
          </w:tcPr>
          <w:p w14:paraId="6191DE0F" w14:textId="77777777" w:rsidR="00B53316" w:rsidRPr="00D618B7" w:rsidRDefault="00B53316" w:rsidP="004B11B7">
            <w:pPr>
              <w:jc w:val="right"/>
              <w:rPr>
                <w:color w:val="000000"/>
              </w:rPr>
            </w:pPr>
            <w:r w:rsidRPr="00D618B7">
              <w:rPr>
                <w:color w:val="000000"/>
              </w:rPr>
              <w:t>-0.79</w:t>
            </w:r>
          </w:p>
        </w:tc>
        <w:tc>
          <w:tcPr>
            <w:tcW w:w="714" w:type="pct"/>
            <w:tcBorders>
              <w:top w:val="nil"/>
              <w:left w:val="nil"/>
              <w:bottom w:val="nil"/>
              <w:right w:val="nil"/>
            </w:tcBorders>
            <w:shd w:val="clear" w:color="000000" w:fill="FFFFFF"/>
            <w:noWrap/>
            <w:vAlign w:val="center"/>
            <w:hideMark/>
          </w:tcPr>
          <w:p w14:paraId="3400C163" w14:textId="77777777" w:rsidR="00B53316" w:rsidRPr="00D618B7" w:rsidRDefault="00B53316" w:rsidP="004B11B7">
            <w:pPr>
              <w:jc w:val="right"/>
              <w:rPr>
                <w:color w:val="000000"/>
              </w:rPr>
            </w:pPr>
            <w:r w:rsidRPr="00D618B7">
              <w:rPr>
                <w:color w:val="000000"/>
              </w:rPr>
              <w:t>1.36</w:t>
            </w:r>
          </w:p>
        </w:tc>
      </w:tr>
      <w:tr w:rsidR="00B53316" w:rsidRPr="00D618B7" w14:paraId="71B3A317" w14:textId="77777777" w:rsidTr="004B11B7">
        <w:trPr>
          <w:trHeight w:val="325"/>
        </w:trPr>
        <w:tc>
          <w:tcPr>
            <w:tcW w:w="714" w:type="pct"/>
            <w:tcBorders>
              <w:top w:val="nil"/>
              <w:left w:val="nil"/>
              <w:bottom w:val="nil"/>
              <w:right w:val="nil"/>
            </w:tcBorders>
            <w:shd w:val="clear" w:color="000000" w:fill="FFFFFF"/>
            <w:vAlign w:val="center"/>
            <w:hideMark/>
          </w:tcPr>
          <w:p w14:paraId="7345C120" w14:textId="77777777" w:rsidR="00B53316" w:rsidRPr="00D618B7" w:rsidRDefault="00B53316"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560ED6FE" w14:textId="77777777" w:rsidR="00B53316" w:rsidRPr="00D618B7" w:rsidRDefault="00B53316" w:rsidP="004B11B7">
            <w:pPr>
              <w:jc w:val="right"/>
              <w:rPr>
                <w:color w:val="000000"/>
              </w:rPr>
            </w:pPr>
            <w:r w:rsidRPr="00D618B7">
              <w:rPr>
                <w:color w:val="000000"/>
              </w:rPr>
              <w:t>0.33</w:t>
            </w:r>
          </w:p>
        </w:tc>
        <w:tc>
          <w:tcPr>
            <w:tcW w:w="715" w:type="pct"/>
            <w:tcBorders>
              <w:top w:val="nil"/>
              <w:left w:val="nil"/>
              <w:bottom w:val="nil"/>
              <w:right w:val="nil"/>
            </w:tcBorders>
            <w:shd w:val="clear" w:color="000000" w:fill="FFFFFF"/>
            <w:noWrap/>
            <w:vAlign w:val="center"/>
            <w:hideMark/>
          </w:tcPr>
          <w:p w14:paraId="125ABD8C" w14:textId="77777777" w:rsidR="00B53316" w:rsidRPr="00D618B7" w:rsidRDefault="00B53316" w:rsidP="004B11B7">
            <w:pPr>
              <w:jc w:val="right"/>
              <w:rPr>
                <w:color w:val="000000"/>
              </w:rPr>
            </w:pPr>
            <w:r w:rsidRPr="00D618B7">
              <w:rPr>
                <w:color w:val="000000"/>
              </w:rPr>
              <w:t>0.17</w:t>
            </w:r>
          </w:p>
        </w:tc>
        <w:tc>
          <w:tcPr>
            <w:tcW w:w="714" w:type="pct"/>
            <w:tcBorders>
              <w:top w:val="nil"/>
              <w:left w:val="nil"/>
              <w:bottom w:val="nil"/>
              <w:right w:val="nil"/>
            </w:tcBorders>
            <w:shd w:val="clear" w:color="000000" w:fill="FFFFFF"/>
            <w:noWrap/>
            <w:vAlign w:val="center"/>
            <w:hideMark/>
          </w:tcPr>
          <w:p w14:paraId="3E264D38" w14:textId="77777777" w:rsidR="00B53316" w:rsidRPr="00D618B7" w:rsidRDefault="00B53316" w:rsidP="004B11B7">
            <w:pPr>
              <w:jc w:val="right"/>
              <w:rPr>
                <w:color w:val="000000"/>
              </w:rPr>
            </w:pPr>
            <w:r w:rsidRPr="00D618B7">
              <w:rPr>
                <w:color w:val="000000"/>
              </w:rPr>
              <w:t>0.65</w:t>
            </w:r>
          </w:p>
        </w:tc>
        <w:tc>
          <w:tcPr>
            <w:tcW w:w="715" w:type="pct"/>
            <w:tcBorders>
              <w:top w:val="nil"/>
              <w:left w:val="nil"/>
              <w:bottom w:val="nil"/>
              <w:right w:val="nil"/>
            </w:tcBorders>
            <w:shd w:val="clear" w:color="000000" w:fill="FFFFFF"/>
            <w:noWrap/>
            <w:vAlign w:val="center"/>
            <w:hideMark/>
          </w:tcPr>
          <w:p w14:paraId="5E6D415F" w14:textId="77777777" w:rsidR="00B53316" w:rsidRPr="00D618B7" w:rsidRDefault="00B53316" w:rsidP="004B11B7">
            <w:pPr>
              <w:jc w:val="right"/>
              <w:rPr>
                <w:color w:val="000000"/>
              </w:rPr>
            </w:pPr>
            <w:r w:rsidRPr="00D618B7">
              <w:rPr>
                <w:color w:val="000000"/>
              </w:rPr>
              <w:t>0.38</w:t>
            </w:r>
          </w:p>
        </w:tc>
        <w:tc>
          <w:tcPr>
            <w:tcW w:w="714" w:type="pct"/>
            <w:tcBorders>
              <w:top w:val="nil"/>
              <w:left w:val="nil"/>
              <w:bottom w:val="nil"/>
              <w:right w:val="nil"/>
            </w:tcBorders>
            <w:shd w:val="clear" w:color="000000" w:fill="FFFFFF"/>
            <w:noWrap/>
            <w:vAlign w:val="center"/>
            <w:hideMark/>
          </w:tcPr>
          <w:p w14:paraId="2071C629" w14:textId="77777777" w:rsidR="00B53316" w:rsidRPr="00D618B7" w:rsidRDefault="00B53316" w:rsidP="004B11B7">
            <w:pPr>
              <w:jc w:val="right"/>
              <w:rPr>
                <w:color w:val="000000"/>
              </w:rPr>
            </w:pPr>
            <w:r w:rsidRPr="00D618B7">
              <w:rPr>
                <w:color w:val="000000"/>
              </w:rPr>
              <w:t>1.70</w:t>
            </w:r>
          </w:p>
        </w:tc>
        <w:tc>
          <w:tcPr>
            <w:tcW w:w="714" w:type="pct"/>
            <w:tcBorders>
              <w:top w:val="nil"/>
              <w:left w:val="nil"/>
              <w:bottom w:val="nil"/>
              <w:right w:val="nil"/>
            </w:tcBorders>
            <w:shd w:val="clear" w:color="000000" w:fill="FFFFFF"/>
            <w:noWrap/>
            <w:vAlign w:val="center"/>
            <w:hideMark/>
          </w:tcPr>
          <w:p w14:paraId="47CBD4E8" w14:textId="77777777" w:rsidR="00B53316" w:rsidRPr="00D618B7" w:rsidRDefault="00B53316" w:rsidP="004B11B7">
            <w:pPr>
              <w:jc w:val="right"/>
              <w:rPr>
                <w:color w:val="000000"/>
              </w:rPr>
            </w:pPr>
            <w:r w:rsidRPr="00D618B7">
              <w:rPr>
                <w:color w:val="000000"/>
              </w:rPr>
              <w:t>2.13</w:t>
            </w:r>
          </w:p>
        </w:tc>
      </w:tr>
      <w:tr w:rsidR="00B53316" w:rsidRPr="00D618B7" w14:paraId="56614D98" w14:textId="77777777" w:rsidTr="004B11B7">
        <w:trPr>
          <w:trHeight w:val="325"/>
        </w:trPr>
        <w:tc>
          <w:tcPr>
            <w:tcW w:w="714" w:type="pct"/>
            <w:tcBorders>
              <w:top w:val="nil"/>
              <w:left w:val="nil"/>
              <w:bottom w:val="nil"/>
              <w:right w:val="nil"/>
            </w:tcBorders>
            <w:shd w:val="clear" w:color="000000" w:fill="FFFFFF"/>
            <w:vAlign w:val="center"/>
            <w:hideMark/>
          </w:tcPr>
          <w:p w14:paraId="1384AF41" w14:textId="77777777" w:rsidR="00B53316" w:rsidRPr="00D618B7" w:rsidRDefault="00B53316"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64441ADE" w14:textId="77777777" w:rsidR="00B53316" w:rsidRPr="00D618B7" w:rsidRDefault="00B53316" w:rsidP="004B11B7">
            <w:pPr>
              <w:jc w:val="right"/>
              <w:rPr>
                <w:color w:val="000000"/>
              </w:rPr>
            </w:pPr>
            <w:r w:rsidRPr="00D618B7">
              <w:rPr>
                <w:color w:val="000000"/>
              </w:rPr>
              <w:t>0.65</w:t>
            </w:r>
          </w:p>
        </w:tc>
        <w:tc>
          <w:tcPr>
            <w:tcW w:w="715" w:type="pct"/>
            <w:tcBorders>
              <w:top w:val="nil"/>
              <w:left w:val="nil"/>
              <w:bottom w:val="nil"/>
              <w:right w:val="nil"/>
            </w:tcBorders>
            <w:shd w:val="clear" w:color="000000" w:fill="FFFFFF"/>
            <w:noWrap/>
            <w:vAlign w:val="center"/>
            <w:hideMark/>
          </w:tcPr>
          <w:p w14:paraId="23C790B7" w14:textId="77777777" w:rsidR="00B53316" w:rsidRPr="00D618B7" w:rsidRDefault="00B53316" w:rsidP="004B11B7">
            <w:pPr>
              <w:jc w:val="right"/>
              <w:rPr>
                <w:color w:val="000000"/>
              </w:rPr>
            </w:pPr>
            <w:r w:rsidRPr="00D618B7">
              <w:rPr>
                <w:color w:val="000000"/>
              </w:rPr>
              <w:t>0.45</w:t>
            </w:r>
          </w:p>
        </w:tc>
        <w:tc>
          <w:tcPr>
            <w:tcW w:w="714" w:type="pct"/>
            <w:tcBorders>
              <w:top w:val="nil"/>
              <w:left w:val="nil"/>
              <w:bottom w:val="nil"/>
              <w:right w:val="nil"/>
            </w:tcBorders>
            <w:shd w:val="clear" w:color="000000" w:fill="FFFFFF"/>
            <w:noWrap/>
            <w:vAlign w:val="center"/>
            <w:hideMark/>
          </w:tcPr>
          <w:p w14:paraId="3A077CB2" w14:textId="77777777" w:rsidR="00B53316" w:rsidRPr="00D618B7" w:rsidRDefault="00B53316" w:rsidP="004B11B7">
            <w:pPr>
              <w:jc w:val="right"/>
              <w:rPr>
                <w:color w:val="000000"/>
              </w:rPr>
            </w:pPr>
            <w:r w:rsidRPr="00D618B7">
              <w:rPr>
                <w:color w:val="000000"/>
              </w:rPr>
              <w:t>0.11</w:t>
            </w:r>
          </w:p>
        </w:tc>
        <w:tc>
          <w:tcPr>
            <w:tcW w:w="715" w:type="pct"/>
            <w:tcBorders>
              <w:top w:val="nil"/>
              <w:left w:val="nil"/>
              <w:bottom w:val="nil"/>
              <w:right w:val="nil"/>
            </w:tcBorders>
            <w:shd w:val="clear" w:color="000000" w:fill="FFFFFF"/>
            <w:noWrap/>
            <w:vAlign w:val="center"/>
            <w:hideMark/>
          </w:tcPr>
          <w:p w14:paraId="4C4785B1" w14:textId="77777777" w:rsidR="00B53316" w:rsidRPr="00D618B7" w:rsidRDefault="00B53316" w:rsidP="004B11B7">
            <w:pPr>
              <w:jc w:val="right"/>
              <w:rPr>
                <w:color w:val="000000"/>
              </w:rPr>
            </w:pPr>
            <w:r w:rsidRPr="00D618B7">
              <w:rPr>
                <w:color w:val="000000"/>
              </w:rPr>
              <w:t>0.14</w:t>
            </w:r>
          </w:p>
        </w:tc>
        <w:tc>
          <w:tcPr>
            <w:tcW w:w="714" w:type="pct"/>
            <w:tcBorders>
              <w:top w:val="nil"/>
              <w:left w:val="nil"/>
              <w:bottom w:val="nil"/>
              <w:right w:val="nil"/>
            </w:tcBorders>
            <w:shd w:val="clear" w:color="000000" w:fill="FFFFFF"/>
            <w:noWrap/>
            <w:vAlign w:val="center"/>
            <w:hideMark/>
          </w:tcPr>
          <w:p w14:paraId="6EE0A6A6" w14:textId="77777777" w:rsidR="00B53316" w:rsidRPr="00D618B7" w:rsidRDefault="00B53316" w:rsidP="004B11B7">
            <w:pPr>
              <w:jc w:val="right"/>
              <w:rPr>
                <w:color w:val="000000"/>
              </w:rPr>
            </w:pPr>
            <w:r w:rsidRPr="00D618B7">
              <w:rPr>
                <w:color w:val="000000"/>
              </w:rPr>
              <w:t>6.86</w:t>
            </w:r>
          </w:p>
        </w:tc>
        <w:tc>
          <w:tcPr>
            <w:tcW w:w="714" w:type="pct"/>
            <w:tcBorders>
              <w:top w:val="nil"/>
              <w:left w:val="nil"/>
              <w:bottom w:val="nil"/>
              <w:right w:val="nil"/>
            </w:tcBorders>
            <w:shd w:val="clear" w:color="000000" w:fill="FFFFFF"/>
            <w:noWrap/>
            <w:vAlign w:val="center"/>
            <w:hideMark/>
          </w:tcPr>
          <w:p w14:paraId="3B6615DB" w14:textId="77777777" w:rsidR="00B53316" w:rsidRPr="00D618B7" w:rsidRDefault="00B53316" w:rsidP="004B11B7">
            <w:pPr>
              <w:jc w:val="right"/>
              <w:rPr>
                <w:color w:val="000000"/>
              </w:rPr>
            </w:pPr>
            <w:r w:rsidRPr="00D618B7">
              <w:rPr>
                <w:color w:val="000000"/>
              </w:rPr>
              <w:t>4.21</w:t>
            </w:r>
          </w:p>
        </w:tc>
      </w:tr>
      <w:tr w:rsidR="00B53316" w:rsidRPr="00D618B7" w14:paraId="115C803F" w14:textId="77777777" w:rsidTr="004B11B7">
        <w:trPr>
          <w:trHeight w:val="325"/>
        </w:trPr>
        <w:tc>
          <w:tcPr>
            <w:tcW w:w="714" w:type="pct"/>
            <w:tcBorders>
              <w:top w:val="nil"/>
              <w:left w:val="nil"/>
              <w:bottom w:val="nil"/>
              <w:right w:val="nil"/>
            </w:tcBorders>
            <w:shd w:val="clear" w:color="000000" w:fill="FFFFFF"/>
            <w:vAlign w:val="center"/>
            <w:hideMark/>
          </w:tcPr>
          <w:p w14:paraId="6DEAB4A8" w14:textId="77777777" w:rsidR="00B53316" w:rsidRPr="00D618B7" w:rsidRDefault="00B53316"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60217535" w14:textId="77777777" w:rsidR="00B53316" w:rsidRPr="00D618B7" w:rsidRDefault="00B53316" w:rsidP="004B11B7">
            <w:pPr>
              <w:jc w:val="right"/>
              <w:rPr>
                <w:color w:val="000000"/>
              </w:rPr>
            </w:pPr>
            <w:r w:rsidRPr="00D618B7">
              <w:rPr>
                <w:color w:val="000000"/>
              </w:rPr>
              <w:t>0.64</w:t>
            </w:r>
          </w:p>
        </w:tc>
        <w:tc>
          <w:tcPr>
            <w:tcW w:w="715" w:type="pct"/>
            <w:tcBorders>
              <w:top w:val="nil"/>
              <w:left w:val="nil"/>
              <w:bottom w:val="nil"/>
              <w:right w:val="nil"/>
            </w:tcBorders>
            <w:shd w:val="clear" w:color="000000" w:fill="FFFFFF"/>
            <w:noWrap/>
            <w:vAlign w:val="center"/>
            <w:hideMark/>
          </w:tcPr>
          <w:p w14:paraId="7E9A6CE8" w14:textId="77777777" w:rsidR="00B53316" w:rsidRPr="00D618B7" w:rsidRDefault="00B53316" w:rsidP="004B11B7">
            <w:pPr>
              <w:jc w:val="right"/>
              <w:rPr>
                <w:color w:val="000000"/>
              </w:rPr>
            </w:pPr>
            <w:r w:rsidRPr="00D618B7">
              <w:rPr>
                <w:color w:val="000000"/>
              </w:rPr>
              <w:t>0.24</w:t>
            </w:r>
          </w:p>
        </w:tc>
        <w:tc>
          <w:tcPr>
            <w:tcW w:w="714" w:type="pct"/>
            <w:tcBorders>
              <w:top w:val="nil"/>
              <w:left w:val="nil"/>
              <w:bottom w:val="nil"/>
              <w:right w:val="nil"/>
            </w:tcBorders>
            <w:shd w:val="clear" w:color="000000" w:fill="FFFFFF"/>
            <w:noWrap/>
            <w:vAlign w:val="center"/>
            <w:hideMark/>
          </w:tcPr>
          <w:p w14:paraId="05510DC0" w14:textId="77777777" w:rsidR="00B53316" w:rsidRPr="00D618B7" w:rsidRDefault="00B53316" w:rsidP="004B11B7">
            <w:pPr>
              <w:jc w:val="right"/>
              <w:rPr>
                <w:color w:val="000000"/>
              </w:rPr>
            </w:pPr>
            <w:r w:rsidRPr="00D618B7">
              <w:rPr>
                <w:color w:val="000000"/>
              </w:rPr>
              <w:t>0.31</w:t>
            </w:r>
          </w:p>
        </w:tc>
        <w:tc>
          <w:tcPr>
            <w:tcW w:w="715" w:type="pct"/>
            <w:tcBorders>
              <w:top w:val="nil"/>
              <w:left w:val="nil"/>
              <w:bottom w:val="nil"/>
              <w:right w:val="nil"/>
            </w:tcBorders>
            <w:shd w:val="clear" w:color="000000" w:fill="FFFFFF"/>
            <w:noWrap/>
            <w:vAlign w:val="center"/>
            <w:hideMark/>
          </w:tcPr>
          <w:p w14:paraId="11892FD5" w14:textId="77777777" w:rsidR="00B53316" w:rsidRPr="00D618B7" w:rsidRDefault="00B53316" w:rsidP="004B11B7">
            <w:pPr>
              <w:jc w:val="right"/>
              <w:rPr>
                <w:color w:val="000000"/>
              </w:rPr>
            </w:pPr>
            <w:r w:rsidRPr="00D618B7">
              <w:rPr>
                <w:color w:val="000000"/>
              </w:rPr>
              <w:t>0.29</w:t>
            </w:r>
          </w:p>
        </w:tc>
        <w:tc>
          <w:tcPr>
            <w:tcW w:w="714" w:type="pct"/>
            <w:tcBorders>
              <w:top w:val="nil"/>
              <w:left w:val="nil"/>
              <w:bottom w:val="nil"/>
              <w:right w:val="nil"/>
            </w:tcBorders>
            <w:shd w:val="clear" w:color="000000" w:fill="FFFFFF"/>
            <w:noWrap/>
            <w:vAlign w:val="center"/>
            <w:hideMark/>
          </w:tcPr>
          <w:p w14:paraId="56FCB0E1" w14:textId="77777777" w:rsidR="00B53316" w:rsidRPr="00D618B7" w:rsidRDefault="00B53316" w:rsidP="004B11B7">
            <w:pPr>
              <w:jc w:val="right"/>
              <w:rPr>
                <w:color w:val="000000"/>
              </w:rPr>
            </w:pPr>
            <w:r w:rsidRPr="00D618B7">
              <w:rPr>
                <w:color w:val="000000"/>
              </w:rPr>
              <w:t>5.41</w:t>
            </w:r>
          </w:p>
        </w:tc>
        <w:tc>
          <w:tcPr>
            <w:tcW w:w="714" w:type="pct"/>
            <w:tcBorders>
              <w:top w:val="nil"/>
              <w:left w:val="nil"/>
              <w:bottom w:val="nil"/>
              <w:right w:val="nil"/>
            </w:tcBorders>
            <w:shd w:val="clear" w:color="000000" w:fill="FFFFFF"/>
            <w:noWrap/>
            <w:vAlign w:val="center"/>
            <w:hideMark/>
          </w:tcPr>
          <w:p w14:paraId="371A91EA" w14:textId="77777777" w:rsidR="00B53316" w:rsidRPr="00D618B7" w:rsidRDefault="00B53316" w:rsidP="004B11B7">
            <w:pPr>
              <w:jc w:val="right"/>
              <w:rPr>
                <w:color w:val="000000"/>
              </w:rPr>
            </w:pPr>
            <w:r w:rsidRPr="00D618B7">
              <w:rPr>
                <w:color w:val="000000"/>
              </w:rPr>
              <w:t>3.28</w:t>
            </w:r>
          </w:p>
        </w:tc>
      </w:tr>
      <w:tr w:rsidR="00B53316" w:rsidRPr="00D618B7" w14:paraId="108799A9" w14:textId="77777777" w:rsidTr="004B11B7">
        <w:trPr>
          <w:trHeight w:val="325"/>
        </w:trPr>
        <w:tc>
          <w:tcPr>
            <w:tcW w:w="714" w:type="pct"/>
            <w:tcBorders>
              <w:top w:val="nil"/>
              <w:left w:val="nil"/>
              <w:bottom w:val="nil"/>
              <w:right w:val="nil"/>
            </w:tcBorders>
            <w:shd w:val="clear" w:color="000000" w:fill="FFFFFF"/>
            <w:vAlign w:val="center"/>
            <w:hideMark/>
          </w:tcPr>
          <w:p w14:paraId="24B0BA3E" w14:textId="77777777" w:rsidR="00B53316" w:rsidRPr="00D618B7" w:rsidRDefault="00B53316"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2AE5AFB2" w14:textId="77777777" w:rsidR="00B53316" w:rsidRPr="00D618B7" w:rsidRDefault="00B53316" w:rsidP="004B11B7">
            <w:pPr>
              <w:jc w:val="right"/>
              <w:rPr>
                <w:color w:val="000000"/>
              </w:rPr>
            </w:pPr>
            <w:r w:rsidRPr="00D618B7">
              <w:rPr>
                <w:color w:val="000000"/>
              </w:rPr>
              <w:t>-0.04</w:t>
            </w:r>
          </w:p>
        </w:tc>
        <w:tc>
          <w:tcPr>
            <w:tcW w:w="715" w:type="pct"/>
            <w:tcBorders>
              <w:top w:val="nil"/>
              <w:left w:val="nil"/>
              <w:bottom w:val="nil"/>
              <w:right w:val="nil"/>
            </w:tcBorders>
            <w:shd w:val="clear" w:color="000000" w:fill="FFFFFF"/>
            <w:noWrap/>
            <w:vAlign w:val="center"/>
            <w:hideMark/>
          </w:tcPr>
          <w:p w14:paraId="48920AF8" w14:textId="77777777" w:rsidR="00B53316" w:rsidRPr="00D618B7" w:rsidRDefault="00B53316" w:rsidP="004B11B7">
            <w:pPr>
              <w:jc w:val="right"/>
              <w:rPr>
                <w:color w:val="000000"/>
              </w:rPr>
            </w:pPr>
            <w:r w:rsidRPr="00D618B7">
              <w:rPr>
                <w:color w:val="000000"/>
              </w:rPr>
              <w:t>0.15</w:t>
            </w:r>
          </w:p>
        </w:tc>
        <w:tc>
          <w:tcPr>
            <w:tcW w:w="714" w:type="pct"/>
            <w:tcBorders>
              <w:top w:val="nil"/>
              <w:left w:val="nil"/>
              <w:bottom w:val="nil"/>
              <w:right w:val="nil"/>
            </w:tcBorders>
            <w:shd w:val="clear" w:color="000000" w:fill="FFFFFF"/>
            <w:noWrap/>
            <w:vAlign w:val="center"/>
            <w:hideMark/>
          </w:tcPr>
          <w:p w14:paraId="25BB94A0" w14:textId="77777777" w:rsidR="00B53316" w:rsidRPr="00D618B7" w:rsidRDefault="00B53316" w:rsidP="004B11B7">
            <w:pPr>
              <w:jc w:val="right"/>
              <w:rPr>
                <w:color w:val="000000"/>
              </w:rPr>
            </w:pPr>
            <w:r w:rsidRPr="00D618B7">
              <w:rPr>
                <w:color w:val="000000"/>
              </w:rPr>
              <w:t>0.19</w:t>
            </w:r>
          </w:p>
        </w:tc>
        <w:tc>
          <w:tcPr>
            <w:tcW w:w="715" w:type="pct"/>
            <w:tcBorders>
              <w:top w:val="nil"/>
              <w:left w:val="nil"/>
              <w:bottom w:val="nil"/>
              <w:right w:val="nil"/>
            </w:tcBorders>
            <w:shd w:val="clear" w:color="000000" w:fill="FFFFFF"/>
            <w:noWrap/>
            <w:vAlign w:val="center"/>
            <w:hideMark/>
          </w:tcPr>
          <w:p w14:paraId="2841915F" w14:textId="77777777" w:rsidR="00B53316" w:rsidRPr="00D618B7" w:rsidRDefault="00B53316" w:rsidP="004B11B7">
            <w:pPr>
              <w:jc w:val="right"/>
              <w:rPr>
                <w:color w:val="000000"/>
              </w:rPr>
            </w:pPr>
            <w:r w:rsidRPr="00D618B7">
              <w:rPr>
                <w:color w:val="000000"/>
              </w:rPr>
              <w:t>0.14</w:t>
            </w:r>
          </w:p>
        </w:tc>
        <w:tc>
          <w:tcPr>
            <w:tcW w:w="714" w:type="pct"/>
            <w:tcBorders>
              <w:top w:val="nil"/>
              <w:left w:val="nil"/>
              <w:bottom w:val="nil"/>
              <w:right w:val="nil"/>
            </w:tcBorders>
            <w:shd w:val="clear" w:color="000000" w:fill="FFFFFF"/>
            <w:noWrap/>
            <w:vAlign w:val="center"/>
            <w:hideMark/>
          </w:tcPr>
          <w:p w14:paraId="7672BBC8" w14:textId="77777777" w:rsidR="00B53316" w:rsidRPr="00D618B7" w:rsidRDefault="00B53316" w:rsidP="004B11B7">
            <w:pPr>
              <w:jc w:val="right"/>
              <w:rPr>
                <w:color w:val="000000"/>
              </w:rPr>
            </w:pPr>
            <w:r w:rsidRPr="00D618B7">
              <w:rPr>
                <w:color w:val="000000"/>
              </w:rPr>
              <w:t>7.34</w:t>
            </w:r>
          </w:p>
        </w:tc>
        <w:tc>
          <w:tcPr>
            <w:tcW w:w="714" w:type="pct"/>
            <w:tcBorders>
              <w:top w:val="nil"/>
              <w:left w:val="nil"/>
              <w:bottom w:val="nil"/>
              <w:right w:val="nil"/>
            </w:tcBorders>
            <w:shd w:val="clear" w:color="000000" w:fill="FFFFFF"/>
            <w:noWrap/>
            <w:vAlign w:val="center"/>
            <w:hideMark/>
          </w:tcPr>
          <w:p w14:paraId="2A9AD26E" w14:textId="77777777" w:rsidR="00B53316" w:rsidRPr="00D618B7" w:rsidRDefault="00B53316" w:rsidP="004B11B7">
            <w:pPr>
              <w:jc w:val="right"/>
              <w:rPr>
                <w:color w:val="000000"/>
              </w:rPr>
            </w:pPr>
            <w:r w:rsidRPr="00D618B7">
              <w:rPr>
                <w:color w:val="000000"/>
              </w:rPr>
              <w:t>1.84</w:t>
            </w:r>
          </w:p>
        </w:tc>
      </w:tr>
      <w:tr w:rsidR="00B53316" w:rsidRPr="00D618B7" w14:paraId="55AEA114" w14:textId="77777777" w:rsidTr="004B11B7">
        <w:trPr>
          <w:trHeight w:val="325"/>
        </w:trPr>
        <w:tc>
          <w:tcPr>
            <w:tcW w:w="714" w:type="pct"/>
            <w:tcBorders>
              <w:top w:val="nil"/>
              <w:left w:val="nil"/>
              <w:bottom w:val="nil"/>
              <w:right w:val="nil"/>
            </w:tcBorders>
            <w:shd w:val="clear" w:color="000000" w:fill="FFFFFF"/>
            <w:vAlign w:val="center"/>
            <w:hideMark/>
          </w:tcPr>
          <w:p w14:paraId="3D1E97C0" w14:textId="77777777" w:rsidR="00B53316" w:rsidRPr="00D618B7" w:rsidRDefault="00B53316" w:rsidP="004B11B7">
            <w:pPr>
              <w:jc w:val="right"/>
              <w:rPr>
                <w:color w:val="000000"/>
              </w:rPr>
            </w:pPr>
            <w:r w:rsidRPr="00D618B7">
              <w:rPr>
                <w:color w:val="000000"/>
              </w:rPr>
              <w:t>0</w:t>
            </w:r>
          </w:p>
        </w:tc>
        <w:tc>
          <w:tcPr>
            <w:tcW w:w="714" w:type="pct"/>
            <w:tcBorders>
              <w:top w:val="nil"/>
              <w:left w:val="nil"/>
              <w:bottom w:val="nil"/>
              <w:right w:val="nil"/>
            </w:tcBorders>
            <w:shd w:val="clear" w:color="000000" w:fill="FFFFFF"/>
            <w:noWrap/>
            <w:vAlign w:val="center"/>
            <w:hideMark/>
          </w:tcPr>
          <w:p w14:paraId="59B072CC" w14:textId="77777777" w:rsidR="00B53316" w:rsidRPr="00D618B7" w:rsidRDefault="00B53316" w:rsidP="004B11B7">
            <w:pPr>
              <w:jc w:val="right"/>
              <w:rPr>
                <w:color w:val="000000"/>
              </w:rPr>
            </w:pPr>
            <w:r w:rsidRPr="00D618B7">
              <w:rPr>
                <w:color w:val="000000"/>
              </w:rPr>
              <w:t>0.05</w:t>
            </w:r>
          </w:p>
        </w:tc>
        <w:tc>
          <w:tcPr>
            <w:tcW w:w="715" w:type="pct"/>
            <w:tcBorders>
              <w:top w:val="nil"/>
              <w:left w:val="nil"/>
              <w:bottom w:val="nil"/>
              <w:right w:val="nil"/>
            </w:tcBorders>
            <w:shd w:val="clear" w:color="000000" w:fill="FFFFFF"/>
            <w:noWrap/>
            <w:vAlign w:val="center"/>
            <w:hideMark/>
          </w:tcPr>
          <w:p w14:paraId="6130D1FA" w14:textId="77777777" w:rsidR="00B53316" w:rsidRPr="00D618B7" w:rsidRDefault="00B53316" w:rsidP="004B11B7">
            <w:pPr>
              <w:jc w:val="right"/>
              <w:rPr>
                <w:color w:val="000000"/>
              </w:rPr>
            </w:pPr>
            <w:r w:rsidRPr="00D618B7">
              <w:rPr>
                <w:color w:val="000000"/>
              </w:rPr>
              <w:t>0.04</w:t>
            </w:r>
          </w:p>
        </w:tc>
        <w:tc>
          <w:tcPr>
            <w:tcW w:w="714" w:type="pct"/>
            <w:tcBorders>
              <w:top w:val="nil"/>
              <w:left w:val="nil"/>
              <w:bottom w:val="nil"/>
              <w:right w:val="nil"/>
            </w:tcBorders>
            <w:shd w:val="clear" w:color="000000" w:fill="FFFFFF"/>
            <w:noWrap/>
            <w:vAlign w:val="center"/>
            <w:hideMark/>
          </w:tcPr>
          <w:p w14:paraId="28F443CE" w14:textId="77777777" w:rsidR="00B53316" w:rsidRPr="00D618B7" w:rsidRDefault="00B53316" w:rsidP="004B11B7">
            <w:pPr>
              <w:jc w:val="right"/>
              <w:rPr>
                <w:color w:val="000000"/>
              </w:rPr>
            </w:pPr>
            <w:r w:rsidRPr="00D618B7">
              <w:rPr>
                <w:color w:val="000000"/>
              </w:rPr>
              <w:t>0.19</w:t>
            </w:r>
          </w:p>
        </w:tc>
        <w:tc>
          <w:tcPr>
            <w:tcW w:w="715" w:type="pct"/>
            <w:tcBorders>
              <w:top w:val="nil"/>
              <w:left w:val="nil"/>
              <w:bottom w:val="nil"/>
              <w:right w:val="nil"/>
            </w:tcBorders>
            <w:shd w:val="clear" w:color="000000" w:fill="FFFFFF"/>
            <w:noWrap/>
            <w:vAlign w:val="center"/>
            <w:hideMark/>
          </w:tcPr>
          <w:p w14:paraId="3DDA0376" w14:textId="77777777" w:rsidR="00B53316" w:rsidRPr="00D618B7" w:rsidRDefault="00B53316" w:rsidP="004B11B7">
            <w:pPr>
              <w:jc w:val="right"/>
              <w:rPr>
                <w:color w:val="000000"/>
              </w:rPr>
            </w:pPr>
            <w:r w:rsidRPr="00D618B7">
              <w:rPr>
                <w:color w:val="000000"/>
              </w:rPr>
              <w:t>0.28</w:t>
            </w:r>
          </w:p>
        </w:tc>
        <w:tc>
          <w:tcPr>
            <w:tcW w:w="714" w:type="pct"/>
            <w:tcBorders>
              <w:top w:val="nil"/>
              <w:left w:val="nil"/>
              <w:bottom w:val="nil"/>
              <w:right w:val="nil"/>
            </w:tcBorders>
            <w:shd w:val="clear" w:color="000000" w:fill="FFFFFF"/>
            <w:noWrap/>
            <w:vAlign w:val="center"/>
            <w:hideMark/>
          </w:tcPr>
          <w:p w14:paraId="6FC3A699" w14:textId="77777777" w:rsidR="00B53316" w:rsidRPr="00D618B7" w:rsidRDefault="00B53316" w:rsidP="004B11B7">
            <w:pPr>
              <w:jc w:val="right"/>
              <w:rPr>
                <w:color w:val="000000"/>
              </w:rPr>
            </w:pPr>
            <w:r w:rsidRPr="00D618B7">
              <w:rPr>
                <w:color w:val="000000"/>
              </w:rPr>
              <w:t>6.18</w:t>
            </w:r>
          </w:p>
        </w:tc>
        <w:tc>
          <w:tcPr>
            <w:tcW w:w="714" w:type="pct"/>
            <w:tcBorders>
              <w:top w:val="nil"/>
              <w:left w:val="nil"/>
              <w:bottom w:val="nil"/>
              <w:right w:val="nil"/>
            </w:tcBorders>
            <w:shd w:val="clear" w:color="000000" w:fill="FFFFFF"/>
            <w:noWrap/>
            <w:vAlign w:val="center"/>
            <w:hideMark/>
          </w:tcPr>
          <w:p w14:paraId="3FDB2887" w14:textId="77777777" w:rsidR="00B53316" w:rsidRPr="00D618B7" w:rsidRDefault="00B53316" w:rsidP="004B11B7">
            <w:pPr>
              <w:jc w:val="right"/>
              <w:rPr>
                <w:color w:val="000000"/>
              </w:rPr>
            </w:pPr>
            <w:r w:rsidRPr="00D618B7">
              <w:rPr>
                <w:color w:val="000000"/>
              </w:rPr>
              <w:t>1.47</w:t>
            </w:r>
          </w:p>
        </w:tc>
      </w:tr>
      <w:tr w:rsidR="00B53316" w:rsidRPr="00D618B7" w14:paraId="621E633C" w14:textId="77777777" w:rsidTr="004B11B7">
        <w:trPr>
          <w:trHeight w:val="325"/>
        </w:trPr>
        <w:tc>
          <w:tcPr>
            <w:tcW w:w="714" w:type="pct"/>
            <w:tcBorders>
              <w:top w:val="nil"/>
              <w:left w:val="nil"/>
              <w:bottom w:val="nil"/>
              <w:right w:val="nil"/>
            </w:tcBorders>
            <w:shd w:val="clear" w:color="000000" w:fill="FFFFFF"/>
            <w:vAlign w:val="center"/>
            <w:hideMark/>
          </w:tcPr>
          <w:p w14:paraId="27665488" w14:textId="77777777" w:rsidR="00B53316" w:rsidRPr="00D618B7" w:rsidRDefault="00B53316"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1BC5BE33" w14:textId="77777777" w:rsidR="00B53316" w:rsidRPr="00D618B7" w:rsidRDefault="00B53316" w:rsidP="004B11B7">
            <w:pPr>
              <w:jc w:val="right"/>
              <w:rPr>
                <w:color w:val="000000"/>
              </w:rPr>
            </w:pPr>
            <w:r w:rsidRPr="00D618B7">
              <w:rPr>
                <w:color w:val="000000"/>
              </w:rPr>
              <w:t>0.25</w:t>
            </w:r>
          </w:p>
        </w:tc>
        <w:tc>
          <w:tcPr>
            <w:tcW w:w="715" w:type="pct"/>
            <w:tcBorders>
              <w:top w:val="nil"/>
              <w:left w:val="nil"/>
              <w:bottom w:val="nil"/>
              <w:right w:val="nil"/>
            </w:tcBorders>
            <w:shd w:val="clear" w:color="000000" w:fill="FFFFFF"/>
            <w:noWrap/>
            <w:vAlign w:val="center"/>
            <w:hideMark/>
          </w:tcPr>
          <w:p w14:paraId="0C1E675F" w14:textId="77777777" w:rsidR="00B53316" w:rsidRPr="00D618B7" w:rsidRDefault="00B53316" w:rsidP="004B11B7">
            <w:pPr>
              <w:jc w:val="right"/>
              <w:rPr>
                <w:color w:val="000000"/>
              </w:rPr>
            </w:pPr>
            <w:r w:rsidRPr="00D618B7">
              <w:rPr>
                <w:color w:val="000000"/>
              </w:rPr>
              <w:t>0.13</w:t>
            </w:r>
          </w:p>
        </w:tc>
        <w:tc>
          <w:tcPr>
            <w:tcW w:w="714" w:type="pct"/>
            <w:tcBorders>
              <w:top w:val="nil"/>
              <w:left w:val="nil"/>
              <w:bottom w:val="nil"/>
              <w:right w:val="nil"/>
            </w:tcBorders>
            <w:shd w:val="clear" w:color="000000" w:fill="FFFFFF"/>
            <w:noWrap/>
            <w:vAlign w:val="center"/>
            <w:hideMark/>
          </w:tcPr>
          <w:p w14:paraId="05706DE0" w14:textId="77777777" w:rsidR="00B53316" w:rsidRPr="00D618B7" w:rsidRDefault="00B53316" w:rsidP="004B11B7">
            <w:pPr>
              <w:jc w:val="right"/>
              <w:rPr>
                <w:color w:val="000000"/>
              </w:rPr>
            </w:pPr>
            <w:r w:rsidRPr="00D618B7">
              <w:rPr>
                <w:color w:val="000000"/>
              </w:rPr>
              <w:t>0.26</w:t>
            </w:r>
          </w:p>
        </w:tc>
        <w:tc>
          <w:tcPr>
            <w:tcW w:w="715" w:type="pct"/>
            <w:tcBorders>
              <w:top w:val="nil"/>
              <w:left w:val="nil"/>
              <w:bottom w:val="nil"/>
              <w:right w:val="nil"/>
            </w:tcBorders>
            <w:shd w:val="clear" w:color="000000" w:fill="FFFFFF"/>
            <w:noWrap/>
            <w:vAlign w:val="center"/>
            <w:hideMark/>
          </w:tcPr>
          <w:p w14:paraId="4533CCFE" w14:textId="77777777" w:rsidR="00B53316" w:rsidRPr="00D618B7" w:rsidRDefault="00B53316" w:rsidP="004B11B7">
            <w:pPr>
              <w:jc w:val="right"/>
              <w:rPr>
                <w:color w:val="000000"/>
              </w:rPr>
            </w:pPr>
            <w:r w:rsidRPr="00D618B7">
              <w:rPr>
                <w:color w:val="000000"/>
              </w:rPr>
              <w:t>0.29</w:t>
            </w:r>
          </w:p>
        </w:tc>
        <w:tc>
          <w:tcPr>
            <w:tcW w:w="714" w:type="pct"/>
            <w:tcBorders>
              <w:top w:val="nil"/>
              <w:left w:val="nil"/>
              <w:bottom w:val="nil"/>
              <w:right w:val="nil"/>
            </w:tcBorders>
            <w:shd w:val="clear" w:color="000000" w:fill="FFFFFF"/>
            <w:noWrap/>
            <w:vAlign w:val="center"/>
            <w:hideMark/>
          </w:tcPr>
          <w:p w14:paraId="6F4C02F7" w14:textId="77777777" w:rsidR="00B53316" w:rsidRPr="00D618B7" w:rsidRDefault="00B53316" w:rsidP="004B11B7">
            <w:pPr>
              <w:jc w:val="right"/>
              <w:rPr>
                <w:color w:val="000000"/>
              </w:rPr>
            </w:pPr>
            <w:r w:rsidRPr="00D618B7">
              <w:rPr>
                <w:color w:val="000000"/>
              </w:rPr>
              <w:t>1.14</w:t>
            </w:r>
          </w:p>
        </w:tc>
        <w:tc>
          <w:tcPr>
            <w:tcW w:w="714" w:type="pct"/>
            <w:tcBorders>
              <w:top w:val="nil"/>
              <w:left w:val="nil"/>
              <w:bottom w:val="nil"/>
              <w:right w:val="nil"/>
            </w:tcBorders>
            <w:shd w:val="clear" w:color="000000" w:fill="FFFFFF"/>
            <w:noWrap/>
            <w:vAlign w:val="center"/>
            <w:hideMark/>
          </w:tcPr>
          <w:p w14:paraId="521A9DA3" w14:textId="77777777" w:rsidR="00B53316" w:rsidRPr="00D618B7" w:rsidRDefault="00B53316" w:rsidP="004B11B7">
            <w:pPr>
              <w:jc w:val="right"/>
              <w:rPr>
                <w:color w:val="000000"/>
              </w:rPr>
            </w:pPr>
            <w:r w:rsidRPr="00D618B7">
              <w:rPr>
                <w:color w:val="000000"/>
              </w:rPr>
              <w:t>0.50</w:t>
            </w:r>
          </w:p>
        </w:tc>
      </w:tr>
      <w:tr w:rsidR="00B53316" w:rsidRPr="00D618B7" w14:paraId="1A6AB97A" w14:textId="77777777" w:rsidTr="004B11B7">
        <w:trPr>
          <w:trHeight w:val="325"/>
        </w:trPr>
        <w:tc>
          <w:tcPr>
            <w:tcW w:w="714" w:type="pct"/>
            <w:tcBorders>
              <w:top w:val="nil"/>
              <w:left w:val="nil"/>
              <w:bottom w:val="nil"/>
              <w:right w:val="nil"/>
            </w:tcBorders>
            <w:shd w:val="clear" w:color="000000" w:fill="FFFFFF"/>
            <w:vAlign w:val="center"/>
            <w:hideMark/>
          </w:tcPr>
          <w:p w14:paraId="42D1D9A7" w14:textId="77777777" w:rsidR="00B53316" w:rsidRPr="00D618B7" w:rsidRDefault="00B53316"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0797A1E1" w14:textId="77777777" w:rsidR="00B53316" w:rsidRPr="00D618B7" w:rsidRDefault="00B53316" w:rsidP="004B11B7">
            <w:pPr>
              <w:jc w:val="right"/>
              <w:rPr>
                <w:color w:val="000000"/>
              </w:rPr>
            </w:pPr>
            <w:r w:rsidRPr="00D618B7">
              <w:rPr>
                <w:color w:val="000000"/>
              </w:rPr>
              <w:t>-0.02</w:t>
            </w:r>
          </w:p>
        </w:tc>
        <w:tc>
          <w:tcPr>
            <w:tcW w:w="715" w:type="pct"/>
            <w:tcBorders>
              <w:top w:val="nil"/>
              <w:left w:val="nil"/>
              <w:bottom w:val="nil"/>
              <w:right w:val="nil"/>
            </w:tcBorders>
            <w:shd w:val="clear" w:color="000000" w:fill="FFFFFF"/>
            <w:noWrap/>
            <w:vAlign w:val="center"/>
            <w:hideMark/>
          </w:tcPr>
          <w:p w14:paraId="5F29EFC8" w14:textId="77777777" w:rsidR="00B53316" w:rsidRPr="00D618B7" w:rsidRDefault="00B53316" w:rsidP="004B11B7">
            <w:pPr>
              <w:jc w:val="right"/>
              <w:rPr>
                <w:color w:val="000000"/>
              </w:rPr>
            </w:pPr>
            <w:r w:rsidRPr="00D618B7">
              <w:rPr>
                <w:color w:val="000000"/>
              </w:rPr>
              <w:t>0.00</w:t>
            </w:r>
          </w:p>
        </w:tc>
        <w:tc>
          <w:tcPr>
            <w:tcW w:w="714" w:type="pct"/>
            <w:tcBorders>
              <w:top w:val="nil"/>
              <w:left w:val="nil"/>
              <w:bottom w:val="nil"/>
              <w:right w:val="nil"/>
            </w:tcBorders>
            <w:shd w:val="clear" w:color="000000" w:fill="FFFFFF"/>
            <w:noWrap/>
            <w:vAlign w:val="center"/>
            <w:hideMark/>
          </w:tcPr>
          <w:p w14:paraId="66E0AA97" w14:textId="77777777" w:rsidR="00B53316" w:rsidRPr="00D618B7" w:rsidRDefault="00B53316" w:rsidP="004B11B7">
            <w:pPr>
              <w:jc w:val="right"/>
              <w:rPr>
                <w:color w:val="000000"/>
              </w:rPr>
            </w:pPr>
            <w:r w:rsidRPr="00D618B7">
              <w:rPr>
                <w:color w:val="000000"/>
              </w:rPr>
              <w:t>0.58</w:t>
            </w:r>
          </w:p>
        </w:tc>
        <w:tc>
          <w:tcPr>
            <w:tcW w:w="715" w:type="pct"/>
            <w:tcBorders>
              <w:top w:val="nil"/>
              <w:left w:val="nil"/>
              <w:bottom w:val="nil"/>
              <w:right w:val="nil"/>
            </w:tcBorders>
            <w:shd w:val="clear" w:color="000000" w:fill="FFFFFF"/>
            <w:noWrap/>
            <w:vAlign w:val="center"/>
            <w:hideMark/>
          </w:tcPr>
          <w:p w14:paraId="53FD4203" w14:textId="77777777" w:rsidR="00B53316" w:rsidRPr="00D618B7" w:rsidRDefault="00B53316" w:rsidP="004B11B7">
            <w:pPr>
              <w:jc w:val="right"/>
              <w:rPr>
                <w:color w:val="000000"/>
              </w:rPr>
            </w:pPr>
            <w:r w:rsidRPr="00D618B7">
              <w:rPr>
                <w:color w:val="000000"/>
              </w:rPr>
              <w:t>0.37</w:t>
            </w:r>
          </w:p>
        </w:tc>
        <w:tc>
          <w:tcPr>
            <w:tcW w:w="714" w:type="pct"/>
            <w:tcBorders>
              <w:top w:val="nil"/>
              <w:left w:val="nil"/>
              <w:bottom w:val="nil"/>
              <w:right w:val="nil"/>
            </w:tcBorders>
            <w:shd w:val="clear" w:color="000000" w:fill="FFFFFF"/>
            <w:noWrap/>
            <w:vAlign w:val="center"/>
            <w:hideMark/>
          </w:tcPr>
          <w:p w14:paraId="35DA6128" w14:textId="77777777" w:rsidR="00B53316" w:rsidRPr="00D618B7" w:rsidRDefault="00B53316" w:rsidP="004B11B7">
            <w:pPr>
              <w:jc w:val="right"/>
              <w:rPr>
                <w:color w:val="000000"/>
              </w:rPr>
            </w:pPr>
            <w:r w:rsidRPr="00D618B7">
              <w:rPr>
                <w:color w:val="000000"/>
              </w:rPr>
              <w:t>0.96</w:t>
            </w:r>
          </w:p>
        </w:tc>
        <w:tc>
          <w:tcPr>
            <w:tcW w:w="714" w:type="pct"/>
            <w:tcBorders>
              <w:top w:val="nil"/>
              <w:left w:val="nil"/>
              <w:bottom w:val="nil"/>
              <w:right w:val="nil"/>
            </w:tcBorders>
            <w:shd w:val="clear" w:color="000000" w:fill="FFFFFF"/>
            <w:noWrap/>
            <w:vAlign w:val="center"/>
            <w:hideMark/>
          </w:tcPr>
          <w:p w14:paraId="15CDFCDF" w14:textId="77777777" w:rsidR="00B53316" w:rsidRPr="00D618B7" w:rsidRDefault="00B53316" w:rsidP="004B11B7">
            <w:pPr>
              <w:jc w:val="right"/>
              <w:rPr>
                <w:color w:val="000000"/>
              </w:rPr>
            </w:pPr>
            <w:r w:rsidRPr="00D618B7">
              <w:rPr>
                <w:color w:val="000000"/>
              </w:rPr>
              <w:t>0.52</w:t>
            </w:r>
          </w:p>
        </w:tc>
      </w:tr>
      <w:tr w:rsidR="00B53316" w:rsidRPr="00D618B7" w14:paraId="7C01FC9A" w14:textId="77777777" w:rsidTr="004B11B7">
        <w:trPr>
          <w:trHeight w:val="325"/>
        </w:trPr>
        <w:tc>
          <w:tcPr>
            <w:tcW w:w="714" w:type="pct"/>
            <w:tcBorders>
              <w:top w:val="nil"/>
              <w:left w:val="nil"/>
              <w:bottom w:val="nil"/>
              <w:right w:val="nil"/>
            </w:tcBorders>
            <w:shd w:val="clear" w:color="000000" w:fill="FFFFFF"/>
            <w:vAlign w:val="center"/>
            <w:hideMark/>
          </w:tcPr>
          <w:p w14:paraId="0B5A3538" w14:textId="77777777" w:rsidR="00B53316" w:rsidRPr="00D618B7" w:rsidRDefault="00B53316"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1EB86C27" w14:textId="77777777" w:rsidR="00B53316" w:rsidRPr="00D618B7" w:rsidRDefault="00B53316" w:rsidP="004B11B7">
            <w:pPr>
              <w:jc w:val="right"/>
              <w:rPr>
                <w:color w:val="000000"/>
              </w:rPr>
            </w:pPr>
            <w:r w:rsidRPr="00D618B7">
              <w:rPr>
                <w:color w:val="000000"/>
              </w:rPr>
              <w:t>0.06</w:t>
            </w:r>
          </w:p>
        </w:tc>
        <w:tc>
          <w:tcPr>
            <w:tcW w:w="715" w:type="pct"/>
            <w:tcBorders>
              <w:top w:val="nil"/>
              <w:left w:val="nil"/>
              <w:bottom w:val="nil"/>
              <w:right w:val="nil"/>
            </w:tcBorders>
            <w:shd w:val="clear" w:color="000000" w:fill="FFFFFF"/>
            <w:noWrap/>
            <w:vAlign w:val="center"/>
            <w:hideMark/>
          </w:tcPr>
          <w:p w14:paraId="2419E099" w14:textId="77777777" w:rsidR="00B53316" w:rsidRPr="00D618B7" w:rsidRDefault="00B53316" w:rsidP="004B11B7">
            <w:pPr>
              <w:jc w:val="right"/>
              <w:rPr>
                <w:color w:val="000000"/>
              </w:rPr>
            </w:pPr>
            <w:r w:rsidRPr="00D618B7">
              <w:rPr>
                <w:color w:val="000000"/>
              </w:rPr>
              <w:t>0.03</w:t>
            </w:r>
          </w:p>
        </w:tc>
        <w:tc>
          <w:tcPr>
            <w:tcW w:w="714" w:type="pct"/>
            <w:tcBorders>
              <w:top w:val="nil"/>
              <w:left w:val="nil"/>
              <w:bottom w:val="nil"/>
              <w:right w:val="nil"/>
            </w:tcBorders>
            <w:shd w:val="clear" w:color="000000" w:fill="FFFFFF"/>
            <w:noWrap/>
            <w:vAlign w:val="center"/>
            <w:hideMark/>
          </w:tcPr>
          <w:p w14:paraId="0FCA0B8D" w14:textId="77777777" w:rsidR="00B53316" w:rsidRPr="00D618B7" w:rsidRDefault="00B53316" w:rsidP="004B11B7">
            <w:pPr>
              <w:jc w:val="right"/>
              <w:rPr>
                <w:color w:val="000000"/>
              </w:rPr>
            </w:pPr>
            <w:r w:rsidRPr="00D618B7">
              <w:rPr>
                <w:color w:val="000000"/>
              </w:rPr>
              <w:t>0.02</w:t>
            </w:r>
          </w:p>
        </w:tc>
        <w:tc>
          <w:tcPr>
            <w:tcW w:w="715" w:type="pct"/>
            <w:tcBorders>
              <w:top w:val="nil"/>
              <w:left w:val="nil"/>
              <w:bottom w:val="nil"/>
              <w:right w:val="nil"/>
            </w:tcBorders>
            <w:shd w:val="clear" w:color="000000" w:fill="FFFFFF"/>
            <w:noWrap/>
            <w:vAlign w:val="center"/>
            <w:hideMark/>
          </w:tcPr>
          <w:p w14:paraId="5529DC04" w14:textId="77777777" w:rsidR="00B53316" w:rsidRPr="00D618B7" w:rsidRDefault="00B53316" w:rsidP="004B11B7">
            <w:pPr>
              <w:jc w:val="right"/>
              <w:rPr>
                <w:color w:val="000000"/>
              </w:rPr>
            </w:pPr>
            <w:r w:rsidRPr="00D618B7">
              <w:rPr>
                <w:color w:val="000000"/>
              </w:rPr>
              <w:t>0.35</w:t>
            </w:r>
          </w:p>
        </w:tc>
        <w:tc>
          <w:tcPr>
            <w:tcW w:w="714" w:type="pct"/>
            <w:tcBorders>
              <w:top w:val="nil"/>
              <w:left w:val="nil"/>
              <w:bottom w:val="nil"/>
              <w:right w:val="nil"/>
            </w:tcBorders>
            <w:shd w:val="clear" w:color="000000" w:fill="FFFFFF"/>
            <w:noWrap/>
            <w:vAlign w:val="center"/>
            <w:hideMark/>
          </w:tcPr>
          <w:p w14:paraId="41EA5D58" w14:textId="77777777" w:rsidR="00B53316" w:rsidRPr="00D618B7" w:rsidRDefault="00B53316" w:rsidP="004B11B7">
            <w:pPr>
              <w:jc w:val="right"/>
              <w:rPr>
                <w:color w:val="000000"/>
              </w:rPr>
            </w:pPr>
            <w:r w:rsidRPr="00D618B7">
              <w:rPr>
                <w:color w:val="000000"/>
              </w:rPr>
              <w:t>3.00</w:t>
            </w:r>
          </w:p>
        </w:tc>
        <w:tc>
          <w:tcPr>
            <w:tcW w:w="714" w:type="pct"/>
            <w:tcBorders>
              <w:top w:val="nil"/>
              <w:left w:val="nil"/>
              <w:bottom w:val="nil"/>
              <w:right w:val="nil"/>
            </w:tcBorders>
            <w:shd w:val="clear" w:color="000000" w:fill="FFFFFF"/>
            <w:noWrap/>
            <w:vAlign w:val="center"/>
            <w:hideMark/>
          </w:tcPr>
          <w:p w14:paraId="570BD548" w14:textId="77777777" w:rsidR="00B53316" w:rsidRPr="00D618B7" w:rsidRDefault="00B53316" w:rsidP="004B11B7">
            <w:pPr>
              <w:jc w:val="right"/>
              <w:rPr>
                <w:color w:val="000000"/>
              </w:rPr>
            </w:pPr>
            <w:r w:rsidRPr="00D618B7">
              <w:rPr>
                <w:color w:val="000000"/>
              </w:rPr>
              <w:t>1.24</w:t>
            </w:r>
          </w:p>
        </w:tc>
      </w:tr>
      <w:tr w:rsidR="00B53316" w:rsidRPr="00D618B7" w14:paraId="59B1EB22" w14:textId="77777777" w:rsidTr="004B11B7">
        <w:trPr>
          <w:trHeight w:val="325"/>
        </w:trPr>
        <w:tc>
          <w:tcPr>
            <w:tcW w:w="714" w:type="pct"/>
            <w:tcBorders>
              <w:top w:val="nil"/>
              <w:left w:val="nil"/>
              <w:bottom w:val="nil"/>
              <w:right w:val="nil"/>
            </w:tcBorders>
            <w:shd w:val="clear" w:color="000000" w:fill="FFFFFF"/>
            <w:vAlign w:val="center"/>
            <w:hideMark/>
          </w:tcPr>
          <w:p w14:paraId="73448ACA" w14:textId="77777777" w:rsidR="00B53316" w:rsidRPr="00D618B7" w:rsidRDefault="00B53316"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278D687C" w14:textId="77777777" w:rsidR="00B53316" w:rsidRPr="00D618B7" w:rsidRDefault="00B53316" w:rsidP="004B11B7">
            <w:pPr>
              <w:jc w:val="right"/>
              <w:rPr>
                <w:color w:val="000000"/>
              </w:rPr>
            </w:pPr>
            <w:r w:rsidRPr="00D618B7">
              <w:rPr>
                <w:color w:val="000000"/>
              </w:rPr>
              <w:t>-0.04</w:t>
            </w:r>
          </w:p>
        </w:tc>
        <w:tc>
          <w:tcPr>
            <w:tcW w:w="715" w:type="pct"/>
            <w:tcBorders>
              <w:top w:val="nil"/>
              <w:left w:val="nil"/>
              <w:bottom w:val="nil"/>
              <w:right w:val="nil"/>
            </w:tcBorders>
            <w:shd w:val="clear" w:color="000000" w:fill="FFFFFF"/>
            <w:noWrap/>
            <w:vAlign w:val="center"/>
            <w:hideMark/>
          </w:tcPr>
          <w:p w14:paraId="76EE35AF" w14:textId="77777777" w:rsidR="00B53316" w:rsidRPr="00D618B7" w:rsidRDefault="00B53316" w:rsidP="004B11B7">
            <w:pPr>
              <w:jc w:val="right"/>
              <w:rPr>
                <w:color w:val="000000"/>
              </w:rPr>
            </w:pPr>
            <w:r w:rsidRPr="00D618B7">
              <w:rPr>
                <w:color w:val="000000"/>
              </w:rPr>
              <w:t>0.07</w:t>
            </w:r>
          </w:p>
        </w:tc>
        <w:tc>
          <w:tcPr>
            <w:tcW w:w="714" w:type="pct"/>
            <w:tcBorders>
              <w:top w:val="nil"/>
              <w:left w:val="nil"/>
              <w:bottom w:val="nil"/>
              <w:right w:val="nil"/>
            </w:tcBorders>
            <w:shd w:val="clear" w:color="000000" w:fill="FFFFFF"/>
            <w:noWrap/>
            <w:vAlign w:val="center"/>
            <w:hideMark/>
          </w:tcPr>
          <w:p w14:paraId="2B8E7635" w14:textId="77777777" w:rsidR="00B53316" w:rsidRPr="00D618B7" w:rsidRDefault="00B53316" w:rsidP="004B11B7">
            <w:pPr>
              <w:jc w:val="right"/>
              <w:rPr>
                <w:color w:val="000000"/>
              </w:rPr>
            </w:pPr>
            <w:r w:rsidRPr="00D618B7">
              <w:rPr>
                <w:color w:val="000000"/>
              </w:rPr>
              <w:t>0.70</w:t>
            </w:r>
          </w:p>
        </w:tc>
        <w:tc>
          <w:tcPr>
            <w:tcW w:w="715" w:type="pct"/>
            <w:tcBorders>
              <w:top w:val="nil"/>
              <w:left w:val="nil"/>
              <w:bottom w:val="nil"/>
              <w:right w:val="nil"/>
            </w:tcBorders>
            <w:shd w:val="clear" w:color="000000" w:fill="FFFFFF"/>
            <w:noWrap/>
            <w:vAlign w:val="center"/>
            <w:hideMark/>
          </w:tcPr>
          <w:p w14:paraId="13599E02" w14:textId="77777777" w:rsidR="00B53316" w:rsidRPr="00D618B7" w:rsidRDefault="00B53316" w:rsidP="004B11B7">
            <w:pPr>
              <w:jc w:val="right"/>
              <w:rPr>
                <w:color w:val="000000"/>
              </w:rPr>
            </w:pPr>
            <w:r w:rsidRPr="00D618B7">
              <w:rPr>
                <w:color w:val="000000"/>
              </w:rPr>
              <w:t>0.48</w:t>
            </w:r>
          </w:p>
        </w:tc>
        <w:tc>
          <w:tcPr>
            <w:tcW w:w="714" w:type="pct"/>
            <w:tcBorders>
              <w:top w:val="nil"/>
              <w:left w:val="nil"/>
              <w:bottom w:val="nil"/>
              <w:right w:val="nil"/>
            </w:tcBorders>
            <w:shd w:val="clear" w:color="000000" w:fill="FFFFFF"/>
            <w:noWrap/>
            <w:vAlign w:val="center"/>
            <w:hideMark/>
          </w:tcPr>
          <w:p w14:paraId="700F6287" w14:textId="77777777" w:rsidR="00B53316" w:rsidRPr="00D618B7" w:rsidRDefault="00B53316" w:rsidP="004B11B7">
            <w:pPr>
              <w:jc w:val="right"/>
              <w:rPr>
                <w:color w:val="000000"/>
              </w:rPr>
            </w:pPr>
            <w:r w:rsidRPr="00D618B7">
              <w:rPr>
                <w:color w:val="000000"/>
              </w:rPr>
              <w:t>3.87</w:t>
            </w:r>
          </w:p>
        </w:tc>
        <w:tc>
          <w:tcPr>
            <w:tcW w:w="714" w:type="pct"/>
            <w:tcBorders>
              <w:top w:val="nil"/>
              <w:left w:val="nil"/>
              <w:bottom w:val="nil"/>
              <w:right w:val="nil"/>
            </w:tcBorders>
            <w:shd w:val="clear" w:color="000000" w:fill="FFFFFF"/>
            <w:noWrap/>
            <w:vAlign w:val="center"/>
            <w:hideMark/>
          </w:tcPr>
          <w:p w14:paraId="1943D0E7" w14:textId="77777777" w:rsidR="00B53316" w:rsidRPr="00D618B7" w:rsidRDefault="00B53316" w:rsidP="004B11B7">
            <w:pPr>
              <w:jc w:val="right"/>
              <w:rPr>
                <w:color w:val="000000"/>
              </w:rPr>
            </w:pPr>
            <w:r w:rsidRPr="00D618B7">
              <w:rPr>
                <w:color w:val="000000"/>
              </w:rPr>
              <w:t>1.86</w:t>
            </w:r>
          </w:p>
        </w:tc>
      </w:tr>
      <w:tr w:rsidR="00B53316" w:rsidRPr="00D618B7" w14:paraId="63606EA9" w14:textId="77777777" w:rsidTr="004B11B7">
        <w:trPr>
          <w:trHeight w:val="325"/>
        </w:trPr>
        <w:tc>
          <w:tcPr>
            <w:tcW w:w="714" w:type="pct"/>
            <w:tcBorders>
              <w:top w:val="nil"/>
              <w:left w:val="nil"/>
              <w:bottom w:val="single" w:sz="8" w:space="0" w:color="auto"/>
              <w:right w:val="nil"/>
            </w:tcBorders>
            <w:shd w:val="clear" w:color="000000" w:fill="FFFFFF"/>
            <w:vAlign w:val="center"/>
            <w:hideMark/>
          </w:tcPr>
          <w:p w14:paraId="1996608E" w14:textId="77777777" w:rsidR="00B53316" w:rsidRPr="00D618B7" w:rsidRDefault="00B53316" w:rsidP="004B11B7">
            <w:pPr>
              <w:jc w:val="right"/>
              <w:rPr>
                <w:color w:val="000000"/>
              </w:rPr>
            </w:pPr>
            <w:r w:rsidRPr="00D618B7">
              <w:rPr>
                <w:color w:val="000000"/>
              </w:rPr>
              <w:t>5</w:t>
            </w:r>
          </w:p>
        </w:tc>
        <w:tc>
          <w:tcPr>
            <w:tcW w:w="714" w:type="pct"/>
            <w:tcBorders>
              <w:top w:val="nil"/>
              <w:left w:val="nil"/>
              <w:bottom w:val="single" w:sz="8" w:space="0" w:color="auto"/>
              <w:right w:val="nil"/>
            </w:tcBorders>
            <w:shd w:val="clear" w:color="000000" w:fill="FFFFFF"/>
            <w:noWrap/>
            <w:vAlign w:val="center"/>
            <w:hideMark/>
          </w:tcPr>
          <w:p w14:paraId="3902DBF6" w14:textId="77777777" w:rsidR="00B53316" w:rsidRPr="00D618B7" w:rsidRDefault="00B53316" w:rsidP="004B11B7">
            <w:pPr>
              <w:jc w:val="right"/>
              <w:rPr>
                <w:color w:val="000000"/>
              </w:rPr>
            </w:pPr>
            <w:r w:rsidRPr="00D618B7">
              <w:rPr>
                <w:color w:val="000000"/>
              </w:rPr>
              <w:t>0.01</w:t>
            </w:r>
          </w:p>
        </w:tc>
        <w:tc>
          <w:tcPr>
            <w:tcW w:w="715" w:type="pct"/>
            <w:tcBorders>
              <w:top w:val="nil"/>
              <w:left w:val="nil"/>
              <w:bottom w:val="single" w:sz="8" w:space="0" w:color="auto"/>
              <w:right w:val="nil"/>
            </w:tcBorders>
            <w:shd w:val="clear" w:color="000000" w:fill="FFFFFF"/>
            <w:noWrap/>
            <w:vAlign w:val="center"/>
            <w:hideMark/>
          </w:tcPr>
          <w:p w14:paraId="3DBD44EF" w14:textId="77777777" w:rsidR="00B53316" w:rsidRPr="00D618B7" w:rsidRDefault="00B53316" w:rsidP="004B11B7">
            <w:pPr>
              <w:jc w:val="right"/>
              <w:rPr>
                <w:color w:val="000000"/>
              </w:rPr>
            </w:pPr>
            <w:r w:rsidRPr="00D618B7">
              <w:rPr>
                <w:color w:val="000000"/>
              </w:rPr>
              <w:t>0.01</w:t>
            </w:r>
          </w:p>
        </w:tc>
        <w:tc>
          <w:tcPr>
            <w:tcW w:w="714" w:type="pct"/>
            <w:tcBorders>
              <w:top w:val="nil"/>
              <w:left w:val="nil"/>
              <w:bottom w:val="single" w:sz="8" w:space="0" w:color="auto"/>
              <w:right w:val="nil"/>
            </w:tcBorders>
            <w:shd w:val="clear" w:color="000000" w:fill="FFFFFF"/>
            <w:noWrap/>
            <w:vAlign w:val="center"/>
            <w:hideMark/>
          </w:tcPr>
          <w:p w14:paraId="210A5320" w14:textId="77777777" w:rsidR="00B53316" w:rsidRPr="00D618B7" w:rsidRDefault="00B53316" w:rsidP="004B11B7">
            <w:pPr>
              <w:jc w:val="right"/>
              <w:rPr>
                <w:color w:val="000000"/>
              </w:rPr>
            </w:pPr>
            <w:r w:rsidRPr="00D618B7">
              <w:rPr>
                <w:color w:val="000000"/>
              </w:rPr>
              <w:t>1.04</w:t>
            </w:r>
          </w:p>
        </w:tc>
        <w:tc>
          <w:tcPr>
            <w:tcW w:w="715" w:type="pct"/>
            <w:tcBorders>
              <w:top w:val="nil"/>
              <w:left w:val="nil"/>
              <w:bottom w:val="single" w:sz="8" w:space="0" w:color="auto"/>
              <w:right w:val="nil"/>
            </w:tcBorders>
            <w:shd w:val="clear" w:color="000000" w:fill="FFFFFF"/>
            <w:noWrap/>
            <w:vAlign w:val="center"/>
            <w:hideMark/>
          </w:tcPr>
          <w:p w14:paraId="2423C559" w14:textId="77777777" w:rsidR="00B53316" w:rsidRPr="00D618B7" w:rsidRDefault="00B53316" w:rsidP="004B11B7">
            <w:pPr>
              <w:jc w:val="right"/>
              <w:rPr>
                <w:color w:val="000000"/>
              </w:rPr>
            </w:pPr>
            <w:r w:rsidRPr="00D618B7">
              <w:rPr>
                <w:color w:val="000000"/>
              </w:rPr>
              <w:t>0.86</w:t>
            </w:r>
          </w:p>
        </w:tc>
        <w:tc>
          <w:tcPr>
            <w:tcW w:w="714" w:type="pct"/>
            <w:tcBorders>
              <w:top w:val="nil"/>
              <w:left w:val="nil"/>
              <w:bottom w:val="single" w:sz="8" w:space="0" w:color="auto"/>
              <w:right w:val="nil"/>
            </w:tcBorders>
            <w:shd w:val="clear" w:color="000000" w:fill="FFFFFF"/>
            <w:noWrap/>
            <w:vAlign w:val="center"/>
            <w:hideMark/>
          </w:tcPr>
          <w:p w14:paraId="0B56AF31" w14:textId="77777777" w:rsidR="00B53316" w:rsidRPr="00D618B7" w:rsidRDefault="00B53316" w:rsidP="004B11B7">
            <w:pPr>
              <w:jc w:val="right"/>
              <w:rPr>
                <w:color w:val="000000"/>
              </w:rPr>
            </w:pPr>
            <w:r w:rsidRPr="00D618B7">
              <w:rPr>
                <w:color w:val="000000"/>
              </w:rPr>
              <w:t>1.30</w:t>
            </w:r>
          </w:p>
        </w:tc>
        <w:tc>
          <w:tcPr>
            <w:tcW w:w="714" w:type="pct"/>
            <w:tcBorders>
              <w:top w:val="nil"/>
              <w:left w:val="nil"/>
              <w:bottom w:val="single" w:sz="8" w:space="0" w:color="auto"/>
              <w:right w:val="nil"/>
            </w:tcBorders>
            <w:shd w:val="clear" w:color="000000" w:fill="FFFFFF"/>
            <w:noWrap/>
            <w:vAlign w:val="center"/>
            <w:hideMark/>
          </w:tcPr>
          <w:p w14:paraId="178BA5B2" w14:textId="77777777" w:rsidR="00B53316" w:rsidRPr="00D618B7" w:rsidRDefault="00B53316" w:rsidP="004B11B7">
            <w:pPr>
              <w:jc w:val="right"/>
              <w:rPr>
                <w:color w:val="000000"/>
              </w:rPr>
            </w:pPr>
            <w:r w:rsidRPr="00D618B7">
              <w:rPr>
                <w:color w:val="000000"/>
              </w:rPr>
              <w:t>0.35</w:t>
            </w:r>
          </w:p>
        </w:tc>
      </w:tr>
      <w:tr w:rsidR="00B53316" w:rsidRPr="00D618B7" w14:paraId="2A926132" w14:textId="77777777" w:rsidTr="004B11B7">
        <w:trPr>
          <w:trHeight w:val="325"/>
        </w:trPr>
        <w:tc>
          <w:tcPr>
            <w:tcW w:w="714" w:type="pct"/>
            <w:tcBorders>
              <w:top w:val="nil"/>
              <w:left w:val="nil"/>
              <w:bottom w:val="nil"/>
              <w:right w:val="nil"/>
            </w:tcBorders>
            <w:shd w:val="clear" w:color="000000" w:fill="FFFFFF"/>
            <w:noWrap/>
            <w:vAlign w:val="bottom"/>
            <w:hideMark/>
          </w:tcPr>
          <w:p w14:paraId="058230CD" w14:textId="77777777" w:rsidR="00B53316" w:rsidRPr="00D618B7" w:rsidRDefault="00B53316" w:rsidP="004B11B7">
            <w:pPr>
              <w:rPr>
                <w:color w:val="000000"/>
              </w:rPr>
            </w:pPr>
            <w:r w:rsidRPr="00D618B7">
              <w:rPr>
                <w:color w:val="000000"/>
              </w:rPr>
              <w:t> </w:t>
            </w:r>
          </w:p>
        </w:tc>
        <w:tc>
          <w:tcPr>
            <w:tcW w:w="4286" w:type="pct"/>
            <w:gridSpan w:val="6"/>
            <w:tcBorders>
              <w:top w:val="single" w:sz="8" w:space="0" w:color="auto"/>
              <w:left w:val="nil"/>
              <w:bottom w:val="nil"/>
              <w:right w:val="nil"/>
            </w:tcBorders>
            <w:shd w:val="clear" w:color="000000" w:fill="FFFFFF"/>
            <w:noWrap/>
            <w:vAlign w:val="center"/>
            <w:hideMark/>
          </w:tcPr>
          <w:p w14:paraId="6E96CF0F" w14:textId="77777777" w:rsidR="00B53316" w:rsidRPr="00D618B7" w:rsidRDefault="00B53316" w:rsidP="004B11B7">
            <w:pPr>
              <w:jc w:val="center"/>
              <w:rPr>
                <w:color w:val="000000"/>
              </w:rPr>
            </w:pPr>
            <w:r w:rsidRPr="00D618B7">
              <w:rPr>
                <w:color w:val="000000"/>
              </w:rPr>
              <w:t>Late Reach Group</w:t>
            </w:r>
          </w:p>
        </w:tc>
      </w:tr>
      <w:tr w:rsidR="00B53316" w:rsidRPr="00D618B7" w14:paraId="4382FA68" w14:textId="77777777" w:rsidTr="004B11B7">
        <w:trPr>
          <w:trHeight w:val="325"/>
        </w:trPr>
        <w:tc>
          <w:tcPr>
            <w:tcW w:w="714" w:type="pct"/>
            <w:tcBorders>
              <w:top w:val="nil"/>
              <w:left w:val="nil"/>
              <w:bottom w:val="nil"/>
              <w:right w:val="nil"/>
            </w:tcBorders>
            <w:shd w:val="clear" w:color="000000" w:fill="FFFFFF"/>
            <w:vAlign w:val="center"/>
            <w:hideMark/>
          </w:tcPr>
          <w:p w14:paraId="4CA7809F" w14:textId="77777777" w:rsidR="00B53316" w:rsidRPr="00D618B7" w:rsidRDefault="00B53316" w:rsidP="004B11B7">
            <w:pPr>
              <w:jc w:val="right"/>
              <w:rPr>
                <w:color w:val="000000"/>
              </w:rPr>
            </w:pPr>
            <w:r w:rsidRPr="00D618B7">
              <w:rPr>
                <w:color w:val="000000"/>
              </w:rPr>
              <w:t>-5</w:t>
            </w:r>
          </w:p>
        </w:tc>
        <w:tc>
          <w:tcPr>
            <w:tcW w:w="714" w:type="pct"/>
            <w:tcBorders>
              <w:top w:val="nil"/>
              <w:left w:val="nil"/>
              <w:bottom w:val="nil"/>
              <w:right w:val="nil"/>
            </w:tcBorders>
            <w:shd w:val="clear" w:color="000000" w:fill="FFFFFF"/>
            <w:noWrap/>
            <w:vAlign w:val="center"/>
            <w:hideMark/>
          </w:tcPr>
          <w:p w14:paraId="50FE3C36" w14:textId="77777777" w:rsidR="00B53316" w:rsidRPr="00D618B7" w:rsidRDefault="00B53316" w:rsidP="004B11B7">
            <w:pPr>
              <w:jc w:val="right"/>
              <w:rPr>
                <w:color w:val="000000"/>
              </w:rPr>
            </w:pPr>
            <w:r w:rsidRPr="00D618B7">
              <w:rPr>
                <w:color w:val="000000"/>
              </w:rPr>
              <w:t>-0.11</w:t>
            </w:r>
          </w:p>
        </w:tc>
        <w:tc>
          <w:tcPr>
            <w:tcW w:w="715" w:type="pct"/>
            <w:tcBorders>
              <w:top w:val="nil"/>
              <w:left w:val="nil"/>
              <w:bottom w:val="nil"/>
              <w:right w:val="nil"/>
            </w:tcBorders>
            <w:shd w:val="clear" w:color="000000" w:fill="FFFFFF"/>
            <w:noWrap/>
            <w:vAlign w:val="center"/>
            <w:hideMark/>
          </w:tcPr>
          <w:p w14:paraId="4458C566" w14:textId="77777777" w:rsidR="00B53316" w:rsidRPr="00D618B7" w:rsidRDefault="00B53316" w:rsidP="004B11B7">
            <w:pPr>
              <w:jc w:val="right"/>
              <w:rPr>
                <w:color w:val="000000"/>
              </w:rPr>
            </w:pPr>
            <w:r w:rsidRPr="00D618B7">
              <w:rPr>
                <w:color w:val="000000"/>
              </w:rPr>
              <w:t>0.00</w:t>
            </w:r>
          </w:p>
        </w:tc>
        <w:tc>
          <w:tcPr>
            <w:tcW w:w="714" w:type="pct"/>
            <w:tcBorders>
              <w:top w:val="nil"/>
              <w:left w:val="nil"/>
              <w:bottom w:val="nil"/>
              <w:right w:val="nil"/>
            </w:tcBorders>
            <w:shd w:val="clear" w:color="000000" w:fill="FFFFFF"/>
            <w:noWrap/>
            <w:vAlign w:val="center"/>
            <w:hideMark/>
          </w:tcPr>
          <w:p w14:paraId="1C99B578" w14:textId="77777777" w:rsidR="00B53316" w:rsidRPr="00D618B7" w:rsidRDefault="00B53316" w:rsidP="004B11B7">
            <w:pPr>
              <w:jc w:val="right"/>
              <w:rPr>
                <w:color w:val="000000"/>
              </w:rPr>
            </w:pPr>
            <w:r w:rsidRPr="00D618B7">
              <w:rPr>
                <w:color w:val="000000"/>
              </w:rPr>
              <w:t>-0.09</w:t>
            </w:r>
          </w:p>
        </w:tc>
        <w:tc>
          <w:tcPr>
            <w:tcW w:w="715" w:type="pct"/>
            <w:tcBorders>
              <w:top w:val="nil"/>
              <w:left w:val="nil"/>
              <w:bottom w:val="nil"/>
              <w:right w:val="nil"/>
            </w:tcBorders>
            <w:shd w:val="clear" w:color="000000" w:fill="FFFFFF"/>
            <w:noWrap/>
            <w:vAlign w:val="center"/>
            <w:hideMark/>
          </w:tcPr>
          <w:p w14:paraId="4FD38726" w14:textId="77777777" w:rsidR="00B53316" w:rsidRPr="00D618B7" w:rsidRDefault="00B53316" w:rsidP="004B11B7">
            <w:pPr>
              <w:jc w:val="right"/>
              <w:rPr>
                <w:color w:val="000000"/>
              </w:rPr>
            </w:pPr>
            <w:r w:rsidRPr="00D618B7">
              <w:rPr>
                <w:color w:val="000000"/>
              </w:rPr>
              <w:t>0.03</w:t>
            </w:r>
          </w:p>
        </w:tc>
        <w:tc>
          <w:tcPr>
            <w:tcW w:w="714" w:type="pct"/>
            <w:tcBorders>
              <w:top w:val="nil"/>
              <w:left w:val="nil"/>
              <w:bottom w:val="nil"/>
              <w:right w:val="nil"/>
            </w:tcBorders>
            <w:shd w:val="clear" w:color="000000" w:fill="FFFFFF"/>
            <w:noWrap/>
            <w:vAlign w:val="center"/>
            <w:hideMark/>
          </w:tcPr>
          <w:p w14:paraId="00F48C62" w14:textId="77777777" w:rsidR="00B53316" w:rsidRPr="00D618B7" w:rsidRDefault="00B53316" w:rsidP="004B11B7">
            <w:pPr>
              <w:jc w:val="right"/>
              <w:rPr>
                <w:color w:val="000000"/>
              </w:rPr>
            </w:pPr>
            <w:r w:rsidRPr="00D618B7">
              <w:rPr>
                <w:color w:val="000000"/>
              </w:rPr>
              <w:t>0.04</w:t>
            </w:r>
          </w:p>
        </w:tc>
        <w:tc>
          <w:tcPr>
            <w:tcW w:w="714" w:type="pct"/>
            <w:tcBorders>
              <w:top w:val="nil"/>
              <w:left w:val="nil"/>
              <w:bottom w:val="nil"/>
              <w:right w:val="nil"/>
            </w:tcBorders>
            <w:shd w:val="clear" w:color="000000" w:fill="FFFFFF"/>
            <w:noWrap/>
            <w:vAlign w:val="center"/>
            <w:hideMark/>
          </w:tcPr>
          <w:p w14:paraId="40BA3B55" w14:textId="77777777" w:rsidR="00B53316" w:rsidRPr="00D618B7" w:rsidRDefault="00B53316" w:rsidP="004B11B7">
            <w:pPr>
              <w:jc w:val="right"/>
              <w:rPr>
                <w:color w:val="000000"/>
              </w:rPr>
            </w:pPr>
            <w:r w:rsidRPr="00D618B7">
              <w:rPr>
                <w:color w:val="000000"/>
              </w:rPr>
              <w:t>0.24</w:t>
            </w:r>
          </w:p>
        </w:tc>
      </w:tr>
      <w:tr w:rsidR="00B53316" w:rsidRPr="00D618B7" w14:paraId="32D24ADA" w14:textId="77777777" w:rsidTr="004B11B7">
        <w:trPr>
          <w:trHeight w:val="325"/>
        </w:trPr>
        <w:tc>
          <w:tcPr>
            <w:tcW w:w="714" w:type="pct"/>
            <w:tcBorders>
              <w:top w:val="nil"/>
              <w:left w:val="nil"/>
              <w:bottom w:val="nil"/>
              <w:right w:val="nil"/>
            </w:tcBorders>
            <w:shd w:val="clear" w:color="000000" w:fill="FFFFFF"/>
            <w:vAlign w:val="center"/>
            <w:hideMark/>
          </w:tcPr>
          <w:p w14:paraId="12CD3483" w14:textId="77777777" w:rsidR="00B53316" w:rsidRPr="00D618B7" w:rsidRDefault="00B53316"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65643910" w14:textId="77777777" w:rsidR="00B53316" w:rsidRPr="00D618B7" w:rsidRDefault="00B53316" w:rsidP="004B11B7">
            <w:pPr>
              <w:jc w:val="right"/>
              <w:rPr>
                <w:color w:val="000000"/>
              </w:rPr>
            </w:pPr>
            <w:r w:rsidRPr="00D618B7">
              <w:rPr>
                <w:color w:val="000000"/>
              </w:rPr>
              <w:t>0.02</w:t>
            </w:r>
          </w:p>
        </w:tc>
        <w:tc>
          <w:tcPr>
            <w:tcW w:w="715" w:type="pct"/>
            <w:tcBorders>
              <w:top w:val="nil"/>
              <w:left w:val="nil"/>
              <w:bottom w:val="nil"/>
              <w:right w:val="nil"/>
            </w:tcBorders>
            <w:shd w:val="clear" w:color="000000" w:fill="FFFFFF"/>
            <w:noWrap/>
            <w:vAlign w:val="center"/>
            <w:hideMark/>
          </w:tcPr>
          <w:p w14:paraId="50EE12D9" w14:textId="77777777" w:rsidR="00B53316" w:rsidRPr="00D618B7" w:rsidRDefault="00B53316" w:rsidP="004B11B7">
            <w:pPr>
              <w:jc w:val="right"/>
              <w:rPr>
                <w:color w:val="000000"/>
              </w:rPr>
            </w:pPr>
            <w:r w:rsidRPr="00D618B7">
              <w:rPr>
                <w:color w:val="000000"/>
              </w:rPr>
              <w:t>0.03</w:t>
            </w:r>
          </w:p>
        </w:tc>
        <w:tc>
          <w:tcPr>
            <w:tcW w:w="714" w:type="pct"/>
            <w:tcBorders>
              <w:top w:val="nil"/>
              <w:left w:val="nil"/>
              <w:bottom w:val="nil"/>
              <w:right w:val="nil"/>
            </w:tcBorders>
            <w:shd w:val="clear" w:color="000000" w:fill="FFFFFF"/>
            <w:noWrap/>
            <w:vAlign w:val="center"/>
            <w:hideMark/>
          </w:tcPr>
          <w:p w14:paraId="5855E838" w14:textId="77777777" w:rsidR="00B53316" w:rsidRPr="00D618B7" w:rsidRDefault="00B53316" w:rsidP="004B11B7">
            <w:pPr>
              <w:jc w:val="right"/>
              <w:rPr>
                <w:color w:val="000000"/>
              </w:rPr>
            </w:pPr>
            <w:r w:rsidRPr="00D618B7">
              <w:rPr>
                <w:color w:val="000000"/>
              </w:rPr>
              <w:t>0.12</w:t>
            </w:r>
          </w:p>
        </w:tc>
        <w:tc>
          <w:tcPr>
            <w:tcW w:w="715" w:type="pct"/>
            <w:tcBorders>
              <w:top w:val="nil"/>
              <w:left w:val="nil"/>
              <w:bottom w:val="nil"/>
              <w:right w:val="nil"/>
            </w:tcBorders>
            <w:shd w:val="clear" w:color="000000" w:fill="FFFFFF"/>
            <w:noWrap/>
            <w:vAlign w:val="center"/>
            <w:hideMark/>
          </w:tcPr>
          <w:p w14:paraId="72BAA0EE" w14:textId="77777777" w:rsidR="00B53316" w:rsidRPr="00D618B7" w:rsidRDefault="00B53316" w:rsidP="004B11B7">
            <w:pPr>
              <w:jc w:val="right"/>
              <w:rPr>
                <w:color w:val="000000"/>
              </w:rPr>
            </w:pPr>
            <w:r w:rsidRPr="00D618B7">
              <w:rPr>
                <w:color w:val="000000"/>
              </w:rPr>
              <w:t>0.06</w:t>
            </w:r>
          </w:p>
        </w:tc>
        <w:tc>
          <w:tcPr>
            <w:tcW w:w="714" w:type="pct"/>
            <w:tcBorders>
              <w:top w:val="nil"/>
              <w:left w:val="nil"/>
              <w:bottom w:val="nil"/>
              <w:right w:val="nil"/>
            </w:tcBorders>
            <w:shd w:val="clear" w:color="000000" w:fill="FFFFFF"/>
            <w:noWrap/>
            <w:vAlign w:val="center"/>
            <w:hideMark/>
          </w:tcPr>
          <w:p w14:paraId="7CBCBC93" w14:textId="77777777" w:rsidR="00B53316" w:rsidRPr="00D618B7" w:rsidRDefault="00B53316" w:rsidP="004B11B7">
            <w:pPr>
              <w:jc w:val="right"/>
              <w:rPr>
                <w:color w:val="000000"/>
              </w:rPr>
            </w:pPr>
            <w:r w:rsidRPr="00D618B7">
              <w:rPr>
                <w:color w:val="000000"/>
              </w:rPr>
              <w:t>0.21</w:t>
            </w:r>
          </w:p>
        </w:tc>
        <w:tc>
          <w:tcPr>
            <w:tcW w:w="714" w:type="pct"/>
            <w:tcBorders>
              <w:top w:val="nil"/>
              <w:left w:val="nil"/>
              <w:bottom w:val="nil"/>
              <w:right w:val="nil"/>
            </w:tcBorders>
            <w:shd w:val="clear" w:color="000000" w:fill="FFFFFF"/>
            <w:noWrap/>
            <w:vAlign w:val="center"/>
            <w:hideMark/>
          </w:tcPr>
          <w:p w14:paraId="6F9B45D1" w14:textId="77777777" w:rsidR="00B53316" w:rsidRPr="00D618B7" w:rsidRDefault="00B53316" w:rsidP="004B11B7">
            <w:pPr>
              <w:jc w:val="right"/>
              <w:rPr>
                <w:color w:val="000000"/>
              </w:rPr>
            </w:pPr>
            <w:r w:rsidRPr="00D618B7">
              <w:rPr>
                <w:color w:val="000000"/>
              </w:rPr>
              <w:t>0.08</w:t>
            </w:r>
          </w:p>
        </w:tc>
      </w:tr>
      <w:tr w:rsidR="00B53316" w:rsidRPr="00D618B7" w14:paraId="413B347F" w14:textId="77777777" w:rsidTr="004B11B7">
        <w:trPr>
          <w:trHeight w:val="325"/>
        </w:trPr>
        <w:tc>
          <w:tcPr>
            <w:tcW w:w="714" w:type="pct"/>
            <w:tcBorders>
              <w:top w:val="nil"/>
              <w:left w:val="nil"/>
              <w:bottom w:val="nil"/>
              <w:right w:val="nil"/>
            </w:tcBorders>
            <w:shd w:val="clear" w:color="000000" w:fill="FFFFFF"/>
            <w:vAlign w:val="center"/>
            <w:hideMark/>
          </w:tcPr>
          <w:p w14:paraId="488E64A3" w14:textId="77777777" w:rsidR="00B53316" w:rsidRPr="00D618B7" w:rsidRDefault="00B53316"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19B79A15" w14:textId="77777777" w:rsidR="00B53316" w:rsidRPr="00D618B7" w:rsidRDefault="00B53316" w:rsidP="004B11B7">
            <w:pPr>
              <w:jc w:val="right"/>
              <w:rPr>
                <w:color w:val="000000"/>
              </w:rPr>
            </w:pPr>
            <w:r w:rsidRPr="00D618B7">
              <w:rPr>
                <w:color w:val="000000"/>
              </w:rPr>
              <w:t>0.15</w:t>
            </w:r>
          </w:p>
        </w:tc>
        <w:tc>
          <w:tcPr>
            <w:tcW w:w="715" w:type="pct"/>
            <w:tcBorders>
              <w:top w:val="nil"/>
              <w:left w:val="nil"/>
              <w:bottom w:val="nil"/>
              <w:right w:val="nil"/>
            </w:tcBorders>
            <w:shd w:val="clear" w:color="000000" w:fill="FFFFFF"/>
            <w:noWrap/>
            <w:vAlign w:val="center"/>
            <w:hideMark/>
          </w:tcPr>
          <w:p w14:paraId="339EDB71" w14:textId="77777777" w:rsidR="00B53316" w:rsidRPr="00D618B7" w:rsidRDefault="00B53316" w:rsidP="004B11B7">
            <w:pPr>
              <w:jc w:val="right"/>
              <w:rPr>
                <w:color w:val="000000"/>
              </w:rPr>
            </w:pPr>
            <w:r w:rsidRPr="00D618B7">
              <w:rPr>
                <w:color w:val="000000"/>
              </w:rPr>
              <w:t>0.07</w:t>
            </w:r>
          </w:p>
        </w:tc>
        <w:tc>
          <w:tcPr>
            <w:tcW w:w="714" w:type="pct"/>
            <w:tcBorders>
              <w:top w:val="nil"/>
              <w:left w:val="nil"/>
              <w:bottom w:val="nil"/>
              <w:right w:val="nil"/>
            </w:tcBorders>
            <w:shd w:val="clear" w:color="000000" w:fill="FFFFFF"/>
            <w:noWrap/>
            <w:vAlign w:val="center"/>
            <w:hideMark/>
          </w:tcPr>
          <w:p w14:paraId="70554049" w14:textId="77777777" w:rsidR="00B53316" w:rsidRPr="00D618B7" w:rsidRDefault="00B53316" w:rsidP="004B11B7">
            <w:pPr>
              <w:jc w:val="right"/>
              <w:rPr>
                <w:color w:val="000000"/>
              </w:rPr>
            </w:pPr>
            <w:r w:rsidRPr="00D618B7">
              <w:rPr>
                <w:color w:val="000000"/>
              </w:rPr>
              <w:t>0.17</w:t>
            </w:r>
          </w:p>
        </w:tc>
        <w:tc>
          <w:tcPr>
            <w:tcW w:w="715" w:type="pct"/>
            <w:tcBorders>
              <w:top w:val="nil"/>
              <w:left w:val="nil"/>
              <w:bottom w:val="nil"/>
              <w:right w:val="nil"/>
            </w:tcBorders>
            <w:shd w:val="clear" w:color="000000" w:fill="FFFFFF"/>
            <w:noWrap/>
            <w:vAlign w:val="center"/>
            <w:hideMark/>
          </w:tcPr>
          <w:p w14:paraId="1190203E" w14:textId="77777777" w:rsidR="00B53316" w:rsidRPr="00D618B7" w:rsidRDefault="00B53316" w:rsidP="004B11B7">
            <w:pPr>
              <w:jc w:val="right"/>
              <w:rPr>
                <w:color w:val="000000"/>
              </w:rPr>
            </w:pPr>
            <w:r w:rsidRPr="00D618B7">
              <w:rPr>
                <w:color w:val="000000"/>
              </w:rPr>
              <w:t>0.11</w:t>
            </w:r>
          </w:p>
        </w:tc>
        <w:tc>
          <w:tcPr>
            <w:tcW w:w="714" w:type="pct"/>
            <w:tcBorders>
              <w:top w:val="nil"/>
              <w:left w:val="nil"/>
              <w:bottom w:val="nil"/>
              <w:right w:val="nil"/>
            </w:tcBorders>
            <w:shd w:val="clear" w:color="000000" w:fill="FFFFFF"/>
            <w:noWrap/>
            <w:vAlign w:val="center"/>
            <w:hideMark/>
          </w:tcPr>
          <w:p w14:paraId="61319767" w14:textId="77777777" w:rsidR="00B53316" w:rsidRPr="00D618B7" w:rsidRDefault="00B53316" w:rsidP="004B11B7">
            <w:pPr>
              <w:jc w:val="right"/>
              <w:rPr>
                <w:color w:val="000000"/>
              </w:rPr>
            </w:pPr>
            <w:r w:rsidRPr="00D618B7">
              <w:rPr>
                <w:color w:val="000000"/>
              </w:rPr>
              <w:t>0.36</w:t>
            </w:r>
          </w:p>
        </w:tc>
        <w:tc>
          <w:tcPr>
            <w:tcW w:w="714" w:type="pct"/>
            <w:tcBorders>
              <w:top w:val="nil"/>
              <w:left w:val="nil"/>
              <w:bottom w:val="nil"/>
              <w:right w:val="nil"/>
            </w:tcBorders>
            <w:shd w:val="clear" w:color="000000" w:fill="FFFFFF"/>
            <w:noWrap/>
            <w:vAlign w:val="center"/>
            <w:hideMark/>
          </w:tcPr>
          <w:p w14:paraId="468A430D" w14:textId="77777777" w:rsidR="00B53316" w:rsidRPr="00D618B7" w:rsidRDefault="00B53316" w:rsidP="004B11B7">
            <w:pPr>
              <w:jc w:val="right"/>
              <w:rPr>
                <w:color w:val="000000"/>
              </w:rPr>
            </w:pPr>
            <w:r w:rsidRPr="00D618B7">
              <w:rPr>
                <w:color w:val="000000"/>
              </w:rPr>
              <w:t>0.14</w:t>
            </w:r>
          </w:p>
        </w:tc>
      </w:tr>
      <w:tr w:rsidR="00B53316" w:rsidRPr="00D618B7" w14:paraId="29508073" w14:textId="77777777" w:rsidTr="004B11B7">
        <w:trPr>
          <w:trHeight w:val="325"/>
        </w:trPr>
        <w:tc>
          <w:tcPr>
            <w:tcW w:w="714" w:type="pct"/>
            <w:tcBorders>
              <w:top w:val="nil"/>
              <w:left w:val="nil"/>
              <w:bottom w:val="nil"/>
              <w:right w:val="nil"/>
            </w:tcBorders>
            <w:shd w:val="clear" w:color="000000" w:fill="FFFFFF"/>
            <w:vAlign w:val="center"/>
            <w:hideMark/>
          </w:tcPr>
          <w:p w14:paraId="1759BFC2" w14:textId="77777777" w:rsidR="00B53316" w:rsidRPr="00D618B7" w:rsidRDefault="00B53316"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691E4439" w14:textId="77777777" w:rsidR="00B53316" w:rsidRPr="00D618B7" w:rsidRDefault="00B53316" w:rsidP="004B11B7">
            <w:pPr>
              <w:jc w:val="right"/>
              <w:rPr>
                <w:color w:val="000000"/>
              </w:rPr>
            </w:pPr>
            <w:r w:rsidRPr="00D618B7">
              <w:rPr>
                <w:color w:val="000000"/>
              </w:rPr>
              <w:t>0.15</w:t>
            </w:r>
          </w:p>
        </w:tc>
        <w:tc>
          <w:tcPr>
            <w:tcW w:w="715" w:type="pct"/>
            <w:tcBorders>
              <w:top w:val="nil"/>
              <w:left w:val="nil"/>
              <w:bottom w:val="nil"/>
              <w:right w:val="nil"/>
            </w:tcBorders>
            <w:shd w:val="clear" w:color="000000" w:fill="FFFFFF"/>
            <w:noWrap/>
            <w:vAlign w:val="center"/>
            <w:hideMark/>
          </w:tcPr>
          <w:p w14:paraId="492C3B3D" w14:textId="77777777" w:rsidR="00B53316" w:rsidRPr="00D618B7" w:rsidRDefault="00B53316" w:rsidP="004B11B7">
            <w:pPr>
              <w:jc w:val="right"/>
              <w:rPr>
                <w:color w:val="000000"/>
              </w:rPr>
            </w:pPr>
            <w:r w:rsidRPr="00D618B7">
              <w:rPr>
                <w:color w:val="000000"/>
              </w:rPr>
              <w:t>0.05</w:t>
            </w:r>
          </w:p>
        </w:tc>
        <w:tc>
          <w:tcPr>
            <w:tcW w:w="714" w:type="pct"/>
            <w:tcBorders>
              <w:top w:val="nil"/>
              <w:left w:val="nil"/>
              <w:bottom w:val="nil"/>
              <w:right w:val="nil"/>
            </w:tcBorders>
            <w:shd w:val="clear" w:color="000000" w:fill="FFFFFF"/>
            <w:noWrap/>
            <w:vAlign w:val="center"/>
            <w:hideMark/>
          </w:tcPr>
          <w:p w14:paraId="40E968A7" w14:textId="77777777" w:rsidR="00B53316" w:rsidRPr="00D618B7" w:rsidRDefault="00B53316" w:rsidP="004B11B7">
            <w:pPr>
              <w:jc w:val="right"/>
              <w:rPr>
                <w:color w:val="000000"/>
              </w:rPr>
            </w:pPr>
            <w:r w:rsidRPr="00D618B7">
              <w:rPr>
                <w:color w:val="000000"/>
              </w:rPr>
              <w:t>-0.01</w:t>
            </w:r>
          </w:p>
        </w:tc>
        <w:tc>
          <w:tcPr>
            <w:tcW w:w="715" w:type="pct"/>
            <w:tcBorders>
              <w:top w:val="nil"/>
              <w:left w:val="nil"/>
              <w:bottom w:val="nil"/>
              <w:right w:val="nil"/>
            </w:tcBorders>
            <w:shd w:val="clear" w:color="000000" w:fill="FFFFFF"/>
            <w:noWrap/>
            <w:vAlign w:val="center"/>
            <w:hideMark/>
          </w:tcPr>
          <w:p w14:paraId="5560B22C" w14:textId="77777777" w:rsidR="00B53316" w:rsidRPr="00D618B7" w:rsidRDefault="00B53316" w:rsidP="004B11B7">
            <w:pPr>
              <w:jc w:val="right"/>
              <w:rPr>
                <w:color w:val="000000"/>
              </w:rPr>
            </w:pPr>
            <w:r w:rsidRPr="00D618B7">
              <w:rPr>
                <w:color w:val="000000"/>
              </w:rPr>
              <w:t>0.14</w:t>
            </w:r>
          </w:p>
        </w:tc>
        <w:tc>
          <w:tcPr>
            <w:tcW w:w="714" w:type="pct"/>
            <w:tcBorders>
              <w:top w:val="nil"/>
              <w:left w:val="nil"/>
              <w:bottom w:val="nil"/>
              <w:right w:val="nil"/>
            </w:tcBorders>
            <w:shd w:val="clear" w:color="000000" w:fill="FFFFFF"/>
            <w:noWrap/>
            <w:vAlign w:val="center"/>
            <w:hideMark/>
          </w:tcPr>
          <w:p w14:paraId="79A02436" w14:textId="77777777" w:rsidR="00B53316" w:rsidRPr="00D618B7" w:rsidRDefault="00B53316" w:rsidP="004B11B7">
            <w:pPr>
              <w:jc w:val="right"/>
              <w:rPr>
                <w:color w:val="000000"/>
              </w:rPr>
            </w:pPr>
            <w:r w:rsidRPr="00D618B7">
              <w:rPr>
                <w:color w:val="000000"/>
              </w:rPr>
              <w:t>0.86</w:t>
            </w:r>
          </w:p>
        </w:tc>
        <w:tc>
          <w:tcPr>
            <w:tcW w:w="714" w:type="pct"/>
            <w:tcBorders>
              <w:top w:val="nil"/>
              <w:left w:val="nil"/>
              <w:bottom w:val="nil"/>
              <w:right w:val="nil"/>
            </w:tcBorders>
            <w:shd w:val="clear" w:color="000000" w:fill="FFFFFF"/>
            <w:noWrap/>
            <w:vAlign w:val="center"/>
            <w:hideMark/>
          </w:tcPr>
          <w:p w14:paraId="0F9A30D8" w14:textId="77777777" w:rsidR="00B53316" w:rsidRPr="00D618B7" w:rsidRDefault="00B53316" w:rsidP="004B11B7">
            <w:pPr>
              <w:jc w:val="right"/>
              <w:rPr>
                <w:color w:val="000000"/>
              </w:rPr>
            </w:pPr>
            <w:r w:rsidRPr="00D618B7">
              <w:rPr>
                <w:color w:val="000000"/>
              </w:rPr>
              <w:t>0.38</w:t>
            </w:r>
          </w:p>
        </w:tc>
      </w:tr>
      <w:tr w:rsidR="00B53316" w:rsidRPr="00D618B7" w14:paraId="6B30B9A9" w14:textId="77777777" w:rsidTr="004B11B7">
        <w:trPr>
          <w:trHeight w:val="325"/>
        </w:trPr>
        <w:tc>
          <w:tcPr>
            <w:tcW w:w="714" w:type="pct"/>
            <w:tcBorders>
              <w:top w:val="nil"/>
              <w:left w:val="nil"/>
              <w:bottom w:val="nil"/>
              <w:right w:val="nil"/>
            </w:tcBorders>
            <w:shd w:val="clear" w:color="000000" w:fill="FFFFFF"/>
            <w:vAlign w:val="center"/>
            <w:hideMark/>
          </w:tcPr>
          <w:p w14:paraId="105C752D" w14:textId="77777777" w:rsidR="00B53316" w:rsidRPr="00D618B7" w:rsidRDefault="00B53316"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4607F811" w14:textId="77777777" w:rsidR="00B53316" w:rsidRPr="00D618B7" w:rsidRDefault="00B53316" w:rsidP="004B11B7">
            <w:pPr>
              <w:jc w:val="right"/>
              <w:rPr>
                <w:color w:val="000000"/>
              </w:rPr>
            </w:pPr>
            <w:r w:rsidRPr="00D618B7">
              <w:rPr>
                <w:color w:val="000000"/>
              </w:rPr>
              <w:t>-0.07</w:t>
            </w:r>
          </w:p>
        </w:tc>
        <w:tc>
          <w:tcPr>
            <w:tcW w:w="715" w:type="pct"/>
            <w:tcBorders>
              <w:top w:val="nil"/>
              <w:left w:val="nil"/>
              <w:bottom w:val="nil"/>
              <w:right w:val="nil"/>
            </w:tcBorders>
            <w:shd w:val="clear" w:color="000000" w:fill="FFFFFF"/>
            <w:noWrap/>
            <w:vAlign w:val="center"/>
            <w:hideMark/>
          </w:tcPr>
          <w:p w14:paraId="3AC49146" w14:textId="77777777" w:rsidR="00B53316" w:rsidRPr="00D618B7" w:rsidRDefault="00B53316" w:rsidP="004B11B7">
            <w:pPr>
              <w:jc w:val="right"/>
              <w:rPr>
                <w:color w:val="000000"/>
              </w:rPr>
            </w:pPr>
            <w:r w:rsidRPr="00D618B7">
              <w:rPr>
                <w:color w:val="000000"/>
              </w:rPr>
              <w:t>0.09</w:t>
            </w:r>
          </w:p>
        </w:tc>
        <w:tc>
          <w:tcPr>
            <w:tcW w:w="714" w:type="pct"/>
            <w:tcBorders>
              <w:top w:val="nil"/>
              <w:left w:val="nil"/>
              <w:bottom w:val="nil"/>
              <w:right w:val="nil"/>
            </w:tcBorders>
            <w:shd w:val="clear" w:color="000000" w:fill="FFFFFF"/>
            <w:noWrap/>
            <w:vAlign w:val="center"/>
            <w:hideMark/>
          </w:tcPr>
          <w:p w14:paraId="2205EFE4" w14:textId="77777777" w:rsidR="00B53316" w:rsidRPr="00D618B7" w:rsidRDefault="00B53316" w:rsidP="004B11B7">
            <w:pPr>
              <w:jc w:val="right"/>
              <w:rPr>
                <w:color w:val="000000"/>
              </w:rPr>
            </w:pPr>
            <w:r w:rsidRPr="00D618B7">
              <w:rPr>
                <w:color w:val="000000"/>
              </w:rPr>
              <w:t>-0.17</w:t>
            </w:r>
          </w:p>
        </w:tc>
        <w:tc>
          <w:tcPr>
            <w:tcW w:w="715" w:type="pct"/>
            <w:tcBorders>
              <w:top w:val="nil"/>
              <w:left w:val="nil"/>
              <w:bottom w:val="nil"/>
              <w:right w:val="nil"/>
            </w:tcBorders>
            <w:shd w:val="clear" w:color="000000" w:fill="FFFFFF"/>
            <w:noWrap/>
            <w:vAlign w:val="center"/>
            <w:hideMark/>
          </w:tcPr>
          <w:p w14:paraId="58D0BFEA" w14:textId="77777777" w:rsidR="00B53316" w:rsidRPr="00D618B7" w:rsidRDefault="00B53316" w:rsidP="004B11B7">
            <w:pPr>
              <w:jc w:val="right"/>
              <w:rPr>
                <w:color w:val="000000"/>
              </w:rPr>
            </w:pPr>
            <w:r w:rsidRPr="00D618B7">
              <w:rPr>
                <w:color w:val="000000"/>
              </w:rPr>
              <w:t>0.12</w:t>
            </w:r>
          </w:p>
        </w:tc>
        <w:tc>
          <w:tcPr>
            <w:tcW w:w="714" w:type="pct"/>
            <w:tcBorders>
              <w:top w:val="nil"/>
              <w:left w:val="nil"/>
              <w:bottom w:val="nil"/>
              <w:right w:val="nil"/>
            </w:tcBorders>
            <w:shd w:val="clear" w:color="000000" w:fill="FFFFFF"/>
            <w:noWrap/>
            <w:vAlign w:val="center"/>
            <w:hideMark/>
          </w:tcPr>
          <w:p w14:paraId="5B5F55CA" w14:textId="77777777" w:rsidR="00B53316" w:rsidRPr="00D618B7" w:rsidRDefault="00B53316" w:rsidP="004B11B7">
            <w:pPr>
              <w:jc w:val="right"/>
              <w:rPr>
                <w:color w:val="000000"/>
              </w:rPr>
            </w:pPr>
            <w:r w:rsidRPr="00D618B7">
              <w:rPr>
                <w:color w:val="000000"/>
              </w:rPr>
              <w:t>0.34</w:t>
            </w:r>
          </w:p>
        </w:tc>
        <w:tc>
          <w:tcPr>
            <w:tcW w:w="714" w:type="pct"/>
            <w:tcBorders>
              <w:top w:val="nil"/>
              <w:left w:val="nil"/>
              <w:bottom w:val="nil"/>
              <w:right w:val="nil"/>
            </w:tcBorders>
            <w:shd w:val="clear" w:color="000000" w:fill="FFFFFF"/>
            <w:noWrap/>
            <w:vAlign w:val="center"/>
            <w:hideMark/>
          </w:tcPr>
          <w:p w14:paraId="736B01CB" w14:textId="77777777" w:rsidR="00B53316" w:rsidRPr="00D618B7" w:rsidRDefault="00B53316" w:rsidP="004B11B7">
            <w:pPr>
              <w:jc w:val="right"/>
              <w:rPr>
                <w:color w:val="000000"/>
              </w:rPr>
            </w:pPr>
            <w:r w:rsidRPr="00D618B7">
              <w:rPr>
                <w:color w:val="000000"/>
              </w:rPr>
              <w:t>0.65</w:t>
            </w:r>
          </w:p>
        </w:tc>
      </w:tr>
      <w:tr w:rsidR="00B53316" w:rsidRPr="00D618B7" w14:paraId="26DE7B92" w14:textId="77777777" w:rsidTr="004B11B7">
        <w:trPr>
          <w:trHeight w:val="325"/>
        </w:trPr>
        <w:tc>
          <w:tcPr>
            <w:tcW w:w="714" w:type="pct"/>
            <w:tcBorders>
              <w:top w:val="nil"/>
              <w:left w:val="nil"/>
              <w:bottom w:val="nil"/>
              <w:right w:val="nil"/>
            </w:tcBorders>
            <w:shd w:val="clear" w:color="000000" w:fill="FFFFFF"/>
            <w:vAlign w:val="center"/>
            <w:hideMark/>
          </w:tcPr>
          <w:p w14:paraId="474F7E68" w14:textId="77777777" w:rsidR="00B53316" w:rsidRPr="00D618B7" w:rsidRDefault="00B53316" w:rsidP="004B11B7">
            <w:pPr>
              <w:jc w:val="right"/>
              <w:rPr>
                <w:color w:val="000000"/>
              </w:rPr>
            </w:pPr>
            <w:r w:rsidRPr="00D618B7">
              <w:rPr>
                <w:color w:val="000000"/>
              </w:rPr>
              <w:t>0</w:t>
            </w:r>
          </w:p>
        </w:tc>
        <w:tc>
          <w:tcPr>
            <w:tcW w:w="714" w:type="pct"/>
            <w:tcBorders>
              <w:top w:val="nil"/>
              <w:left w:val="nil"/>
              <w:bottom w:val="nil"/>
              <w:right w:val="nil"/>
            </w:tcBorders>
            <w:shd w:val="clear" w:color="000000" w:fill="FFFFFF"/>
            <w:noWrap/>
            <w:vAlign w:val="center"/>
            <w:hideMark/>
          </w:tcPr>
          <w:p w14:paraId="4FB138EB" w14:textId="77777777" w:rsidR="00B53316" w:rsidRPr="00D618B7" w:rsidRDefault="00B53316" w:rsidP="004B11B7">
            <w:pPr>
              <w:jc w:val="right"/>
              <w:rPr>
                <w:color w:val="000000"/>
              </w:rPr>
            </w:pPr>
            <w:r w:rsidRPr="00D618B7">
              <w:rPr>
                <w:color w:val="000000"/>
              </w:rPr>
              <w:t>0.38</w:t>
            </w:r>
          </w:p>
        </w:tc>
        <w:tc>
          <w:tcPr>
            <w:tcW w:w="715" w:type="pct"/>
            <w:tcBorders>
              <w:top w:val="nil"/>
              <w:left w:val="nil"/>
              <w:bottom w:val="nil"/>
              <w:right w:val="nil"/>
            </w:tcBorders>
            <w:shd w:val="clear" w:color="000000" w:fill="FFFFFF"/>
            <w:noWrap/>
            <w:vAlign w:val="center"/>
            <w:hideMark/>
          </w:tcPr>
          <w:p w14:paraId="5CE160BE" w14:textId="77777777" w:rsidR="00B53316" w:rsidRPr="00D618B7" w:rsidRDefault="00B53316" w:rsidP="004B11B7">
            <w:pPr>
              <w:jc w:val="right"/>
              <w:rPr>
                <w:color w:val="000000"/>
              </w:rPr>
            </w:pPr>
            <w:r w:rsidRPr="00D618B7">
              <w:rPr>
                <w:color w:val="000000"/>
              </w:rPr>
              <w:t>0.11</w:t>
            </w:r>
          </w:p>
        </w:tc>
        <w:tc>
          <w:tcPr>
            <w:tcW w:w="714" w:type="pct"/>
            <w:tcBorders>
              <w:top w:val="nil"/>
              <w:left w:val="nil"/>
              <w:bottom w:val="nil"/>
              <w:right w:val="nil"/>
            </w:tcBorders>
            <w:shd w:val="clear" w:color="000000" w:fill="FFFFFF"/>
            <w:noWrap/>
            <w:vAlign w:val="center"/>
            <w:hideMark/>
          </w:tcPr>
          <w:p w14:paraId="4D493CE7" w14:textId="77777777" w:rsidR="00B53316" w:rsidRPr="00D618B7" w:rsidRDefault="00B53316" w:rsidP="004B11B7">
            <w:pPr>
              <w:jc w:val="right"/>
              <w:rPr>
                <w:color w:val="000000"/>
              </w:rPr>
            </w:pPr>
            <w:r w:rsidRPr="00D618B7">
              <w:rPr>
                <w:color w:val="000000"/>
              </w:rPr>
              <w:t>0.46</w:t>
            </w:r>
          </w:p>
        </w:tc>
        <w:tc>
          <w:tcPr>
            <w:tcW w:w="715" w:type="pct"/>
            <w:tcBorders>
              <w:top w:val="nil"/>
              <w:left w:val="nil"/>
              <w:bottom w:val="nil"/>
              <w:right w:val="nil"/>
            </w:tcBorders>
            <w:shd w:val="clear" w:color="000000" w:fill="FFFFFF"/>
            <w:noWrap/>
            <w:vAlign w:val="center"/>
            <w:hideMark/>
          </w:tcPr>
          <w:p w14:paraId="0DB248A1" w14:textId="77777777" w:rsidR="00B53316" w:rsidRPr="00D618B7" w:rsidRDefault="00B53316" w:rsidP="004B11B7">
            <w:pPr>
              <w:jc w:val="right"/>
              <w:rPr>
                <w:color w:val="000000"/>
              </w:rPr>
            </w:pPr>
            <w:r w:rsidRPr="00D618B7">
              <w:rPr>
                <w:color w:val="000000"/>
              </w:rPr>
              <w:t>0.05</w:t>
            </w:r>
          </w:p>
        </w:tc>
        <w:tc>
          <w:tcPr>
            <w:tcW w:w="714" w:type="pct"/>
            <w:tcBorders>
              <w:top w:val="nil"/>
              <w:left w:val="nil"/>
              <w:bottom w:val="nil"/>
              <w:right w:val="nil"/>
            </w:tcBorders>
            <w:shd w:val="clear" w:color="000000" w:fill="FFFFFF"/>
            <w:noWrap/>
            <w:vAlign w:val="center"/>
            <w:hideMark/>
          </w:tcPr>
          <w:p w14:paraId="0B9912BF" w14:textId="77777777" w:rsidR="00B53316" w:rsidRPr="00D618B7" w:rsidRDefault="00B53316" w:rsidP="004B11B7">
            <w:pPr>
              <w:jc w:val="right"/>
              <w:rPr>
                <w:color w:val="000000"/>
              </w:rPr>
            </w:pPr>
            <w:r w:rsidRPr="00D618B7">
              <w:rPr>
                <w:color w:val="000000"/>
              </w:rPr>
              <w:t>1.58</w:t>
            </w:r>
          </w:p>
        </w:tc>
        <w:tc>
          <w:tcPr>
            <w:tcW w:w="714" w:type="pct"/>
            <w:tcBorders>
              <w:top w:val="nil"/>
              <w:left w:val="nil"/>
              <w:bottom w:val="nil"/>
              <w:right w:val="nil"/>
            </w:tcBorders>
            <w:shd w:val="clear" w:color="000000" w:fill="FFFFFF"/>
            <w:noWrap/>
            <w:vAlign w:val="center"/>
            <w:hideMark/>
          </w:tcPr>
          <w:p w14:paraId="0A70DD17" w14:textId="77777777" w:rsidR="00B53316" w:rsidRPr="00D618B7" w:rsidRDefault="00B53316" w:rsidP="004B11B7">
            <w:pPr>
              <w:jc w:val="right"/>
              <w:rPr>
                <w:color w:val="000000"/>
              </w:rPr>
            </w:pPr>
            <w:r w:rsidRPr="00D618B7">
              <w:rPr>
                <w:color w:val="000000"/>
              </w:rPr>
              <w:t>0.56</w:t>
            </w:r>
          </w:p>
        </w:tc>
      </w:tr>
      <w:tr w:rsidR="00B53316" w:rsidRPr="00D618B7" w14:paraId="0E2FCA04" w14:textId="77777777" w:rsidTr="004B11B7">
        <w:trPr>
          <w:trHeight w:val="325"/>
        </w:trPr>
        <w:tc>
          <w:tcPr>
            <w:tcW w:w="714" w:type="pct"/>
            <w:tcBorders>
              <w:top w:val="nil"/>
              <w:left w:val="nil"/>
              <w:bottom w:val="nil"/>
              <w:right w:val="nil"/>
            </w:tcBorders>
            <w:shd w:val="clear" w:color="000000" w:fill="FFFFFF"/>
            <w:vAlign w:val="center"/>
            <w:hideMark/>
          </w:tcPr>
          <w:p w14:paraId="40375D11" w14:textId="77777777" w:rsidR="00B53316" w:rsidRPr="00D618B7" w:rsidRDefault="00B53316"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26FA2487" w14:textId="77777777" w:rsidR="00B53316" w:rsidRPr="00D618B7" w:rsidRDefault="00B53316" w:rsidP="004B11B7">
            <w:pPr>
              <w:jc w:val="right"/>
              <w:rPr>
                <w:color w:val="000000"/>
              </w:rPr>
            </w:pPr>
            <w:r w:rsidRPr="00D618B7">
              <w:rPr>
                <w:color w:val="000000"/>
              </w:rPr>
              <w:t>-0.05</w:t>
            </w:r>
          </w:p>
        </w:tc>
        <w:tc>
          <w:tcPr>
            <w:tcW w:w="715" w:type="pct"/>
            <w:tcBorders>
              <w:top w:val="nil"/>
              <w:left w:val="nil"/>
              <w:bottom w:val="nil"/>
              <w:right w:val="nil"/>
            </w:tcBorders>
            <w:shd w:val="clear" w:color="000000" w:fill="FFFFFF"/>
            <w:noWrap/>
            <w:vAlign w:val="center"/>
            <w:hideMark/>
          </w:tcPr>
          <w:p w14:paraId="6558103B" w14:textId="77777777" w:rsidR="00B53316" w:rsidRPr="00D618B7" w:rsidRDefault="00B53316" w:rsidP="004B11B7">
            <w:pPr>
              <w:jc w:val="right"/>
              <w:rPr>
                <w:color w:val="000000"/>
              </w:rPr>
            </w:pPr>
            <w:r w:rsidRPr="00D618B7">
              <w:rPr>
                <w:color w:val="000000"/>
              </w:rPr>
              <w:t>0.04</w:t>
            </w:r>
          </w:p>
        </w:tc>
        <w:tc>
          <w:tcPr>
            <w:tcW w:w="714" w:type="pct"/>
            <w:tcBorders>
              <w:top w:val="nil"/>
              <w:left w:val="nil"/>
              <w:bottom w:val="nil"/>
              <w:right w:val="nil"/>
            </w:tcBorders>
            <w:shd w:val="clear" w:color="000000" w:fill="FFFFFF"/>
            <w:noWrap/>
            <w:vAlign w:val="center"/>
            <w:hideMark/>
          </w:tcPr>
          <w:p w14:paraId="7E738251" w14:textId="77777777" w:rsidR="00B53316" w:rsidRPr="00D618B7" w:rsidRDefault="00B53316" w:rsidP="004B11B7">
            <w:pPr>
              <w:jc w:val="right"/>
              <w:rPr>
                <w:color w:val="000000"/>
              </w:rPr>
            </w:pPr>
            <w:r w:rsidRPr="00D618B7">
              <w:rPr>
                <w:color w:val="000000"/>
              </w:rPr>
              <w:t>-0.11</w:t>
            </w:r>
          </w:p>
        </w:tc>
        <w:tc>
          <w:tcPr>
            <w:tcW w:w="715" w:type="pct"/>
            <w:tcBorders>
              <w:top w:val="nil"/>
              <w:left w:val="nil"/>
              <w:bottom w:val="nil"/>
              <w:right w:val="nil"/>
            </w:tcBorders>
            <w:shd w:val="clear" w:color="000000" w:fill="FFFFFF"/>
            <w:noWrap/>
            <w:vAlign w:val="center"/>
            <w:hideMark/>
          </w:tcPr>
          <w:p w14:paraId="305B6A4B" w14:textId="77777777" w:rsidR="00B53316" w:rsidRPr="00D618B7" w:rsidRDefault="00B53316" w:rsidP="004B11B7">
            <w:pPr>
              <w:jc w:val="right"/>
              <w:rPr>
                <w:color w:val="000000"/>
              </w:rPr>
            </w:pPr>
            <w:r w:rsidRPr="00D618B7">
              <w:rPr>
                <w:color w:val="000000"/>
              </w:rPr>
              <w:t>0.01</w:t>
            </w:r>
          </w:p>
        </w:tc>
        <w:tc>
          <w:tcPr>
            <w:tcW w:w="714" w:type="pct"/>
            <w:tcBorders>
              <w:top w:val="nil"/>
              <w:left w:val="nil"/>
              <w:bottom w:val="nil"/>
              <w:right w:val="nil"/>
            </w:tcBorders>
            <w:shd w:val="clear" w:color="000000" w:fill="FFFFFF"/>
            <w:noWrap/>
            <w:vAlign w:val="center"/>
            <w:hideMark/>
          </w:tcPr>
          <w:p w14:paraId="3E09854E" w14:textId="77777777" w:rsidR="00B53316" w:rsidRPr="00D618B7" w:rsidRDefault="00B53316" w:rsidP="004B11B7">
            <w:pPr>
              <w:jc w:val="right"/>
              <w:rPr>
                <w:color w:val="000000"/>
              </w:rPr>
            </w:pPr>
            <w:r w:rsidRPr="00D618B7">
              <w:rPr>
                <w:color w:val="000000"/>
              </w:rPr>
              <w:t>2.41</w:t>
            </w:r>
          </w:p>
        </w:tc>
        <w:tc>
          <w:tcPr>
            <w:tcW w:w="714" w:type="pct"/>
            <w:tcBorders>
              <w:top w:val="nil"/>
              <w:left w:val="nil"/>
              <w:bottom w:val="nil"/>
              <w:right w:val="nil"/>
            </w:tcBorders>
            <w:shd w:val="clear" w:color="000000" w:fill="FFFFFF"/>
            <w:noWrap/>
            <w:vAlign w:val="center"/>
            <w:hideMark/>
          </w:tcPr>
          <w:p w14:paraId="0E4BD4CF" w14:textId="77777777" w:rsidR="00B53316" w:rsidRPr="00D618B7" w:rsidRDefault="00B53316" w:rsidP="004B11B7">
            <w:pPr>
              <w:jc w:val="right"/>
              <w:rPr>
                <w:color w:val="000000"/>
              </w:rPr>
            </w:pPr>
            <w:r w:rsidRPr="00D618B7">
              <w:rPr>
                <w:color w:val="000000"/>
              </w:rPr>
              <w:t>0.65</w:t>
            </w:r>
          </w:p>
        </w:tc>
      </w:tr>
      <w:tr w:rsidR="00B53316" w:rsidRPr="00D618B7" w14:paraId="1CFF2D3E" w14:textId="77777777" w:rsidTr="004B11B7">
        <w:trPr>
          <w:trHeight w:val="325"/>
        </w:trPr>
        <w:tc>
          <w:tcPr>
            <w:tcW w:w="714" w:type="pct"/>
            <w:tcBorders>
              <w:top w:val="nil"/>
              <w:left w:val="nil"/>
              <w:bottom w:val="nil"/>
              <w:right w:val="nil"/>
            </w:tcBorders>
            <w:shd w:val="clear" w:color="000000" w:fill="FFFFFF"/>
            <w:vAlign w:val="center"/>
            <w:hideMark/>
          </w:tcPr>
          <w:p w14:paraId="5A65B380" w14:textId="77777777" w:rsidR="00B53316" w:rsidRPr="00D618B7" w:rsidRDefault="00B53316"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0AA40A3F" w14:textId="77777777" w:rsidR="00B53316" w:rsidRPr="00D618B7" w:rsidRDefault="00B53316" w:rsidP="004B11B7">
            <w:pPr>
              <w:jc w:val="right"/>
              <w:rPr>
                <w:color w:val="000000"/>
              </w:rPr>
            </w:pPr>
            <w:r w:rsidRPr="00D618B7">
              <w:rPr>
                <w:color w:val="000000"/>
              </w:rPr>
              <w:t>0.44</w:t>
            </w:r>
          </w:p>
        </w:tc>
        <w:tc>
          <w:tcPr>
            <w:tcW w:w="715" w:type="pct"/>
            <w:tcBorders>
              <w:top w:val="nil"/>
              <w:left w:val="nil"/>
              <w:bottom w:val="nil"/>
              <w:right w:val="nil"/>
            </w:tcBorders>
            <w:shd w:val="clear" w:color="000000" w:fill="FFFFFF"/>
            <w:noWrap/>
            <w:vAlign w:val="center"/>
            <w:hideMark/>
          </w:tcPr>
          <w:p w14:paraId="5229D712" w14:textId="77777777" w:rsidR="00B53316" w:rsidRPr="00D618B7" w:rsidRDefault="00B53316" w:rsidP="004B11B7">
            <w:pPr>
              <w:jc w:val="right"/>
              <w:rPr>
                <w:color w:val="000000"/>
              </w:rPr>
            </w:pPr>
            <w:r w:rsidRPr="00D618B7">
              <w:rPr>
                <w:color w:val="000000"/>
              </w:rPr>
              <w:t>0.05</w:t>
            </w:r>
          </w:p>
        </w:tc>
        <w:tc>
          <w:tcPr>
            <w:tcW w:w="714" w:type="pct"/>
            <w:tcBorders>
              <w:top w:val="nil"/>
              <w:left w:val="nil"/>
              <w:bottom w:val="nil"/>
              <w:right w:val="nil"/>
            </w:tcBorders>
            <w:shd w:val="clear" w:color="000000" w:fill="FFFFFF"/>
            <w:noWrap/>
            <w:vAlign w:val="center"/>
            <w:hideMark/>
          </w:tcPr>
          <w:p w14:paraId="2A2CB29E" w14:textId="77777777" w:rsidR="00B53316" w:rsidRPr="00D618B7" w:rsidRDefault="00B53316" w:rsidP="004B11B7">
            <w:pPr>
              <w:jc w:val="right"/>
              <w:rPr>
                <w:color w:val="000000"/>
              </w:rPr>
            </w:pPr>
            <w:r w:rsidRPr="00D618B7">
              <w:rPr>
                <w:color w:val="000000"/>
              </w:rPr>
              <w:t>-0.13</w:t>
            </w:r>
          </w:p>
        </w:tc>
        <w:tc>
          <w:tcPr>
            <w:tcW w:w="715" w:type="pct"/>
            <w:tcBorders>
              <w:top w:val="nil"/>
              <w:left w:val="nil"/>
              <w:bottom w:val="nil"/>
              <w:right w:val="nil"/>
            </w:tcBorders>
            <w:shd w:val="clear" w:color="000000" w:fill="FFFFFF"/>
            <w:noWrap/>
            <w:vAlign w:val="center"/>
            <w:hideMark/>
          </w:tcPr>
          <w:p w14:paraId="0FCD3284" w14:textId="77777777" w:rsidR="00B53316" w:rsidRPr="00D618B7" w:rsidRDefault="00B53316" w:rsidP="004B11B7">
            <w:pPr>
              <w:jc w:val="right"/>
              <w:rPr>
                <w:color w:val="000000"/>
              </w:rPr>
            </w:pPr>
            <w:r w:rsidRPr="00D618B7">
              <w:rPr>
                <w:color w:val="000000"/>
              </w:rPr>
              <w:t>0.04</w:t>
            </w:r>
          </w:p>
        </w:tc>
        <w:tc>
          <w:tcPr>
            <w:tcW w:w="714" w:type="pct"/>
            <w:tcBorders>
              <w:top w:val="nil"/>
              <w:left w:val="nil"/>
              <w:bottom w:val="nil"/>
              <w:right w:val="nil"/>
            </w:tcBorders>
            <w:shd w:val="clear" w:color="000000" w:fill="FFFFFF"/>
            <w:noWrap/>
            <w:vAlign w:val="center"/>
            <w:hideMark/>
          </w:tcPr>
          <w:p w14:paraId="4E17A0A2" w14:textId="77777777" w:rsidR="00B53316" w:rsidRPr="00D618B7" w:rsidRDefault="00B53316" w:rsidP="004B11B7">
            <w:pPr>
              <w:jc w:val="right"/>
              <w:rPr>
                <w:color w:val="000000"/>
              </w:rPr>
            </w:pPr>
            <w:r w:rsidRPr="00D618B7">
              <w:rPr>
                <w:color w:val="000000"/>
              </w:rPr>
              <w:t>2.89</w:t>
            </w:r>
          </w:p>
        </w:tc>
        <w:tc>
          <w:tcPr>
            <w:tcW w:w="714" w:type="pct"/>
            <w:tcBorders>
              <w:top w:val="nil"/>
              <w:left w:val="nil"/>
              <w:bottom w:val="nil"/>
              <w:right w:val="nil"/>
            </w:tcBorders>
            <w:shd w:val="clear" w:color="000000" w:fill="FFFFFF"/>
            <w:noWrap/>
            <w:vAlign w:val="center"/>
            <w:hideMark/>
          </w:tcPr>
          <w:p w14:paraId="7B7A46E8" w14:textId="77777777" w:rsidR="00B53316" w:rsidRPr="00D618B7" w:rsidRDefault="00B53316" w:rsidP="004B11B7">
            <w:pPr>
              <w:jc w:val="right"/>
              <w:rPr>
                <w:color w:val="000000"/>
              </w:rPr>
            </w:pPr>
            <w:r w:rsidRPr="00D618B7">
              <w:rPr>
                <w:color w:val="000000"/>
              </w:rPr>
              <w:t>0.33</w:t>
            </w:r>
          </w:p>
        </w:tc>
      </w:tr>
      <w:tr w:rsidR="00B53316" w:rsidRPr="00D618B7" w14:paraId="3687D2DB" w14:textId="77777777" w:rsidTr="004B11B7">
        <w:trPr>
          <w:trHeight w:val="325"/>
        </w:trPr>
        <w:tc>
          <w:tcPr>
            <w:tcW w:w="714" w:type="pct"/>
            <w:tcBorders>
              <w:top w:val="nil"/>
              <w:left w:val="nil"/>
              <w:bottom w:val="nil"/>
              <w:right w:val="nil"/>
            </w:tcBorders>
            <w:shd w:val="clear" w:color="000000" w:fill="FFFFFF"/>
            <w:vAlign w:val="center"/>
            <w:hideMark/>
          </w:tcPr>
          <w:p w14:paraId="047759DA" w14:textId="77777777" w:rsidR="00B53316" w:rsidRPr="00D618B7" w:rsidRDefault="00B53316"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71BEA7C1" w14:textId="77777777" w:rsidR="00B53316" w:rsidRPr="00D618B7" w:rsidRDefault="00B53316" w:rsidP="004B11B7">
            <w:pPr>
              <w:jc w:val="right"/>
              <w:rPr>
                <w:color w:val="000000"/>
              </w:rPr>
            </w:pPr>
            <w:r w:rsidRPr="00D618B7">
              <w:rPr>
                <w:color w:val="000000"/>
              </w:rPr>
              <w:t>0.14</w:t>
            </w:r>
          </w:p>
        </w:tc>
        <w:tc>
          <w:tcPr>
            <w:tcW w:w="715" w:type="pct"/>
            <w:tcBorders>
              <w:top w:val="nil"/>
              <w:left w:val="nil"/>
              <w:bottom w:val="nil"/>
              <w:right w:val="nil"/>
            </w:tcBorders>
            <w:shd w:val="clear" w:color="000000" w:fill="FFFFFF"/>
            <w:noWrap/>
            <w:vAlign w:val="center"/>
            <w:hideMark/>
          </w:tcPr>
          <w:p w14:paraId="3A3693B8" w14:textId="77777777" w:rsidR="00B53316" w:rsidRPr="00D618B7" w:rsidRDefault="00B53316" w:rsidP="004B11B7">
            <w:pPr>
              <w:jc w:val="right"/>
              <w:rPr>
                <w:color w:val="000000"/>
              </w:rPr>
            </w:pPr>
            <w:r w:rsidRPr="00D618B7">
              <w:rPr>
                <w:color w:val="000000"/>
              </w:rPr>
              <w:t>0.09</w:t>
            </w:r>
          </w:p>
        </w:tc>
        <w:tc>
          <w:tcPr>
            <w:tcW w:w="714" w:type="pct"/>
            <w:tcBorders>
              <w:top w:val="nil"/>
              <w:left w:val="nil"/>
              <w:bottom w:val="nil"/>
              <w:right w:val="nil"/>
            </w:tcBorders>
            <w:shd w:val="clear" w:color="000000" w:fill="FFFFFF"/>
            <w:noWrap/>
            <w:vAlign w:val="center"/>
            <w:hideMark/>
          </w:tcPr>
          <w:p w14:paraId="5ACDD661" w14:textId="77777777" w:rsidR="00B53316" w:rsidRPr="00D618B7" w:rsidRDefault="00B53316" w:rsidP="004B11B7">
            <w:pPr>
              <w:jc w:val="right"/>
              <w:rPr>
                <w:color w:val="000000"/>
              </w:rPr>
            </w:pPr>
            <w:r w:rsidRPr="00D618B7">
              <w:rPr>
                <w:color w:val="000000"/>
              </w:rPr>
              <w:t>0.39</w:t>
            </w:r>
          </w:p>
        </w:tc>
        <w:tc>
          <w:tcPr>
            <w:tcW w:w="715" w:type="pct"/>
            <w:tcBorders>
              <w:top w:val="nil"/>
              <w:left w:val="nil"/>
              <w:bottom w:val="nil"/>
              <w:right w:val="nil"/>
            </w:tcBorders>
            <w:shd w:val="clear" w:color="000000" w:fill="FFFFFF"/>
            <w:noWrap/>
            <w:vAlign w:val="center"/>
            <w:hideMark/>
          </w:tcPr>
          <w:p w14:paraId="25A62D98" w14:textId="77777777" w:rsidR="00B53316" w:rsidRPr="00D618B7" w:rsidRDefault="00B53316" w:rsidP="004B11B7">
            <w:pPr>
              <w:jc w:val="right"/>
              <w:rPr>
                <w:color w:val="000000"/>
              </w:rPr>
            </w:pPr>
            <w:r w:rsidRPr="00D618B7">
              <w:rPr>
                <w:color w:val="000000"/>
              </w:rPr>
              <w:t>0.18</w:t>
            </w:r>
          </w:p>
        </w:tc>
        <w:tc>
          <w:tcPr>
            <w:tcW w:w="714" w:type="pct"/>
            <w:tcBorders>
              <w:top w:val="nil"/>
              <w:left w:val="nil"/>
              <w:bottom w:val="nil"/>
              <w:right w:val="nil"/>
            </w:tcBorders>
            <w:shd w:val="clear" w:color="000000" w:fill="FFFFFF"/>
            <w:noWrap/>
            <w:vAlign w:val="center"/>
            <w:hideMark/>
          </w:tcPr>
          <w:p w14:paraId="732FD856" w14:textId="77777777" w:rsidR="00B53316" w:rsidRPr="00D618B7" w:rsidRDefault="00B53316" w:rsidP="004B11B7">
            <w:pPr>
              <w:jc w:val="right"/>
              <w:rPr>
                <w:color w:val="000000"/>
              </w:rPr>
            </w:pPr>
            <w:r w:rsidRPr="00D618B7">
              <w:rPr>
                <w:color w:val="000000"/>
              </w:rPr>
              <w:t>1.51</w:t>
            </w:r>
          </w:p>
        </w:tc>
        <w:tc>
          <w:tcPr>
            <w:tcW w:w="714" w:type="pct"/>
            <w:tcBorders>
              <w:top w:val="nil"/>
              <w:left w:val="nil"/>
              <w:bottom w:val="nil"/>
              <w:right w:val="nil"/>
            </w:tcBorders>
            <w:shd w:val="clear" w:color="000000" w:fill="FFFFFF"/>
            <w:noWrap/>
            <w:vAlign w:val="center"/>
            <w:hideMark/>
          </w:tcPr>
          <w:p w14:paraId="0D8B5D52" w14:textId="77777777" w:rsidR="00B53316" w:rsidRPr="00D618B7" w:rsidRDefault="00B53316" w:rsidP="004B11B7">
            <w:pPr>
              <w:jc w:val="right"/>
              <w:rPr>
                <w:color w:val="000000"/>
              </w:rPr>
            </w:pPr>
            <w:r w:rsidRPr="00D618B7">
              <w:rPr>
                <w:color w:val="000000"/>
              </w:rPr>
              <w:t>0.29</w:t>
            </w:r>
          </w:p>
        </w:tc>
      </w:tr>
      <w:tr w:rsidR="00B53316" w:rsidRPr="00D618B7" w14:paraId="63D6D179" w14:textId="77777777" w:rsidTr="004B11B7">
        <w:trPr>
          <w:trHeight w:val="325"/>
        </w:trPr>
        <w:tc>
          <w:tcPr>
            <w:tcW w:w="714" w:type="pct"/>
            <w:tcBorders>
              <w:top w:val="nil"/>
              <w:left w:val="nil"/>
              <w:bottom w:val="nil"/>
              <w:right w:val="nil"/>
            </w:tcBorders>
            <w:shd w:val="clear" w:color="000000" w:fill="FFFFFF"/>
            <w:vAlign w:val="center"/>
            <w:hideMark/>
          </w:tcPr>
          <w:p w14:paraId="13B0DAA7" w14:textId="77777777" w:rsidR="00B53316" w:rsidRPr="00D618B7" w:rsidRDefault="00B53316"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02C0E9E6" w14:textId="77777777" w:rsidR="00B53316" w:rsidRPr="00D618B7" w:rsidRDefault="00B53316" w:rsidP="004B11B7">
            <w:pPr>
              <w:jc w:val="right"/>
              <w:rPr>
                <w:color w:val="000000"/>
              </w:rPr>
            </w:pPr>
            <w:r w:rsidRPr="00D618B7">
              <w:rPr>
                <w:color w:val="000000"/>
              </w:rPr>
              <w:t>0.16</w:t>
            </w:r>
          </w:p>
        </w:tc>
        <w:tc>
          <w:tcPr>
            <w:tcW w:w="715" w:type="pct"/>
            <w:tcBorders>
              <w:top w:val="nil"/>
              <w:left w:val="nil"/>
              <w:bottom w:val="nil"/>
              <w:right w:val="nil"/>
            </w:tcBorders>
            <w:shd w:val="clear" w:color="000000" w:fill="FFFFFF"/>
            <w:noWrap/>
            <w:vAlign w:val="center"/>
            <w:hideMark/>
          </w:tcPr>
          <w:p w14:paraId="3DD9DCFE" w14:textId="77777777" w:rsidR="00B53316" w:rsidRPr="00D618B7" w:rsidRDefault="00B53316" w:rsidP="004B11B7">
            <w:pPr>
              <w:jc w:val="right"/>
              <w:rPr>
                <w:color w:val="000000"/>
              </w:rPr>
            </w:pPr>
            <w:r w:rsidRPr="00D618B7">
              <w:rPr>
                <w:color w:val="000000"/>
              </w:rPr>
              <w:t>0.05</w:t>
            </w:r>
          </w:p>
        </w:tc>
        <w:tc>
          <w:tcPr>
            <w:tcW w:w="714" w:type="pct"/>
            <w:tcBorders>
              <w:top w:val="nil"/>
              <w:left w:val="nil"/>
              <w:bottom w:val="nil"/>
              <w:right w:val="nil"/>
            </w:tcBorders>
            <w:shd w:val="clear" w:color="000000" w:fill="FFFFFF"/>
            <w:noWrap/>
            <w:vAlign w:val="center"/>
            <w:hideMark/>
          </w:tcPr>
          <w:p w14:paraId="69FFDE34" w14:textId="77777777" w:rsidR="00B53316" w:rsidRPr="00D618B7" w:rsidRDefault="00B53316" w:rsidP="004B11B7">
            <w:pPr>
              <w:jc w:val="right"/>
              <w:rPr>
                <w:color w:val="000000"/>
              </w:rPr>
            </w:pPr>
            <w:r w:rsidRPr="00D618B7">
              <w:rPr>
                <w:color w:val="000000"/>
              </w:rPr>
              <w:t>-0.11</w:t>
            </w:r>
          </w:p>
        </w:tc>
        <w:tc>
          <w:tcPr>
            <w:tcW w:w="715" w:type="pct"/>
            <w:tcBorders>
              <w:top w:val="nil"/>
              <w:left w:val="nil"/>
              <w:bottom w:val="nil"/>
              <w:right w:val="nil"/>
            </w:tcBorders>
            <w:shd w:val="clear" w:color="000000" w:fill="FFFFFF"/>
            <w:noWrap/>
            <w:vAlign w:val="center"/>
            <w:hideMark/>
          </w:tcPr>
          <w:p w14:paraId="17FC713F" w14:textId="77777777" w:rsidR="00B53316" w:rsidRPr="00D618B7" w:rsidRDefault="00B53316" w:rsidP="004B11B7">
            <w:pPr>
              <w:jc w:val="right"/>
              <w:rPr>
                <w:color w:val="000000"/>
              </w:rPr>
            </w:pPr>
            <w:r w:rsidRPr="00D618B7">
              <w:rPr>
                <w:color w:val="000000"/>
              </w:rPr>
              <w:t>0.21</w:t>
            </w:r>
          </w:p>
        </w:tc>
        <w:tc>
          <w:tcPr>
            <w:tcW w:w="714" w:type="pct"/>
            <w:tcBorders>
              <w:top w:val="nil"/>
              <w:left w:val="nil"/>
              <w:bottom w:val="nil"/>
              <w:right w:val="nil"/>
            </w:tcBorders>
            <w:shd w:val="clear" w:color="000000" w:fill="FFFFFF"/>
            <w:noWrap/>
            <w:vAlign w:val="center"/>
            <w:hideMark/>
          </w:tcPr>
          <w:p w14:paraId="4A913722" w14:textId="77777777" w:rsidR="00B53316" w:rsidRPr="00D618B7" w:rsidRDefault="00B53316" w:rsidP="004B11B7">
            <w:pPr>
              <w:jc w:val="right"/>
              <w:rPr>
                <w:color w:val="000000"/>
              </w:rPr>
            </w:pPr>
            <w:r w:rsidRPr="00D618B7">
              <w:rPr>
                <w:color w:val="000000"/>
              </w:rPr>
              <w:t>3.83</w:t>
            </w:r>
          </w:p>
        </w:tc>
        <w:tc>
          <w:tcPr>
            <w:tcW w:w="714" w:type="pct"/>
            <w:tcBorders>
              <w:top w:val="nil"/>
              <w:left w:val="nil"/>
              <w:bottom w:val="nil"/>
              <w:right w:val="nil"/>
            </w:tcBorders>
            <w:shd w:val="clear" w:color="000000" w:fill="FFFFFF"/>
            <w:noWrap/>
            <w:vAlign w:val="center"/>
            <w:hideMark/>
          </w:tcPr>
          <w:p w14:paraId="3FFCE480" w14:textId="77777777" w:rsidR="00B53316" w:rsidRPr="00D618B7" w:rsidRDefault="00B53316" w:rsidP="004B11B7">
            <w:pPr>
              <w:jc w:val="right"/>
              <w:rPr>
                <w:color w:val="000000"/>
              </w:rPr>
            </w:pPr>
            <w:r w:rsidRPr="00D618B7">
              <w:rPr>
                <w:color w:val="000000"/>
              </w:rPr>
              <w:t>0.40</w:t>
            </w:r>
          </w:p>
        </w:tc>
      </w:tr>
      <w:tr w:rsidR="00B53316" w:rsidRPr="00D618B7" w14:paraId="62A87DC4" w14:textId="77777777" w:rsidTr="004B11B7">
        <w:trPr>
          <w:trHeight w:val="325"/>
        </w:trPr>
        <w:tc>
          <w:tcPr>
            <w:tcW w:w="714" w:type="pct"/>
            <w:tcBorders>
              <w:top w:val="nil"/>
              <w:left w:val="nil"/>
              <w:bottom w:val="single" w:sz="8" w:space="0" w:color="auto"/>
              <w:right w:val="nil"/>
            </w:tcBorders>
            <w:shd w:val="clear" w:color="000000" w:fill="FFFFFF"/>
            <w:vAlign w:val="center"/>
            <w:hideMark/>
          </w:tcPr>
          <w:p w14:paraId="432EFA08" w14:textId="77777777" w:rsidR="00B53316" w:rsidRPr="00D618B7" w:rsidRDefault="00B53316" w:rsidP="004B11B7">
            <w:pPr>
              <w:jc w:val="right"/>
              <w:rPr>
                <w:color w:val="000000"/>
              </w:rPr>
            </w:pPr>
            <w:r w:rsidRPr="00D618B7">
              <w:rPr>
                <w:color w:val="000000"/>
              </w:rPr>
              <w:t>5</w:t>
            </w:r>
          </w:p>
        </w:tc>
        <w:tc>
          <w:tcPr>
            <w:tcW w:w="714" w:type="pct"/>
            <w:tcBorders>
              <w:top w:val="nil"/>
              <w:left w:val="nil"/>
              <w:bottom w:val="single" w:sz="8" w:space="0" w:color="auto"/>
              <w:right w:val="nil"/>
            </w:tcBorders>
            <w:shd w:val="clear" w:color="000000" w:fill="FFFFFF"/>
            <w:noWrap/>
            <w:vAlign w:val="center"/>
            <w:hideMark/>
          </w:tcPr>
          <w:p w14:paraId="7C3ACE08" w14:textId="77777777" w:rsidR="00B53316" w:rsidRPr="00D618B7" w:rsidRDefault="00B53316" w:rsidP="004B11B7">
            <w:pPr>
              <w:jc w:val="right"/>
              <w:rPr>
                <w:color w:val="000000"/>
              </w:rPr>
            </w:pPr>
            <w:r w:rsidRPr="00D618B7">
              <w:rPr>
                <w:color w:val="000000"/>
              </w:rPr>
              <w:t>0.04</w:t>
            </w:r>
          </w:p>
        </w:tc>
        <w:tc>
          <w:tcPr>
            <w:tcW w:w="715" w:type="pct"/>
            <w:tcBorders>
              <w:top w:val="nil"/>
              <w:left w:val="nil"/>
              <w:bottom w:val="single" w:sz="8" w:space="0" w:color="auto"/>
              <w:right w:val="nil"/>
            </w:tcBorders>
            <w:shd w:val="clear" w:color="000000" w:fill="FFFFFF"/>
            <w:noWrap/>
            <w:vAlign w:val="center"/>
            <w:hideMark/>
          </w:tcPr>
          <w:p w14:paraId="76FF13E5" w14:textId="77777777" w:rsidR="00B53316" w:rsidRPr="00D618B7" w:rsidRDefault="00B53316" w:rsidP="004B11B7">
            <w:pPr>
              <w:jc w:val="right"/>
              <w:rPr>
                <w:color w:val="000000"/>
              </w:rPr>
            </w:pPr>
            <w:r w:rsidRPr="00D618B7">
              <w:rPr>
                <w:color w:val="000000"/>
              </w:rPr>
              <w:t>0.08</w:t>
            </w:r>
          </w:p>
        </w:tc>
        <w:tc>
          <w:tcPr>
            <w:tcW w:w="714" w:type="pct"/>
            <w:tcBorders>
              <w:top w:val="nil"/>
              <w:left w:val="nil"/>
              <w:bottom w:val="single" w:sz="8" w:space="0" w:color="auto"/>
              <w:right w:val="nil"/>
            </w:tcBorders>
            <w:shd w:val="clear" w:color="000000" w:fill="FFFFFF"/>
            <w:noWrap/>
            <w:vAlign w:val="center"/>
            <w:hideMark/>
          </w:tcPr>
          <w:p w14:paraId="32AB364C" w14:textId="77777777" w:rsidR="00B53316" w:rsidRPr="00D618B7" w:rsidRDefault="00B53316" w:rsidP="004B11B7">
            <w:pPr>
              <w:jc w:val="right"/>
              <w:rPr>
                <w:color w:val="000000"/>
              </w:rPr>
            </w:pPr>
            <w:r w:rsidRPr="00D618B7">
              <w:rPr>
                <w:color w:val="000000"/>
              </w:rPr>
              <w:t>0.00</w:t>
            </w:r>
          </w:p>
        </w:tc>
        <w:tc>
          <w:tcPr>
            <w:tcW w:w="715" w:type="pct"/>
            <w:tcBorders>
              <w:top w:val="nil"/>
              <w:left w:val="nil"/>
              <w:bottom w:val="single" w:sz="8" w:space="0" w:color="auto"/>
              <w:right w:val="nil"/>
            </w:tcBorders>
            <w:shd w:val="clear" w:color="000000" w:fill="FFFFFF"/>
            <w:noWrap/>
            <w:vAlign w:val="center"/>
            <w:hideMark/>
          </w:tcPr>
          <w:p w14:paraId="6D4ED00F" w14:textId="77777777" w:rsidR="00B53316" w:rsidRPr="00D618B7" w:rsidRDefault="00B53316" w:rsidP="004B11B7">
            <w:pPr>
              <w:jc w:val="right"/>
              <w:rPr>
                <w:color w:val="000000"/>
              </w:rPr>
            </w:pPr>
            <w:r w:rsidRPr="00D618B7">
              <w:rPr>
                <w:color w:val="000000"/>
              </w:rPr>
              <w:t>0.15</w:t>
            </w:r>
          </w:p>
        </w:tc>
        <w:tc>
          <w:tcPr>
            <w:tcW w:w="714" w:type="pct"/>
            <w:tcBorders>
              <w:top w:val="nil"/>
              <w:left w:val="nil"/>
              <w:bottom w:val="single" w:sz="8" w:space="0" w:color="auto"/>
              <w:right w:val="nil"/>
            </w:tcBorders>
            <w:shd w:val="clear" w:color="000000" w:fill="FFFFFF"/>
            <w:noWrap/>
            <w:vAlign w:val="center"/>
            <w:hideMark/>
          </w:tcPr>
          <w:p w14:paraId="0390B01C" w14:textId="77777777" w:rsidR="00B53316" w:rsidRPr="00D618B7" w:rsidRDefault="00B53316" w:rsidP="004B11B7">
            <w:pPr>
              <w:jc w:val="right"/>
              <w:rPr>
                <w:color w:val="000000"/>
              </w:rPr>
            </w:pPr>
            <w:r w:rsidRPr="00D618B7">
              <w:rPr>
                <w:color w:val="000000"/>
              </w:rPr>
              <w:t>0.71</w:t>
            </w:r>
          </w:p>
        </w:tc>
        <w:tc>
          <w:tcPr>
            <w:tcW w:w="714" w:type="pct"/>
            <w:tcBorders>
              <w:top w:val="nil"/>
              <w:left w:val="nil"/>
              <w:bottom w:val="single" w:sz="8" w:space="0" w:color="auto"/>
              <w:right w:val="nil"/>
            </w:tcBorders>
            <w:shd w:val="clear" w:color="000000" w:fill="FFFFFF"/>
            <w:noWrap/>
            <w:vAlign w:val="center"/>
            <w:hideMark/>
          </w:tcPr>
          <w:p w14:paraId="60C0E1EF" w14:textId="77777777" w:rsidR="00B53316" w:rsidRPr="00D618B7" w:rsidRDefault="00B53316" w:rsidP="004B11B7">
            <w:pPr>
              <w:jc w:val="right"/>
              <w:rPr>
                <w:color w:val="000000"/>
              </w:rPr>
            </w:pPr>
            <w:r w:rsidRPr="00D618B7">
              <w:rPr>
                <w:color w:val="000000"/>
              </w:rPr>
              <w:t>0.21</w:t>
            </w:r>
          </w:p>
        </w:tc>
      </w:tr>
    </w:tbl>
    <w:p w14:paraId="5D907918" w14:textId="77777777" w:rsidR="00B53316" w:rsidRPr="00D618B7" w:rsidRDefault="00B53316" w:rsidP="00B53316">
      <w:pPr>
        <w:rPr>
          <w:i/>
          <w:iCs/>
        </w:rPr>
      </w:pPr>
    </w:p>
    <w:p w14:paraId="0A827DBD" w14:textId="77777777" w:rsidR="00B53316" w:rsidRPr="00D618B7" w:rsidRDefault="00B53316" w:rsidP="00B53316">
      <w:r w:rsidRPr="00D618B7">
        <w:rPr>
          <w:i/>
          <w:iCs/>
        </w:rPr>
        <w:t>Note</w:t>
      </w:r>
      <w:r w:rsidRPr="00D618B7">
        <w:t>: This table lists the estimated mean frequency and standard errors for toy-out-of-reach, toy-moving-into-reach, and toy-in-reach events for each week of observation around reach-onset by group.</w:t>
      </w:r>
    </w:p>
    <w:p w14:paraId="4B1E8457" w14:textId="77777777" w:rsidR="00B53316" w:rsidRPr="00D618B7" w:rsidRDefault="00B53316" w:rsidP="00B53316"/>
    <w:p w14:paraId="4E4E3E6E" w14:textId="77777777" w:rsidR="00B53316" w:rsidRPr="00D618B7" w:rsidRDefault="00B53316">
      <w:pPr>
        <w:rPr>
          <w:rFonts w:eastAsia="Aptos"/>
        </w:rPr>
      </w:pPr>
      <w:r w:rsidRPr="00D618B7">
        <w:rPr>
          <w:rFonts w:eastAsia="Aptos"/>
        </w:rPr>
        <w:br w:type="page"/>
      </w:r>
    </w:p>
    <w:p w14:paraId="6D367E17" w14:textId="102D69C1" w:rsidR="00B53316" w:rsidRPr="00D618B7" w:rsidRDefault="009628DB" w:rsidP="007C5074">
      <w:pPr>
        <w:pStyle w:val="Caption"/>
      </w:pPr>
      <w:bookmarkStart w:id="190" w:name="_Toc172716877"/>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49</w:t>
      </w:r>
      <w:r w:rsidR="00000000">
        <w:rPr>
          <w:noProof/>
        </w:rPr>
        <w:fldChar w:fldCharType="end"/>
      </w:r>
      <w:r w:rsidR="00BA36EF" w:rsidRPr="00BA36EF">
        <w:rPr>
          <w:noProof/>
        </w:rPr>
        <w:t xml:space="preserve">: </w:t>
      </w:r>
      <w:r w:rsidR="00940E58">
        <w:t xml:space="preserve">Event </w:t>
      </w:r>
      <w:r w:rsidR="00205741">
        <w:t>f</w:t>
      </w:r>
      <w:r w:rsidR="00BA36EF" w:rsidRPr="00BA36EF">
        <w:t xml:space="preserve">requency by </w:t>
      </w:r>
      <w:r w:rsidR="00205741">
        <w:t>p</w:t>
      </w:r>
      <w:r w:rsidR="00BA36EF">
        <w:t>roximity</w:t>
      </w:r>
      <w:r w:rsidR="00BA36EF" w:rsidRPr="00BA36EF">
        <w:t xml:space="preserve"> and </w:t>
      </w:r>
      <w:r w:rsidR="00205741">
        <w:t>t</w:t>
      </w:r>
      <w:r w:rsidR="00BA36EF">
        <w:t>ype</w:t>
      </w:r>
      <w:r w:rsidR="00BA36EF" w:rsidRPr="00BA36EF">
        <w:t xml:space="preserve"> by </w:t>
      </w:r>
      <w:r w:rsidR="00205741">
        <w:t>g</w:t>
      </w:r>
      <w:r w:rsidR="00BA36EF" w:rsidRPr="00BA36EF">
        <w:t>roup</w:t>
      </w:r>
      <w:bookmarkEnd w:id="190"/>
    </w:p>
    <w:p w14:paraId="5E901AA9" w14:textId="77777777" w:rsidR="00B53316" w:rsidRPr="00D618B7" w:rsidRDefault="00B53316" w:rsidP="00B53316">
      <w:r w:rsidRPr="00D618B7">
        <w:t>Estimated Mean Frequency of Events by Proximity, Type and Group</w:t>
      </w:r>
    </w:p>
    <w:tbl>
      <w:tblPr>
        <w:tblW w:w="5000" w:type="pct"/>
        <w:tblLook w:val="04A0" w:firstRow="1" w:lastRow="0" w:firstColumn="1" w:lastColumn="0" w:noHBand="0" w:noVBand="1"/>
      </w:tblPr>
      <w:tblGrid>
        <w:gridCol w:w="1622"/>
        <w:gridCol w:w="905"/>
        <w:gridCol w:w="1163"/>
        <w:gridCol w:w="1280"/>
        <w:gridCol w:w="1279"/>
        <w:gridCol w:w="698"/>
        <w:gridCol w:w="530"/>
        <w:gridCol w:w="1163"/>
      </w:tblGrid>
      <w:tr w:rsidR="00B53316" w:rsidRPr="00D618B7" w14:paraId="3B390DB9" w14:textId="77777777" w:rsidTr="00BA36EF">
        <w:trPr>
          <w:trHeight w:val="271"/>
        </w:trPr>
        <w:tc>
          <w:tcPr>
            <w:tcW w:w="938" w:type="pct"/>
            <w:tcBorders>
              <w:top w:val="single" w:sz="4" w:space="0" w:color="auto"/>
              <w:left w:val="nil"/>
              <w:bottom w:val="nil"/>
              <w:right w:val="nil"/>
            </w:tcBorders>
            <w:shd w:val="clear" w:color="000000" w:fill="FFFFFF"/>
            <w:vAlign w:val="center"/>
            <w:hideMark/>
          </w:tcPr>
          <w:p w14:paraId="595BAB39" w14:textId="77777777" w:rsidR="00B53316" w:rsidRPr="00D618B7" w:rsidRDefault="00B53316" w:rsidP="004B11B7">
            <w:pPr>
              <w:rPr>
                <w:color w:val="000000"/>
              </w:rPr>
            </w:pPr>
            <w:r w:rsidRPr="00D618B7">
              <w:rPr>
                <w:color w:val="000000"/>
              </w:rPr>
              <w:t>Week</w:t>
            </w:r>
          </w:p>
        </w:tc>
        <w:tc>
          <w:tcPr>
            <w:tcW w:w="1197" w:type="pct"/>
            <w:gridSpan w:val="2"/>
            <w:tcBorders>
              <w:top w:val="single" w:sz="4" w:space="0" w:color="auto"/>
              <w:left w:val="nil"/>
              <w:bottom w:val="single" w:sz="8" w:space="0" w:color="auto"/>
              <w:right w:val="nil"/>
            </w:tcBorders>
            <w:shd w:val="clear" w:color="000000" w:fill="FFFFFF"/>
            <w:vAlign w:val="center"/>
            <w:hideMark/>
          </w:tcPr>
          <w:p w14:paraId="2CC47DC7" w14:textId="5E9E95FE" w:rsidR="00B53316" w:rsidRPr="00D618B7" w:rsidRDefault="00B53316" w:rsidP="00BA36EF">
            <w:pPr>
              <w:rPr>
                <w:color w:val="000000"/>
              </w:rPr>
            </w:pPr>
            <w:r w:rsidRPr="00D618B7">
              <w:rPr>
                <w:color w:val="000000"/>
              </w:rPr>
              <w:t xml:space="preserve"> Toy-out-of-Reach</w:t>
            </w:r>
          </w:p>
        </w:tc>
        <w:tc>
          <w:tcPr>
            <w:tcW w:w="1885" w:type="pct"/>
            <w:gridSpan w:val="3"/>
            <w:tcBorders>
              <w:top w:val="single" w:sz="4" w:space="0" w:color="auto"/>
              <w:left w:val="nil"/>
              <w:bottom w:val="single" w:sz="8" w:space="0" w:color="auto"/>
              <w:right w:val="nil"/>
            </w:tcBorders>
            <w:shd w:val="clear" w:color="000000" w:fill="FFFFFF"/>
            <w:vAlign w:val="center"/>
            <w:hideMark/>
          </w:tcPr>
          <w:p w14:paraId="091A0D7E" w14:textId="77777777" w:rsidR="00B53316" w:rsidRPr="00D618B7" w:rsidRDefault="00B53316" w:rsidP="004B11B7">
            <w:pPr>
              <w:jc w:val="center"/>
              <w:rPr>
                <w:color w:val="000000"/>
              </w:rPr>
            </w:pPr>
            <w:r w:rsidRPr="00D618B7">
              <w:rPr>
                <w:color w:val="000000"/>
              </w:rPr>
              <w:t>Toy-Moving-into-Reach</w:t>
            </w:r>
          </w:p>
        </w:tc>
        <w:tc>
          <w:tcPr>
            <w:tcW w:w="980" w:type="pct"/>
            <w:gridSpan w:val="2"/>
            <w:tcBorders>
              <w:top w:val="single" w:sz="4" w:space="0" w:color="auto"/>
              <w:left w:val="nil"/>
              <w:bottom w:val="single" w:sz="8" w:space="0" w:color="auto"/>
              <w:right w:val="nil"/>
            </w:tcBorders>
            <w:shd w:val="clear" w:color="000000" w:fill="FFFFFF"/>
            <w:vAlign w:val="center"/>
            <w:hideMark/>
          </w:tcPr>
          <w:p w14:paraId="47845837" w14:textId="77777777" w:rsidR="00B53316" w:rsidRPr="00D618B7" w:rsidRDefault="00B53316" w:rsidP="004B11B7">
            <w:pPr>
              <w:jc w:val="center"/>
              <w:rPr>
                <w:color w:val="000000"/>
              </w:rPr>
            </w:pPr>
            <w:r w:rsidRPr="00D618B7">
              <w:rPr>
                <w:color w:val="000000"/>
              </w:rPr>
              <w:t>Toy-in-Reach</w:t>
            </w:r>
          </w:p>
        </w:tc>
      </w:tr>
      <w:tr w:rsidR="00B53316" w:rsidRPr="00D618B7" w14:paraId="161FC529" w14:textId="77777777" w:rsidTr="00BA36EF">
        <w:trPr>
          <w:trHeight w:val="271"/>
        </w:trPr>
        <w:tc>
          <w:tcPr>
            <w:tcW w:w="938" w:type="pct"/>
            <w:tcBorders>
              <w:top w:val="nil"/>
              <w:left w:val="nil"/>
              <w:bottom w:val="single" w:sz="8" w:space="0" w:color="auto"/>
              <w:right w:val="nil"/>
            </w:tcBorders>
            <w:shd w:val="clear" w:color="000000" w:fill="FFFFFF"/>
            <w:noWrap/>
            <w:vAlign w:val="bottom"/>
            <w:hideMark/>
          </w:tcPr>
          <w:p w14:paraId="16D04096" w14:textId="77777777" w:rsidR="00B53316" w:rsidRPr="00D618B7" w:rsidRDefault="00B53316" w:rsidP="004B11B7">
            <w:pPr>
              <w:rPr>
                <w:color w:val="000000"/>
              </w:rPr>
            </w:pPr>
            <w:r w:rsidRPr="00D618B7">
              <w:rPr>
                <w:color w:val="000000"/>
              </w:rPr>
              <w:t> </w:t>
            </w:r>
          </w:p>
        </w:tc>
        <w:tc>
          <w:tcPr>
            <w:tcW w:w="524" w:type="pct"/>
            <w:tcBorders>
              <w:top w:val="nil"/>
              <w:left w:val="nil"/>
              <w:bottom w:val="single" w:sz="8" w:space="0" w:color="auto"/>
              <w:right w:val="nil"/>
            </w:tcBorders>
            <w:shd w:val="clear" w:color="000000" w:fill="FFFFFF"/>
            <w:noWrap/>
            <w:vAlign w:val="center"/>
            <w:hideMark/>
          </w:tcPr>
          <w:p w14:paraId="4E4A6DD1" w14:textId="77777777" w:rsidR="00B53316" w:rsidRPr="00D618B7" w:rsidRDefault="00B53316" w:rsidP="004B11B7">
            <w:pPr>
              <w:jc w:val="right"/>
              <w:rPr>
                <w:color w:val="000000"/>
              </w:rPr>
            </w:pPr>
            <w:r w:rsidRPr="00D618B7">
              <w:rPr>
                <w:color w:val="000000"/>
              </w:rPr>
              <w:t>Mean</w:t>
            </w:r>
          </w:p>
        </w:tc>
        <w:tc>
          <w:tcPr>
            <w:tcW w:w="673" w:type="pct"/>
            <w:tcBorders>
              <w:top w:val="nil"/>
              <w:left w:val="nil"/>
              <w:bottom w:val="single" w:sz="8" w:space="0" w:color="auto"/>
              <w:right w:val="nil"/>
            </w:tcBorders>
            <w:shd w:val="clear" w:color="000000" w:fill="FFFFFF"/>
            <w:noWrap/>
            <w:vAlign w:val="center"/>
            <w:hideMark/>
          </w:tcPr>
          <w:p w14:paraId="1863D507" w14:textId="77777777" w:rsidR="00B53316" w:rsidRPr="00D618B7" w:rsidRDefault="00B53316" w:rsidP="004B11B7">
            <w:pPr>
              <w:jc w:val="right"/>
              <w:rPr>
                <w:color w:val="000000"/>
              </w:rPr>
            </w:pPr>
            <w:r w:rsidRPr="00D618B7">
              <w:rPr>
                <w:color w:val="000000"/>
              </w:rPr>
              <w:t>Std. Error</w:t>
            </w:r>
          </w:p>
        </w:tc>
        <w:tc>
          <w:tcPr>
            <w:tcW w:w="741" w:type="pct"/>
            <w:tcBorders>
              <w:top w:val="nil"/>
              <w:left w:val="nil"/>
              <w:bottom w:val="single" w:sz="8" w:space="0" w:color="auto"/>
              <w:right w:val="nil"/>
            </w:tcBorders>
            <w:shd w:val="clear" w:color="000000" w:fill="FFFFFF"/>
            <w:noWrap/>
            <w:vAlign w:val="center"/>
            <w:hideMark/>
          </w:tcPr>
          <w:p w14:paraId="48F028D0" w14:textId="77777777" w:rsidR="00B53316" w:rsidRPr="00D618B7" w:rsidRDefault="00B53316" w:rsidP="004B11B7">
            <w:pPr>
              <w:jc w:val="right"/>
              <w:rPr>
                <w:color w:val="000000"/>
              </w:rPr>
            </w:pPr>
            <w:r w:rsidRPr="00D618B7">
              <w:rPr>
                <w:color w:val="000000"/>
              </w:rPr>
              <w:t>Mean</w:t>
            </w:r>
          </w:p>
        </w:tc>
        <w:tc>
          <w:tcPr>
            <w:tcW w:w="740" w:type="pct"/>
            <w:tcBorders>
              <w:top w:val="nil"/>
              <w:left w:val="nil"/>
              <w:bottom w:val="single" w:sz="8" w:space="0" w:color="auto"/>
              <w:right w:val="nil"/>
            </w:tcBorders>
            <w:shd w:val="clear" w:color="000000" w:fill="FFFFFF"/>
            <w:noWrap/>
            <w:vAlign w:val="center"/>
            <w:hideMark/>
          </w:tcPr>
          <w:p w14:paraId="405A810A" w14:textId="77777777" w:rsidR="00B53316" w:rsidRPr="00D618B7" w:rsidRDefault="00B53316" w:rsidP="004B11B7">
            <w:pPr>
              <w:jc w:val="right"/>
              <w:rPr>
                <w:color w:val="000000"/>
              </w:rPr>
            </w:pPr>
            <w:r w:rsidRPr="00D618B7">
              <w:rPr>
                <w:color w:val="000000"/>
              </w:rPr>
              <w:t>Std. Error</w:t>
            </w:r>
          </w:p>
        </w:tc>
        <w:tc>
          <w:tcPr>
            <w:tcW w:w="711" w:type="pct"/>
            <w:gridSpan w:val="2"/>
            <w:tcBorders>
              <w:top w:val="nil"/>
              <w:left w:val="nil"/>
              <w:bottom w:val="single" w:sz="8" w:space="0" w:color="auto"/>
              <w:right w:val="nil"/>
            </w:tcBorders>
            <w:shd w:val="clear" w:color="000000" w:fill="FFFFFF"/>
            <w:noWrap/>
            <w:vAlign w:val="center"/>
            <w:hideMark/>
          </w:tcPr>
          <w:p w14:paraId="6B152F6D" w14:textId="77777777" w:rsidR="00B53316" w:rsidRPr="00D618B7" w:rsidRDefault="00B53316" w:rsidP="004B11B7">
            <w:pPr>
              <w:jc w:val="right"/>
              <w:rPr>
                <w:color w:val="000000"/>
              </w:rPr>
            </w:pPr>
            <w:r w:rsidRPr="00D618B7">
              <w:rPr>
                <w:color w:val="000000"/>
              </w:rPr>
              <w:t>Mean</w:t>
            </w:r>
          </w:p>
        </w:tc>
        <w:tc>
          <w:tcPr>
            <w:tcW w:w="673" w:type="pct"/>
            <w:tcBorders>
              <w:top w:val="nil"/>
              <w:left w:val="nil"/>
              <w:bottom w:val="single" w:sz="8" w:space="0" w:color="auto"/>
              <w:right w:val="nil"/>
            </w:tcBorders>
            <w:shd w:val="clear" w:color="000000" w:fill="FFFFFF"/>
            <w:noWrap/>
            <w:vAlign w:val="center"/>
            <w:hideMark/>
          </w:tcPr>
          <w:p w14:paraId="26C95DCA" w14:textId="77777777" w:rsidR="00B53316" w:rsidRPr="00D618B7" w:rsidRDefault="00B53316" w:rsidP="004B11B7">
            <w:pPr>
              <w:jc w:val="right"/>
              <w:rPr>
                <w:color w:val="000000"/>
              </w:rPr>
            </w:pPr>
            <w:r w:rsidRPr="00D618B7">
              <w:rPr>
                <w:color w:val="000000"/>
              </w:rPr>
              <w:t>Std. Error</w:t>
            </w:r>
          </w:p>
        </w:tc>
      </w:tr>
      <w:tr w:rsidR="00B53316" w:rsidRPr="00D618B7" w14:paraId="3DB1ADD2" w14:textId="77777777" w:rsidTr="00BA36EF">
        <w:trPr>
          <w:trHeight w:val="271"/>
        </w:trPr>
        <w:tc>
          <w:tcPr>
            <w:tcW w:w="938" w:type="pct"/>
            <w:tcBorders>
              <w:top w:val="nil"/>
              <w:left w:val="nil"/>
              <w:bottom w:val="nil"/>
              <w:right w:val="nil"/>
            </w:tcBorders>
            <w:shd w:val="clear" w:color="000000" w:fill="FFFFFF"/>
            <w:noWrap/>
            <w:vAlign w:val="bottom"/>
            <w:hideMark/>
          </w:tcPr>
          <w:p w14:paraId="5BDB60E7" w14:textId="77777777" w:rsidR="00B53316" w:rsidRPr="00D618B7" w:rsidRDefault="00B53316" w:rsidP="004B11B7">
            <w:pPr>
              <w:rPr>
                <w:color w:val="000000"/>
              </w:rPr>
            </w:pPr>
            <w:r w:rsidRPr="00D618B7">
              <w:rPr>
                <w:color w:val="000000"/>
              </w:rPr>
              <w:t> </w:t>
            </w:r>
          </w:p>
        </w:tc>
        <w:tc>
          <w:tcPr>
            <w:tcW w:w="4063" w:type="pct"/>
            <w:gridSpan w:val="7"/>
            <w:tcBorders>
              <w:top w:val="single" w:sz="8" w:space="0" w:color="auto"/>
              <w:left w:val="nil"/>
              <w:bottom w:val="nil"/>
              <w:right w:val="nil"/>
            </w:tcBorders>
            <w:shd w:val="clear" w:color="000000" w:fill="FFFFFF"/>
            <w:noWrap/>
            <w:vAlign w:val="center"/>
            <w:hideMark/>
          </w:tcPr>
          <w:p w14:paraId="0A2161CD" w14:textId="77777777" w:rsidR="00B53316" w:rsidRPr="00D618B7" w:rsidRDefault="00B53316" w:rsidP="004B11B7">
            <w:pPr>
              <w:jc w:val="center"/>
              <w:rPr>
                <w:color w:val="000000"/>
              </w:rPr>
            </w:pPr>
            <w:r w:rsidRPr="00D618B7">
              <w:rPr>
                <w:color w:val="000000"/>
              </w:rPr>
              <w:t>Early Reach Group</w:t>
            </w:r>
          </w:p>
        </w:tc>
      </w:tr>
      <w:tr w:rsidR="00B53316" w:rsidRPr="00D618B7" w14:paraId="7A64661B" w14:textId="77777777" w:rsidTr="00BA36EF">
        <w:trPr>
          <w:trHeight w:val="271"/>
        </w:trPr>
        <w:tc>
          <w:tcPr>
            <w:tcW w:w="938" w:type="pct"/>
            <w:tcBorders>
              <w:top w:val="nil"/>
              <w:left w:val="nil"/>
              <w:bottom w:val="nil"/>
              <w:right w:val="nil"/>
            </w:tcBorders>
            <w:shd w:val="clear" w:color="000000" w:fill="FFFFFF"/>
            <w:vAlign w:val="center"/>
            <w:hideMark/>
          </w:tcPr>
          <w:p w14:paraId="64661B8B" w14:textId="77777777" w:rsidR="00B53316" w:rsidRPr="00D618B7" w:rsidRDefault="00B53316" w:rsidP="004B11B7">
            <w:pPr>
              <w:rPr>
                <w:color w:val="000000"/>
              </w:rPr>
            </w:pPr>
            <w:r w:rsidRPr="00D618B7">
              <w:rPr>
                <w:color w:val="000000"/>
              </w:rPr>
              <w:t>Face</w:t>
            </w:r>
          </w:p>
        </w:tc>
        <w:tc>
          <w:tcPr>
            <w:tcW w:w="524" w:type="pct"/>
            <w:tcBorders>
              <w:top w:val="nil"/>
              <w:left w:val="nil"/>
              <w:bottom w:val="nil"/>
              <w:right w:val="nil"/>
            </w:tcBorders>
            <w:shd w:val="clear" w:color="000000" w:fill="FFFFFF"/>
            <w:noWrap/>
            <w:vAlign w:val="center"/>
            <w:hideMark/>
          </w:tcPr>
          <w:p w14:paraId="3C3B7D8F" w14:textId="77777777" w:rsidR="00B53316" w:rsidRPr="00D618B7" w:rsidRDefault="00B53316" w:rsidP="004B11B7">
            <w:pPr>
              <w:jc w:val="right"/>
              <w:rPr>
                <w:color w:val="000000"/>
              </w:rPr>
            </w:pPr>
            <w:r w:rsidRPr="00D618B7">
              <w:rPr>
                <w:color w:val="000000"/>
              </w:rPr>
              <w:t>1.37</w:t>
            </w:r>
          </w:p>
        </w:tc>
        <w:tc>
          <w:tcPr>
            <w:tcW w:w="673" w:type="pct"/>
            <w:tcBorders>
              <w:top w:val="nil"/>
              <w:left w:val="nil"/>
              <w:bottom w:val="nil"/>
              <w:right w:val="nil"/>
            </w:tcBorders>
            <w:shd w:val="clear" w:color="000000" w:fill="FFFFFF"/>
            <w:noWrap/>
            <w:vAlign w:val="center"/>
            <w:hideMark/>
          </w:tcPr>
          <w:p w14:paraId="514CBD86" w14:textId="77777777" w:rsidR="00B53316" w:rsidRPr="00D618B7" w:rsidRDefault="00B53316" w:rsidP="004B11B7">
            <w:pPr>
              <w:jc w:val="right"/>
              <w:rPr>
                <w:color w:val="000000"/>
              </w:rPr>
            </w:pPr>
            <w:r w:rsidRPr="00D618B7">
              <w:rPr>
                <w:color w:val="000000"/>
              </w:rPr>
              <w:t>0.02</w:t>
            </w:r>
          </w:p>
        </w:tc>
        <w:tc>
          <w:tcPr>
            <w:tcW w:w="741" w:type="pct"/>
            <w:tcBorders>
              <w:top w:val="nil"/>
              <w:left w:val="nil"/>
              <w:bottom w:val="nil"/>
              <w:right w:val="nil"/>
            </w:tcBorders>
            <w:shd w:val="clear" w:color="000000" w:fill="FFFFFF"/>
            <w:noWrap/>
            <w:vAlign w:val="center"/>
            <w:hideMark/>
          </w:tcPr>
          <w:p w14:paraId="080FB113" w14:textId="77777777" w:rsidR="00B53316" w:rsidRPr="00D618B7" w:rsidRDefault="00B53316" w:rsidP="004B11B7">
            <w:pPr>
              <w:jc w:val="right"/>
              <w:rPr>
                <w:color w:val="000000"/>
              </w:rPr>
            </w:pPr>
            <w:r w:rsidRPr="00D618B7">
              <w:rPr>
                <w:color w:val="000000"/>
              </w:rPr>
              <w:t>0.00</w:t>
            </w:r>
          </w:p>
        </w:tc>
        <w:tc>
          <w:tcPr>
            <w:tcW w:w="740" w:type="pct"/>
            <w:tcBorders>
              <w:top w:val="nil"/>
              <w:left w:val="nil"/>
              <w:bottom w:val="nil"/>
              <w:right w:val="nil"/>
            </w:tcBorders>
            <w:shd w:val="clear" w:color="000000" w:fill="FFFFFF"/>
            <w:noWrap/>
            <w:vAlign w:val="center"/>
            <w:hideMark/>
          </w:tcPr>
          <w:p w14:paraId="5D08CEE3" w14:textId="77777777" w:rsidR="00B53316" w:rsidRPr="00D618B7" w:rsidRDefault="00B53316" w:rsidP="004B11B7">
            <w:pPr>
              <w:jc w:val="right"/>
              <w:rPr>
                <w:color w:val="000000"/>
              </w:rPr>
            </w:pPr>
            <w:r w:rsidRPr="00D618B7">
              <w:rPr>
                <w:color w:val="000000"/>
              </w:rPr>
              <w:t>0.06</w:t>
            </w:r>
          </w:p>
        </w:tc>
        <w:tc>
          <w:tcPr>
            <w:tcW w:w="711" w:type="pct"/>
            <w:gridSpan w:val="2"/>
            <w:tcBorders>
              <w:top w:val="nil"/>
              <w:left w:val="nil"/>
              <w:bottom w:val="nil"/>
              <w:right w:val="nil"/>
            </w:tcBorders>
            <w:shd w:val="clear" w:color="000000" w:fill="FFFFFF"/>
            <w:noWrap/>
            <w:vAlign w:val="center"/>
            <w:hideMark/>
          </w:tcPr>
          <w:p w14:paraId="35F5C204" w14:textId="77777777" w:rsidR="00B53316" w:rsidRPr="00D618B7" w:rsidRDefault="00B53316" w:rsidP="004B11B7">
            <w:pPr>
              <w:jc w:val="right"/>
              <w:rPr>
                <w:color w:val="000000"/>
              </w:rPr>
            </w:pPr>
            <w:r w:rsidRPr="00D618B7">
              <w:rPr>
                <w:color w:val="000000"/>
              </w:rPr>
              <w:t>0.45</w:t>
            </w:r>
          </w:p>
        </w:tc>
        <w:tc>
          <w:tcPr>
            <w:tcW w:w="673" w:type="pct"/>
            <w:tcBorders>
              <w:top w:val="nil"/>
              <w:left w:val="nil"/>
              <w:bottom w:val="nil"/>
              <w:right w:val="nil"/>
            </w:tcBorders>
            <w:shd w:val="clear" w:color="000000" w:fill="FFFFFF"/>
            <w:noWrap/>
            <w:vAlign w:val="center"/>
            <w:hideMark/>
          </w:tcPr>
          <w:p w14:paraId="3020EE58" w14:textId="77777777" w:rsidR="00B53316" w:rsidRPr="00D618B7" w:rsidRDefault="00B53316" w:rsidP="004B11B7">
            <w:pPr>
              <w:jc w:val="right"/>
              <w:rPr>
                <w:color w:val="000000"/>
              </w:rPr>
            </w:pPr>
            <w:r w:rsidRPr="00D618B7">
              <w:rPr>
                <w:color w:val="000000"/>
              </w:rPr>
              <w:t>0.11</w:t>
            </w:r>
          </w:p>
        </w:tc>
      </w:tr>
      <w:tr w:rsidR="00B53316" w:rsidRPr="00D618B7" w14:paraId="520FEC03" w14:textId="77777777" w:rsidTr="00BA36EF">
        <w:trPr>
          <w:trHeight w:val="271"/>
        </w:trPr>
        <w:tc>
          <w:tcPr>
            <w:tcW w:w="938" w:type="pct"/>
            <w:tcBorders>
              <w:top w:val="nil"/>
              <w:left w:val="nil"/>
              <w:bottom w:val="nil"/>
              <w:right w:val="nil"/>
            </w:tcBorders>
            <w:shd w:val="clear" w:color="000000" w:fill="FFFFFF"/>
            <w:vAlign w:val="center"/>
            <w:hideMark/>
          </w:tcPr>
          <w:p w14:paraId="78AE063A" w14:textId="77777777" w:rsidR="00B53316" w:rsidRPr="00D618B7" w:rsidRDefault="00B53316" w:rsidP="004B11B7">
            <w:pPr>
              <w:rPr>
                <w:color w:val="000000"/>
              </w:rPr>
            </w:pPr>
            <w:r w:rsidRPr="00D618B7">
              <w:rPr>
                <w:color w:val="000000"/>
              </w:rPr>
              <w:t>Hand</w:t>
            </w:r>
          </w:p>
        </w:tc>
        <w:tc>
          <w:tcPr>
            <w:tcW w:w="524" w:type="pct"/>
            <w:tcBorders>
              <w:top w:val="nil"/>
              <w:left w:val="nil"/>
              <w:bottom w:val="nil"/>
              <w:right w:val="nil"/>
            </w:tcBorders>
            <w:shd w:val="clear" w:color="000000" w:fill="FFFFFF"/>
            <w:noWrap/>
            <w:vAlign w:val="center"/>
            <w:hideMark/>
          </w:tcPr>
          <w:p w14:paraId="4731D8FB" w14:textId="77777777" w:rsidR="00B53316" w:rsidRPr="00D618B7" w:rsidRDefault="00B53316" w:rsidP="004B11B7">
            <w:pPr>
              <w:jc w:val="right"/>
              <w:rPr>
                <w:color w:val="000000"/>
              </w:rPr>
            </w:pPr>
            <w:r w:rsidRPr="00D618B7">
              <w:rPr>
                <w:color w:val="000000"/>
              </w:rPr>
              <w:t>0.83</w:t>
            </w:r>
          </w:p>
        </w:tc>
        <w:tc>
          <w:tcPr>
            <w:tcW w:w="673" w:type="pct"/>
            <w:tcBorders>
              <w:top w:val="nil"/>
              <w:left w:val="nil"/>
              <w:bottom w:val="nil"/>
              <w:right w:val="nil"/>
            </w:tcBorders>
            <w:shd w:val="clear" w:color="000000" w:fill="FFFFFF"/>
            <w:noWrap/>
            <w:vAlign w:val="center"/>
            <w:hideMark/>
          </w:tcPr>
          <w:p w14:paraId="5E5DDD0A" w14:textId="77777777" w:rsidR="00B53316" w:rsidRPr="00D618B7" w:rsidRDefault="00B53316" w:rsidP="004B11B7">
            <w:pPr>
              <w:jc w:val="right"/>
              <w:rPr>
                <w:color w:val="000000"/>
              </w:rPr>
            </w:pPr>
            <w:r w:rsidRPr="00D618B7">
              <w:rPr>
                <w:color w:val="000000"/>
              </w:rPr>
              <w:t>0.38</w:t>
            </w:r>
          </w:p>
        </w:tc>
        <w:tc>
          <w:tcPr>
            <w:tcW w:w="741" w:type="pct"/>
            <w:tcBorders>
              <w:top w:val="nil"/>
              <w:left w:val="nil"/>
              <w:bottom w:val="nil"/>
              <w:right w:val="nil"/>
            </w:tcBorders>
            <w:shd w:val="clear" w:color="000000" w:fill="FFFFFF"/>
            <w:noWrap/>
            <w:vAlign w:val="center"/>
            <w:hideMark/>
          </w:tcPr>
          <w:p w14:paraId="51F5A9E4" w14:textId="77777777" w:rsidR="00B53316" w:rsidRPr="00D618B7" w:rsidRDefault="00B53316" w:rsidP="004B11B7">
            <w:pPr>
              <w:jc w:val="right"/>
              <w:rPr>
                <w:color w:val="000000"/>
              </w:rPr>
            </w:pPr>
            <w:r w:rsidRPr="00D618B7">
              <w:rPr>
                <w:color w:val="000000"/>
              </w:rPr>
              <w:t>0.00</w:t>
            </w:r>
          </w:p>
        </w:tc>
        <w:tc>
          <w:tcPr>
            <w:tcW w:w="740" w:type="pct"/>
            <w:tcBorders>
              <w:top w:val="nil"/>
              <w:left w:val="nil"/>
              <w:bottom w:val="nil"/>
              <w:right w:val="nil"/>
            </w:tcBorders>
            <w:shd w:val="clear" w:color="000000" w:fill="FFFFFF"/>
            <w:noWrap/>
            <w:vAlign w:val="center"/>
            <w:hideMark/>
          </w:tcPr>
          <w:p w14:paraId="588360D3" w14:textId="77777777" w:rsidR="00B53316" w:rsidRPr="00D618B7" w:rsidRDefault="00B53316" w:rsidP="004B11B7">
            <w:pPr>
              <w:jc w:val="right"/>
              <w:rPr>
                <w:color w:val="000000"/>
              </w:rPr>
            </w:pPr>
            <w:r w:rsidRPr="00D618B7">
              <w:rPr>
                <w:color w:val="000000"/>
              </w:rPr>
              <w:t>0.01</w:t>
            </w:r>
          </w:p>
        </w:tc>
        <w:tc>
          <w:tcPr>
            <w:tcW w:w="711" w:type="pct"/>
            <w:gridSpan w:val="2"/>
            <w:tcBorders>
              <w:top w:val="nil"/>
              <w:left w:val="nil"/>
              <w:bottom w:val="nil"/>
              <w:right w:val="nil"/>
            </w:tcBorders>
            <w:shd w:val="clear" w:color="000000" w:fill="FFFFFF"/>
            <w:noWrap/>
            <w:vAlign w:val="center"/>
            <w:hideMark/>
          </w:tcPr>
          <w:p w14:paraId="4326660E" w14:textId="77777777" w:rsidR="00B53316" w:rsidRPr="00D618B7" w:rsidRDefault="00B53316" w:rsidP="004B11B7">
            <w:pPr>
              <w:jc w:val="right"/>
              <w:rPr>
                <w:color w:val="000000"/>
              </w:rPr>
            </w:pPr>
            <w:r w:rsidRPr="00D618B7">
              <w:rPr>
                <w:color w:val="000000"/>
              </w:rPr>
              <w:t>0.26</w:t>
            </w:r>
          </w:p>
        </w:tc>
        <w:tc>
          <w:tcPr>
            <w:tcW w:w="673" w:type="pct"/>
            <w:tcBorders>
              <w:top w:val="nil"/>
              <w:left w:val="nil"/>
              <w:bottom w:val="nil"/>
              <w:right w:val="nil"/>
            </w:tcBorders>
            <w:shd w:val="clear" w:color="000000" w:fill="FFFFFF"/>
            <w:noWrap/>
            <w:vAlign w:val="center"/>
            <w:hideMark/>
          </w:tcPr>
          <w:p w14:paraId="3325F40A" w14:textId="77777777" w:rsidR="00B53316" w:rsidRPr="00D618B7" w:rsidRDefault="00B53316" w:rsidP="004B11B7">
            <w:pPr>
              <w:jc w:val="right"/>
              <w:rPr>
                <w:color w:val="000000"/>
              </w:rPr>
            </w:pPr>
            <w:r w:rsidRPr="00D618B7">
              <w:rPr>
                <w:color w:val="000000"/>
              </w:rPr>
              <w:t>0.17</w:t>
            </w:r>
          </w:p>
        </w:tc>
      </w:tr>
      <w:tr w:rsidR="00B53316" w:rsidRPr="00D618B7" w14:paraId="217B1EA1" w14:textId="77777777" w:rsidTr="00BA36EF">
        <w:trPr>
          <w:trHeight w:val="271"/>
        </w:trPr>
        <w:tc>
          <w:tcPr>
            <w:tcW w:w="938" w:type="pct"/>
            <w:tcBorders>
              <w:top w:val="nil"/>
              <w:left w:val="nil"/>
              <w:bottom w:val="single" w:sz="8" w:space="0" w:color="auto"/>
              <w:right w:val="nil"/>
            </w:tcBorders>
            <w:shd w:val="clear" w:color="000000" w:fill="FFFFFF"/>
            <w:vAlign w:val="center"/>
            <w:hideMark/>
          </w:tcPr>
          <w:p w14:paraId="47DE1AC3" w14:textId="77777777" w:rsidR="00B53316" w:rsidRPr="00D618B7" w:rsidRDefault="00B53316" w:rsidP="004B11B7">
            <w:pPr>
              <w:rPr>
                <w:color w:val="000000"/>
              </w:rPr>
            </w:pPr>
            <w:r w:rsidRPr="00D618B7">
              <w:rPr>
                <w:color w:val="000000"/>
              </w:rPr>
              <w:t>Mouth</w:t>
            </w:r>
          </w:p>
        </w:tc>
        <w:tc>
          <w:tcPr>
            <w:tcW w:w="524" w:type="pct"/>
            <w:tcBorders>
              <w:top w:val="nil"/>
              <w:left w:val="nil"/>
              <w:bottom w:val="single" w:sz="8" w:space="0" w:color="auto"/>
              <w:right w:val="nil"/>
            </w:tcBorders>
            <w:shd w:val="clear" w:color="000000" w:fill="FFFFFF"/>
            <w:noWrap/>
            <w:vAlign w:val="center"/>
            <w:hideMark/>
          </w:tcPr>
          <w:p w14:paraId="2EB5855B" w14:textId="77777777" w:rsidR="00B53316" w:rsidRPr="00D618B7" w:rsidRDefault="00B53316" w:rsidP="004B11B7">
            <w:pPr>
              <w:jc w:val="right"/>
              <w:rPr>
                <w:color w:val="000000"/>
              </w:rPr>
            </w:pPr>
            <w:r w:rsidRPr="00D618B7">
              <w:rPr>
                <w:color w:val="000000"/>
              </w:rPr>
              <w:t>4.70</w:t>
            </w:r>
          </w:p>
        </w:tc>
        <w:tc>
          <w:tcPr>
            <w:tcW w:w="673" w:type="pct"/>
            <w:tcBorders>
              <w:top w:val="nil"/>
              <w:left w:val="nil"/>
              <w:bottom w:val="single" w:sz="8" w:space="0" w:color="auto"/>
              <w:right w:val="nil"/>
            </w:tcBorders>
            <w:shd w:val="clear" w:color="000000" w:fill="FFFFFF"/>
            <w:noWrap/>
            <w:vAlign w:val="center"/>
            <w:hideMark/>
          </w:tcPr>
          <w:p w14:paraId="04C9B7B9" w14:textId="77777777" w:rsidR="00B53316" w:rsidRPr="00D618B7" w:rsidRDefault="00B53316" w:rsidP="004B11B7">
            <w:pPr>
              <w:jc w:val="right"/>
              <w:rPr>
                <w:color w:val="000000"/>
              </w:rPr>
            </w:pPr>
            <w:r w:rsidRPr="00D618B7">
              <w:rPr>
                <w:color w:val="000000"/>
              </w:rPr>
              <w:t>1.17</w:t>
            </w:r>
          </w:p>
        </w:tc>
        <w:tc>
          <w:tcPr>
            <w:tcW w:w="741" w:type="pct"/>
            <w:tcBorders>
              <w:top w:val="nil"/>
              <w:left w:val="nil"/>
              <w:bottom w:val="single" w:sz="8" w:space="0" w:color="auto"/>
              <w:right w:val="nil"/>
            </w:tcBorders>
            <w:shd w:val="clear" w:color="000000" w:fill="FFFFFF"/>
            <w:noWrap/>
            <w:vAlign w:val="center"/>
            <w:hideMark/>
          </w:tcPr>
          <w:p w14:paraId="4999E882" w14:textId="77777777" w:rsidR="00B53316" w:rsidRPr="00D618B7" w:rsidRDefault="00B53316" w:rsidP="004B11B7">
            <w:pPr>
              <w:jc w:val="right"/>
              <w:rPr>
                <w:color w:val="000000"/>
              </w:rPr>
            </w:pPr>
            <w:r w:rsidRPr="00D618B7">
              <w:rPr>
                <w:color w:val="000000"/>
              </w:rPr>
              <w:t>0.47</w:t>
            </w:r>
          </w:p>
        </w:tc>
        <w:tc>
          <w:tcPr>
            <w:tcW w:w="740" w:type="pct"/>
            <w:tcBorders>
              <w:top w:val="nil"/>
              <w:left w:val="nil"/>
              <w:bottom w:val="single" w:sz="8" w:space="0" w:color="auto"/>
              <w:right w:val="nil"/>
            </w:tcBorders>
            <w:shd w:val="clear" w:color="000000" w:fill="FFFFFF"/>
            <w:noWrap/>
            <w:vAlign w:val="center"/>
            <w:hideMark/>
          </w:tcPr>
          <w:p w14:paraId="307994D3" w14:textId="77777777" w:rsidR="00B53316" w:rsidRPr="00D618B7" w:rsidRDefault="00B53316" w:rsidP="004B11B7">
            <w:pPr>
              <w:jc w:val="right"/>
              <w:rPr>
                <w:color w:val="000000"/>
              </w:rPr>
            </w:pPr>
            <w:r w:rsidRPr="00D618B7">
              <w:rPr>
                <w:color w:val="000000"/>
              </w:rPr>
              <w:t>0.41</w:t>
            </w:r>
          </w:p>
        </w:tc>
        <w:tc>
          <w:tcPr>
            <w:tcW w:w="711" w:type="pct"/>
            <w:gridSpan w:val="2"/>
            <w:tcBorders>
              <w:top w:val="nil"/>
              <w:left w:val="nil"/>
              <w:bottom w:val="single" w:sz="8" w:space="0" w:color="auto"/>
              <w:right w:val="nil"/>
            </w:tcBorders>
            <w:shd w:val="clear" w:color="000000" w:fill="FFFFFF"/>
            <w:noWrap/>
            <w:vAlign w:val="center"/>
            <w:hideMark/>
          </w:tcPr>
          <w:p w14:paraId="434F3513" w14:textId="77777777" w:rsidR="00B53316" w:rsidRPr="00D618B7" w:rsidRDefault="00B53316" w:rsidP="004B11B7">
            <w:pPr>
              <w:jc w:val="right"/>
              <w:rPr>
                <w:color w:val="000000"/>
              </w:rPr>
            </w:pPr>
            <w:r w:rsidRPr="00D618B7">
              <w:rPr>
                <w:color w:val="000000"/>
              </w:rPr>
              <w:t>4.91</w:t>
            </w:r>
          </w:p>
        </w:tc>
        <w:tc>
          <w:tcPr>
            <w:tcW w:w="673" w:type="pct"/>
            <w:tcBorders>
              <w:top w:val="nil"/>
              <w:left w:val="nil"/>
              <w:bottom w:val="single" w:sz="8" w:space="0" w:color="auto"/>
              <w:right w:val="nil"/>
            </w:tcBorders>
            <w:shd w:val="clear" w:color="000000" w:fill="FFFFFF"/>
            <w:noWrap/>
            <w:vAlign w:val="center"/>
            <w:hideMark/>
          </w:tcPr>
          <w:p w14:paraId="50B3EC3F" w14:textId="77777777" w:rsidR="00B53316" w:rsidRPr="00D618B7" w:rsidRDefault="00B53316" w:rsidP="004B11B7">
            <w:pPr>
              <w:jc w:val="right"/>
              <w:rPr>
                <w:color w:val="000000"/>
              </w:rPr>
            </w:pPr>
            <w:r w:rsidRPr="00D618B7">
              <w:rPr>
                <w:color w:val="000000"/>
              </w:rPr>
              <w:t>1.91</w:t>
            </w:r>
          </w:p>
        </w:tc>
      </w:tr>
      <w:tr w:rsidR="00B53316" w:rsidRPr="00D618B7" w14:paraId="7A3B9DEA" w14:textId="77777777" w:rsidTr="00BA36EF">
        <w:trPr>
          <w:trHeight w:val="271"/>
        </w:trPr>
        <w:tc>
          <w:tcPr>
            <w:tcW w:w="938" w:type="pct"/>
            <w:tcBorders>
              <w:top w:val="nil"/>
              <w:left w:val="nil"/>
              <w:bottom w:val="nil"/>
              <w:right w:val="nil"/>
            </w:tcBorders>
            <w:shd w:val="clear" w:color="000000" w:fill="FFFFFF"/>
            <w:noWrap/>
            <w:vAlign w:val="bottom"/>
            <w:hideMark/>
          </w:tcPr>
          <w:p w14:paraId="0B52D5FE" w14:textId="77777777" w:rsidR="00B53316" w:rsidRPr="00D618B7" w:rsidRDefault="00B53316" w:rsidP="004B11B7">
            <w:pPr>
              <w:rPr>
                <w:color w:val="000000"/>
              </w:rPr>
            </w:pPr>
            <w:r w:rsidRPr="00D618B7">
              <w:rPr>
                <w:color w:val="000000"/>
              </w:rPr>
              <w:t> </w:t>
            </w:r>
          </w:p>
        </w:tc>
        <w:tc>
          <w:tcPr>
            <w:tcW w:w="4063" w:type="pct"/>
            <w:gridSpan w:val="7"/>
            <w:tcBorders>
              <w:top w:val="single" w:sz="8" w:space="0" w:color="auto"/>
              <w:left w:val="nil"/>
              <w:bottom w:val="nil"/>
              <w:right w:val="nil"/>
            </w:tcBorders>
            <w:shd w:val="clear" w:color="000000" w:fill="FFFFFF"/>
            <w:noWrap/>
            <w:vAlign w:val="center"/>
            <w:hideMark/>
          </w:tcPr>
          <w:p w14:paraId="03E81A0A" w14:textId="77777777" w:rsidR="00B53316" w:rsidRPr="00D618B7" w:rsidRDefault="00B53316" w:rsidP="004B11B7">
            <w:pPr>
              <w:jc w:val="center"/>
              <w:rPr>
                <w:color w:val="000000"/>
              </w:rPr>
            </w:pPr>
            <w:r w:rsidRPr="00D618B7">
              <w:rPr>
                <w:color w:val="000000"/>
              </w:rPr>
              <w:t>Late Reach Group</w:t>
            </w:r>
          </w:p>
        </w:tc>
      </w:tr>
      <w:tr w:rsidR="00B53316" w:rsidRPr="00D618B7" w14:paraId="4238DEF4" w14:textId="77777777" w:rsidTr="00BA36EF">
        <w:trPr>
          <w:trHeight w:val="271"/>
        </w:trPr>
        <w:tc>
          <w:tcPr>
            <w:tcW w:w="938" w:type="pct"/>
            <w:tcBorders>
              <w:top w:val="nil"/>
              <w:left w:val="nil"/>
              <w:bottom w:val="nil"/>
              <w:right w:val="nil"/>
            </w:tcBorders>
            <w:shd w:val="clear" w:color="000000" w:fill="FFFFFF"/>
            <w:vAlign w:val="center"/>
            <w:hideMark/>
          </w:tcPr>
          <w:p w14:paraId="5C260142" w14:textId="77777777" w:rsidR="00B53316" w:rsidRPr="00D618B7" w:rsidRDefault="00B53316" w:rsidP="004B11B7">
            <w:pPr>
              <w:rPr>
                <w:color w:val="000000"/>
              </w:rPr>
            </w:pPr>
            <w:r w:rsidRPr="00D618B7">
              <w:rPr>
                <w:color w:val="000000"/>
              </w:rPr>
              <w:t>Face</w:t>
            </w:r>
          </w:p>
        </w:tc>
        <w:tc>
          <w:tcPr>
            <w:tcW w:w="524" w:type="pct"/>
            <w:tcBorders>
              <w:top w:val="nil"/>
              <w:left w:val="nil"/>
              <w:bottom w:val="nil"/>
              <w:right w:val="nil"/>
            </w:tcBorders>
            <w:shd w:val="clear" w:color="000000" w:fill="FFFFFF"/>
            <w:noWrap/>
            <w:vAlign w:val="center"/>
            <w:hideMark/>
          </w:tcPr>
          <w:p w14:paraId="390B2681" w14:textId="77777777" w:rsidR="00B53316" w:rsidRPr="00D618B7" w:rsidRDefault="00B53316" w:rsidP="004B11B7">
            <w:pPr>
              <w:jc w:val="right"/>
              <w:rPr>
                <w:color w:val="000000"/>
              </w:rPr>
            </w:pPr>
            <w:r w:rsidRPr="00D618B7">
              <w:rPr>
                <w:color w:val="000000"/>
              </w:rPr>
              <w:t>0.24</w:t>
            </w:r>
          </w:p>
        </w:tc>
        <w:tc>
          <w:tcPr>
            <w:tcW w:w="673" w:type="pct"/>
            <w:tcBorders>
              <w:top w:val="nil"/>
              <w:left w:val="nil"/>
              <w:bottom w:val="nil"/>
              <w:right w:val="nil"/>
            </w:tcBorders>
            <w:shd w:val="clear" w:color="000000" w:fill="FFFFFF"/>
            <w:noWrap/>
            <w:vAlign w:val="center"/>
            <w:hideMark/>
          </w:tcPr>
          <w:p w14:paraId="7BD1016B" w14:textId="77777777" w:rsidR="00B53316" w:rsidRPr="00D618B7" w:rsidRDefault="00B53316" w:rsidP="004B11B7">
            <w:pPr>
              <w:jc w:val="right"/>
              <w:rPr>
                <w:color w:val="000000"/>
              </w:rPr>
            </w:pPr>
            <w:r w:rsidRPr="00D618B7">
              <w:rPr>
                <w:color w:val="000000"/>
              </w:rPr>
              <w:t>0.09</w:t>
            </w:r>
          </w:p>
        </w:tc>
        <w:tc>
          <w:tcPr>
            <w:tcW w:w="741" w:type="pct"/>
            <w:tcBorders>
              <w:top w:val="nil"/>
              <w:left w:val="nil"/>
              <w:bottom w:val="nil"/>
              <w:right w:val="nil"/>
            </w:tcBorders>
            <w:shd w:val="clear" w:color="000000" w:fill="FFFFFF"/>
            <w:noWrap/>
            <w:vAlign w:val="center"/>
            <w:hideMark/>
          </w:tcPr>
          <w:p w14:paraId="1C306EEB" w14:textId="77777777" w:rsidR="00B53316" w:rsidRPr="00D618B7" w:rsidRDefault="00B53316" w:rsidP="004B11B7">
            <w:pPr>
              <w:jc w:val="right"/>
              <w:rPr>
                <w:color w:val="000000"/>
              </w:rPr>
            </w:pPr>
            <w:r w:rsidRPr="00D618B7">
              <w:rPr>
                <w:color w:val="000000"/>
              </w:rPr>
              <w:t>0.02</w:t>
            </w:r>
          </w:p>
        </w:tc>
        <w:tc>
          <w:tcPr>
            <w:tcW w:w="740" w:type="pct"/>
            <w:tcBorders>
              <w:top w:val="nil"/>
              <w:left w:val="nil"/>
              <w:bottom w:val="nil"/>
              <w:right w:val="nil"/>
            </w:tcBorders>
            <w:shd w:val="clear" w:color="000000" w:fill="FFFFFF"/>
            <w:noWrap/>
            <w:vAlign w:val="center"/>
            <w:hideMark/>
          </w:tcPr>
          <w:p w14:paraId="091BE964" w14:textId="77777777" w:rsidR="00B53316" w:rsidRPr="00D618B7" w:rsidRDefault="00B53316" w:rsidP="004B11B7">
            <w:pPr>
              <w:jc w:val="right"/>
              <w:rPr>
                <w:color w:val="000000"/>
              </w:rPr>
            </w:pPr>
            <w:r w:rsidRPr="00D618B7">
              <w:rPr>
                <w:color w:val="000000"/>
              </w:rPr>
              <w:t>0.02</w:t>
            </w:r>
          </w:p>
        </w:tc>
        <w:tc>
          <w:tcPr>
            <w:tcW w:w="711" w:type="pct"/>
            <w:gridSpan w:val="2"/>
            <w:tcBorders>
              <w:top w:val="nil"/>
              <w:left w:val="nil"/>
              <w:bottom w:val="nil"/>
              <w:right w:val="nil"/>
            </w:tcBorders>
            <w:shd w:val="clear" w:color="000000" w:fill="FFFFFF"/>
            <w:noWrap/>
            <w:vAlign w:val="center"/>
            <w:hideMark/>
          </w:tcPr>
          <w:p w14:paraId="0ED567C4" w14:textId="77777777" w:rsidR="00B53316" w:rsidRPr="00D618B7" w:rsidRDefault="00B53316" w:rsidP="004B11B7">
            <w:pPr>
              <w:jc w:val="right"/>
              <w:rPr>
                <w:color w:val="000000"/>
              </w:rPr>
            </w:pPr>
            <w:r w:rsidRPr="00D618B7">
              <w:rPr>
                <w:color w:val="000000"/>
              </w:rPr>
              <w:t>0.08</w:t>
            </w:r>
          </w:p>
        </w:tc>
        <w:tc>
          <w:tcPr>
            <w:tcW w:w="673" w:type="pct"/>
            <w:tcBorders>
              <w:top w:val="nil"/>
              <w:left w:val="nil"/>
              <w:bottom w:val="nil"/>
              <w:right w:val="nil"/>
            </w:tcBorders>
            <w:shd w:val="clear" w:color="000000" w:fill="FFFFFF"/>
            <w:noWrap/>
            <w:vAlign w:val="center"/>
            <w:hideMark/>
          </w:tcPr>
          <w:p w14:paraId="2BFA73CA" w14:textId="77777777" w:rsidR="00B53316" w:rsidRPr="00D618B7" w:rsidRDefault="00B53316" w:rsidP="004B11B7">
            <w:pPr>
              <w:jc w:val="right"/>
              <w:rPr>
                <w:color w:val="000000"/>
              </w:rPr>
            </w:pPr>
            <w:r w:rsidRPr="00D618B7">
              <w:rPr>
                <w:color w:val="000000"/>
              </w:rPr>
              <w:t>0.03</w:t>
            </w:r>
          </w:p>
        </w:tc>
      </w:tr>
      <w:tr w:rsidR="00B53316" w:rsidRPr="00D618B7" w14:paraId="52554B1F" w14:textId="77777777" w:rsidTr="00BA36EF">
        <w:trPr>
          <w:trHeight w:val="271"/>
        </w:trPr>
        <w:tc>
          <w:tcPr>
            <w:tcW w:w="938" w:type="pct"/>
            <w:tcBorders>
              <w:top w:val="nil"/>
              <w:left w:val="nil"/>
              <w:bottom w:val="nil"/>
              <w:right w:val="nil"/>
            </w:tcBorders>
            <w:shd w:val="clear" w:color="000000" w:fill="FFFFFF"/>
            <w:vAlign w:val="center"/>
            <w:hideMark/>
          </w:tcPr>
          <w:p w14:paraId="1ACE16ED" w14:textId="77777777" w:rsidR="00B53316" w:rsidRPr="00D618B7" w:rsidRDefault="00B53316" w:rsidP="004B11B7">
            <w:pPr>
              <w:rPr>
                <w:color w:val="000000"/>
              </w:rPr>
            </w:pPr>
            <w:r w:rsidRPr="00D618B7">
              <w:rPr>
                <w:color w:val="000000"/>
              </w:rPr>
              <w:t>Hand</w:t>
            </w:r>
          </w:p>
        </w:tc>
        <w:tc>
          <w:tcPr>
            <w:tcW w:w="524" w:type="pct"/>
            <w:tcBorders>
              <w:top w:val="nil"/>
              <w:left w:val="nil"/>
              <w:bottom w:val="nil"/>
              <w:right w:val="nil"/>
            </w:tcBorders>
            <w:shd w:val="clear" w:color="000000" w:fill="FFFFFF"/>
            <w:noWrap/>
            <w:vAlign w:val="center"/>
            <w:hideMark/>
          </w:tcPr>
          <w:p w14:paraId="6F52453B" w14:textId="77777777" w:rsidR="00B53316" w:rsidRPr="00D618B7" w:rsidRDefault="00B53316" w:rsidP="004B11B7">
            <w:pPr>
              <w:jc w:val="right"/>
              <w:rPr>
                <w:color w:val="000000"/>
              </w:rPr>
            </w:pPr>
            <w:r w:rsidRPr="00D618B7">
              <w:rPr>
                <w:color w:val="000000"/>
              </w:rPr>
              <w:t>0.12</w:t>
            </w:r>
          </w:p>
        </w:tc>
        <w:tc>
          <w:tcPr>
            <w:tcW w:w="673" w:type="pct"/>
            <w:tcBorders>
              <w:top w:val="nil"/>
              <w:left w:val="nil"/>
              <w:bottom w:val="nil"/>
              <w:right w:val="nil"/>
            </w:tcBorders>
            <w:shd w:val="clear" w:color="000000" w:fill="FFFFFF"/>
            <w:noWrap/>
            <w:vAlign w:val="center"/>
            <w:hideMark/>
          </w:tcPr>
          <w:p w14:paraId="4236DF0C" w14:textId="77777777" w:rsidR="00B53316" w:rsidRPr="00D618B7" w:rsidRDefault="00B53316" w:rsidP="004B11B7">
            <w:pPr>
              <w:jc w:val="right"/>
              <w:rPr>
                <w:color w:val="000000"/>
              </w:rPr>
            </w:pPr>
            <w:r w:rsidRPr="00D618B7">
              <w:rPr>
                <w:color w:val="000000"/>
              </w:rPr>
              <w:t>0.10</w:t>
            </w:r>
          </w:p>
        </w:tc>
        <w:tc>
          <w:tcPr>
            <w:tcW w:w="741" w:type="pct"/>
            <w:tcBorders>
              <w:top w:val="nil"/>
              <w:left w:val="nil"/>
              <w:bottom w:val="nil"/>
              <w:right w:val="nil"/>
            </w:tcBorders>
            <w:shd w:val="clear" w:color="000000" w:fill="FFFFFF"/>
            <w:noWrap/>
            <w:vAlign w:val="center"/>
            <w:hideMark/>
          </w:tcPr>
          <w:p w14:paraId="4E179784" w14:textId="77777777" w:rsidR="00B53316" w:rsidRPr="00D618B7" w:rsidRDefault="00B53316" w:rsidP="004B11B7">
            <w:pPr>
              <w:jc w:val="right"/>
              <w:rPr>
                <w:color w:val="000000"/>
              </w:rPr>
            </w:pPr>
            <w:r w:rsidRPr="00D618B7">
              <w:rPr>
                <w:color w:val="000000"/>
              </w:rPr>
              <w:t>0.04</w:t>
            </w:r>
          </w:p>
        </w:tc>
        <w:tc>
          <w:tcPr>
            <w:tcW w:w="740" w:type="pct"/>
            <w:tcBorders>
              <w:top w:val="nil"/>
              <w:left w:val="nil"/>
              <w:bottom w:val="nil"/>
              <w:right w:val="nil"/>
            </w:tcBorders>
            <w:shd w:val="clear" w:color="000000" w:fill="FFFFFF"/>
            <w:noWrap/>
            <w:vAlign w:val="center"/>
            <w:hideMark/>
          </w:tcPr>
          <w:p w14:paraId="7A1C79B8" w14:textId="77777777" w:rsidR="00B53316" w:rsidRPr="00D618B7" w:rsidRDefault="00B53316" w:rsidP="004B11B7">
            <w:pPr>
              <w:jc w:val="right"/>
              <w:rPr>
                <w:color w:val="000000"/>
              </w:rPr>
            </w:pPr>
            <w:r w:rsidRPr="00D618B7">
              <w:rPr>
                <w:color w:val="000000"/>
              </w:rPr>
              <w:t>0.02</w:t>
            </w:r>
          </w:p>
        </w:tc>
        <w:tc>
          <w:tcPr>
            <w:tcW w:w="711" w:type="pct"/>
            <w:gridSpan w:val="2"/>
            <w:tcBorders>
              <w:top w:val="nil"/>
              <w:left w:val="nil"/>
              <w:bottom w:val="nil"/>
              <w:right w:val="nil"/>
            </w:tcBorders>
            <w:shd w:val="clear" w:color="000000" w:fill="FFFFFF"/>
            <w:noWrap/>
            <w:vAlign w:val="center"/>
            <w:hideMark/>
          </w:tcPr>
          <w:p w14:paraId="31766EB9" w14:textId="77777777" w:rsidR="00B53316" w:rsidRPr="00D618B7" w:rsidRDefault="00B53316" w:rsidP="004B11B7">
            <w:pPr>
              <w:jc w:val="right"/>
              <w:rPr>
                <w:color w:val="000000"/>
              </w:rPr>
            </w:pPr>
            <w:r w:rsidRPr="00D618B7">
              <w:rPr>
                <w:color w:val="000000"/>
              </w:rPr>
              <w:t>-0.01</w:t>
            </w:r>
          </w:p>
        </w:tc>
        <w:tc>
          <w:tcPr>
            <w:tcW w:w="673" w:type="pct"/>
            <w:tcBorders>
              <w:top w:val="nil"/>
              <w:left w:val="nil"/>
              <w:bottom w:val="nil"/>
              <w:right w:val="nil"/>
            </w:tcBorders>
            <w:shd w:val="clear" w:color="000000" w:fill="FFFFFF"/>
            <w:noWrap/>
            <w:vAlign w:val="center"/>
            <w:hideMark/>
          </w:tcPr>
          <w:p w14:paraId="278271D2" w14:textId="77777777" w:rsidR="00B53316" w:rsidRPr="00D618B7" w:rsidRDefault="00B53316" w:rsidP="004B11B7">
            <w:pPr>
              <w:jc w:val="right"/>
              <w:rPr>
                <w:color w:val="000000"/>
              </w:rPr>
            </w:pPr>
            <w:r w:rsidRPr="00D618B7">
              <w:rPr>
                <w:color w:val="000000"/>
              </w:rPr>
              <w:t>0.02</w:t>
            </w:r>
          </w:p>
        </w:tc>
      </w:tr>
      <w:tr w:rsidR="00B53316" w:rsidRPr="00D618B7" w14:paraId="6694C43B" w14:textId="77777777" w:rsidTr="00BA36EF">
        <w:trPr>
          <w:trHeight w:val="271"/>
        </w:trPr>
        <w:tc>
          <w:tcPr>
            <w:tcW w:w="938" w:type="pct"/>
            <w:tcBorders>
              <w:top w:val="nil"/>
              <w:left w:val="nil"/>
              <w:bottom w:val="single" w:sz="8" w:space="0" w:color="auto"/>
              <w:right w:val="nil"/>
            </w:tcBorders>
            <w:shd w:val="clear" w:color="000000" w:fill="FFFFFF"/>
            <w:vAlign w:val="center"/>
            <w:hideMark/>
          </w:tcPr>
          <w:p w14:paraId="2D2FC931" w14:textId="77777777" w:rsidR="00B53316" w:rsidRPr="00D618B7" w:rsidRDefault="00B53316" w:rsidP="004B11B7">
            <w:pPr>
              <w:rPr>
                <w:color w:val="000000"/>
              </w:rPr>
            </w:pPr>
            <w:r w:rsidRPr="00D618B7">
              <w:rPr>
                <w:color w:val="000000"/>
              </w:rPr>
              <w:t>Mouth</w:t>
            </w:r>
          </w:p>
        </w:tc>
        <w:tc>
          <w:tcPr>
            <w:tcW w:w="524" w:type="pct"/>
            <w:tcBorders>
              <w:top w:val="nil"/>
              <w:left w:val="nil"/>
              <w:bottom w:val="single" w:sz="8" w:space="0" w:color="auto"/>
              <w:right w:val="nil"/>
            </w:tcBorders>
            <w:shd w:val="clear" w:color="000000" w:fill="FFFFFF"/>
            <w:noWrap/>
            <w:vAlign w:val="center"/>
            <w:hideMark/>
          </w:tcPr>
          <w:p w14:paraId="1D4629FB" w14:textId="77777777" w:rsidR="00B53316" w:rsidRPr="00D618B7" w:rsidRDefault="00B53316" w:rsidP="004B11B7">
            <w:pPr>
              <w:jc w:val="right"/>
              <w:rPr>
                <w:color w:val="000000"/>
              </w:rPr>
            </w:pPr>
            <w:r w:rsidRPr="00D618B7">
              <w:rPr>
                <w:color w:val="000000"/>
              </w:rPr>
              <w:t>3.05</w:t>
            </w:r>
          </w:p>
        </w:tc>
        <w:tc>
          <w:tcPr>
            <w:tcW w:w="673" w:type="pct"/>
            <w:tcBorders>
              <w:top w:val="nil"/>
              <w:left w:val="nil"/>
              <w:bottom w:val="single" w:sz="8" w:space="0" w:color="auto"/>
              <w:right w:val="nil"/>
            </w:tcBorders>
            <w:shd w:val="clear" w:color="000000" w:fill="FFFFFF"/>
            <w:noWrap/>
            <w:vAlign w:val="center"/>
            <w:hideMark/>
          </w:tcPr>
          <w:p w14:paraId="27C5391C" w14:textId="77777777" w:rsidR="00B53316" w:rsidRPr="00D618B7" w:rsidRDefault="00B53316" w:rsidP="004B11B7">
            <w:pPr>
              <w:jc w:val="right"/>
              <w:rPr>
                <w:color w:val="000000"/>
              </w:rPr>
            </w:pPr>
            <w:r w:rsidRPr="00D618B7">
              <w:rPr>
                <w:color w:val="000000"/>
              </w:rPr>
              <w:t>0.48</w:t>
            </w:r>
          </w:p>
        </w:tc>
        <w:tc>
          <w:tcPr>
            <w:tcW w:w="741" w:type="pct"/>
            <w:tcBorders>
              <w:top w:val="nil"/>
              <w:left w:val="nil"/>
              <w:bottom w:val="single" w:sz="8" w:space="0" w:color="auto"/>
              <w:right w:val="nil"/>
            </w:tcBorders>
            <w:shd w:val="clear" w:color="000000" w:fill="FFFFFF"/>
            <w:noWrap/>
            <w:vAlign w:val="center"/>
            <w:hideMark/>
          </w:tcPr>
          <w:p w14:paraId="542CA01E" w14:textId="77777777" w:rsidR="00B53316" w:rsidRPr="00D618B7" w:rsidRDefault="00B53316" w:rsidP="004B11B7">
            <w:pPr>
              <w:jc w:val="right"/>
              <w:rPr>
                <w:color w:val="000000"/>
              </w:rPr>
            </w:pPr>
            <w:r w:rsidRPr="00D618B7">
              <w:rPr>
                <w:color w:val="000000"/>
              </w:rPr>
              <w:t>0.40</w:t>
            </w:r>
          </w:p>
        </w:tc>
        <w:tc>
          <w:tcPr>
            <w:tcW w:w="740" w:type="pct"/>
            <w:tcBorders>
              <w:top w:val="nil"/>
              <w:left w:val="nil"/>
              <w:bottom w:val="single" w:sz="8" w:space="0" w:color="auto"/>
              <w:right w:val="nil"/>
            </w:tcBorders>
            <w:shd w:val="clear" w:color="000000" w:fill="FFFFFF"/>
            <w:noWrap/>
            <w:vAlign w:val="center"/>
            <w:hideMark/>
          </w:tcPr>
          <w:p w14:paraId="4F077A89" w14:textId="77777777" w:rsidR="00B53316" w:rsidRPr="00D618B7" w:rsidRDefault="00B53316" w:rsidP="004B11B7">
            <w:pPr>
              <w:jc w:val="right"/>
              <w:rPr>
                <w:color w:val="000000"/>
              </w:rPr>
            </w:pPr>
            <w:r w:rsidRPr="00D618B7">
              <w:rPr>
                <w:color w:val="000000"/>
              </w:rPr>
              <w:t>0.16</w:t>
            </w:r>
          </w:p>
        </w:tc>
        <w:tc>
          <w:tcPr>
            <w:tcW w:w="711" w:type="pct"/>
            <w:gridSpan w:val="2"/>
            <w:tcBorders>
              <w:top w:val="nil"/>
              <w:left w:val="nil"/>
              <w:bottom w:val="single" w:sz="8" w:space="0" w:color="auto"/>
              <w:right w:val="nil"/>
            </w:tcBorders>
            <w:shd w:val="clear" w:color="000000" w:fill="FFFFFF"/>
            <w:noWrap/>
            <w:vAlign w:val="center"/>
            <w:hideMark/>
          </w:tcPr>
          <w:p w14:paraId="6CF4B93A" w14:textId="77777777" w:rsidR="00B53316" w:rsidRPr="00D618B7" w:rsidRDefault="00B53316" w:rsidP="004B11B7">
            <w:pPr>
              <w:jc w:val="right"/>
              <w:rPr>
                <w:color w:val="000000"/>
              </w:rPr>
            </w:pPr>
            <w:r w:rsidRPr="00D618B7">
              <w:rPr>
                <w:color w:val="000000"/>
              </w:rPr>
              <w:t>0.57</w:t>
            </w:r>
          </w:p>
        </w:tc>
        <w:tc>
          <w:tcPr>
            <w:tcW w:w="673" w:type="pct"/>
            <w:tcBorders>
              <w:top w:val="nil"/>
              <w:left w:val="nil"/>
              <w:bottom w:val="single" w:sz="8" w:space="0" w:color="auto"/>
              <w:right w:val="nil"/>
            </w:tcBorders>
            <w:shd w:val="clear" w:color="000000" w:fill="FFFFFF"/>
            <w:noWrap/>
            <w:vAlign w:val="center"/>
            <w:hideMark/>
          </w:tcPr>
          <w:p w14:paraId="0372CFA6" w14:textId="77777777" w:rsidR="00B53316" w:rsidRPr="00D618B7" w:rsidRDefault="00B53316" w:rsidP="004B11B7">
            <w:pPr>
              <w:jc w:val="right"/>
              <w:rPr>
                <w:color w:val="000000"/>
              </w:rPr>
            </w:pPr>
            <w:r w:rsidRPr="00D618B7">
              <w:rPr>
                <w:color w:val="000000"/>
              </w:rPr>
              <w:t>0.18</w:t>
            </w:r>
          </w:p>
        </w:tc>
      </w:tr>
    </w:tbl>
    <w:p w14:paraId="7438FCB9" w14:textId="77777777" w:rsidR="00B53316" w:rsidRPr="00D618B7" w:rsidRDefault="00B53316" w:rsidP="00B53316"/>
    <w:p w14:paraId="4944379F" w14:textId="77777777" w:rsidR="00B53316" w:rsidRPr="00D618B7" w:rsidRDefault="00B53316" w:rsidP="00B53316">
      <w:r w:rsidRPr="00D618B7">
        <w:rPr>
          <w:i/>
          <w:iCs/>
        </w:rPr>
        <w:t>Note</w:t>
      </w:r>
      <w:r w:rsidRPr="00D618B7">
        <w:t>: This table lists the estimated mean frequency and standard errors for face, hand, and mouth events by toy-out-of-reach, toy-moving-into-reach, and toy-in-reach by group.</w:t>
      </w:r>
    </w:p>
    <w:p w14:paraId="3625D314" w14:textId="77777777" w:rsidR="00B53316" w:rsidRPr="00D618B7" w:rsidRDefault="00B53316">
      <w:pPr>
        <w:rPr>
          <w:rFonts w:eastAsia="Aptos"/>
        </w:rPr>
      </w:pPr>
      <w:r w:rsidRPr="00D618B7">
        <w:rPr>
          <w:rFonts w:eastAsia="Aptos"/>
        </w:rPr>
        <w:br w:type="page"/>
      </w:r>
    </w:p>
    <w:p w14:paraId="7E311830" w14:textId="528FDF27" w:rsidR="00B53316" w:rsidRPr="00BA36EF" w:rsidRDefault="009628DB" w:rsidP="007C5074">
      <w:pPr>
        <w:pStyle w:val="Caption"/>
      </w:pPr>
      <w:bookmarkStart w:id="191" w:name="_Toc172716878"/>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50</w:t>
      </w:r>
      <w:r w:rsidR="00000000">
        <w:rPr>
          <w:noProof/>
        </w:rPr>
        <w:fldChar w:fldCharType="end"/>
      </w:r>
      <w:r w:rsidR="00BA36EF" w:rsidRPr="00BA36EF">
        <w:rPr>
          <w:noProof/>
        </w:rPr>
        <w:t xml:space="preserve">: </w:t>
      </w:r>
      <w:r w:rsidR="00940E58">
        <w:t xml:space="preserve">Event </w:t>
      </w:r>
      <w:r w:rsidR="00205741">
        <w:t>f</w:t>
      </w:r>
      <w:r w:rsidR="00BA36EF" w:rsidRPr="00BA36EF">
        <w:t xml:space="preserve">requency by </w:t>
      </w:r>
      <w:r w:rsidR="00205741">
        <w:t>p</w:t>
      </w:r>
      <w:r w:rsidR="00BA36EF">
        <w:t xml:space="preserve">roximity, </w:t>
      </w:r>
      <w:r w:rsidR="00205741">
        <w:t>t</w:t>
      </w:r>
      <w:r w:rsidR="00BA36EF">
        <w:t>ype</w:t>
      </w:r>
      <w:r w:rsidR="00711BCC">
        <w:t>,</w:t>
      </w:r>
      <w:r w:rsidR="00BA36EF">
        <w:t xml:space="preserve"> and </w:t>
      </w:r>
      <w:r w:rsidR="00205741">
        <w:t>w</w:t>
      </w:r>
      <w:r w:rsidR="00BA36EF">
        <w:t xml:space="preserve">eek for </w:t>
      </w:r>
      <w:r w:rsidR="00205741">
        <w:t>e</w:t>
      </w:r>
      <w:r w:rsidR="00BA36EF">
        <w:t xml:space="preserve">arly </w:t>
      </w:r>
      <w:r w:rsidR="00205741">
        <w:t>g</w:t>
      </w:r>
      <w:r w:rsidR="00BA36EF">
        <w:t>roup</w:t>
      </w:r>
      <w:bookmarkEnd w:id="191"/>
    </w:p>
    <w:p w14:paraId="3C79EE36" w14:textId="77777777" w:rsidR="00B53316" w:rsidRPr="00D618B7" w:rsidRDefault="00B53316" w:rsidP="00B53316">
      <w:r w:rsidRPr="00D618B7">
        <w:t>Estimated Mean Frequency of Events by Type, Proximity, and Week for the Early Reach Group.</w:t>
      </w:r>
    </w:p>
    <w:tbl>
      <w:tblPr>
        <w:tblW w:w="5052" w:type="pct"/>
        <w:tblLook w:val="04A0" w:firstRow="1" w:lastRow="0" w:firstColumn="1" w:lastColumn="0" w:noHBand="0" w:noVBand="1"/>
      </w:tblPr>
      <w:tblGrid>
        <w:gridCol w:w="1248"/>
        <w:gridCol w:w="960"/>
        <w:gridCol w:w="1531"/>
        <w:gridCol w:w="939"/>
        <w:gridCol w:w="1554"/>
        <w:gridCol w:w="960"/>
        <w:gridCol w:w="1538"/>
      </w:tblGrid>
      <w:tr w:rsidR="00B53316" w:rsidRPr="00D618B7" w14:paraId="106531F4" w14:textId="77777777" w:rsidTr="003B5FE0">
        <w:trPr>
          <w:trHeight w:val="273"/>
        </w:trPr>
        <w:tc>
          <w:tcPr>
            <w:tcW w:w="714" w:type="pct"/>
            <w:tcBorders>
              <w:top w:val="single" w:sz="4" w:space="0" w:color="auto"/>
              <w:left w:val="nil"/>
              <w:bottom w:val="nil"/>
              <w:right w:val="nil"/>
            </w:tcBorders>
            <w:shd w:val="clear" w:color="000000" w:fill="FFFFFF"/>
            <w:vAlign w:val="center"/>
            <w:hideMark/>
          </w:tcPr>
          <w:p w14:paraId="2CB46DE7" w14:textId="77777777" w:rsidR="00B53316" w:rsidRPr="00D618B7" w:rsidRDefault="00B53316" w:rsidP="004B11B7">
            <w:pPr>
              <w:rPr>
                <w:color w:val="000000"/>
                <w:sz w:val="22"/>
                <w:szCs w:val="22"/>
              </w:rPr>
            </w:pPr>
            <w:r w:rsidRPr="00D618B7">
              <w:rPr>
                <w:color w:val="000000"/>
                <w:sz w:val="22"/>
                <w:szCs w:val="22"/>
              </w:rPr>
              <w:t>Week</w:t>
            </w:r>
          </w:p>
        </w:tc>
        <w:tc>
          <w:tcPr>
            <w:tcW w:w="1427" w:type="pct"/>
            <w:gridSpan w:val="2"/>
            <w:tcBorders>
              <w:top w:val="single" w:sz="4" w:space="0" w:color="auto"/>
              <w:left w:val="nil"/>
              <w:bottom w:val="single" w:sz="8" w:space="0" w:color="auto"/>
              <w:right w:val="nil"/>
            </w:tcBorders>
            <w:shd w:val="clear" w:color="000000" w:fill="FFFFFF"/>
            <w:vAlign w:val="center"/>
            <w:hideMark/>
          </w:tcPr>
          <w:p w14:paraId="20E8FA0E" w14:textId="77777777" w:rsidR="00B53316" w:rsidRPr="00D618B7" w:rsidRDefault="00B53316" w:rsidP="004B11B7">
            <w:pPr>
              <w:jc w:val="center"/>
              <w:rPr>
                <w:color w:val="000000"/>
                <w:sz w:val="22"/>
                <w:szCs w:val="22"/>
              </w:rPr>
            </w:pPr>
            <w:r w:rsidRPr="00D618B7">
              <w:rPr>
                <w:color w:val="000000"/>
                <w:sz w:val="22"/>
                <w:szCs w:val="22"/>
              </w:rPr>
              <w:t>Face</w:t>
            </w:r>
          </w:p>
        </w:tc>
        <w:tc>
          <w:tcPr>
            <w:tcW w:w="1428" w:type="pct"/>
            <w:gridSpan w:val="2"/>
            <w:tcBorders>
              <w:top w:val="single" w:sz="4" w:space="0" w:color="auto"/>
              <w:left w:val="nil"/>
              <w:bottom w:val="single" w:sz="8" w:space="0" w:color="auto"/>
              <w:right w:val="nil"/>
            </w:tcBorders>
            <w:shd w:val="clear" w:color="000000" w:fill="FFFFFF"/>
            <w:vAlign w:val="center"/>
            <w:hideMark/>
          </w:tcPr>
          <w:p w14:paraId="24CDBB56" w14:textId="77777777" w:rsidR="00B53316" w:rsidRPr="00D618B7" w:rsidRDefault="00B53316" w:rsidP="004B11B7">
            <w:pPr>
              <w:jc w:val="center"/>
              <w:rPr>
                <w:color w:val="000000"/>
                <w:sz w:val="22"/>
                <w:szCs w:val="22"/>
              </w:rPr>
            </w:pPr>
            <w:r w:rsidRPr="00D618B7">
              <w:rPr>
                <w:color w:val="000000"/>
                <w:sz w:val="22"/>
                <w:szCs w:val="22"/>
              </w:rPr>
              <w:t>Hand</w:t>
            </w:r>
          </w:p>
        </w:tc>
        <w:tc>
          <w:tcPr>
            <w:tcW w:w="1430" w:type="pct"/>
            <w:gridSpan w:val="2"/>
            <w:tcBorders>
              <w:top w:val="single" w:sz="4" w:space="0" w:color="auto"/>
              <w:left w:val="nil"/>
              <w:bottom w:val="single" w:sz="8" w:space="0" w:color="auto"/>
              <w:right w:val="nil"/>
            </w:tcBorders>
            <w:shd w:val="clear" w:color="000000" w:fill="FFFFFF"/>
            <w:vAlign w:val="center"/>
            <w:hideMark/>
          </w:tcPr>
          <w:p w14:paraId="03989A54" w14:textId="77777777" w:rsidR="00B53316" w:rsidRPr="00D618B7" w:rsidRDefault="00B53316" w:rsidP="004B11B7">
            <w:pPr>
              <w:jc w:val="center"/>
              <w:rPr>
                <w:color w:val="000000"/>
                <w:sz w:val="22"/>
                <w:szCs w:val="22"/>
              </w:rPr>
            </w:pPr>
            <w:r w:rsidRPr="00D618B7">
              <w:rPr>
                <w:color w:val="000000"/>
                <w:sz w:val="22"/>
                <w:szCs w:val="22"/>
              </w:rPr>
              <w:t>Mouth</w:t>
            </w:r>
          </w:p>
        </w:tc>
      </w:tr>
      <w:tr w:rsidR="003B5FE0" w:rsidRPr="00D618B7" w14:paraId="12433500" w14:textId="77777777" w:rsidTr="003B5FE0">
        <w:trPr>
          <w:trHeight w:val="273"/>
        </w:trPr>
        <w:tc>
          <w:tcPr>
            <w:tcW w:w="714" w:type="pct"/>
            <w:tcBorders>
              <w:top w:val="nil"/>
              <w:left w:val="nil"/>
              <w:bottom w:val="single" w:sz="8" w:space="0" w:color="auto"/>
              <w:right w:val="nil"/>
            </w:tcBorders>
            <w:shd w:val="clear" w:color="000000" w:fill="FFFFFF"/>
            <w:noWrap/>
            <w:vAlign w:val="bottom"/>
            <w:hideMark/>
          </w:tcPr>
          <w:p w14:paraId="153A2247" w14:textId="77777777" w:rsidR="00B53316" w:rsidRPr="00D618B7" w:rsidRDefault="00B53316" w:rsidP="004B11B7">
            <w:pPr>
              <w:rPr>
                <w:color w:val="000000"/>
                <w:sz w:val="22"/>
                <w:szCs w:val="22"/>
              </w:rPr>
            </w:pPr>
            <w:r w:rsidRPr="00D618B7">
              <w:rPr>
                <w:color w:val="000000"/>
                <w:sz w:val="22"/>
                <w:szCs w:val="22"/>
              </w:rPr>
              <w:t> </w:t>
            </w:r>
          </w:p>
        </w:tc>
        <w:tc>
          <w:tcPr>
            <w:tcW w:w="550" w:type="pct"/>
            <w:tcBorders>
              <w:top w:val="nil"/>
              <w:left w:val="nil"/>
              <w:bottom w:val="single" w:sz="8" w:space="0" w:color="auto"/>
              <w:right w:val="nil"/>
            </w:tcBorders>
            <w:shd w:val="clear" w:color="000000" w:fill="FFFFFF"/>
            <w:noWrap/>
            <w:vAlign w:val="center"/>
            <w:hideMark/>
          </w:tcPr>
          <w:p w14:paraId="7241BFF4" w14:textId="77777777" w:rsidR="00B53316" w:rsidRPr="00D618B7" w:rsidRDefault="00B53316" w:rsidP="004B11B7">
            <w:pPr>
              <w:jc w:val="right"/>
              <w:rPr>
                <w:color w:val="000000"/>
                <w:sz w:val="22"/>
                <w:szCs w:val="22"/>
              </w:rPr>
            </w:pPr>
            <w:r w:rsidRPr="00D618B7">
              <w:rPr>
                <w:color w:val="000000"/>
                <w:sz w:val="22"/>
                <w:szCs w:val="22"/>
              </w:rPr>
              <w:t>Mean</w:t>
            </w:r>
          </w:p>
        </w:tc>
        <w:tc>
          <w:tcPr>
            <w:tcW w:w="876" w:type="pct"/>
            <w:tcBorders>
              <w:top w:val="nil"/>
              <w:left w:val="nil"/>
              <w:bottom w:val="single" w:sz="8" w:space="0" w:color="auto"/>
              <w:right w:val="nil"/>
            </w:tcBorders>
            <w:shd w:val="clear" w:color="000000" w:fill="FFFFFF"/>
            <w:noWrap/>
            <w:vAlign w:val="center"/>
            <w:hideMark/>
          </w:tcPr>
          <w:p w14:paraId="5F6DDC64" w14:textId="77777777" w:rsidR="00B53316" w:rsidRPr="00D618B7" w:rsidRDefault="00B53316" w:rsidP="004B11B7">
            <w:pPr>
              <w:jc w:val="right"/>
              <w:rPr>
                <w:color w:val="000000"/>
                <w:sz w:val="22"/>
                <w:szCs w:val="22"/>
              </w:rPr>
            </w:pPr>
            <w:r w:rsidRPr="00D618B7">
              <w:rPr>
                <w:color w:val="000000"/>
                <w:sz w:val="22"/>
                <w:szCs w:val="22"/>
              </w:rPr>
              <w:t>Std. Error</w:t>
            </w:r>
          </w:p>
        </w:tc>
        <w:tc>
          <w:tcPr>
            <w:tcW w:w="538" w:type="pct"/>
            <w:tcBorders>
              <w:top w:val="nil"/>
              <w:left w:val="nil"/>
              <w:bottom w:val="single" w:sz="8" w:space="0" w:color="auto"/>
              <w:right w:val="nil"/>
            </w:tcBorders>
            <w:shd w:val="clear" w:color="000000" w:fill="FFFFFF"/>
            <w:noWrap/>
            <w:vAlign w:val="center"/>
            <w:hideMark/>
          </w:tcPr>
          <w:p w14:paraId="14ACBFC6" w14:textId="77777777" w:rsidR="00B53316" w:rsidRPr="00D618B7" w:rsidRDefault="00B53316" w:rsidP="004B11B7">
            <w:pPr>
              <w:jc w:val="right"/>
              <w:rPr>
                <w:color w:val="000000"/>
                <w:sz w:val="22"/>
                <w:szCs w:val="22"/>
              </w:rPr>
            </w:pPr>
            <w:r w:rsidRPr="00D618B7">
              <w:rPr>
                <w:color w:val="000000"/>
                <w:sz w:val="22"/>
                <w:szCs w:val="22"/>
              </w:rPr>
              <w:t>Mean</w:t>
            </w:r>
          </w:p>
        </w:tc>
        <w:tc>
          <w:tcPr>
            <w:tcW w:w="890" w:type="pct"/>
            <w:tcBorders>
              <w:top w:val="nil"/>
              <w:left w:val="nil"/>
              <w:bottom w:val="single" w:sz="8" w:space="0" w:color="auto"/>
              <w:right w:val="nil"/>
            </w:tcBorders>
            <w:shd w:val="clear" w:color="000000" w:fill="FFFFFF"/>
            <w:noWrap/>
            <w:vAlign w:val="center"/>
            <w:hideMark/>
          </w:tcPr>
          <w:p w14:paraId="4245C16E" w14:textId="77777777" w:rsidR="00B53316" w:rsidRPr="00D618B7" w:rsidRDefault="00B53316" w:rsidP="004B11B7">
            <w:pPr>
              <w:jc w:val="right"/>
              <w:rPr>
                <w:color w:val="000000"/>
                <w:sz w:val="22"/>
                <w:szCs w:val="22"/>
              </w:rPr>
            </w:pPr>
            <w:r w:rsidRPr="00D618B7">
              <w:rPr>
                <w:color w:val="000000"/>
                <w:sz w:val="22"/>
                <w:szCs w:val="22"/>
              </w:rPr>
              <w:t>Std. Error</w:t>
            </w:r>
          </w:p>
        </w:tc>
        <w:tc>
          <w:tcPr>
            <w:tcW w:w="550" w:type="pct"/>
            <w:tcBorders>
              <w:top w:val="nil"/>
              <w:left w:val="nil"/>
              <w:bottom w:val="single" w:sz="8" w:space="0" w:color="auto"/>
              <w:right w:val="nil"/>
            </w:tcBorders>
            <w:shd w:val="clear" w:color="000000" w:fill="FFFFFF"/>
            <w:noWrap/>
            <w:vAlign w:val="center"/>
            <w:hideMark/>
          </w:tcPr>
          <w:p w14:paraId="091A8323" w14:textId="77777777" w:rsidR="00B53316" w:rsidRPr="00D618B7" w:rsidRDefault="00B53316" w:rsidP="004B11B7">
            <w:pPr>
              <w:jc w:val="right"/>
              <w:rPr>
                <w:color w:val="000000"/>
                <w:sz w:val="22"/>
                <w:szCs w:val="22"/>
              </w:rPr>
            </w:pPr>
            <w:r w:rsidRPr="00D618B7">
              <w:rPr>
                <w:color w:val="000000"/>
                <w:sz w:val="22"/>
                <w:szCs w:val="22"/>
              </w:rPr>
              <w:t>Mean</w:t>
            </w:r>
          </w:p>
        </w:tc>
        <w:tc>
          <w:tcPr>
            <w:tcW w:w="879" w:type="pct"/>
            <w:tcBorders>
              <w:top w:val="nil"/>
              <w:left w:val="nil"/>
              <w:bottom w:val="single" w:sz="8" w:space="0" w:color="auto"/>
              <w:right w:val="nil"/>
            </w:tcBorders>
            <w:shd w:val="clear" w:color="000000" w:fill="FFFFFF"/>
            <w:noWrap/>
            <w:vAlign w:val="center"/>
            <w:hideMark/>
          </w:tcPr>
          <w:p w14:paraId="592597F3" w14:textId="77777777" w:rsidR="00B53316" w:rsidRPr="00D618B7" w:rsidRDefault="00B53316" w:rsidP="004B11B7">
            <w:pPr>
              <w:jc w:val="right"/>
              <w:rPr>
                <w:color w:val="000000"/>
                <w:sz w:val="22"/>
                <w:szCs w:val="22"/>
              </w:rPr>
            </w:pPr>
            <w:r w:rsidRPr="00D618B7">
              <w:rPr>
                <w:color w:val="000000"/>
                <w:sz w:val="22"/>
                <w:szCs w:val="22"/>
              </w:rPr>
              <w:t>Std. Error</w:t>
            </w:r>
          </w:p>
        </w:tc>
      </w:tr>
      <w:tr w:rsidR="00B53316" w:rsidRPr="00D618B7" w14:paraId="7291C264" w14:textId="77777777" w:rsidTr="003B5FE0">
        <w:trPr>
          <w:trHeight w:val="273"/>
        </w:trPr>
        <w:tc>
          <w:tcPr>
            <w:tcW w:w="714" w:type="pct"/>
            <w:tcBorders>
              <w:top w:val="nil"/>
              <w:left w:val="nil"/>
              <w:bottom w:val="nil"/>
              <w:right w:val="nil"/>
            </w:tcBorders>
            <w:shd w:val="clear" w:color="000000" w:fill="FFFFFF"/>
            <w:noWrap/>
            <w:vAlign w:val="bottom"/>
            <w:hideMark/>
          </w:tcPr>
          <w:p w14:paraId="3754EDCF" w14:textId="77777777" w:rsidR="00B53316" w:rsidRPr="00D618B7" w:rsidRDefault="00B53316" w:rsidP="004B11B7">
            <w:pPr>
              <w:rPr>
                <w:color w:val="000000"/>
                <w:sz w:val="22"/>
                <w:szCs w:val="22"/>
              </w:rPr>
            </w:pPr>
            <w:r w:rsidRPr="00D618B7">
              <w:rPr>
                <w:color w:val="000000"/>
                <w:sz w:val="22"/>
                <w:szCs w:val="22"/>
              </w:rPr>
              <w:t> </w:t>
            </w:r>
          </w:p>
        </w:tc>
        <w:tc>
          <w:tcPr>
            <w:tcW w:w="4286" w:type="pct"/>
            <w:gridSpan w:val="6"/>
            <w:tcBorders>
              <w:top w:val="single" w:sz="8" w:space="0" w:color="auto"/>
              <w:left w:val="nil"/>
              <w:bottom w:val="nil"/>
              <w:right w:val="nil"/>
            </w:tcBorders>
            <w:shd w:val="clear" w:color="000000" w:fill="FFFFFF"/>
            <w:noWrap/>
            <w:vAlign w:val="center"/>
            <w:hideMark/>
          </w:tcPr>
          <w:p w14:paraId="5033E980" w14:textId="77777777" w:rsidR="00B53316" w:rsidRPr="00D618B7" w:rsidRDefault="00B53316" w:rsidP="004B11B7">
            <w:pPr>
              <w:jc w:val="center"/>
              <w:rPr>
                <w:color w:val="000000"/>
                <w:sz w:val="22"/>
                <w:szCs w:val="22"/>
              </w:rPr>
            </w:pPr>
            <w:r w:rsidRPr="00D618B7">
              <w:rPr>
                <w:color w:val="000000"/>
                <w:sz w:val="22"/>
                <w:szCs w:val="22"/>
              </w:rPr>
              <w:t>Toy-out-of-Reach</w:t>
            </w:r>
          </w:p>
        </w:tc>
      </w:tr>
      <w:tr w:rsidR="003B5FE0" w:rsidRPr="00D618B7" w14:paraId="5CC8E793" w14:textId="77777777" w:rsidTr="003B5FE0">
        <w:trPr>
          <w:trHeight w:val="273"/>
        </w:trPr>
        <w:tc>
          <w:tcPr>
            <w:tcW w:w="714" w:type="pct"/>
            <w:tcBorders>
              <w:top w:val="nil"/>
              <w:left w:val="nil"/>
              <w:bottom w:val="nil"/>
              <w:right w:val="nil"/>
            </w:tcBorders>
            <w:shd w:val="clear" w:color="000000" w:fill="FFFFFF"/>
            <w:vAlign w:val="center"/>
            <w:hideMark/>
          </w:tcPr>
          <w:p w14:paraId="5CDB6FEF" w14:textId="77777777" w:rsidR="00B53316" w:rsidRPr="00D618B7" w:rsidRDefault="00B53316" w:rsidP="004B11B7">
            <w:pPr>
              <w:jc w:val="right"/>
              <w:rPr>
                <w:color w:val="000000"/>
                <w:sz w:val="22"/>
                <w:szCs w:val="22"/>
              </w:rPr>
            </w:pPr>
            <w:r w:rsidRPr="00D618B7">
              <w:rPr>
                <w:color w:val="000000"/>
                <w:sz w:val="22"/>
                <w:szCs w:val="22"/>
              </w:rPr>
              <w:t>-5</w:t>
            </w:r>
          </w:p>
        </w:tc>
        <w:tc>
          <w:tcPr>
            <w:tcW w:w="550" w:type="pct"/>
            <w:tcBorders>
              <w:top w:val="nil"/>
              <w:left w:val="nil"/>
              <w:bottom w:val="nil"/>
              <w:right w:val="nil"/>
            </w:tcBorders>
            <w:shd w:val="clear" w:color="000000" w:fill="FFFFFF"/>
            <w:noWrap/>
            <w:vAlign w:val="center"/>
            <w:hideMark/>
          </w:tcPr>
          <w:p w14:paraId="69621C88" w14:textId="77777777" w:rsidR="00B53316" w:rsidRPr="00D618B7" w:rsidRDefault="00B53316" w:rsidP="004B11B7">
            <w:pPr>
              <w:jc w:val="right"/>
              <w:rPr>
                <w:color w:val="000000"/>
                <w:sz w:val="22"/>
                <w:szCs w:val="22"/>
              </w:rPr>
            </w:pPr>
            <w:r w:rsidRPr="00D618B7">
              <w:rPr>
                <w:color w:val="000000"/>
                <w:sz w:val="22"/>
                <w:szCs w:val="22"/>
              </w:rPr>
              <w:t>11.89</w:t>
            </w:r>
          </w:p>
        </w:tc>
        <w:tc>
          <w:tcPr>
            <w:tcW w:w="876" w:type="pct"/>
            <w:tcBorders>
              <w:top w:val="nil"/>
              <w:left w:val="nil"/>
              <w:bottom w:val="nil"/>
              <w:right w:val="nil"/>
            </w:tcBorders>
            <w:shd w:val="clear" w:color="000000" w:fill="FFFFFF"/>
            <w:noWrap/>
            <w:vAlign w:val="center"/>
            <w:hideMark/>
          </w:tcPr>
          <w:p w14:paraId="73ED7F25" w14:textId="77777777" w:rsidR="00B53316" w:rsidRPr="00D618B7" w:rsidRDefault="00B53316" w:rsidP="004B11B7">
            <w:pPr>
              <w:jc w:val="right"/>
              <w:rPr>
                <w:color w:val="000000"/>
                <w:sz w:val="22"/>
                <w:szCs w:val="22"/>
              </w:rPr>
            </w:pPr>
            <w:r w:rsidRPr="00D618B7">
              <w:rPr>
                <w:color w:val="000000"/>
                <w:sz w:val="22"/>
                <w:szCs w:val="22"/>
              </w:rPr>
              <w:t>0.06</w:t>
            </w:r>
          </w:p>
        </w:tc>
        <w:tc>
          <w:tcPr>
            <w:tcW w:w="538" w:type="pct"/>
            <w:tcBorders>
              <w:top w:val="nil"/>
              <w:left w:val="nil"/>
              <w:bottom w:val="nil"/>
              <w:right w:val="nil"/>
            </w:tcBorders>
            <w:shd w:val="clear" w:color="000000" w:fill="FFFFFF"/>
            <w:noWrap/>
            <w:vAlign w:val="center"/>
            <w:hideMark/>
          </w:tcPr>
          <w:p w14:paraId="7933A44D" w14:textId="77777777" w:rsidR="00B53316" w:rsidRPr="00D618B7" w:rsidRDefault="00B53316" w:rsidP="004B11B7">
            <w:pPr>
              <w:jc w:val="right"/>
              <w:rPr>
                <w:color w:val="000000"/>
                <w:sz w:val="22"/>
                <w:szCs w:val="22"/>
              </w:rPr>
            </w:pPr>
            <w:r w:rsidRPr="00D618B7">
              <w:rPr>
                <w:color w:val="000000"/>
                <w:sz w:val="22"/>
                <w:szCs w:val="22"/>
              </w:rPr>
              <w:t>-0.41</w:t>
            </w:r>
          </w:p>
        </w:tc>
        <w:tc>
          <w:tcPr>
            <w:tcW w:w="890" w:type="pct"/>
            <w:tcBorders>
              <w:top w:val="nil"/>
              <w:left w:val="nil"/>
              <w:bottom w:val="nil"/>
              <w:right w:val="nil"/>
            </w:tcBorders>
            <w:shd w:val="clear" w:color="000000" w:fill="FFFFFF"/>
            <w:noWrap/>
            <w:vAlign w:val="center"/>
            <w:hideMark/>
          </w:tcPr>
          <w:p w14:paraId="4D331389" w14:textId="77777777" w:rsidR="00B53316" w:rsidRPr="00D618B7" w:rsidRDefault="00B53316" w:rsidP="004B11B7">
            <w:pPr>
              <w:jc w:val="right"/>
              <w:rPr>
                <w:color w:val="000000"/>
                <w:sz w:val="22"/>
                <w:szCs w:val="22"/>
              </w:rPr>
            </w:pPr>
            <w:r w:rsidRPr="00D618B7">
              <w:rPr>
                <w:color w:val="000000"/>
                <w:sz w:val="22"/>
                <w:szCs w:val="22"/>
              </w:rPr>
              <w:t>0.70</w:t>
            </w:r>
          </w:p>
        </w:tc>
        <w:tc>
          <w:tcPr>
            <w:tcW w:w="550" w:type="pct"/>
            <w:tcBorders>
              <w:top w:val="nil"/>
              <w:left w:val="nil"/>
              <w:bottom w:val="nil"/>
              <w:right w:val="nil"/>
            </w:tcBorders>
            <w:shd w:val="clear" w:color="000000" w:fill="FFFFFF"/>
            <w:noWrap/>
            <w:vAlign w:val="center"/>
            <w:hideMark/>
          </w:tcPr>
          <w:p w14:paraId="3B814876" w14:textId="77777777" w:rsidR="00B53316" w:rsidRPr="00D618B7" w:rsidRDefault="00B53316" w:rsidP="004B11B7">
            <w:pPr>
              <w:jc w:val="right"/>
              <w:rPr>
                <w:color w:val="000000"/>
                <w:sz w:val="22"/>
                <w:szCs w:val="22"/>
              </w:rPr>
            </w:pPr>
            <w:r w:rsidRPr="00D618B7">
              <w:rPr>
                <w:color w:val="000000"/>
                <w:sz w:val="22"/>
                <w:szCs w:val="22"/>
              </w:rPr>
              <w:t>1.68</w:t>
            </w:r>
          </w:p>
        </w:tc>
        <w:tc>
          <w:tcPr>
            <w:tcW w:w="879" w:type="pct"/>
            <w:tcBorders>
              <w:top w:val="nil"/>
              <w:left w:val="nil"/>
              <w:bottom w:val="nil"/>
              <w:right w:val="nil"/>
            </w:tcBorders>
            <w:shd w:val="clear" w:color="000000" w:fill="FFFFFF"/>
            <w:noWrap/>
            <w:vAlign w:val="center"/>
            <w:hideMark/>
          </w:tcPr>
          <w:p w14:paraId="69C59A9A" w14:textId="77777777" w:rsidR="00B53316" w:rsidRPr="00D618B7" w:rsidRDefault="00B53316" w:rsidP="004B11B7">
            <w:pPr>
              <w:jc w:val="right"/>
              <w:rPr>
                <w:color w:val="000000"/>
                <w:sz w:val="22"/>
                <w:szCs w:val="22"/>
              </w:rPr>
            </w:pPr>
            <w:r w:rsidRPr="00D618B7">
              <w:rPr>
                <w:color w:val="000000"/>
                <w:sz w:val="22"/>
                <w:szCs w:val="22"/>
              </w:rPr>
              <w:t>1.86</w:t>
            </w:r>
          </w:p>
        </w:tc>
      </w:tr>
      <w:tr w:rsidR="003B5FE0" w:rsidRPr="00D618B7" w14:paraId="4ECF74CF" w14:textId="77777777" w:rsidTr="003B5FE0">
        <w:trPr>
          <w:trHeight w:val="273"/>
        </w:trPr>
        <w:tc>
          <w:tcPr>
            <w:tcW w:w="714" w:type="pct"/>
            <w:tcBorders>
              <w:top w:val="nil"/>
              <w:left w:val="nil"/>
              <w:bottom w:val="nil"/>
              <w:right w:val="nil"/>
            </w:tcBorders>
            <w:shd w:val="clear" w:color="000000" w:fill="FFFFFF"/>
            <w:vAlign w:val="center"/>
            <w:hideMark/>
          </w:tcPr>
          <w:p w14:paraId="2268E63E" w14:textId="77777777" w:rsidR="00B53316" w:rsidRPr="00D618B7" w:rsidRDefault="00B53316" w:rsidP="004B11B7">
            <w:pPr>
              <w:jc w:val="right"/>
              <w:rPr>
                <w:color w:val="000000"/>
                <w:sz w:val="22"/>
                <w:szCs w:val="22"/>
              </w:rPr>
            </w:pPr>
            <w:r w:rsidRPr="00D618B7">
              <w:rPr>
                <w:color w:val="000000"/>
                <w:sz w:val="22"/>
                <w:szCs w:val="22"/>
              </w:rPr>
              <w:t>-4</w:t>
            </w:r>
          </w:p>
        </w:tc>
        <w:tc>
          <w:tcPr>
            <w:tcW w:w="550" w:type="pct"/>
            <w:tcBorders>
              <w:top w:val="nil"/>
              <w:left w:val="nil"/>
              <w:bottom w:val="nil"/>
              <w:right w:val="nil"/>
            </w:tcBorders>
            <w:shd w:val="clear" w:color="000000" w:fill="FFFFFF"/>
            <w:noWrap/>
            <w:vAlign w:val="center"/>
            <w:hideMark/>
          </w:tcPr>
          <w:p w14:paraId="2D55AB52" w14:textId="77777777" w:rsidR="00B53316" w:rsidRPr="00D618B7" w:rsidRDefault="00B53316" w:rsidP="004B11B7">
            <w:pPr>
              <w:jc w:val="right"/>
              <w:rPr>
                <w:color w:val="000000"/>
                <w:sz w:val="22"/>
                <w:szCs w:val="22"/>
              </w:rPr>
            </w:pPr>
            <w:r w:rsidRPr="00D618B7">
              <w:rPr>
                <w:color w:val="000000"/>
                <w:sz w:val="22"/>
                <w:szCs w:val="22"/>
              </w:rPr>
              <w:t>0.52</w:t>
            </w:r>
          </w:p>
        </w:tc>
        <w:tc>
          <w:tcPr>
            <w:tcW w:w="876" w:type="pct"/>
            <w:tcBorders>
              <w:top w:val="nil"/>
              <w:left w:val="nil"/>
              <w:bottom w:val="nil"/>
              <w:right w:val="nil"/>
            </w:tcBorders>
            <w:shd w:val="clear" w:color="000000" w:fill="FFFFFF"/>
            <w:noWrap/>
            <w:vAlign w:val="center"/>
            <w:hideMark/>
          </w:tcPr>
          <w:p w14:paraId="4A9A379D" w14:textId="77777777" w:rsidR="00B53316" w:rsidRPr="00D618B7" w:rsidRDefault="00B53316" w:rsidP="004B11B7">
            <w:pPr>
              <w:jc w:val="right"/>
              <w:rPr>
                <w:color w:val="000000"/>
                <w:sz w:val="22"/>
                <w:szCs w:val="22"/>
              </w:rPr>
            </w:pPr>
            <w:r w:rsidRPr="00D618B7">
              <w:rPr>
                <w:color w:val="000000"/>
                <w:sz w:val="22"/>
                <w:szCs w:val="22"/>
              </w:rPr>
              <w:t>0.49</w:t>
            </w:r>
          </w:p>
        </w:tc>
        <w:tc>
          <w:tcPr>
            <w:tcW w:w="538" w:type="pct"/>
            <w:tcBorders>
              <w:top w:val="nil"/>
              <w:left w:val="nil"/>
              <w:bottom w:val="nil"/>
              <w:right w:val="nil"/>
            </w:tcBorders>
            <w:shd w:val="clear" w:color="000000" w:fill="FFFFFF"/>
            <w:noWrap/>
            <w:vAlign w:val="center"/>
            <w:hideMark/>
          </w:tcPr>
          <w:p w14:paraId="19545F2C" w14:textId="77777777" w:rsidR="00B53316" w:rsidRPr="00D618B7" w:rsidRDefault="00B53316" w:rsidP="004B11B7">
            <w:pPr>
              <w:jc w:val="right"/>
              <w:rPr>
                <w:color w:val="000000"/>
                <w:sz w:val="22"/>
                <w:szCs w:val="22"/>
              </w:rPr>
            </w:pPr>
            <w:r w:rsidRPr="00D618B7">
              <w:rPr>
                <w:color w:val="000000"/>
                <w:sz w:val="22"/>
                <w:szCs w:val="22"/>
              </w:rPr>
              <w:t>1.13</w:t>
            </w:r>
          </w:p>
        </w:tc>
        <w:tc>
          <w:tcPr>
            <w:tcW w:w="890" w:type="pct"/>
            <w:tcBorders>
              <w:top w:val="nil"/>
              <w:left w:val="nil"/>
              <w:bottom w:val="nil"/>
              <w:right w:val="nil"/>
            </w:tcBorders>
            <w:shd w:val="clear" w:color="000000" w:fill="FFFFFF"/>
            <w:noWrap/>
            <w:vAlign w:val="center"/>
            <w:hideMark/>
          </w:tcPr>
          <w:p w14:paraId="54D3EC5B" w14:textId="77777777" w:rsidR="00B53316" w:rsidRPr="00D618B7" w:rsidRDefault="00B53316" w:rsidP="004B11B7">
            <w:pPr>
              <w:jc w:val="right"/>
              <w:rPr>
                <w:color w:val="000000"/>
                <w:sz w:val="22"/>
                <w:szCs w:val="22"/>
              </w:rPr>
            </w:pPr>
            <w:r w:rsidRPr="00D618B7">
              <w:rPr>
                <w:color w:val="000000"/>
                <w:sz w:val="22"/>
                <w:szCs w:val="22"/>
              </w:rPr>
              <w:t>0.76</w:t>
            </w:r>
          </w:p>
        </w:tc>
        <w:tc>
          <w:tcPr>
            <w:tcW w:w="550" w:type="pct"/>
            <w:tcBorders>
              <w:top w:val="nil"/>
              <w:left w:val="nil"/>
              <w:bottom w:val="nil"/>
              <w:right w:val="nil"/>
            </w:tcBorders>
            <w:shd w:val="clear" w:color="000000" w:fill="FFFFFF"/>
            <w:noWrap/>
            <w:vAlign w:val="center"/>
            <w:hideMark/>
          </w:tcPr>
          <w:p w14:paraId="611F42F0" w14:textId="77777777" w:rsidR="00B53316" w:rsidRPr="00D618B7" w:rsidRDefault="00B53316" w:rsidP="004B11B7">
            <w:pPr>
              <w:jc w:val="right"/>
              <w:rPr>
                <w:color w:val="000000"/>
                <w:sz w:val="22"/>
                <w:szCs w:val="22"/>
              </w:rPr>
            </w:pPr>
            <w:r w:rsidRPr="00D618B7">
              <w:rPr>
                <w:color w:val="000000"/>
                <w:sz w:val="22"/>
                <w:szCs w:val="22"/>
              </w:rPr>
              <w:t>0.25</w:t>
            </w:r>
          </w:p>
        </w:tc>
        <w:tc>
          <w:tcPr>
            <w:tcW w:w="879" w:type="pct"/>
            <w:tcBorders>
              <w:top w:val="nil"/>
              <w:left w:val="nil"/>
              <w:bottom w:val="nil"/>
              <w:right w:val="nil"/>
            </w:tcBorders>
            <w:shd w:val="clear" w:color="000000" w:fill="FFFFFF"/>
            <w:noWrap/>
            <w:vAlign w:val="center"/>
            <w:hideMark/>
          </w:tcPr>
          <w:p w14:paraId="0757CFE7" w14:textId="77777777" w:rsidR="00B53316" w:rsidRPr="00D618B7" w:rsidRDefault="00B53316" w:rsidP="004B11B7">
            <w:pPr>
              <w:jc w:val="right"/>
              <w:rPr>
                <w:color w:val="000000"/>
                <w:sz w:val="22"/>
                <w:szCs w:val="22"/>
              </w:rPr>
            </w:pPr>
            <w:r w:rsidRPr="00D618B7">
              <w:rPr>
                <w:color w:val="000000"/>
                <w:sz w:val="22"/>
                <w:szCs w:val="22"/>
              </w:rPr>
              <w:t>2.35</w:t>
            </w:r>
          </w:p>
        </w:tc>
      </w:tr>
      <w:tr w:rsidR="003B5FE0" w:rsidRPr="00D618B7" w14:paraId="0CE48A00" w14:textId="77777777" w:rsidTr="003B5FE0">
        <w:trPr>
          <w:trHeight w:val="273"/>
        </w:trPr>
        <w:tc>
          <w:tcPr>
            <w:tcW w:w="714" w:type="pct"/>
            <w:tcBorders>
              <w:top w:val="nil"/>
              <w:left w:val="nil"/>
              <w:bottom w:val="nil"/>
              <w:right w:val="nil"/>
            </w:tcBorders>
            <w:shd w:val="clear" w:color="000000" w:fill="FFFFFF"/>
            <w:vAlign w:val="center"/>
            <w:hideMark/>
          </w:tcPr>
          <w:p w14:paraId="07C10344" w14:textId="77777777" w:rsidR="00B53316" w:rsidRPr="00D618B7" w:rsidRDefault="00B53316" w:rsidP="004B11B7">
            <w:pPr>
              <w:jc w:val="right"/>
              <w:rPr>
                <w:color w:val="000000"/>
                <w:sz w:val="22"/>
                <w:szCs w:val="22"/>
              </w:rPr>
            </w:pPr>
            <w:r w:rsidRPr="00D618B7">
              <w:rPr>
                <w:color w:val="000000"/>
                <w:sz w:val="22"/>
                <w:szCs w:val="22"/>
              </w:rPr>
              <w:t>-3</w:t>
            </w:r>
          </w:p>
        </w:tc>
        <w:tc>
          <w:tcPr>
            <w:tcW w:w="550" w:type="pct"/>
            <w:tcBorders>
              <w:top w:val="nil"/>
              <w:left w:val="nil"/>
              <w:bottom w:val="nil"/>
              <w:right w:val="nil"/>
            </w:tcBorders>
            <w:shd w:val="clear" w:color="000000" w:fill="FFFFFF"/>
            <w:noWrap/>
            <w:vAlign w:val="center"/>
            <w:hideMark/>
          </w:tcPr>
          <w:p w14:paraId="12A707EB" w14:textId="77777777" w:rsidR="00B53316" w:rsidRPr="00D618B7" w:rsidRDefault="00B53316" w:rsidP="004B11B7">
            <w:pPr>
              <w:jc w:val="right"/>
              <w:rPr>
                <w:color w:val="000000"/>
                <w:sz w:val="22"/>
                <w:szCs w:val="22"/>
              </w:rPr>
            </w:pPr>
            <w:r w:rsidRPr="00D618B7">
              <w:rPr>
                <w:color w:val="000000"/>
                <w:sz w:val="22"/>
                <w:szCs w:val="22"/>
              </w:rPr>
              <w:t>1.12</w:t>
            </w:r>
          </w:p>
        </w:tc>
        <w:tc>
          <w:tcPr>
            <w:tcW w:w="876" w:type="pct"/>
            <w:tcBorders>
              <w:top w:val="nil"/>
              <w:left w:val="nil"/>
              <w:bottom w:val="nil"/>
              <w:right w:val="nil"/>
            </w:tcBorders>
            <w:shd w:val="clear" w:color="000000" w:fill="FFFFFF"/>
            <w:noWrap/>
            <w:vAlign w:val="center"/>
            <w:hideMark/>
          </w:tcPr>
          <w:p w14:paraId="2CE78F66" w14:textId="77777777" w:rsidR="00B53316" w:rsidRPr="00D618B7" w:rsidRDefault="00B53316" w:rsidP="004B11B7">
            <w:pPr>
              <w:jc w:val="right"/>
              <w:rPr>
                <w:color w:val="000000"/>
                <w:sz w:val="22"/>
                <w:szCs w:val="22"/>
              </w:rPr>
            </w:pPr>
            <w:r w:rsidRPr="00D618B7">
              <w:rPr>
                <w:color w:val="000000"/>
                <w:sz w:val="22"/>
                <w:szCs w:val="22"/>
              </w:rPr>
              <w:t>0.55</w:t>
            </w:r>
          </w:p>
        </w:tc>
        <w:tc>
          <w:tcPr>
            <w:tcW w:w="538" w:type="pct"/>
            <w:tcBorders>
              <w:top w:val="nil"/>
              <w:left w:val="nil"/>
              <w:bottom w:val="nil"/>
              <w:right w:val="nil"/>
            </w:tcBorders>
            <w:shd w:val="clear" w:color="000000" w:fill="FFFFFF"/>
            <w:noWrap/>
            <w:vAlign w:val="center"/>
            <w:hideMark/>
          </w:tcPr>
          <w:p w14:paraId="4A750B67" w14:textId="77777777" w:rsidR="00B53316" w:rsidRPr="00D618B7" w:rsidRDefault="00B53316" w:rsidP="004B11B7">
            <w:pPr>
              <w:jc w:val="right"/>
              <w:rPr>
                <w:color w:val="000000"/>
                <w:sz w:val="22"/>
                <w:szCs w:val="22"/>
              </w:rPr>
            </w:pPr>
            <w:r w:rsidRPr="00D618B7">
              <w:rPr>
                <w:color w:val="000000"/>
                <w:sz w:val="22"/>
                <w:szCs w:val="22"/>
              </w:rPr>
              <w:t>0.62</w:t>
            </w:r>
          </w:p>
        </w:tc>
        <w:tc>
          <w:tcPr>
            <w:tcW w:w="890" w:type="pct"/>
            <w:tcBorders>
              <w:top w:val="nil"/>
              <w:left w:val="nil"/>
              <w:bottom w:val="nil"/>
              <w:right w:val="nil"/>
            </w:tcBorders>
            <w:shd w:val="clear" w:color="000000" w:fill="FFFFFF"/>
            <w:noWrap/>
            <w:vAlign w:val="center"/>
            <w:hideMark/>
          </w:tcPr>
          <w:p w14:paraId="074355F9" w14:textId="77777777" w:rsidR="00B53316" w:rsidRPr="00D618B7" w:rsidRDefault="00B53316" w:rsidP="004B11B7">
            <w:pPr>
              <w:jc w:val="right"/>
              <w:rPr>
                <w:color w:val="000000"/>
                <w:sz w:val="22"/>
                <w:szCs w:val="22"/>
              </w:rPr>
            </w:pPr>
            <w:r w:rsidRPr="00D618B7">
              <w:rPr>
                <w:color w:val="000000"/>
                <w:sz w:val="22"/>
                <w:szCs w:val="22"/>
              </w:rPr>
              <w:t>0.35</w:t>
            </w:r>
          </w:p>
        </w:tc>
        <w:tc>
          <w:tcPr>
            <w:tcW w:w="550" w:type="pct"/>
            <w:tcBorders>
              <w:top w:val="nil"/>
              <w:left w:val="nil"/>
              <w:bottom w:val="nil"/>
              <w:right w:val="nil"/>
            </w:tcBorders>
            <w:shd w:val="clear" w:color="000000" w:fill="FFFFFF"/>
            <w:noWrap/>
            <w:vAlign w:val="center"/>
            <w:hideMark/>
          </w:tcPr>
          <w:p w14:paraId="3D45E5FB" w14:textId="77777777" w:rsidR="00B53316" w:rsidRPr="00D618B7" w:rsidRDefault="00B53316" w:rsidP="004B11B7">
            <w:pPr>
              <w:jc w:val="right"/>
              <w:rPr>
                <w:color w:val="000000"/>
                <w:sz w:val="22"/>
                <w:szCs w:val="22"/>
              </w:rPr>
            </w:pPr>
            <w:r w:rsidRPr="00D618B7">
              <w:rPr>
                <w:color w:val="000000"/>
                <w:sz w:val="22"/>
                <w:szCs w:val="22"/>
              </w:rPr>
              <w:t>6.79</w:t>
            </w:r>
          </w:p>
        </w:tc>
        <w:tc>
          <w:tcPr>
            <w:tcW w:w="879" w:type="pct"/>
            <w:tcBorders>
              <w:top w:val="nil"/>
              <w:left w:val="nil"/>
              <w:bottom w:val="nil"/>
              <w:right w:val="nil"/>
            </w:tcBorders>
            <w:shd w:val="clear" w:color="000000" w:fill="FFFFFF"/>
            <w:noWrap/>
            <w:vAlign w:val="center"/>
            <w:hideMark/>
          </w:tcPr>
          <w:p w14:paraId="3D94B4B0" w14:textId="77777777" w:rsidR="00B53316" w:rsidRPr="00D618B7" w:rsidRDefault="00B53316" w:rsidP="004B11B7">
            <w:pPr>
              <w:jc w:val="right"/>
              <w:rPr>
                <w:color w:val="000000"/>
                <w:sz w:val="22"/>
                <w:szCs w:val="22"/>
              </w:rPr>
            </w:pPr>
            <w:r w:rsidRPr="00D618B7">
              <w:rPr>
                <w:color w:val="000000"/>
                <w:sz w:val="22"/>
                <w:szCs w:val="22"/>
              </w:rPr>
              <w:t>3.40</w:t>
            </w:r>
          </w:p>
        </w:tc>
      </w:tr>
      <w:tr w:rsidR="003B5FE0" w:rsidRPr="00D618B7" w14:paraId="4253EBF3" w14:textId="77777777" w:rsidTr="003B5FE0">
        <w:trPr>
          <w:trHeight w:val="273"/>
        </w:trPr>
        <w:tc>
          <w:tcPr>
            <w:tcW w:w="714" w:type="pct"/>
            <w:tcBorders>
              <w:top w:val="nil"/>
              <w:left w:val="nil"/>
              <w:bottom w:val="nil"/>
              <w:right w:val="nil"/>
            </w:tcBorders>
            <w:shd w:val="clear" w:color="000000" w:fill="FFFFFF"/>
            <w:vAlign w:val="center"/>
            <w:hideMark/>
          </w:tcPr>
          <w:p w14:paraId="368ECF1C" w14:textId="77777777" w:rsidR="00B53316" w:rsidRPr="00D618B7" w:rsidRDefault="00B53316" w:rsidP="004B11B7">
            <w:pPr>
              <w:jc w:val="right"/>
              <w:rPr>
                <w:color w:val="000000"/>
                <w:sz w:val="22"/>
                <w:szCs w:val="22"/>
              </w:rPr>
            </w:pPr>
            <w:r w:rsidRPr="00D618B7">
              <w:rPr>
                <w:color w:val="000000"/>
                <w:sz w:val="22"/>
                <w:szCs w:val="22"/>
              </w:rPr>
              <w:t>-2</w:t>
            </w:r>
          </w:p>
        </w:tc>
        <w:tc>
          <w:tcPr>
            <w:tcW w:w="550" w:type="pct"/>
            <w:tcBorders>
              <w:top w:val="nil"/>
              <w:left w:val="nil"/>
              <w:bottom w:val="nil"/>
              <w:right w:val="nil"/>
            </w:tcBorders>
            <w:shd w:val="clear" w:color="000000" w:fill="FFFFFF"/>
            <w:noWrap/>
            <w:vAlign w:val="center"/>
            <w:hideMark/>
          </w:tcPr>
          <w:p w14:paraId="1FAC25FD" w14:textId="77777777" w:rsidR="00B53316" w:rsidRPr="00D618B7" w:rsidRDefault="00B53316" w:rsidP="004B11B7">
            <w:pPr>
              <w:jc w:val="right"/>
              <w:rPr>
                <w:color w:val="000000"/>
                <w:sz w:val="22"/>
                <w:szCs w:val="22"/>
              </w:rPr>
            </w:pPr>
            <w:r w:rsidRPr="00D618B7">
              <w:rPr>
                <w:color w:val="000000"/>
                <w:sz w:val="22"/>
                <w:szCs w:val="22"/>
              </w:rPr>
              <w:t>0.36</w:t>
            </w:r>
          </w:p>
        </w:tc>
        <w:tc>
          <w:tcPr>
            <w:tcW w:w="876" w:type="pct"/>
            <w:tcBorders>
              <w:top w:val="nil"/>
              <w:left w:val="nil"/>
              <w:bottom w:val="nil"/>
              <w:right w:val="nil"/>
            </w:tcBorders>
            <w:shd w:val="clear" w:color="000000" w:fill="FFFFFF"/>
            <w:noWrap/>
            <w:vAlign w:val="center"/>
            <w:hideMark/>
          </w:tcPr>
          <w:p w14:paraId="2A3A12F5" w14:textId="77777777" w:rsidR="00B53316" w:rsidRPr="00D618B7" w:rsidRDefault="00B53316" w:rsidP="004B11B7">
            <w:pPr>
              <w:jc w:val="right"/>
              <w:rPr>
                <w:color w:val="000000"/>
                <w:sz w:val="22"/>
                <w:szCs w:val="22"/>
              </w:rPr>
            </w:pPr>
            <w:r w:rsidRPr="00D618B7">
              <w:rPr>
                <w:color w:val="000000"/>
                <w:sz w:val="22"/>
                <w:szCs w:val="22"/>
              </w:rPr>
              <w:t>0.11</w:t>
            </w:r>
          </w:p>
        </w:tc>
        <w:tc>
          <w:tcPr>
            <w:tcW w:w="538" w:type="pct"/>
            <w:tcBorders>
              <w:top w:val="nil"/>
              <w:left w:val="nil"/>
              <w:bottom w:val="nil"/>
              <w:right w:val="nil"/>
            </w:tcBorders>
            <w:shd w:val="clear" w:color="000000" w:fill="FFFFFF"/>
            <w:noWrap/>
            <w:vAlign w:val="center"/>
            <w:hideMark/>
          </w:tcPr>
          <w:p w14:paraId="10F615C0" w14:textId="77777777" w:rsidR="00B53316" w:rsidRPr="00D618B7" w:rsidRDefault="00B53316" w:rsidP="004B11B7">
            <w:pPr>
              <w:jc w:val="right"/>
              <w:rPr>
                <w:color w:val="000000"/>
                <w:sz w:val="22"/>
                <w:szCs w:val="22"/>
              </w:rPr>
            </w:pPr>
            <w:r w:rsidRPr="00D618B7">
              <w:rPr>
                <w:color w:val="000000"/>
                <w:sz w:val="22"/>
                <w:szCs w:val="22"/>
              </w:rPr>
              <w:t>0.88</w:t>
            </w:r>
          </w:p>
        </w:tc>
        <w:tc>
          <w:tcPr>
            <w:tcW w:w="890" w:type="pct"/>
            <w:tcBorders>
              <w:top w:val="nil"/>
              <w:left w:val="nil"/>
              <w:bottom w:val="nil"/>
              <w:right w:val="nil"/>
            </w:tcBorders>
            <w:shd w:val="clear" w:color="000000" w:fill="FFFFFF"/>
            <w:noWrap/>
            <w:vAlign w:val="center"/>
            <w:hideMark/>
          </w:tcPr>
          <w:p w14:paraId="4BAD2AEF" w14:textId="77777777" w:rsidR="00B53316" w:rsidRPr="00D618B7" w:rsidRDefault="00B53316" w:rsidP="004B11B7">
            <w:pPr>
              <w:jc w:val="right"/>
              <w:rPr>
                <w:color w:val="000000"/>
                <w:sz w:val="22"/>
                <w:szCs w:val="22"/>
              </w:rPr>
            </w:pPr>
            <w:r w:rsidRPr="00D618B7">
              <w:rPr>
                <w:color w:val="000000"/>
                <w:sz w:val="22"/>
                <w:szCs w:val="22"/>
              </w:rPr>
              <w:t>0.76</w:t>
            </w:r>
          </w:p>
        </w:tc>
        <w:tc>
          <w:tcPr>
            <w:tcW w:w="550" w:type="pct"/>
            <w:tcBorders>
              <w:top w:val="nil"/>
              <w:left w:val="nil"/>
              <w:bottom w:val="nil"/>
              <w:right w:val="nil"/>
            </w:tcBorders>
            <w:shd w:val="clear" w:color="000000" w:fill="FFFFFF"/>
            <w:noWrap/>
            <w:vAlign w:val="center"/>
            <w:hideMark/>
          </w:tcPr>
          <w:p w14:paraId="4D54F7E7" w14:textId="77777777" w:rsidR="00B53316" w:rsidRPr="00D618B7" w:rsidRDefault="00B53316" w:rsidP="004B11B7">
            <w:pPr>
              <w:jc w:val="right"/>
              <w:rPr>
                <w:color w:val="000000"/>
                <w:sz w:val="22"/>
                <w:szCs w:val="22"/>
              </w:rPr>
            </w:pPr>
            <w:r w:rsidRPr="00D618B7">
              <w:rPr>
                <w:color w:val="000000"/>
                <w:sz w:val="22"/>
                <w:szCs w:val="22"/>
              </w:rPr>
              <w:t>6.04</w:t>
            </w:r>
          </w:p>
        </w:tc>
        <w:tc>
          <w:tcPr>
            <w:tcW w:w="879" w:type="pct"/>
            <w:tcBorders>
              <w:top w:val="nil"/>
              <w:left w:val="nil"/>
              <w:bottom w:val="nil"/>
              <w:right w:val="nil"/>
            </w:tcBorders>
            <w:shd w:val="clear" w:color="000000" w:fill="FFFFFF"/>
            <w:noWrap/>
            <w:vAlign w:val="center"/>
            <w:hideMark/>
          </w:tcPr>
          <w:p w14:paraId="4FB73408" w14:textId="77777777" w:rsidR="00B53316" w:rsidRPr="00D618B7" w:rsidRDefault="00B53316" w:rsidP="004B11B7">
            <w:pPr>
              <w:jc w:val="right"/>
              <w:rPr>
                <w:color w:val="000000"/>
                <w:sz w:val="22"/>
                <w:szCs w:val="22"/>
              </w:rPr>
            </w:pPr>
            <w:r w:rsidRPr="00D618B7">
              <w:rPr>
                <w:color w:val="000000"/>
                <w:sz w:val="22"/>
                <w:szCs w:val="22"/>
              </w:rPr>
              <w:t>3.07</w:t>
            </w:r>
          </w:p>
        </w:tc>
      </w:tr>
      <w:tr w:rsidR="003B5FE0" w:rsidRPr="00D618B7" w14:paraId="3426C15B" w14:textId="77777777" w:rsidTr="003B5FE0">
        <w:trPr>
          <w:trHeight w:val="273"/>
        </w:trPr>
        <w:tc>
          <w:tcPr>
            <w:tcW w:w="714" w:type="pct"/>
            <w:tcBorders>
              <w:top w:val="nil"/>
              <w:left w:val="nil"/>
              <w:bottom w:val="nil"/>
              <w:right w:val="nil"/>
            </w:tcBorders>
            <w:shd w:val="clear" w:color="000000" w:fill="FFFFFF"/>
            <w:vAlign w:val="center"/>
            <w:hideMark/>
          </w:tcPr>
          <w:p w14:paraId="288FA956" w14:textId="77777777" w:rsidR="00B53316" w:rsidRPr="00D618B7" w:rsidRDefault="00B53316" w:rsidP="004B11B7">
            <w:pPr>
              <w:jc w:val="right"/>
              <w:rPr>
                <w:color w:val="000000"/>
                <w:sz w:val="22"/>
                <w:szCs w:val="22"/>
              </w:rPr>
            </w:pPr>
            <w:r w:rsidRPr="00D618B7">
              <w:rPr>
                <w:color w:val="000000"/>
                <w:sz w:val="22"/>
                <w:szCs w:val="22"/>
              </w:rPr>
              <w:t>-1</w:t>
            </w:r>
          </w:p>
        </w:tc>
        <w:tc>
          <w:tcPr>
            <w:tcW w:w="550" w:type="pct"/>
            <w:tcBorders>
              <w:top w:val="nil"/>
              <w:left w:val="nil"/>
              <w:bottom w:val="nil"/>
              <w:right w:val="nil"/>
            </w:tcBorders>
            <w:shd w:val="clear" w:color="000000" w:fill="FFFFFF"/>
            <w:noWrap/>
            <w:vAlign w:val="center"/>
            <w:hideMark/>
          </w:tcPr>
          <w:p w14:paraId="2A601CD6" w14:textId="77777777" w:rsidR="00B53316" w:rsidRPr="00D618B7" w:rsidRDefault="00B53316" w:rsidP="004B11B7">
            <w:pPr>
              <w:jc w:val="right"/>
              <w:rPr>
                <w:color w:val="000000"/>
                <w:sz w:val="22"/>
                <w:szCs w:val="22"/>
              </w:rPr>
            </w:pPr>
            <w:r w:rsidRPr="00D618B7">
              <w:rPr>
                <w:color w:val="000000"/>
                <w:sz w:val="22"/>
                <w:szCs w:val="22"/>
              </w:rPr>
              <w:t>-0.07</w:t>
            </w:r>
          </w:p>
        </w:tc>
        <w:tc>
          <w:tcPr>
            <w:tcW w:w="876" w:type="pct"/>
            <w:tcBorders>
              <w:top w:val="nil"/>
              <w:left w:val="nil"/>
              <w:bottom w:val="nil"/>
              <w:right w:val="nil"/>
            </w:tcBorders>
            <w:shd w:val="clear" w:color="000000" w:fill="FFFFFF"/>
            <w:noWrap/>
            <w:vAlign w:val="center"/>
            <w:hideMark/>
          </w:tcPr>
          <w:p w14:paraId="443F1A5B" w14:textId="77777777" w:rsidR="00B53316" w:rsidRPr="00D618B7" w:rsidRDefault="00B53316" w:rsidP="004B11B7">
            <w:pPr>
              <w:jc w:val="right"/>
              <w:rPr>
                <w:color w:val="000000"/>
                <w:sz w:val="22"/>
                <w:szCs w:val="22"/>
              </w:rPr>
            </w:pPr>
            <w:r w:rsidRPr="00D618B7">
              <w:rPr>
                <w:color w:val="000000"/>
                <w:sz w:val="22"/>
                <w:szCs w:val="22"/>
              </w:rPr>
              <w:t>0.20</w:t>
            </w:r>
          </w:p>
        </w:tc>
        <w:tc>
          <w:tcPr>
            <w:tcW w:w="538" w:type="pct"/>
            <w:tcBorders>
              <w:top w:val="nil"/>
              <w:left w:val="nil"/>
              <w:bottom w:val="nil"/>
              <w:right w:val="nil"/>
            </w:tcBorders>
            <w:shd w:val="clear" w:color="000000" w:fill="FFFFFF"/>
            <w:noWrap/>
            <w:vAlign w:val="center"/>
            <w:hideMark/>
          </w:tcPr>
          <w:p w14:paraId="43E2DC04" w14:textId="77777777" w:rsidR="00B53316" w:rsidRPr="00D618B7" w:rsidRDefault="00B53316" w:rsidP="004B11B7">
            <w:pPr>
              <w:jc w:val="right"/>
              <w:rPr>
                <w:color w:val="000000"/>
                <w:sz w:val="22"/>
                <w:szCs w:val="22"/>
              </w:rPr>
            </w:pPr>
            <w:r w:rsidRPr="00D618B7">
              <w:rPr>
                <w:color w:val="000000"/>
                <w:sz w:val="22"/>
                <w:szCs w:val="22"/>
              </w:rPr>
              <w:t>-0.68</w:t>
            </w:r>
          </w:p>
        </w:tc>
        <w:tc>
          <w:tcPr>
            <w:tcW w:w="890" w:type="pct"/>
            <w:tcBorders>
              <w:top w:val="nil"/>
              <w:left w:val="nil"/>
              <w:bottom w:val="nil"/>
              <w:right w:val="nil"/>
            </w:tcBorders>
            <w:shd w:val="clear" w:color="000000" w:fill="FFFFFF"/>
            <w:noWrap/>
            <w:vAlign w:val="center"/>
            <w:hideMark/>
          </w:tcPr>
          <w:p w14:paraId="711F5FD0" w14:textId="77777777" w:rsidR="00B53316" w:rsidRPr="00D618B7" w:rsidRDefault="00B53316" w:rsidP="004B11B7">
            <w:pPr>
              <w:jc w:val="right"/>
              <w:rPr>
                <w:color w:val="000000"/>
                <w:sz w:val="22"/>
                <w:szCs w:val="22"/>
              </w:rPr>
            </w:pPr>
            <w:r w:rsidRPr="00D618B7">
              <w:rPr>
                <w:color w:val="000000"/>
                <w:sz w:val="22"/>
                <w:szCs w:val="22"/>
              </w:rPr>
              <w:t>0.29</w:t>
            </w:r>
          </w:p>
        </w:tc>
        <w:tc>
          <w:tcPr>
            <w:tcW w:w="550" w:type="pct"/>
            <w:tcBorders>
              <w:top w:val="nil"/>
              <w:left w:val="nil"/>
              <w:bottom w:val="nil"/>
              <w:right w:val="nil"/>
            </w:tcBorders>
            <w:shd w:val="clear" w:color="000000" w:fill="FFFFFF"/>
            <w:noWrap/>
            <w:vAlign w:val="center"/>
            <w:hideMark/>
          </w:tcPr>
          <w:p w14:paraId="5BABB103" w14:textId="77777777" w:rsidR="00B53316" w:rsidRPr="00D618B7" w:rsidRDefault="00B53316" w:rsidP="004B11B7">
            <w:pPr>
              <w:jc w:val="right"/>
              <w:rPr>
                <w:color w:val="000000"/>
                <w:sz w:val="22"/>
                <w:szCs w:val="22"/>
              </w:rPr>
            </w:pPr>
            <w:r w:rsidRPr="00D618B7">
              <w:rPr>
                <w:color w:val="000000"/>
                <w:sz w:val="22"/>
                <w:szCs w:val="22"/>
              </w:rPr>
              <w:t>9.19</w:t>
            </w:r>
          </w:p>
        </w:tc>
        <w:tc>
          <w:tcPr>
            <w:tcW w:w="879" w:type="pct"/>
            <w:tcBorders>
              <w:top w:val="nil"/>
              <w:left w:val="nil"/>
              <w:bottom w:val="nil"/>
              <w:right w:val="nil"/>
            </w:tcBorders>
            <w:shd w:val="clear" w:color="000000" w:fill="FFFFFF"/>
            <w:noWrap/>
            <w:vAlign w:val="center"/>
            <w:hideMark/>
          </w:tcPr>
          <w:p w14:paraId="64B2A311" w14:textId="77777777" w:rsidR="00B53316" w:rsidRPr="00D618B7" w:rsidRDefault="00B53316" w:rsidP="004B11B7">
            <w:pPr>
              <w:jc w:val="right"/>
              <w:rPr>
                <w:color w:val="000000"/>
                <w:sz w:val="22"/>
                <w:szCs w:val="22"/>
              </w:rPr>
            </w:pPr>
            <w:r w:rsidRPr="00D618B7">
              <w:rPr>
                <w:color w:val="000000"/>
                <w:sz w:val="22"/>
                <w:szCs w:val="22"/>
              </w:rPr>
              <w:t>2.83</w:t>
            </w:r>
          </w:p>
        </w:tc>
      </w:tr>
      <w:tr w:rsidR="003B5FE0" w:rsidRPr="00D618B7" w14:paraId="0FD31743" w14:textId="77777777" w:rsidTr="003B5FE0">
        <w:trPr>
          <w:trHeight w:val="273"/>
        </w:trPr>
        <w:tc>
          <w:tcPr>
            <w:tcW w:w="714" w:type="pct"/>
            <w:tcBorders>
              <w:top w:val="nil"/>
              <w:left w:val="nil"/>
              <w:bottom w:val="nil"/>
              <w:right w:val="nil"/>
            </w:tcBorders>
            <w:shd w:val="clear" w:color="000000" w:fill="FFFFFF"/>
            <w:vAlign w:val="center"/>
            <w:hideMark/>
          </w:tcPr>
          <w:p w14:paraId="4DD49567" w14:textId="77777777" w:rsidR="00B53316" w:rsidRPr="00D618B7" w:rsidRDefault="00B53316" w:rsidP="004B11B7">
            <w:pPr>
              <w:jc w:val="right"/>
              <w:rPr>
                <w:color w:val="000000"/>
                <w:sz w:val="22"/>
                <w:szCs w:val="22"/>
              </w:rPr>
            </w:pPr>
            <w:r w:rsidRPr="00D618B7">
              <w:rPr>
                <w:color w:val="000000"/>
                <w:sz w:val="22"/>
                <w:szCs w:val="22"/>
              </w:rPr>
              <w:t>0</w:t>
            </w:r>
          </w:p>
        </w:tc>
        <w:tc>
          <w:tcPr>
            <w:tcW w:w="550" w:type="pct"/>
            <w:tcBorders>
              <w:top w:val="nil"/>
              <w:left w:val="nil"/>
              <w:bottom w:val="nil"/>
              <w:right w:val="nil"/>
            </w:tcBorders>
            <w:shd w:val="clear" w:color="000000" w:fill="FFFFFF"/>
            <w:noWrap/>
            <w:vAlign w:val="center"/>
            <w:hideMark/>
          </w:tcPr>
          <w:p w14:paraId="6F7465FC" w14:textId="77777777" w:rsidR="00B53316" w:rsidRPr="00D618B7" w:rsidRDefault="00B53316" w:rsidP="004B11B7">
            <w:pPr>
              <w:jc w:val="right"/>
              <w:rPr>
                <w:color w:val="000000"/>
                <w:sz w:val="22"/>
                <w:szCs w:val="22"/>
              </w:rPr>
            </w:pPr>
            <w:r w:rsidRPr="00D618B7">
              <w:rPr>
                <w:color w:val="000000"/>
                <w:sz w:val="22"/>
                <w:szCs w:val="22"/>
              </w:rPr>
              <w:t>0.42</w:t>
            </w:r>
          </w:p>
        </w:tc>
        <w:tc>
          <w:tcPr>
            <w:tcW w:w="876" w:type="pct"/>
            <w:tcBorders>
              <w:top w:val="nil"/>
              <w:left w:val="nil"/>
              <w:bottom w:val="nil"/>
              <w:right w:val="nil"/>
            </w:tcBorders>
            <w:shd w:val="clear" w:color="000000" w:fill="FFFFFF"/>
            <w:noWrap/>
            <w:vAlign w:val="center"/>
            <w:hideMark/>
          </w:tcPr>
          <w:p w14:paraId="5F795F05" w14:textId="77777777" w:rsidR="00B53316" w:rsidRPr="00D618B7" w:rsidRDefault="00B53316" w:rsidP="004B11B7">
            <w:pPr>
              <w:jc w:val="right"/>
              <w:rPr>
                <w:color w:val="000000"/>
                <w:sz w:val="22"/>
                <w:szCs w:val="22"/>
              </w:rPr>
            </w:pPr>
            <w:r w:rsidRPr="00D618B7">
              <w:rPr>
                <w:color w:val="000000"/>
                <w:sz w:val="22"/>
                <w:szCs w:val="22"/>
              </w:rPr>
              <w:t>0.15</w:t>
            </w:r>
          </w:p>
        </w:tc>
        <w:tc>
          <w:tcPr>
            <w:tcW w:w="538" w:type="pct"/>
            <w:tcBorders>
              <w:top w:val="nil"/>
              <w:left w:val="nil"/>
              <w:bottom w:val="nil"/>
              <w:right w:val="nil"/>
            </w:tcBorders>
            <w:shd w:val="clear" w:color="000000" w:fill="FFFFFF"/>
            <w:noWrap/>
            <w:vAlign w:val="center"/>
            <w:hideMark/>
          </w:tcPr>
          <w:p w14:paraId="4E3F2100" w14:textId="77777777" w:rsidR="00B53316" w:rsidRPr="00D618B7" w:rsidRDefault="00B53316" w:rsidP="004B11B7">
            <w:pPr>
              <w:jc w:val="right"/>
              <w:rPr>
                <w:color w:val="000000"/>
                <w:sz w:val="22"/>
                <w:szCs w:val="22"/>
              </w:rPr>
            </w:pPr>
            <w:r w:rsidRPr="00D618B7">
              <w:rPr>
                <w:color w:val="000000"/>
                <w:sz w:val="22"/>
                <w:szCs w:val="22"/>
              </w:rPr>
              <w:t>0.44</w:t>
            </w:r>
          </w:p>
        </w:tc>
        <w:tc>
          <w:tcPr>
            <w:tcW w:w="890" w:type="pct"/>
            <w:tcBorders>
              <w:top w:val="nil"/>
              <w:left w:val="nil"/>
              <w:bottom w:val="nil"/>
              <w:right w:val="nil"/>
            </w:tcBorders>
            <w:shd w:val="clear" w:color="000000" w:fill="FFFFFF"/>
            <w:noWrap/>
            <w:vAlign w:val="center"/>
            <w:hideMark/>
          </w:tcPr>
          <w:p w14:paraId="66E1E333" w14:textId="77777777" w:rsidR="00B53316" w:rsidRPr="00D618B7" w:rsidRDefault="00B53316" w:rsidP="004B11B7">
            <w:pPr>
              <w:jc w:val="right"/>
              <w:rPr>
                <w:color w:val="000000"/>
                <w:sz w:val="22"/>
                <w:szCs w:val="22"/>
              </w:rPr>
            </w:pPr>
            <w:r w:rsidRPr="00D618B7">
              <w:rPr>
                <w:color w:val="000000"/>
                <w:sz w:val="22"/>
                <w:szCs w:val="22"/>
              </w:rPr>
              <w:t>0.53</w:t>
            </w:r>
          </w:p>
        </w:tc>
        <w:tc>
          <w:tcPr>
            <w:tcW w:w="550" w:type="pct"/>
            <w:tcBorders>
              <w:top w:val="nil"/>
              <w:left w:val="nil"/>
              <w:bottom w:val="nil"/>
              <w:right w:val="nil"/>
            </w:tcBorders>
            <w:shd w:val="clear" w:color="000000" w:fill="FFFFFF"/>
            <w:noWrap/>
            <w:vAlign w:val="center"/>
            <w:hideMark/>
          </w:tcPr>
          <w:p w14:paraId="02D61271" w14:textId="77777777" w:rsidR="00B53316" w:rsidRPr="00D618B7" w:rsidRDefault="00B53316" w:rsidP="004B11B7">
            <w:pPr>
              <w:jc w:val="right"/>
              <w:rPr>
                <w:color w:val="000000"/>
                <w:sz w:val="22"/>
                <w:szCs w:val="22"/>
              </w:rPr>
            </w:pPr>
            <w:r w:rsidRPr="00D618B7">
              <w:rPr>
                <w:color w:val="000000"/>
                <w:sz w:val="22"/>
                <w:szCs w:val="22"/>
              </w:rPr>
              <w:t>6.56</w:t>
            </w:r>
          </w:p>
        </w:tc>
        <w:tc>
          <w:tcPr>
            <w:tcW w:w="879" w:type="pct"/>
            <w:tcBorders>
              <w:top w:val="nil"/>
              <w:left w:val="nil"/>
              <w:bottom w:val="nil"/>
              <w:right w:val="nil"/>
            </w:tcBorders>
            <w:shd w:val="clear" w:color="000000" w:fill="FFFFFF"/>
            <w:noWrap/>
            <w:vAlign w:val="center"/>
            <w:hideMark/>
          </w:tcPr>
          <w:p w14:paraId="698E36A4" w14:textId="77777777" w:rsidR="00B53316" w:rsidRPr="00D618B7" w:rsidRDefault="00B53316" w:rsidP="004B11B7">
            <w:pPr>
              <w:jc w:val="right"/>
              <w:rPr>
                <w:color w:val="000000"/>
                <w:sz w:val="22"/>
                <w:szCs w:val="22"/>
              </w:rPr>
            </w:pPr>
            <w:r w:rsidRPr="00D618B7">
              <w:rPr>
                <w:color w:val="000000"/>
                <w:sz w:val="22"/>
                <w:szCs w:val="22"/>
              </w:rPr>
              <w:t>2.16</w:t>
            </w:r>
          </w:p>
        </w:tc>
      </w:tr>
      <w:tr w:rsidR="003B5FE0" w:rsidRPr="00D618B7" w14:paraId="6DBC6E2A" w14:textId="77777777" w:rsidTr="003B5FE0">
        <w:trPr>
          <w:trHeight w:val="273"/>
        </w:trPr>
        <w:tc>
          <w:tcPr>
            <w:tcW w:w="714" w:type="pct"/>
            <w:tcBorders>
              <w:top w:val="nil"/>
              <w:left w:val="nil"/>
              <w:bottom w:val="nil"/>
              <w:right w:val="nil"/>
            </w:tcBorders>
            <w:shd w:val="clear" w:color="000000" w:fill="FFFFFF"/>
            <w:vAlign w:val="center"/>
            <w:hideMark/>
          </w:tcPr>
          <w:p w14:paraId="30301C1D" w14:textId="77777777" w:rsidR="00B53316" w:rsidRPr="00D618B7" w:rsidRDefault="00B53316" w:rsidP="004B11B7">
            <w:pPr>
              <w:jc w:val="right"/>
              <w:rPr>
                <w:color w:val="000000"/>
                <w:sz w:val="22"/>
                <w:szCs w:val="22"/>
              </w:rPr>
            </w:pPr>
            <w:r w:rsidRPr="00D618B7">
              <w:rPr>
                <w:color w:val="000000"/>
                <w:sz w:val="22"/>
                <w:szCs w:val="22"/>
              </w:rPr>
              <w:t>1</w:t>
            </w:r>
          </w:p>
        </w:tc>
        <w:tc>
          <w:tcPr>
            <w:tcW w:w="550" w:type="pct"/>
            <w:tcBorders>
              <w:top w:val="nil"/>
              <w:left w:val="nil"/>
              <w:bottom w:val="nil"/>
              <w:right w:val="nil"/>
            </w:tcBorders>
            <w:shd w:val="clear" w:color="000000" w:fill="FFFFFF"/>
            <w:noWrap/>
            <w:vAlign w:val="center"/>
            <w:hideMark/>
          </w:tcPr>
          <w:p w14:paraId="40B355E8" w14:textId="77777777" w:rsidR="00B53316" w:rsidRPr="00D618B7" w:rsidRDefault="00B53316" w:rsidP="004B11B7">
            <w:pPr>
              <w:jc w:val="right"/>
              <w:rPr>
                <w:color w:val="000000"/>
                <w:sz w:val="22"/>
                <w:szCs w:val="22"/>
              </w:rPr>
            </w:pPr>
            <w:r w:rsidRPr="00D618B7">
              <w:rPr>
                <w:color w:val="000000"/>
                <w:sz w:val="22"/>
                <w:szCs w:val="22"/>
              </w:rPr>
              <w:t>0.66</w:t>
            </w:r>
          </w:p>
        </w:tc>
        <w:tc>
          <w:tcPr>
            <w:tcW w:w="876" w:type="pct"/>
            <w:tcBorders>
              <w:top w:val="nil"/>
              <w:left w:val="nil"/>
              <w:bottom w:val="nil"/>
              <w:right w:val="nil"/>
            </w:tcBorders>
            <w:shd w:val="clear" w:color="000000" w:fill="FFFFFF"/>
            <w:noWrap/>
            <w:vAlign w:val="center"/>
            <w:hideMark/>
          </w:tcPr>
          <w:p w14:paraId="3AF38929" w14:textId="77777777" w:rsidR="00B53316" w:rsidRPr="00D618B7" w:rsidRDefault="00B53316" w:rsidP="004B11B7">
            <w:pPr>
              <w:jc w:val="right"/>
              <w:rPr>
                <w:color w:val="000000"/>
                <w:sz w:val="22"/>
                <w:szCs w:val="22"/>
              </w:rPr>
            </w:pPr>
            <w:r w:rsidRPr="00D618B7">
              <w:rPr>
                <w:color w:val="000000"/>
                <w:sz w:val="22"/>
                <w:szCs w:val="22"/>
              </w:rPr>
              <w:t>0.38</w:t>
            </w:r>
          </w:p>
        </w:tc>
        <w:tc>
          <w:tcPr>
            <w:tcW w:w="538" w:type="pct"/>
            <w:tcBorders>
              <w:top w:val="nil"/>
              <w:left w:val="nil"/>
              <w:bottom w:val="nil"/>
              <w:right w:val="nil"/>
            </w:tcBorders>
            <w:shd w:val="clear" w:color="000000" w:fill="FFFFFF"/>
            <w:noWrap/>
            <w:vAlign w:val="center"/>
            <w:hideMark/>
          </w:tcPr>
          <w:p w14:paraId="2BE1C89B" w14:textId="77777777" w:rsidR="00B53316" w:rsidRPr="00D618B7" w:rsidRDefault="00B53316" w:rsidP="004B11B7">
            <w:pPr>
              <w:jc w:val="right"/>
              <w:rPr>
                <w:color w:val="000000"/>
                <w:sz w:val="22"/>
                <w:szCs w:val="22"/>
              </w:rPr>
            </w:pPr>
            <w:r w:rsidRPr="00D618B7">
              <w:rPr>
                <w:color w:val="000000"/>
                <w:sz w:val="22"/>
                <w:szCs w:val="22"/>
              </w:rPr>
              <w:t>-0.26</w:t>
            </w:r>
          </w:p>
        </w:tc>
        <w:tc>
          <w:tcPr>
            <w:tcW w:w="890" w:type="pct"/>
            <w:tcBorders>
              <w:top w:val="nil"/>
              <w:left w:val="nil"/>
              <w:bottom w:val="nil"/>
              <w:right w:val="nil"/>
            </w:tcBorders>
            <w:shd w:val="clear" w:color="000000" w:fill="FFFFFF"/>
            <w:noWrap/>
            <w:vAlign w:val="center"/>
            <w:hideMark/>
          </w:tcPr>
          <w:p w14:paraId="0FD9AC91" w14:textId="77777777" w:rsidR="00B53316" w:rsidRPr="00D618B7" w:rsidRDefault="00B53316" w:rsidP="004B11B7">
            <w:pPr>
              <w:jc w:val="right"/>
              <w:rPr>
                <w:color w:val="000000"/>
                <w:sz w:val="22"/>
                <w:szCs w:val="22"/>
              </w:rPr>
            </w:pPr>
            <w:r w:rsidRPr="00D618B7">
              <w:rPr>
                <w:color w:val="000000"/>
                <w:sz w:val="22"/>
                <w:szCs w:val="22"/>
              </w:rPr>
              <w:t>0.76</w:t>
            </w:r>
          </w:p>
        </w:tc>
        <w:tc>
          <w:tcPr>
            <w:tcW w:w="550" w:type="pct"/>
            <w:tcBorders>
              <w:top w:val="nil"/>
              <w:left w:val="nil"/>
              <w:bottom w:val="nil"/>
              <w:right w:val="nil"/>
            </w:tcBorders>
            <w:shd w:val="clear" w:color="000000" w:fill="FFFFFF"/>
            <w:noWrap/>
            <w:vAlign w:val="center"/>
            <w:hideMark/>
          </w:tcPr>
          <w:p w14:paraId="2CBDEA61" w14:textId="77777777" w:rsidR="00B53316" w:rsidRPr="00D618B7" w:rsidRDefault="00B53316" w:rsidP="004B11B7">
            <w:pPr>
              <w:jc w:val="right"/>
              <w:rPr>
                <w:color w:val="000000"/>
                <w:sz w:val="22"/>
                <w:szCs w:val="22"/>
              </w:rPr>
            </w:pPr>
            <w:r w:rsidRPr="00D618B7">
              <w:rPr>
                <w:color w:val="000000"/>
                <w:sz w:val="22"/>
                <w:szCs w:val="22"/>
              </w:rPr>
              <w:t>2.69</w:t>
            </w:r>
          </w:p>
        </w:tc>
        <w:tc>
          <w:tcPr>
            <w:tcW w:w="879" w:type="pct"/>
            <w:tcBorders>
              <w:top w:val="nil"/>
              <w:left w:val="nil"/>
              <w:bottom w:val="nil"/>
              <w:right w:val="nil"/>
            </w:tcBorders>
            <w:shd w:val="clear" w:color="000000" w:fill="FFFFFF"/>
            <w:noWrap/>
            <w:vAlign w:val="center"/>
            <w:hideMark/>
          </w:tcPr>
          <w:p w14:paraId="0CD54B75" w14:textId="77777777" w:rsidR="00B53316" w:rsidRPr="00D618B7" w:rsidRDefault="00B53316" w:rsidP="004B11B7">
            <w:pPr>
              <w:jc w:val="right"/>
              <w:rPr>
                <w:color w:val="000000"/>
                <w:sz w:val="22"/>
                <w:szCs w:val="22"/>
              </w:rPr>
            </w:pPr>
            <w:r w:rsidRPr="00D618B7">
              <w:rPr>
                <w:color w:val="000000"/>
                <w:sz w:val="22"/>
                <w:szCs w:val="22"/>
              </w:rPr>
              <w:t>0.46</w:t>
            </w:r>
          </w:p>
        </w:tc>
      </w:tr>
      <w:tr w:rsidR="003B5FE0" w:rsidRPr="00D618B7" w14:paraId="0B4ED1CE" w14:textId="77777777" w:rsidTr="003B5FE0">
        <w:trPr>
          <w:trHeight w:val="273"/>
        </w:trPr>
        <w:tc>
          <w:tcPr>
            <w:tcW w:w="714" w:type="pct"/>
            <w:tcBorders>
              <w:top w:val="nil"/>
              <w:left w:val="nil"/>
              <w:bottom w:val="nil"/>
              <w:right w:val="nil"/>
            </w:tcBorders>
            <w:shd w:val="clear" w:color="000000" w:fill="FFFFFF"/>
            <w:vAlign w:val="center"/>
            <w:hideMark/>
          </w:tcPr>
          <w:p w14:paraId="70DB36F8" w14:textId="77777777" w:rsidR="00B53316" w:rsidRPr="00D618B7" w:rsidRDefault="00B53316" w:rsidP="004B11B7">
            <w:pPr>
              <w:jc w:val="right"/>
              <w:rPr>
                <w:color w:val="000000"/>
                <w:sz w:val="22"/>
                <w:szCs w:val="22"/>
              </w:rPr>
            </w:pPr>
            <w:r w:rsidRPr="00D618B7">
              <w:rPr>
                <w:color w:val="000000"/>
                <w:sz w:val="22"/>
                <w:szCs w:val="22"/>
              </w:rPr>
              <w:t>2</w:t>
            </w:r>
          </w:p>
        </w:tc>
        <w:tc>
          <w:tcPr>
            <w:tcW w:w="550" w:type="pct"/>
            <w:tcBorders>
              <w:top w:val="nil"/>
              <w:left w:val="nil"/>
              <w:bottom w:val="nil"/>
              <w:right w:val="nil"/>
            </w:tcBorders>
            <w:shd w:val="clear" w:color="000000" w:fill="FFFFFF"/>
            <w:noWrap/>
            <w:vAlign w:val="center"/>
            <w:hideMark/>
          </w:tcPr>
          <w:p w14:paraId="24D8AFB9" w14:textId="77777777" w:rsidR="00B53316" w:rsidRPr="00D618B7" w:rsidRDefault="00B53316" w:rsidP="004B11B7">
            <w:pPr>
              <w:jc w:val="right"/>
              <w:rPr>
                <w:color w:val="000000"/>
                <w:sz w:val="22"/>
                <w:szCs w:val="22"/>
              </w:rPr>
            </w:pPr>
            <w:r w:rsidRPr="00D618B7">
              <w:rPr>
                <w:color w:val="000000"/>
                <w:sz w:val="22"/>
                <w:szCs w:val="22"/>
              </w:rPr>
              <w:t>0.15</w:t>
            </w:r>
          </w:p>
        </w:tc>
        <w:tc>
          <w:tcPr>
            <w:tcW w:w="876" w:type="pct"/>
            <w:tcBorders>
              <w:top w:val="nil"/>
              <w:left w:val="nil"/>
              <w:bottom w:val="nil"/>
              <w:right w:val="nil"/>
            </w:tcBorders>
            <w:shd w:val="clear" w:color="000000" w:fill="FFFFFF"/>
            <w:noWrap/>
            <w:vAlign w:val="center"/>
            <w:hideMark/>
          </w:tcPr>
          <w:p w14:paraId="27DA07C7" w14:textId="77777777" w:rsidR="00B53316" w:rsidRPr="00D618B7" w:rsidRDefault="00B53316" w:rsidP="004B11B7">
            <w:pPr>
              <w:jc w:val="right"/>
              <w:rPr>
                <w:color w:val="000000"/>
                <w:sz w:val="22"/>
                <w:szCs w:val="22"/>
              </w:rPr>
            </w:pPr>
            <w:r w:rsidRPr="00D618B7">
              <w:rPr>
                <w:color w:val="000000"/>
                <w:sz w:val="22"/>
                <w:szCs w:val="22"/>
              </w:rPr>
              <w:t>0.08</w:t>
            </w:r>
          </w:p>
        </w:tc>
        <w:tc>
          <w:tcPr>
            <w:tcW w:w="538" w:type="pct"/>
            <w:tcBorders>
              <w:top w:val="nil"/>
              <w:left w:val="nil"/>
              <w:bottom w:val="nil"/>
              <w:right w:val="nil"/>
            </w:tcBorders>
            <w:shd w:val="clear" w:color="000000" w:fill="FFFFFF"/>
            <w:noWrap/>
            <w:vAlign w:val="center"/>
            <w:hideMark/>
          </w:tcPr>
          <w:p w14:paraId="72692047" w14:textId="77777777" w:rsidR="00B53316" w:rsidRPr="00D618B7" w:rsidRDefault="00B53316" w:rsidP="004B11B7">
            <w:pPr>
              <w:jc w:val="right"/>
              <w:rPr>
                <w:color w:val="000000"/>
                <w:sz w:val="22"/>
                <w:szCs w:val="22"/>
              </w:rPr>
            </w:pPr>
            <w:r w:rsidRPr="00D618B7">
              <w:rPr>
                <w:color w:val="000000"/>
                <w:sz w:val="22"/>
                <w:szCs w:val="22"/>
              </w:rPr>
              <w:t>1.47</w:t>
            </w:r>
          </w:p>
        </w:tc>
        <w:tc>
          <w:tcPr>
            <w:tcW w:w="890" w:type="pct"/>
            <w:tcBorders>
              <w:top w:val="nil"/>
              <w:left w:val="nil"/>
              <w:bottom w:val="nil"/>
              <w:right w:val="nil"/>
            </w:tcBorders>
            <w:shd w:val="clear" w:color="000000" w:fill="FFFFFF"/>
            <w:noWrap/>
            <w:vAlign w:val="center"/>
            <w:hideMark/>
          </w:tcPr>
          <w:p w14:paraId="46082C78" w14:textId="77777777" w:rsidR="00B53316" w:rsidRPr="00D618B7" w:rsidRDefault="00B53316" w:rsidP="004B11B7">
            <w:pPr>
              <w:jc w:val="right"/>
              <w:rPr>
                <w:color w:val="000000"/>
                <w:sz w:val="22"/>
                <w:szCs w:val="22"/>
              </w:rPr>
            </w:pPr>
            <w:r w:rsidRPr="00D618B7">
              <w:rPr>
                <w:color w:val="000000"/>
                <w:sz w:val="22"/>
                <w:szCs w:val="22"/>
              </w:rPr>
              <w:t>1.15</w:t>
            </w:r>
          </w:p>
        </w:tc>
        <w:tc>
          <w:tcPr>
            <w:tcW w:w="550" w:type="pct"/>
            <w:tcBorders>
              <w:top w:val="nil"/>
              <w:left w:val="nil"/>
              <w:bottom w:val="nil"/>
              <w:right w:val="nil"/>
            </w:tcBorders>
            <w:shd w:val="clear" w:color="000000" w:fill="FFFFFF"/>
            <w:noWrap/>
            <w:vAlign w:val="center"/>
            <w:hideMark/>
          </w:tcPr>
          <w:p w14:paraId="429EC7FE" w14:textId="77777777" w:rsidR="00B53316" w:rsidRPr="00D618B7" w:rsidRDefault="00B53316" w:rsidP="004B11B7">
            <w:pPr>
              <w:jc w:val="right"/>
              <w:rPr>
                <w:color w:val="000000"/>
                <w:sz w:val="22"/>
                <w:szCs w:val="22"/>
              </w:rPr>
            </w:pPr>
            <w:r w:rsidRPr="00D618B7">
              <w:rPr>
                <w:color w:val="000000"/>
                <w:sz w:val="22"/>
                <w:szCs w:val="22"/>
              </w:rPr>
              <w:t>2.37</w:t>
            </w:r>
          </w:p>
        </w:tc>
        <w:tc>
          <w:tcPr>
            <w:tcW w:w="879" w:type="pct"/>
            <w:tcBorders>
              <w:top w:val="nil"/>
              <w:left w:val="nil"/>
              <w:bottom w:val="nil"/>
              <w:right w:val="nil"/>
            </w:tcBorders>
            <w:shd w:val="clear" w:color="000000" w:fill="FFFFFF"/>
            <w:noWrap/>
            <w:vAlign w:val="center"/>
            <w:hideMark/>
          </w:tcPr>
          <w:p w14:paraId="606B314A" w14:textId="77777777" w:rsidR="00B53316" w:rsidRPr="00D618B7" w:rsidRDefault="00B53316" w:rsidP="004B11B7">
            <w:pPr>
              <w:jc w:val="right"/>
              <w:rPr>
                <w:color w:val="000000"/>
                <w:sz w:val="22"/>
                <w:szCs w:val="22"/>
              </w:rPr>
            </w:pPr>
            <w:r w:rsidRPr="00D618B7">
              <w:rPr>
                <w:color w:val="000000"/>
                <w:sz w:val="22"/>
                <w:szCs w:val="22"/>
              </w:rPr>
              <w:t>1.08</w:t>
            </w:r>
          </w:p>
        </w:tc>
      </w:tr>
      <w:tr w:rsidR="003B5FE0" w:rsidRPr="00D618B7" w14:paraId="5835BF97" w14:textId="77777777" w:rsidTr="003B5FE0">
        <w:trPr>
          <w:trHeight w:val="273"/>
        </w:trPr>
        <w:tc>
          <w:tcPr>
            <w:tcW w:w="714" w:type="pct"/>
            <w:tcBorders>
              <w:top w:val="nil"/>
              <w:left w:val="nil"/>
              <w:bottom w:val="nil"/>
              <w:right w:val="nil"/>
            </w:tcBorders>
            <w:shd w:val="clear" w:color="000000" w:fill="FFFFFF"/>
            <w:vAlign w:val="center"/>
            <w:hideMark/>
          </w:tcPr>
          <w:p w14:paraId="69D39138" w14:textId="77777777" w:rsidR="00B53316" w:rsidRPr="00D618B7" w:rsidRDefault="00B53316" w:rsidP="004B11B7">
            <w:pPr>
              <w:jc w:val="right"/>
              <w:rPr>
                <w:color w:val="000000"/>
                <w:sz w:val="22"/>
                <w:szCs w:val="22"/>
              </w:rPr>
            </w:pPr>
            <w:r w:rsidRPr="00D618B7">
              <w:rPr>
                <w:color w:val="000000"/>
                <w:sz w:val="22"/>
                <w:szCs w:val="22"/>
              </w:rPr>
              <w:t>3</w:t>
            </w:r>
          </w:p>
        </w:tc>
        <w:tc>
          <w:tcPr>
            <w:tcW w:w="550" w:type="pct"/>
            <w:tcBorders>
              <w:top w:val="nil"/>
              <w:left w:val="nil"/>
              <w:bottom w:val="nil"/>
              <w:right w:val="nil"/>
            </w:tcBorders>
            <w:shd w:val="clear" w:color="000000" w:fill="FFFFFF"/>
            <w:noWrap/>
            <w:vAlign w:val="center"/>
            <w:hideMark/>
          </w:tcPr>
          <w:p w14:paraId="7476F2D3" w14:textId="77777777" w:rsidR="00B53316" w:rsidRPr="00D618B7" w:rsidRDefault="00B53316" w:rsidP="004B11B7">
            <w:pPr>
              <w:jc w:val="right"/>
              <w:rPr>
                <w:color w:val="000000"/>
                <w:sz w:val="22"/>
                <w:szCs w:val="22"/>
              </w:rPr>
            </w:pPr>
            <w:r w:rsidRPr="00D618B7">
              <w:rPr>
                <w:color w:val="000000"/>
                <w:sz w:val="22"/>
                <w:szCs w:val="22"/>
              </w:rPr>
              <w:t>-0.01</w:t>
            </w:r>
          </w:p>
        </w:tc>
        <w:tc>
          <w:tcPr>
            <w:tcW w:w="876" w:type="pct"/>
            <w:tcBorders>
              <w:top w:val="nil"/>
              <w:left w:val="nil"/>
              <w:bottom w:val="nil"/>
              <w:right w:val="nil"/>
            </w:tcBorders>
            <w:shd w:val="clear" w:color="000000" w:fill="FFFFFF"/>
            <w:noWrap/>
            <w:vAlign w:val="center"/>
            <w:hideMark/>
          </w:tcPr>
          <w:p w14:paraId="124E6E8F" w14:textId="77777777" w:rsidR="00B53316" w:rsidRPr="00D618B7" w:rsidRDefault="00B53316" w:rsidP="004B11B7">
            <w:pPr>
              <w:jc w:val="right"/>
              <w:rPr>
                <w:color w:val="000000"/>
                <w:sz w:val="22"/>
                <w:szCs w:val="22"/>
              </w:rPr>
            </w:pPr>
            <w:r w:rsidRPr="00D618B7">
              <w:rPr>
                <w:color w:val="000000"/>
                <w:sz w:val="22"/>
                <w:szCs w:val="22"/>
              </w:rPr>
              <w:t>0.05</w:t>
            </w:r>
          </w:p>
        </w:tc>
        <w:tc>
          <w:tcPr>
            <w:tcW w:w="538" w:type="pct"/>
            <w:tcBorders>
              <w:top w:val="nil"/>
              <w:left w:val="nil"/>
              <w:bottom w:val="nil"/>
              <w:right w:val="nil"/>
            </w:tcBorders>
            <w:shd w:val="clear" w:color="000000" w:fill="FFFFFF"/>
            <w:noWrap/>
            <w:vAlign w:val="center"/>
            <w:hideMark/>
          </w:tcPr>
          <w:p w14:paraId="65F4189F" w14:textId="77777777" w:rsidR="00B53316" w:rsidRPr="00D618B7" w:rsidRDefault="00B53316" w:rsidP="004B11B7">
            <w:pPr>
              <w:jc w:val="right"/>
              <w:rPr>
                <w:color w:val="000000"/>
                <w:sz w:val="22"/>
                <w:szCs w:val="22"/>
              </w:rPr>
            </w:pPr>
            <w:r w:rsidRPr="00D618B7">
              <w:rPr>
                <w:color w:val="000000"/>
                <w:sz w:val="22"/>
                <w:szCs w:val="22"/>
              </w:rPr>
              <w:t>-0.27</w:t>
            </w:r>
          </w:p>
        </w:tc>
        <w:tc>
          <w:tcPr>
            <w:tcW w:w="890" w:type="pct"/>
            <w:tcBorders>
              <w:top w:val="nil"/>
              <w:left w:val="nil"/>
              <w:bottom w:val="nil"/>
              <w:right w:val="nil"/>
            </w:tcBorders>
            <w:shd w:val="clear" w:color="000000" w:fill="FFFFFF"/>
            <w:noWrap/>
            <w:vAlign w:val="center"/>
            <w:hideMark/>
          </w:tcPr>
          <w:p w14:paraId="60618033" w14:textId="77777777" w:rsidR="00B53316" w:rsidRPr="00D618B7" w:rsidRDefault="00B53316" w:rsidP="004B11B7">
            <w:pPr>
              <w:jc w:val="right"/>
              <w:rPr>
                <w:color w:val="000000"/>
                <w:sz w:val="22"/>
                <w:szCs w:val="22"/>
              </w:rPr>
            </w:pPr>
            <w:r w:rsidRPr="00D618B7">
              <w:rPr>
                <w:color w:val="000000"/>
                <w:sz w:val="22"/>
                <w:szCs w:val="22"/>
              </w:rPr>
              <w:t>0.92</w:t>
            </w:r>
          </w:p>
        </w:tc>
        <w:tc>
          <w:tcPr>
            <w:tcW w:w="550" w:type="pct"/>
            <w:tcBorders>
              <w:top w:val="nil"/>
              <w:left w:val="nil"/>
              <w:bottom w:val="nil"/>
              <w:right w:val="nil"/>
            </w:tcBorders>
            <w:shd w:val="clear" w:color="000000" w:fill="FFFFFF"/>
            <w:noWrap/>
            <w:vAlign w:val="center"/>
            <w:hideMark/>
          </w:tcPr>
          <w:p w14:paraId="178008B6" w14:textId="77777777" w:rsidR="00B53316" w:rsidRPr="00D618B7" w:rsidRDefault="00B53316" w:rsidP="004B11B7">
            <w:pPr>
              <w:jc w:val="right"/>
              <w:rPr>
                <w:color w:val="000000"/>
                <w:sz w:val="22"/>
                <w:szCs w:val="22"/>
              </w:rPr>
            </w:pPr>
            <w:r w:rsidRPr="00D618B7">
              <w:rPr>
                <w:color w:val="000000"/>
                <w:sz w:val="22"/>
                <w:szCs w:val="22"/>
              </w:rPr>
              <w:t>6.84</w:t>
            </w:r>
          </w:p>
        </w:tc>
        <w:tc>
          <w:tcPr>
            <w:tcW w:w="879" w:type="pct"/>
            <w:tcBorders>
              <w:top w:val="nil"/>
              <w:left w:val="nil"/>
              <w:bottom w:val="nil"/>
              <w:right w:val="nil"/>
            </w:tcBorders>
            <w:shd w:val="clear" w:color="000000" w:fill="FFFFFF"/>
            <w:noWrap/>
            <w:vAlign w:val="center"/>
            <w:hideMark/>
          </w:tcPr>
          <w:p w14:paraId="25DADBFA" w14:textId="77777777" w:rsidR="00B53316" w:rsidRPr="00D618B7" w:rsidRDefault="00B53316" w:rsidP="004B11B7">
            <w:pPr>
              <w:jc w:val="right"/>
              <w:rPr>
                <w:color w:val="000000"/>
                <w:sz w:val="22"/>
                <w:szCs w:val="22"/>
              </w:rPr>
            </w:pPr>
            <w:r w:rsidRPr="00D618B7">
              <w:rPr>
                <w:color w:val="000000"/>
                <w:sz w:val="22"/>
                <w:szCs w:val="22"/>
              </w:rPr>
              <w:t>3.00</w:t>
            </w:r>
          </w:p>
        </w:tc>
      </w:tr>
      <w:tr w:rsidR="003B5FE0" w:rsidRPr="00D618B7" w14:paraId="5A16B41C" w14:textId="77777777" w:rsidTr="003B5FE0">
        <w:trPr>
          <w:trHeight w:val="273"/>
        </w:trPr>
        <w:tc>
          <w:tcPr>
            <w:tcW w:w="714" w:type="pct"/>
            <w:tcBorders>
              <w:top w:val="nil"/>
              <w:left w:val="nil"/>
              <w:bottom w:val="nil"/>
              <w:right w:val="nil"/>
            </w:tcBorders>
            <w:shd w:val="clear" w:color="000000" w:fill="FFFFFF"/>
            <w:vAlign w:val="center"/>
            <w:hideMark/>
          </w:tcPr>
          <w:p w14:paraId="2103DF6C" w14:textId="77777777" w:rsidR="00B53316" w:rsidRPr="00D618B7" w:rsidRDefault="00B53316" w:rsidP="004B11B7">
            <w:pPr>
              <w:jc w:val="right"/>
              <w:rPr>
                <w:color w:val="000000"/>
                <w:sz w:val="22"/>
                <w:szCs w:val="22"/>
              </w:rPr>
            </w:pPr>
            <w:r w:rsidRPr="00D618B7">
              <w:rPr>
                <w:color w:val="000000"/>
                <w:sz w:val="22"/>
                <w:szCs w:val="22"/>
              </w:rPr>
              <w:t>4</w:t>
            </w:r>
          </w:p>
        </w:tc>
        <w:tc>
          <w:tcPr>
            <w:tcW w:w="550" w:type="pct"/>
            <w:tcBorders>
              <w:top w:val="nil"/>
              <w:left w:val="nil"/>
              <w:bottom w:val="nil"/>
              <w:right w:val="nil"/>
            </w:tcBorders>
            <w:shd w:val="clear" w:color="000000" w:fill="FFFFFF"/>
            <w:noWrap/>
            <w:vAlign w:val="center"/>
            <w:hideMark/>
          </w:tcPr>
          <w:p w14:paraId="2C9EE45D" w14:textId="77777777" w:rsidR="00B53316" w:rsidRPr="00D618B7" w:rsidRDefault="00B53316" w:rsidP="004B11B7">
            <w:pPr>
              <w:jc w:val="right"/>
              <w:rPr>
                <w:color w:val="000000"/>
                <w:sz w:val="22"/>
                <w:szCs w:val="22"/>
              </w:rPr>
            </w:pPr>
            <w:r w:rsidRPr="00D618B7">
              <w:rPr>
                <w:color w:val="000000"/>
                <w:sz w:val="22"/>
                <w:szCs w:val="22"/>
              </w:rPr>
              <w:t>-0.03</w:t>
            </w:r>
          </w:p>
        </w:tc>
        <w:tc>
          <w:tcPr>
            <w:tcW w:w="876" w:type="pct"/>
            <w:tcBorders>
              <w:top w:val="nil"/>
              <w:left w:val="nil"/>
              <w:bottom w:val="nil"/>
              <w:right w:val="nil"/>
            </w:tcBorders>
            <w:shd w:val="clear" w:color="000000" w:fill="FFFFFF"/>
            <w:noWrap/>
            <w:vAlign w:val="center"/>
            <w:hideMark/>
          </w:tcPr>
          <w:p w14:paraId="66AB8B1D" w14:textId="77777777" w:rsidR="00B53316" w:rsidRPr="00D618B7" w:rsidRDefault="00B53316" w:rsidP="004B11B7">
            <w:pPr>
              <w:jc w:val="right"/>
              <w:rPr>
                <w:color w:val="000000"/>
                <w:sz w:val="22"/>
                <w:szCs w:val="22"/>
              </w:rPr>
            </w:pPr>
            <w:r w:rsidRPr="00D618B7">
              <w:rPr>
                <w:color w:val="000000"/>
                <w:sz w:val="22"/>
                <w:szCs w:val="22"/>
              </w:rPr>
              <w:t>0.13</w:t>
            </w:r>
          </w:p>
        </w:tc>
        <w:tc>
          <w:tcPr>
            <w:tcW w:w="538" w:type="pct"/>
            <w:tcBorders>
              <w:top w:val="nil"/>
              <w:left w:val="nil"/>
              <w:bottom w:val="nil"/>
              <w:right w:val="nil"/>
            </w:tcBorders>
            <w:shd w:val="clear" w:color="000000" w:fill="FFFFFF"/>
            <w:noWrap/>
            <w:vAlign w:val="center"/>
            <w:hideMark/>
          </w:tcPr>
          <w:p w14:paraId="5E04D4BD" w14:textId="77777777" w:rsidR="00B53316" w:rsidRPr="00D618B7" w:rsidRDefault="00B53316" w:rsidP="004B11B7">
            <w:pPr>
              <w:jc w:val="right"/>
              <w:rPr>
                <w:color w:val="000000"/>
                <w:sz w:val="22"/>
                <w:szCs w:val="22"/>
              </w:rPr>
            </w:pPr>
            <w:r w:rsidRPr="00D618B7">
              <w:rPr>
                <w:color w:val="000000"/>
                <w:sz w:val="22"/>
                <w:szCs w:val="22"/>
              </w:rPr>
              <w:t>3.33</w:t>
            </w:r>
          </w:p>
        </w:tc>
        <w:tc>
          <w:tcPr>
            <w:tcW w:w="890" w:type="pct"/>
            <w:tcBorders>
              <w:top w:val="nil"/>
              <w:left w:val="nil"/>
              <w:bottom w:val="nil"/>
              <w:right w:val="nil"/>
            </w:tcBorders>
            <w:shd w:val="clear" w:color="000000" w:fill="FFFFFF"/>
            <w:noWrap/>
            <w:vAlign w:val="center"/>
            <w:hideMark/>
          </w:tcPr>
          <w:p w14:paraId="7A624480" w14:textId="77777777" w:rsidR="00B53316" w:rsidRPr="00D618B7" w:rsidRDefault="00B53316" w:rsidP="004B11B7">
            <w:pPr>
              <w:jc w:val="right"/>
              <w:rPr>
                <w:color w:val="000000"/>
                <w:sz w:val="22"/>
                <w:szCs w:val="22"/>
              </w:rPr>
            </w:pPr>
            <w:r w:rsidRPr="00D618B7">
              <w:rPr>
                <w:color w:val="000000"/>
                <w:sz w:val="22"/>
                <w:szCs w:val="22"/>
              </w:rPr>
              <w:t>1.63</w:t>
            </w:r>
          </w:p>
        </w:tc>
        <w:tc>
          <w:tcPr>
            <w:tcW w:w="550" w:type="pct"/>
            <w:tcBorders>
              <w:top w:val="nil"/>
              <w:left w:val="nil"/>
              <w:bottom w:val="nil"/>
              <w:right w:val="nil"/>
            </w:tcBorders>
            <w:shd w:val="clear" w:color="000000" w:fill="FFFFFF"/>
            <w:noWrap/>
            <w:vAlign w:val="center"/>
            <w:hideMark/>
          </w:tcPr>
          <w:p w14:paraId="26EAEDA5" w14:textId="77777777" w:rsidR="00B53316" w:rsidRPr="00D618B7" w:rsidRDefault="00B53316" w:rsidP="004B11B7">
            <w:pPr>
              <w:jc w:val="right"/>
              <w:rPr>
                <w:color w:val="000000"/>
                <w:sz w:val="22"/>
                <w:szCs w:val="22"/>
              </w:rPr>
            </w:pPr>
            <w:r w:rsidRPr="00D618B7">
              <w:rPr>
                <w:color w:val="000000"/>
                <w:sz w:val="22"/>
                <w:szCs w:val="22"/>
              </w:rPr>
              <w:t>10.20</w:t>
            </w:r>
          </w:p>
        </w:tc>
        <w:tc>
          <w:tcPr>
            <w:tcW w:w="879" w:type="pct"/>
            <w:tcBorders>
              <w:top w:val="nil"/>
              <w:left w:val="nil"/>
              <w:bottom w:val="nil"/>
              <w:right w:val="nil"/>
            </w:tcBorders>
            <w:shd w:val="clear" w:color="000000" w:fill="FFFFFF"/>
            <w:noWrap/>
            <w:vAlign w:val="center"/>
            <w:hideMark/>
          </w:tcPr>
          <w:p w14:paraId="1DAB9242" w14:textId="77777777" w:rsidR="00B53316" w:rsidRPr="00D618B7" w:rsidRDefault="00B53316" w:rsidP="004B11B7">
            <w:pPr>
              <w:jc w:val="right"/>
              <w:rPr>
                <w:color w:val="000000"/>
                <w:sz w:val="22"/>
                <w:szCs w:val="22"/>
              </w:rPr>
            </w:pPr>
            <w:r w:rsidRPr="00D618B7">
              <w:rPr>
                <w:color w:val="000000"/>
                <w:sz w:val="22"/>
                <w:szCs w:val="22"/>
              </w:rPr>
              <w:t>5.50</w:t>
            </w:r>
          </w:p>
        </w:tc>
      </w:tr>
      <w:tr w:rsidR="003B5FE0" w:rsidRPr="00D618B7" w14:paraId="11A50A35" w14:textId="77777777" w:rsidTr="003B5FE0">
        <w:trPr>
          <w:trHeight w:val="273"/>
        </w:trPr>
        <w:tc>
          <w:tcPr>
            <w:tcW w:w="714" w:type="pct"/>
            <w:tcBorders>
              <w:top w:val="nil"/>
              <w:left w:val="nil"/>
              <w:bottom w:val="single" w:sz="8" w:space="0" w:color="auto"/>
              <w:right w:val="nil"/>
            </w:tcBorders>
            <w:shd w:val="clear" w:color="000000" w:fill="FFFFFF"/>
            <w:vAlign w:val="center"/>
            <w:hideMark/>
          </w:tcPr>
          <w:p w14:paraId="3408709D" w14:textId="77777777" w:rsidR="00B53316" w:rsidRPr="00D618B7" w:rsidRDefault="00B53316" w:rsidP="004B11B7">
            <w:pPr>
              <w:jc w:val="right"/>
              <w:rPr>
                <w:color w:val="000000"/>
                <w:sz w:val="22"/>
                <w:szCs w:val="22"/>
              </w:rPr>
            </w:pPr>
            <w:r w:rsidRPr="00D618B7">
              <w:rPr>
                <w:color w:val="000000"/>
                <w:sz w:val="22"/>
                <w:szCs w:val="22"/>
              </w:rPr>
              <w:t>5</w:t>
            </w:r>
          </w:p>
        </w:tc>
        <w:tc>
          <w:tcPr>
            <w:tcW w:w="550" w:type="pct"/>
            <w:tcBorders>
              <w:top w:val="nil"/>
              <w:left w:val="nil"/>
              <w:bottom w:val="single" w:sz="8" w:space="0" w:color="auto"/>
              <w:right w:val="nil"/>
            </w:tcBorders>
            <w:shd w:val="clear" w:color="000000" w:fill="FFFFFF"/>
            <w:noWrap/>
            <w:vAlign w:val="center"/>
            <w:hideMark/>
          </w:tcPr>
          <w:p w14:paraId="42D4F3BA" w14:textId="77777777" w:rsidR="00B53316" w:rsidRPr="00D618B7" w:rsidRDefault="00B53316" w:rsidP="004B11B7">
            <w:pPr>
              <w:jc w:val="right"/>
              <w:rPr>
                <w:color w:val="000000"/>
                <w:sz w:val="22"/>
                <w:szCs w:val="22"/>
              </w:rPr>
            </w:pPr>
            <w:r w:rsidRPr="00D618B7">
              <w:rPr>
                <w:color w:val="000000"/>
                <w:sz w:val="22"/>
                <w:szCs w:val="22"/>
              </w:rPr>
              <w:t>0.02</w:t>
            </w:r>
          </w:p>
        </w:tc>
        <w:tc>
          <w:tcPr>
            <w:tcW w:w="876" w:type="pct"/>
            <w:tcBorders>
              <w:top w:val="nil"/>
              <w:left w:val="nil"/>
              <w:bottom w:val="single" w:sz="8" w:space="0" w:color="auto"/>
              <w:right w:val="nil"/>
            </w:tcBorders>
            <w:shd w:val="clear" w:color="000000" w:fill="FFFFFF"/>
            <w:noWrap/>
            <w:vAlign w:val="center"/>
            <w:hideMark/>
          </w:tcPr>
          <w:p w14:paraId="7E97055A" w14:textId="77777777" w:rsidR="00B53316" w:rsidRPr="00D618B7" w:rsidRDefault="00B53316" w:rsidP="004B11B7">
            <w:pPr>
              <w:jc w:val="right"/>
              <w:rPr>
                <w:color w:val="000000"/>
                <w:sz w:val="22"/>
                <w:szCs w:val="22"/>
              </w:rPr>
            </w:pPr>
            <w:r w:rsidRPr="00D618B7">
              <w:rPr>
                <w:color w:val="000000"/>
                <w:sz w:val="22"/>
                <w:szCs w:val="22"/>
              </w:rPr>
              <w:t>0.14</w:t>
            </w:r>
          </w:p>
        </w:tc>
        <w:tc>
          <w:tcPr>
            <w:tcW w:w="538" w:type="pct"/>
            <w:tcBorders>
              <w:top w:val="nil"/>
              <w:left w:val="nil"/>
              <w:bottom w:val="single" w:sz="8" w:space="0" w:color="auto"/>
              <w:right w:val="nil"/>
            </w:tcBorders>
            <w:shd w:val="clear" w:color="000000" w:fill="FFFFFF"/>
            <w:noWrap/>
            <w:vAlign w:val="center"/>
            <w:hideMark/>
          </w:tcPr>
          <w:p w14:paraId="02B54549" w14:textId="77777777" w:rsidR="00B53316" w:rsidRPr="00D618B7" w:rsidRDefault="00B53316" w:rsidP="004B11B7">
            <w:pPr>
              <w:jc w:val="right"/>
              <w:rPr>
                <w:color w:val="000000"/>
                <w:sz w:val="22"/>
                <w:szCs w:val="22"/>
              </w:rPr>
            </w:pPr>
            <w:r w:rsidRPr="00D618B7">
              <w:rPr>
                <w:color w:val="000000"/>
                <w:sz w:val="22"/>
                <w:szCs w:val="22"/>
              </w:rPr>
              <w:t>2.89</w:t>
            </w:r>
          </w:p>
        </w:tc>
        <w:tc>
          <w:tcPr>
            <w:tcW w:w="890" w:type="pct"/>
            <w:tcBorders>
              <w:top w:val="nil"/>
              <w:left w:val="nil"/>
              <w:bottom w:val="single" w:sz="8" w:space="0" w:color="auto"/>
              <w:right w:val="nil"/>
            </w:tcBorders>
            <w:shd w:val="clear" w:color="000000" w:fill="FFFFFF"/>
            <w:noWrap/>
            <w:vAlign w:val="center"/>
            <w:hideMark/>
          </w:tcPr>
          <w:p w14:paraId="7F2FB118" w14:textId="77777777" w:rsidR="00B53316" w:rsidRPr="00D618B7" w:rsidRDefault="00B53316" w:rsidP="004B11B7">
            <w:pPr>
              <w:jc w:val="right"/>
              <w:rPr>
                <w:color w:val="000000"/>
                <w:sz w:val="22"/>
                <w:szCs w:val="22"/>
              </w:rPr>
            </w:pPr>
            <w:r w:rsidRPr="00D618B7">
              <w:rPr>
                <w:color w:val="000000"/>
                <w:sz w:val="22"/>
                <w:szCs w:val="22"/>
              </w:rPr>
              <w:t>2.08</w:t>
            </w:r>
          </w:p>
        </w:tc>
        <w:tc>
          <w:tcPr>
            <w:tcW w:w="550" w:type="pct"/>
            <w:tcBorders>
              <w:top w:val="nil"/>
              <w:left w:val="nil"/>
              <w:bottom w:val="single" w:sz="8" w:space="0" w:color="auto"/>
              <w:right w:val="nil"/>
            </w:tcBorders>
            <w:shd w:val="clear" w:color="000000" w:fill="FFFFFF"/>
            <w:noWrap/>
            <w:vAlign w:val="center"/>
            <w:hideMark/>
          </w:tcPr>
          <w:p w14:paraId="63A9F309" w14:textId="77777777" w:rsidR="00B53316" w:rsidRPr="00D618B7" w:rsidRDefault="00B53316" w:rsidP="004B11B7">
            <w:pPr>
              <w:jc w:val="right"/>
              <w:rPr>
                <w:color w:val="000000"/>
                <w:sz w:val="22"/>
                <w:szCs w:val="22"/>
              </w:rPr>
            </w:pPr>
            <w:r w:rsidRPr="00D618B7">
              <w:rPr>
                <w:color w:val="000000"/>
                <w:sz w:val="22"/>
                <w:szCs w:val="22"/>
              </w:rPr>
              <w:t>-0.93</w:t>
            </w:r>
          </w:p>
        </w:tc>
        <w:tc>
          <w:tcPr>
            <w:tcW w:w="879" w:type="pct"/>
            <w:tcBorders>
              <w:top w:val="nil"/>
              <w:left w:val="nil"/>
              <w:bottom w:val="single" w:sz="8" w:space="0" w:color="auto"/>
              <w:right w:val="nil"/>
            </w:tcBorders>
            <w:shd w:val="clear" w:color="000000" w:fill="FFFFFF"/>
            <w:noWrap/>
            <w:vAlign w:val="center"/>
            <w:hideMark/>
          </w:tcPr>
          <w:p w14:paraId="09DD80DB" w14:textId="77777777" w:rsidR="00B53316" w:rsidRPr="00D618B7" w:rsidRDefault="00B53316" w:rsidP="004B11B7">
            <w:pPr>
              <w:jc w:val="right"/>
              <w:rPr>
                <w:color w:val="000000"/>
                <w:sz w:val="22"/>
                <w:szCs w:val="22"/>
              </w:rPr>
            </w:pPr>
            <w:r w:rsidRPr="00D618B7">
              <w:rPr>
                <w:color w:val="000000"/>
                <w:sz w:val="22"/>
                <w:szCs w:val="22"/>
              </w:rPr>
              <w:t>0.29</w:t>
            </w:r>
          </w:p>
        </w:tc>
      </w:tr>
      <w:tr w:rsidR="00B53316" w:rsidRPr="00D618B7" w14:paraId="1051FAC5" w14:textId="77777777" w:rsidTr="003B5FE0">
        <w:trPr>
          <w:trHeight w:val="273"/>
        </w:trPr>
        <w:tc>
          <w:tcPr>
            <w:tcW w:w="714" w:type="pct"/>
            <w:tcBorders>
              <w:top w:val="nil"/>
              <w:left w:val="nil"/>
              <w:bottom w:val="nil"/>
              <w:right w:val="nil"/>
            </w:tcBorders>
            <w:shd w:val="clear" w:color="000000" w:fill="FFFFFF"/>
            <w:noWrap/>
            <w:vAlign w:val="bottom"/>
            <w:hideMark/>
          </w:tcPr>
          <w:p w14:paraId="03855306" w14:textId="77777777" w:rsidR="00B53316" w:rsidRPr="00D618B7" w:rsidRDefault="00B53316" w:rsidP="004B11B7">
            <w:pPr>
              <w:rPr>
                <w:color w:val="000000"/>
                <w:sz w:val="22"/>
                <w:szCs w:val="22"/>
              </w:rPr>
            </w:pPr>
            <w:r w:rsidRPr="00D618B7">
              <w:rPr>
                <w:color w:val="000000"/>
                <w:sz w:val="22"/>
                <w:szCs w:val="22"/>
              </w:rPr>
              <w:t> </w:t>
            </w:r>
          </w:p>
        </w:tc>
        <w:tc>
          <w:tcPr>
            <w:tcW w:w="4286" w:type="pct"/>
            <w:gridSpan w:val="6"/>
            <w:tcBorders>
              <w:top w:val="single" w:sz="8" w:space="0" w:color="auto"/>
              <w:left w:val="nil"/>
              <w:bottom w:val="nil"/>
              <w:right w:val="nil"/>
            </w:tcBorders>
            <w:shd w:val="clear" w:color="000000" w:fill="FFFFFF"/>
            <w:noWrap/>
            <w:vAlign w:val="center"/>
            <w:hideMark/>
          </w:tcPr>
          <w:p w14:paraId="2CCEB066" w14:textId="77777777" w:rsidR="00B53316" w:rsidRPr="00D618B7" w:rsidRDefault="00B53316" w:rsidP="004B11B7">
            <w:pPr>
              <w:jc w:val="center"/>
              <w:rPr>
                <w:color w:val="000000"/>
                <w:sz w:val="22"/>
                <w:szCs w:val="22"/>
              </w:rPr>
            </w:pPr>
            <w:r w:rsidRPr="00D618B7">
              <w:rPr>
                <w:color w:val="000000"/>
                <w:sz w:val="22"/>
                <w:szCs w:val="22"/>
              </w:rPr>
              <w:t>Toy-Moving-into-Reach</w:t>
            </w:r>
          </w:p>
        </w:tc>
      </w:tr>
      <w:tr w:rsidR="003B5FE0" w:rsidRPr="00D618B7" w14:paraId="1CAA23D3" w14:textId="77777777" w:rsidTr="003B5FE0">
        <w:trPr>
          <w:trHeight w:val="273"/>
        </w:trPr>
        <w:tc>
          <w:tcPr>
            <w:tcW w:w="714" w:type="pct"/>
            <w:tcBorders>
              <w:top w:val="nil"/>
              <w:left w:val="nil"/>
              <w:bottom w:val="nil"/>
              <w:right w:val="nil"/>
            </w:tcBorders>
            <w:shd w:val="clear" w:color="000000" w:fill="FFFFFF"/>
            <w:vAlign w:val="center"/>
            <w:hideMark/>
          </w:tcPr>
          <w:p w14:paraId="340E1682" w14:textId="77777777" w:rsidR="00B53316" w:rsidRPr="00D618B7" w:rsidRDefault="00B53316" w:rsidP="004B11B7">
            <w:pPr>
              <w:jc w:val="right"/>
              <w:rPr>
                <w:color w:val="000000"/>
                <w:sz w:val="22"/>
                <w:szCs w:val="22"/>
              </w:rPr>
            </w:pPr>
            <w:r w:rsidRPr="00D618B7">
              <w:rPr>
                <w:color w:val="000000"/>
                <w:sz w:val="22"/>
                <w:szCs w:val="22"/>
              </w:rPr>
              <w:t>-5</w:t>
            </w:r>
          </w:p>
        </w:tc>
        <w:tc>
          <w:tcPr>
            <w:tcW w:w="550" w:type="pct"/>
            <w:tcBorders>
              <w:top w:val="nil"/>
              <w:left w:val="nil"/>
              <w:bottom w:val="nil"/>
              <w:right w:val="nil"/>
            </w:tcBorders>
            <w:shd w:val="clear" w:color="000000" w:fill="FFFFFF"/>
            <w:noWrap/>
            <w:vAlign w:val="center"/>
            <w:hideMark/>
          </w:tcPr>
          <w:p w14:paraId="1B8242E2" w14:textId="77777777" w:rsidR="00B53316" w:rsidRPr="00D618B7" w:rsidRDefault="00B53316" w:rsidP="004B11B7">
            <w:pPr>
              <w:jc w:val="right"/>
              <w:rPr>
                <w:color w:val="000000"/>
                <w:sz w:val="22"/>
                <w:szCs w:val="22"/>
              </w:rPr>
            </w:pPr>
            <w:r w:rsidRPr="00D618B7">
              <w:rPr>
                <w:color w:val="000000"/>
                <w:sz w:val="22"/>
                <w:szCs w:val="22"/>
              </w:rPr>
              <w:t>-0.66</w:t>
            </w:r>
          </w:p>
        </w:tc>
        <w:tc>
          <w:tcPr>
            <w:tcW w:w="876" w:type="pct"/>
            <w:tcBorders>
              <w:top w:val="nil"/>
              <w:left w:val="nil"/>
              <w:bottom w:val="nil"/>
              <w:right w:val="nil"/>
            </w:tcBorders>
            <w:shd w:val="clear" w:color="000000" w:fill="FFFFFF"/>
            <w:noWrap/>
            <w:vAlign w:val="center"/>
            <w:hideMark/>
          </w:tcPr>
          <w:p w14:paraId="6F4CA0C8" w14:textId="77777777" w:rsidR="00B53316" w:rsidRPr="00D618B7" w:rsidRDefault="00B53316" w:rsidP="004B11B7">
            <w:pPr>
              <w:jc w:val="right"/>
              <w:rPr>
                <w:color w:val="000000"/>
                <w:sz w:val="22"/>
                <w:szCs w:val="22"/>
              </w:rPr>
            </w:pPr>
            <w:r w:rsidRPr="00D618B7">
              <w:rPr>
                <w:color w:val="000000"/>
                <w:sz w:val="22"/>
                <w:szCs w:val="22"/>
              </w:rPr>
              <w:t>0.43</w:t>
            </w:r>
          </w:p>
        </w:tc>
        <w:tc>
          <w:tcPr>
            <w:tcW w:w="538" w:type="pct"/>
            <w:tcBorders>
              <w:top w:val="nil"/>
              <w:left w:val="nil"/>
              <w:bottom w:val="nil"/>
              <w:right w:val="nil"/>
            </w:tcBorders>
            <w:shd w:val="clear" w:color="000000" w:fill="FFFFFF"/>
            <w:noWrap/>
            <w:vAlign w:val="center"/>
            <w:hideMark/>
          </w:tcPr>
          <w:p w14:paraId="69C0F9D6" w14:textId="77777777" w:rsidR="00B53316" w:rsidRPr="00D618B7" w:rsidRDefault="00B53316" w:rsidP="004B11B7">
            <w:pPr>
              <w:jc w:val="right"/>
              <w:rPr>
                <w:color w:val="000000"/>
                <w:sz w:val="22"/>
                <w:szCs w:val="22"/>
              </w:rPr>
            </w:pPr>
            <w:r w:rsidRPr="00D618B7">
              <w:rPr>
                <w:color w:val="000000"/>
                <w:sz w:val="22"/>
                <w:szCs w:val="22"/>
              </w:rPr>
              <w:t>0.53</w:t>
            </w:r>
          </w:p>
        </w:tc>
        <w:tc>
          <w:tcPr>
            <w:tcW w:w="890" w:type="pct"/>
            <w:tcBorders>
              <w:top w:val="nil"/>
              <w:left w:val="nil"/>
              <w:bottom w:val="nil"/>
              <w:right w:val="nil"/>
            </w:tcBorders>
            <w:shd w:val="clear" w:color="000000" w:fill="FFFFFF"/>
            <w:noWrap/>
            <w:vAlign w:val="center"/>
            <w:hideMark/>
          </w:tcPr>
          <w:p w14:paraId="2B3D7736" w14:textId="77777777" w:rsidR="00B53316" w:rsidRPr="00D618B7" w:rsidRDefault="00B53316" w:rsidP="004B11B7">
            <w:pPr>
              <w:jc w:val="right"/>
              <w:rPr>
                <w:color w:val="000000"/>
                <w:sz w:val="22"/>
                <w:szCs w:val="22"/>
              </w:rPr>
            </w:pPr>
            <w:r w:rsidRPr="00D618B7">
              <w:rPr>
                <w:color w:val="000000"/>
                <w:sz w:val="22"/>
                <w:szCs w:val="22"/>
              </w:rPr>
              <w:t>0.34</w:t>
            </w:r>
          </w:p>
        </w:tc>
        <w:tc>
          <w:tcPr>
            <w:tcW w:w="550" w:type="pct"/>
            <w:tcBorders>
              <w:top w:val="nil"/>
              <w:left w:val="nil"/>
              <w:bottom w:val="nil"/>
              <w:right w:val="nil"/>
            </w:tcBorders>
            <w:shd w:val="clear" w:color="000000" w:fill="FFFFFF"/>
            <w:noWrap/>
            <w:vAlign w:val="center"/>
            <w:hideMark/>
          </w:tcPr>
          <w:p w14:paraId="70131EBE" w14:textId="77777777" w:rsidR="00B53316" w:rsidRPr="00D618B7" w:rsidRDefault="00B53316" w:rsidP="004B11B7">
            <w:pPr>
              <w:jc w:val="right"/>
              <w:rPr>
                <w:color w:val="000000"/>
                <w:sz w:val="22"/>
                <w:szCs w:val="22"/>
              </w:rPr>
            </w:pPr>
            <w:r w:rsidRPr="00D618B7">
              <w:rPr>
                <w:color w:val="000000"/>
                <w:sz w:val="22"/>
                <w:szCs w:val="22"/>
              </w:rPr>
              <w:t>-4.88</w:t>
            </w:r>
          </w:p>
        </w:tc>
        <w:tc>
          <w:tcPr>
            <w:tcW w:w="879" w:type="pct"/>
            <w:tcBorders>
              <w:top w:val="nil"/>
              <w:left w:val="nil"/>
              <w:bottom w:val="nil"/>
              <w:right w:val="nil"/>
            </w:tcBorders>
            <w:shd w:val="clear" w:color="000000" w:fill="FFFFFF"/>
            <w:noWrap/>
            <w:vAlign w:val="center"/>
            <w:hideMark/>
          </w:tcPr>
          <w:p w14:paraId="288F4DD8" w14:textId="77777777" w:rsidR="00B53316" w:rsidRPr="00D618B7" w:rsidRDefault="00B53316" w:rsidP="004B11B7">
            <w:pPr>
              <w:jc w:val="right"/>
              <w:rPr>
                <w:color w:val="000000"/>
                <w:sz w:val="22"/>
                <w:szCs w:val="22"/>
              </w:rPr>
            </w:pPr>
            <w:r w:rsidRPr="00D618B7">
              <w:rPr>
                <w:color w:val="000000"/>
                <w:sz w:val="22"/>
                <w:szCs w:val="22"/>
              </w:rPr>
              <w:t>1.66</w:t>
            </w:r>
          </w:p>
        </w:tc>
      </w:tr>
      <w:tr w:rsidR="003B5FE0" w:rsidRPr="00D618B7" w14:paraId="22D3DB80" w14:textId="77777777" w:rsidTr="003B5FE0">
        <w:trPr>
          <w:trHeight w:val="273"/>
        </w:trPr>
        <w:tc>
          <w:tcPr>
            <w:tcW w:w="714" w:type="pct"/>
            <w:tcBorders>
              <w:top w:val="nil"/>
              <w:left w:val="nil"/>
              <w:bottom w:val="nil"/>
              <w:right w:val="nil"/>
            </w:tcBorders>
            <w:shd w:val="clear" w:color="000000" w:fill="FFFFFF"/>
            <w:vAlign w:val="center"/>
            <w:hideMark/>
          </w:tcPr>
          <w:p w14:paraId="462D0CA6" w14:textId="77777777" w:rsidR="00B53316" w:rsidRPr="00D618B7" w:rsidRDefault="00B53316" w:rsidP="004B11B7">
            <w:pPr>
              <w:jc w:val="right"/>
              <w:rPr>
                <w:color w:val="000000"/>
                <w:sz w:val="22"/>
                <w:szCs w:val="22"/>
              </w:rPr>
            </w:pPr>
            <w:r w:rsidRPr="00D618B7">
              <w:rPr>
                <w:color w:val="000000"/>
                <w:sz w:val="22"/>
                <w:szCs w:val="22"/>
              </w:rPr>
              <w:t>-4</w:t>
            </w:r>
          </w:p>
        </w:tc>
        <w:tc>
          <w:tcPr>
            <w:tcW w:w="550" w:type="pct"/>
            <w:tcBorders>
              <w:top w:val="nil"/>
              <w:left w:val="nil"/>
              <w:bottom w:val="nil"/>
              <w:right w:val="nil"/>
            </w:tcBorders>
            <w:shd w:val="clear" w:color="000000" w:fill="FFFFFF"/>
            <w:noWrap/>
            <w:vAlign w:val="center"/>
            <w:hideMark/>
          </w:tcPr>
          <w:p w14:paraId="494B2295" w14:textId="77777777" w:rsidR="00B53316" w:rsidRPr="00D618B7" w:rsidRDefault="00B53316" w:rsidP="004B11B7">
            <w:pPr>
              <w:jc w:val="right"/>
              <w:rPr>
                <w:color w:val="000000"/>
                <w:sz w:val="22"/>
                <w:szCs w:val="22"/>
              </w:rPr>
            </w:pPr>
            <w:r w:rsidRPr="00D618B7">
              <w:rPr>
                <w:color w:val="000000"/>
                <w:sz w:val="22"/>
                <w:szCs w:val="22"/>
              </w:rPr>
              <w:t>0.73</w:t>
            </w:r>
          </w:p>
        </w:tc>
        <w:tc>
          <w:tcPr>
            <w:tcW w:w="876" w:type="pct"/>
            <w:tcBorders>
              <w:top w:val="nil"/>
              <w:left w:val="nil"/>
              <w:bottom w:val="nil"/>
              <w:right w:val="nil"/>
            </w:tcBorders>
            <w:shd w:val="clear" w:color="000000" w:fill="FFFFFF"/>
            <w:noWrap/>
            <w:vAlign w:val="center"/>
            <w:hideMark/>
          </w:tcPr>
          <w:p w14:paraId="627A85A5" w14:textId="77777777" w:rsidR="00B53316" w:rsidRPr="00D618B7" w:rsidRDefault="00B53316" w:rsidP="004B11B7">
            <w:pPr>
              <w:jc w:val="right"/>
              <w:rPr>
                <w:color w:val="000000"/>
                <w:sz w:val="22"/>
                <w:szCs w:val="22"/>
              </w:rPr>
            </w:pPr>
            <w:r w:rsidRPr="00D618B7">
              <w:rPr>
                <w:color w:val="000000"/>
                <w:sz w:val="22"/>
                <w:szCs w:val="22"/>
              </w:rPr>
              <w:t>0.19</w:t>
            </w:r>
          </w:p>
        </w:tc>
        <w:tc>
          <w:tcPr>
            <w:tcW w:w="538" w:type="pct"/>
            <w:tcBorders>
              <w:top w:val="nil"/>
              <w:left w:val="nil"/>
              <w:bottom w:val="nil"/>
              <w:right w:val="nil"/>
            </w:tcBorders>
            <w:shd w:val="clear" w:color="000000" w:fill="FFFFFF"/>
            <w:noWrap/>
            <w:vAlign w:val="center"/>
            <w:hideMark/>
          </w:tcPr>
          <w:p w14:paraId="1165EAC7" w14:textId="77777777" w:rsidR="00B53316" w:rsidRPr="00D618B7" w:rsidRDefault="00B53316" w:rsidP="004B11B7">
            <w:pPr>
              <w:jc w:val="right"/>
              <w:rPr>
                <w:color w:val="000000"/>
                <w:sz w:val="22"/>
                <w:szCs w:val="22"/>
              </w:rPr>
            </w:pPr>
            <w:r w:rsidRPr="00D618B7">
              <w:rPr>
                <w:color w:val="000000"/>
                <w:sz w:val="22"/>
                <w:szCs w:val="22"/>
              </w:rPr>
              <w:t>0.37</w:t>
            </w:r>
          </w:p>
        </w:tc>
        <w:tc>
          <w:tcPr>
            <w:tcW w:w="890" w:type="pct"/>
            <w:tcBorders>
              <w:top w:val="nil"/>
              <w:left w:val="nil"/>
              <w:bottom w:val="nil"/>
              <w:right w:val="nil"/>
            </w:tcBorders>
            <w:shd w:val="clear" w:color="000000" w:fill="FFFFFF"/>
            <w:noWrap/>
            <w:vAlign w:val="center"/>
            <w:hideMark/>
          </w:tcPr>
          <w:p w14:paraId="0DEC93FC" w14:textId="77777777" w:rsidR="00B53316" w:rsidRPr="00D618B7" w:rsidRDefault="00B53316" w:rsidP="004B11B7">
            <w:pPr>
              <w:jc w:val="right"/>
              <w:rPr>
                <w:color w:val="000000"/>
                <w:sz w:val="22"/>
                <w:szCs w:val="22"/>
              </w:rPr>
            </w:pPr>
            <w:r w:rsidRPr="00D618B7">
              <w:rPr>
                <w:color w:val="000000"/>
                <w:sz w:val="22"/>
                <w:szCs w:val="22"/>
              </w:rPr>
              <w:t>0.20</w:t>
            </w:r>
          </w:p>
        </w:tc>
        <w:tc>
          <w:tcPr>
            <w:tcW w:w="550" w:type="pct"/>
            <w:tcBorders>
              <w:top w:val="nil"/>
              <w:left w:val="nil"/>
              <w:bottom w:val="nil"/>
              <w:right w:val="nil"/>
            </w:tcBorders>
            <w:shd w:val="clear" w:color="000000" w:fill="FFFFFF"/>
            <w:noWrap/>
            <w:vAlign w:val="center"/>
            <w:hideMark/>
          </w:tcPr>
          <w:p w14:paraId="47F5ED28" w14:textId="77777777" w:rsidR="00B53316" w:rsidRPr="00D618B7" w:rsidRDefault="00B53316" w:rsidP="004B11B7">
            <w:pPr>
              <w:jc w:val="right"/>
              <w:rPr>
                <w:color w:val="000000"/>
                <w:sz w:val="22"/>
                <w:szCs w:val="22"/>
              </w:rPr>
            </w:pPr>
            <w:r w:rsidRPr="00D618B7">
              <w:rPr>
                <w:color w:val="000000"/>
                <w:sz w:val="22"/>
                <w:szCs w:val="22"/>
              </w:rPr>
              <w:t>2.23</w:t>
            </w:r>
          </w:p>
        </w:tc>
        <w:tc>
          <w:tcPr>
            <w:tcW w:w="879" w:type="pct"/>
            <w:tcBorders>
              <w:top w:val="nil"/>
              <w:left w:val="nil"/>
              <w:bottom w:val="nil"/>
              <w:right w:val="nil"/>
            </w:tcBorders>
            <w:shd w:val="clear" w:color="000000" w:fill="FFFFFF"/>
            <w:noWrap/>
            <w:vAlign w:val="center"/>
            <w:hideMark/>
          </w:tcPr>
          <w:p w14:paraId="409803BA" w14:textId="77777777" w:rsidR="00B53316" w:rsidRPr="00D618B7" w:rsidRDefault="00B53316" w:rsidP="004B11B7">
            <w:pPr>
              <w:jc w:val="right"/>
              <w:rPr>
                <w:color w:val="000000"/>
                <w:sz w:val="22"/>
                <w:szCs w:val="22"/>
              </w:rPr>
            </w:pPr>
            <w:r w:rsidRPr="00D618B7">
              <w:rPr>
                <w:color w:val="000000"/>
                <w:sz w:val="22"/>
                <w:szCs w:val="22"/>
              </w:rPr>
              <w:t>1.04</w:t>
            </w:r>
          </w:p>
        </w:tc>
      </w:tr>
      <w:tr w:rsidR="003B5FE0" w:rsidRPr="00D618B7" w14:paraId="4E4F488A" w14:textId="77777777" w:rsidTr="003B5FE0">
        <w:trPr>
          <w:trHeight w:val="273"/>
        </w:trPr>
        <w:tc>
          <w:tcPr>
            <w:tcW w:w="714" w:type="pct"/>
            <w:tcBorders>
              <w:top w:val="nil"/>
              <w:left w:val="nil"/>
              <w:bottom w:val="nil"/>
              <w:right w:val="nil"/>
            </w:tcBorders>
            <w:shd w:val="clear" w:color="000000" w:fill="FFFFFF"/>
            <w:vAlign w:val="center"/>
            <w:hideMark/>
          </w:tcPr>
          <w:p w14:paraId="34988AAD" w14:textId="77777777" w:rsidR="00B53316" w:rsidRPr="00D618B7" w:rsidRDefault="00B53316" w:rsidP="004B11B7">
            <w:pPr>
              <w:jc w:val="right"/>
              <w:rPr>
                <w:color w:val="000000"/>
                <w:sz w:val="22"/>
                <w:szCs w:val="22"/>
              </w:rPr>
            </w:pPr>
            <w:r w:rsidRPr="00D618B7">
              <w:rPr>
                <w:color w:val="000000"/>
                <w:sz w:val="22"/>
                <w:szCs w:val="22"/>
              </w:rPr>
              <w:t>-3</w:t>
            </w:r>
          </w:p>
        </w:tc>
        <w:tc>
          <w:tcPr>
            <w:tcW w:w="550" w:type="pct"/>
            <w:tcBorders>
              <w:top w:val="nil"/>
              <w:left w:val="nil"/>
              <w:bottom w:val="nil"/>
              <w:right w:val="nil"/>
            </w:tcBorders>
            <w:shd w:val="clear" w:color="000000" w:fill="FFFFFF"/>
            <w:noWrap/>
            <w:vAlign w:val="center"/>
            <w:hideMark/>
          </w:tcPr>
          <w:p w14:paraId="5B0CEC22" w14:textId="77777777" w:rsidR="00B53316" w:rsidRPr="00D618B7" w:rsidRDefault="00B53316" w:rsidP="004B11B7">
            <w:pPr>
              <w:jc w:val="right"/>
              <w:rPr>
                <w:color w:val="000000"/>
                <w:sz w:val="22"/>
                <w:szCs w:val="22"/>
              </w:rPr>
            </w:pPr>
            <w:r w:rsidRPr="00D618B7">
              <w:rPr>
                <w:color w:val="000000"/>
                <w:sz w:val="22"/>
                <w:szCs w:val="22"/>
              </w:rPr>
              <w:t>-0.46</w:t>
            </w:r>
          </w:p>
        </w:tc>
        <w:tc>
          <w:tcPr>
            <w:tcW w:w="876" w:type="pct"/>
            <w:tcBorders>
              <w:top w:val="nil"/>
              <w:left w:val="nil"/>
              <w:bottom w:val="nil"/>
              <w:right w:val="nil"/>
            </w:tcBorders>
            <w:shd w:val="clear" w:color="000000" w:fill="FFFFFF"/>
            <w:noWrap/>
            <w:vAlign w:val="center"/>
            <w:hideMark/>
          </w:tcPr>
          <w:p w14:paraId="19CBB3AA" w14:textId="77777777" w:rsidR="00B53316" w:rsidRPr="00D618B7" w:rsidRDefault="00B53316" w:rsidP="004B11B7">
            <w:pPr>
              <w:jc w:val="right"/>
              <w:rPr>
                <w:color w:val="000000"/>
                <w:sz w:val="22"/>
                <w:szCs w:val="22"/>
              </w:rPr>
            </w:pPr>
            <w:r w:rsidRPr="00D618B7">
              <w:rPr>
                <w:color w:val="000000"/>
                <w:sz w:val="22"/>
                <w:szCs w:val="22"/>
              </w:rPr>
              <w:t>0.11</w:t>
            </w:r>
          </w:p>
        </w:tc>
        <w:tc>
          <w:tcPr>
            <w:tcW w:w="538" w:type="pct"/>
            <w:tcBorders>
              <w:top w:val="nil"/>
              <w:left w:val="nil"/>
              <w:bottom w:val="nil"/>
              <w:right w:val="nil"/>
            </w:tcBorders>
            <w:shd w:val="clear" w:color="000000" w:fill="FFFFFF"/>
            <w:noWrap/>
            <w:vAlign w:val="center"/>
            <w:hideMark/>
          </w:tcPr>
          <w:p w14:paraId="36B83608" w14:textId="77777777" w:rsidR="00B53316" w:rsidRPr="00D618B7" w:rsidRDefault="00B53316" w:rsidP="004B11B7">
            <w:pPr>
              <w:jc w:val="right"/>
              <w:rPr>
                <w:color w:val="000000"/>
                <w:sz w:val="22"/>
                <w:szCs w:val="22"/>
              </w:rPr>
            </w:pPr>
            <w:r w:rsidRPr="00D618B7">
              <w:rPr>
                <w:color w:val="000000"/>
                <w:sz w:val="22"/>
                <w:szCs w:val="22"/>
              </w:rPr>
              <w:t>-0.75</w:t>
            </w:r>
          </w:p>
        </w:tc>
        <w:tc>
          <w:tcPr>
            <w:tcW w:w="890" w:type="pct"/>
            <w:tcBorders>
              <w:top w:val="nil"/>
              <w:left w:val="nil"/>
              <w:bottom w:val="nil"/>
              <w:right w:val="nil"/>
            </w:tcBorders>
            <w:shd w:val="clear" w:color="000000" w:fill="FFFFFF"/>
            <w:noWrap/>
            <w:vAlign w:val="center"/>
            <w:hideMark/>
          </w:tcPr>
          <w:p w14:paraId="53FDB05D" w14:textId="77777777" w:rsidR="00B53316" w:rsidRPr="00D618B7" w:rsidRDefault="00B53316" w:rsidP="004B11B7">
            <w:pPr>
              <w:jc w:val="right"/>
              <w:rPr>
                <w:color w:val="000000"/>
                <w:sz w:val="22"/>
                <w:szCs w:val="22"/>
              </w:rPr>
            </w:pPr>
            <w:r w:rsidRPr="00D618B7">
              <w:rPr>
                <w:color w:val="000000"/>
                <w:sz w:val="22"/>
                <w:szCs w:val="22"/>
              </w:rPr>
              <w:t>0.30</w:t>
            </w:r>
          </w:p>
        </w:tc>
        <w:tc>
          <w:tcPr>
            <w:tcW w:w="550" w:type="pct"/>
            <w:tcBorders>
              <w:top w:val="nil"/>
              <w:left w:val="nil"/>
              <w:bottom w:val="nil"/>
              <w:right w:val="nil"/>
            </w:tcBorders>
            <w:shd w:val="clear" w:color="000000" w:fill="FFFFFF"/>
            <w:noWrap/>
            <w:vAlign w:val="center"/>
            <w:hideMark/>
          </w:tcPr>
          <w:p w14:paraId="4663C95C" w14:textId="77777777" w:rsidR="00B53316" w:rsidRPr="00D618B7" w:rsidRDefault="00B53316" w:rsidP="004B11B7">
            <w:pPr>
              <w:jc w:val="right"/>
              <w:rPr>
                <w:color w:val="000000"/>
                <w:sz w:val="22"/>
                <w:szCs w:val="22"/>
              </w:rPr>
            </w:pPr>
            <w:r w:rsidRPr="00D618B7">
              <w:rPr>
                <w:color w:val="000000"/>
                <w:sz w:val="22"/>
                <w:szCs w:val="22"/>
              </w:rPr>
              <w:t>-0.24</w:t>
            </w:r>
          </w:p>
        </w:tc>
        <w:tc>
          <w:tcPr>
            <w:tcW w:w="879" w:type="pct"/>
            <w:tcBorders>
              <w:top w:val="nil"/>
              <w:left w:val="nil"/>
              <w:bottom w:val="nil"/>
              <w:right w:val="nil"/>
            </w:tcBorders>
            <w:shd w:val="clear" w:color="000000" w:fill="FFFFFF"/>
            <w:noWrap/>
            <w:vAlign w:val="center"/>
            <w:hideMark/>
          </w:tcPr>
          <w:p w14:paraId="7D30A5A3" w14:textId="77777777" w:rsidR="00B53316" w:rsidRPr="00D618B7" w:rsidRDefault="00B53316" w:rsidP="004B11B7">
            <w:pPr>
              <w:jc w:val="right"/>
              <w:rPr>
                <w:color w:val="000000"/>
                <w:sz w:val="22"/>
                <w:szCs w:val="22"/>
              </w:rPr>
            </w:pPr>
            <w:r w:rsidRPr="00D618B7">
              <w:rPr>
                <w:color w:val="000000"/>
                <w:sz w:val="22"/>
                <w:szCs w:val="22"/>
              </w:rPr>
              <w:t>0.30</w:t>
            </w:r>
          </w:p>
        </w:tc>
      </w:tr>
      <w:tr w:rsidR="003B5FE0" w:rsidRPr="00D618B7" w14:paraId="5D35476F" w14:textId="77777777" w:rsidTr="003B5FE0">
        <w:trPr>
          <w:trHeight w:val="273"/>
        </w:trPr>
        <w:tc>
          <w:tcPr>
            <w:tcW w:w="714" w:type="pct"/>
            <w:tcBorders>
              <w:top w:val="nil"/>
              <w:left w:val="nil"/>
              <w:bottom w:val="nil"/>
              <w:right w:val="nil"/>
            </w:tcBorders>
            <w:shd w:val="clear" w:color="000000" w:fill="FFFFFF"/>
            <w:vAlign w:val="center"/>
            <w:hideMark/>
          </w:tcPr>
          <w:p w14:paraId="529EA661" w14:textId="77777777" w:rsidR="00B53316" w:rsidRPr="00D618B7" w:rsidRDefault="00B53316" w:rsidP="004B11B7">
            <w:pPr>
              <w:jc w:val="right"/>
              <w:rPr>
                <w:color w:val="000000"/>
                <w:sz w:val="22"/>
                <w:szCs w:val="22"/>
              </w:rPr>
            </w:pPr>
            <w:r w:rsidRPr="00D618B7">
              <w:rPr>
                <w:color w:val="000000"/>
                <w:sz w:val="22"/>
                <w:szCs w:val="22"/>
              </w:rPr>
              <w:t>-2</w:t>
            </w:r>
          </w:p>
        </w:tc>
        <w:tc>
          <w:tcPr>
            <w:tcW w:w="550" w:type="pct"/>
            <w:tcBorders>
              <w:top w:val="nil"/>
              <w:left w:val="nil"/>
              <w:bottom w:val="nil"/>
              <w:right w:val="nil"/>
            </w:tcBorders>
            <w:shd w:val="clear" w:color="000000" w:fill="FFFFFF"/>
            <w:noWrap/>
            <w:vAlign w:val="center"/>
            <w:hideMark/>
          </w:tcPr>
          <w:p w14:paraId="2B61C5AF" w14:textId="77777777" w:rsidR="00B53316" w:rsidRPr="00D618B7" w:rsidRDefault="00B53316" w:rsidP="004B11B7">
            <w:pPr>
              <w:jc w:val="right"/>
              <w:rPr>
                <w:color w:val="000000"/>
                <w:sz w:val="22"/>
                <w:szCs w:val="22"/>
              </w:rPr>
            </w:pPr>
            <w:r w:rsidRPr="00D618B7">
              <w:rPr>
                <w:color w:val="000000"/>
                <w:sz w:val="22"/>
                <w:szCs w:val="22"/>
              </w:rPr>
              <w:t>0.54</w:t>
            </w:r>
          </w:p>
        </w:tc>
        <w:tc>
          <w:tcPr>
            <w:tcW w:w="876" w:type="pct"/>
            <w:tcBorders>
              <w:top w:val="nil"/>
              <w:left w:val="nil"/>
              <w:bottom w:val="nil"/>
              <w:right w:val="nil"/>
            </w:tcBorders>
            <w:shd w:val="clear" w:color="000000" w:fill="FFFFFF"/>
            <w:noWrap/>
            <w:vAlign w:val="center"/>
            <w:hideMark/>
          </w:tcPr>
          <w:p w14:paraId="60E99A5F" w14:textId="77777777" w:rsidR="00B53316" w:rsidRPr="00D618B7" w:rsidRDefault="00B53316" w:rsidP="004B11B7">
            <w:pPr>
              <w:jc w:val="right"/>
              <w:rPr>
                <w:color w:val="000000"/>
                <w:sz w:val="22"/>
                <w:szCs w:val="22"/>
              </w:rPr>
            </w:pPr>
            <w:r w:rsidRPr="00D618B7">
              <w:rPr>
                <w:color w:val="000000"/>
                <w:sz w:val="22"/>
                <w:szCs w:val="22"/>
              </w:rPr>
              <w:t>0.12</w:t>
            </w:r>
          </w:p>
        </w:tc>
        <w:tc>
          <w:tcPr>
            <w:tcW w:w="538" w:type="pct"/>
            <w:tcBorders>
              <w:top w:val="nil"/>
              <w:left w:val="nil"/>
              <w:bottom w:val="nil"/>
              <w:right w:val="nil"/>
            </w:tcBorders>
            <w:shd w:val="clear" w:color="000000" w:fill="FFFFFF"/>
            <w:noWrap/>
            <w:vAlign w:val="center"/>
            <w:hideMark/>
          </w:tcPr>
          <w:p w14:paraId="7CD41982" w14:textId="77777777" w:rsidR="00B53316" w:rsidRPr="00D618B7" w:rsidRDefault="00B53316" w:rsidP="004B11B7">
            <w:pPr>
              <w:jc w:val="right"/>
              <w:rPr>
                <w:color w:val="000000"/>
                <w:sz w:val="22"/>
                <w:szCs w:val="22"/>
              </w:rPr>
            </w:pPr>
            <w:r w:rsidRPr="00D618B7">
              <w:rPr>
                <w:color w:val="000000"/>
                <w:sz w:val="22"/>
                <w:szCs w:val="22"/>
              </w:rPr>
              <w:t>0.21</w:t>
            </w:r>
          </w:p>
        </w:tc>
        <w:tc>
          <w:tcPr>
            <w:tcW w:w="890" w:type="pct"/>
            <w:tcBorders>
              <w:top w:val="nil"/>
              <w:left w:val="nil"/>
              <w:bottom w:val="nil"/>
              <w:right w:val="nil"/>
            </w:tcBorders>
            <w:shd w:val="clear" w:color="000000" w:fill="FFFFFF"/>
            <w:noWrap/>
            <w:vAlign w:val="center"/>
            <w:hideMark/>
          </w:tcPr>
          <w:p w14:paraId="6FE378C0" w14:textId="77777777" w:rsidR="00B53316" w:rsidRPr="00D618B7" w:rsidRDefault="00B53316" w:rsidP="004B11B7">
            <w:pPr>
              <w:jc w:val="right"/>
              <w:rPr>
                <w:color w:val="000000"/>
                <w:sz w:val="22"/>
                <w:szCs w:val="22"/>
              </w:rPr>
            </w:pPr>
            <w:r w:rsidRPr="00D618B7">
              <w:rPr>
                <w:color w:val="000000"/>
                <w:sz w:val="22"/>
                <w:szCs w:val="22"/>
              </w:rPr>
              <w:t>0.16</w:t>
            </w:r>
          </w:p>
        </w:tc>
        <w:tc>
          <w:tcPr>
            <w:tcW w:w="550" w:type="pct"/>
            <w:tcBorders>
              <w:top w:val="nil"/>
              <w:left w:val="nil"/>
              <w:bottom w:val="nil"/>
              <w:right w:val="nil"/>
            </w:tcBorders>
            <w:shd w:val="clear" w:color="000000" w:fill="FFFFFF"/>
            <w:noWrap/>
            <w:vAlign w:val="center"/>
            <w:hideMark/>
          </w:tcPr>
          <w:p w14:paraId="049C4694" w14:textId="77777777" w:rsidR="00B53316" w:rsidRPr="00D618B7" w:rsidRDefault="00B53316" w:rsidP="004B11B7">
            <w:pPr>
              <w:jc w:val="right"/>
              <w:rPr>
                <w:color w:val="000000"/>
                <w:sz w:val="22"/>
                <w:szCs w:val="22"/>
              </w:rPr>
            </w:pPr>
            <w:r w:rsidRPr="00D618B7">
              <w:rPr>
                <w:color w:val="000000"/>
                <w:sz w:val="22"/>
                <w:szCs w:val="22"/>
              </w:rPr>
              <w:t>1.28</w:t>
            </w:r>
          </w:p>
        </w:tc>
        <w:tc>
          <w:tcPr>
            <w:tcW w:w="879" w:type="pct"/>
            <w:tcBorders>
              <w:top w:val="nil"/>
              <w:left w:val="nil"/>
              <w:bottom w:val="nil"/>
              <w:right w:val="nil"/>
            </w:tcBorders>
            <w:shd w:val="clear" w:color="000000" w:fill="FFFFFF"/>
            <w:noWrap/>
            <w:vAlign w:val="center"/>
            <w:hideMark/>
          </w:tcPr>
          <w:p w14:paraId="7A4C53BC" w14:textId="77777777" w:rsidR="00B53316" w:rsidRPr="00D618B7" w:rsidRDefault="00B53316" w:rsidP="004B11B7">
            <w:pPr>
              <w:jc w:val="right"/>
              <w:rPr>
                <w:color w:val="000000"/>
                <w:sz w:val="22"/>
                <w:szCs w:val="22"/>
              </w:rPr>
            </w:pPr>
            <w:r w:rsidRPr="00D618B7">
              <w:rPr>
                <w:color w:val="000000"/>
                <w:sz w:val="22"/>
                <w:szCs w:val="22"/>
              </w:rPr>
              <w:t>1.04</w:t>
            </w:r>
          </w:p>
        </w:tc>
      </w:tr>
      <w:tr w:rsidR="003B5FE0" w:rsidRPr="00D618B7" w14:paraId="563B1C52" w14:textId="77777777" w:rsidTr="003B5FE0">
        <w:trPr>
          <w:trHeight w:val="273"/>
        </w:trPr>
        <w:tc>
          <w:tcPr>
            <w:tcW w:w="714" w:type="pct"/>
            <w:tcBorders>
              <w:top w:val="nil"/>
              <w:left w:val="nil"/>
              <w:bottom w:val="nil"/>
              <w:right w:val="nil"/>
            </w:tcBorders>
            <w:shd w:val="clear" w:color="000000" w:fill="FFFFFF"/>
            <w:vAlign w:val="center"/>
            <w:hideMark/>
          </w:tcPr>
          <w:p w14:paraId="60025C24" w14:textId="77777777" w:rsidR="00B53316" w:rsidRPr="00D618B7" w:rsidRDefault="00B53316" w:rsidP="004B11B7">
            <w:pPr>
              <w:jc w:val="right"/>
              <w:rPr>
                <w:color w:val="000000"/>
                <w:sz w:val="22"/>
                <w:szCs w:val="22"/>
              </w:rPr>
            </w:pPr>
            <w:r w:rsidRPr="00D618B7">
              <w:rPr>
                <w:color w:val="000000"/>
                <w:sz w:val="22"/>
                <w:szCs w:val="22"/>
              </w:rPr>
              <w:t>-1</w:t>
            </w:r>
          </w:p>
        </w:tc>
        <w:tc>
          <w:tcPr>
            <w:tcW w:w="550" w:type="pct"/>
            <w:tcBorders>
              <w:top w:val="nil"/>
              <w:left w:val="nil"/>
              <w:bottom w:val="nil"/>
              <w:right w:val="nil"/>
            </w:tcBorders>
            <w:shd w:val="clear" w:color="000000" w:fill="FFFFFF"/>
            <w:noWrap/>
            <w:vAlign w:val="center"/>
            <w:hideMark/>
          </w:tcPr>
          <w:p w14:paraId="5595C3B8" w14:textId="77777777" w:rsidR="00B53316" w:rsidRPr="00D618B7" w:rsidRDefault="00B53316" w:rsidP="004B11B7">
            <w:pPr>
              <w:jc w:val="right"/>
              <w:rPr>
                <w:color w:val="000000"/>
                <w:sz w:val="22"/>
                <w:szCs w:val="22"/>
              </w:rPr>
            </w:pPr>
            <w:r w:rsidRPr="00D618B7">
              <w:rPr>
                <w:color w:val="000000"/>
                <w:sz w:val="22"/>
                <w:szCs w:val="22"/>
              </w:rPr>
              <w:t>-0.07</w:t>
            </w:r>
          </w:p>
        </w:tc>
        <w:tc>
          <w:tcPr>
            <w:tcW w:w="876" w:type="pct"/>
            <w:tcBorders>
              <w:top w:val="nil"/>
              <w:left w:val="nil"/>
              <w:bottom w:val="nil"/>
              <w:right w:val="nil"/>
            </w:tcBorders>
            <w:shd w:val="clear" w:color="000000" w:fill="FFFFFF"/>
            <w:noWrap/>
            <w:vAlign w:val="center"/>
            <w:hideMark/>
          </w:tcPr>
          <w:p w14:paraId="6D82403C" w14:textId="77777777" w:rsidR="00B53316" w:rsidRPr="00D618B7" w:rsidRDefault="00B53316" w:rsidP="004B11B7">
            <w:pPr>
              <w:jc w:val="right"/>
              <w:rPr>
                <w:color w:val="000000"/>
                <w:sz w:val="22"/>
                <w:szCs w:val="22"/>
              </w:rPr>
            </w:pPr>
            <w:r w:rsidRPr="00D618B7">
              <w:rPr>
                <w:color w:val="000000"/>
                <w:sz w:val="22"/>
                <w:szCs w:val="22"/>
              </w:rPr>
              <w:t>0.15</w:t>
            </w:r>
          </w:p>
        </w:tc>
        <w:tc>
          <w:tcPr>
            <w:tcW w:w="538" w:type="pct"/>
            <w:tcBorders>
              <w:top w:val="nil"/>
              <w:left w:val="nil"/>
              <w:bottom w:val="nil"/>
              <w:right w:val="nil"/>
            </w:tcBorders>
            <w:shd w:val="clear" w:color="000000" w:fill="FFFFFF"/>
            <w:noWrap/>
            <w:vAlign w:val="center"/>
            <w:hideMark/>
          </w:tcPr>
          <w:p w14:paraId="38E72832" w14:textId="77777777" w:rsidR="00B53316" w:rsidRPr="00D618B7" w:rsidRDefault="00B53316" w:rsidP="004B11B7">
            <w:pPr>
              <w:jc w:val="right"/>
              <w:rPr>
                <w:color w:val="000000"/>
                <w:sz w:val="22"/>
                <w:szCs w:val="22"/>
              </w:rPr>
            </w:pPr>
            <w:r w:rsidRPr="00D618B7">
              <w:rPr>
                <w:color w:val="000000"/>
                <w:sz w:val="22"/>
                <w:szCs w:val="22"/>
              </w:rPr>
              <w:t>0.41</w:t>
            </w:r>
          </w:p>
        </w:tc>
        <w:tc>
          <w:tcPr>
            <w:tcW w:w="890" w:type="pct"/>
            <w:tcBorders>
              <w:top w:val="nil"/>
              <w:left w:val="nil"/>
              <w:bottom w:val="nil"/>
              <w:right w:val="nil"/>
            </w:tcBorders>
            <w:shd w:val="clear" w:color="000000" w:fill="FFFFFF"/>
            <w:noWrap/>
            <w:vAlign w:val="center"/>
            <w:hideMark/>
          </w:tcPr>
          <w:p w14:paraId="16FDDD4F" w14:textId="77777777" w:rsidR="00B53316" w:rsidRPr="00D618B7" w:rsidRDefault="00B53316" w:rsidP="004B11B7">
            <w:pPr>
              <w:jc w:val="right"/>
              <w:rPr>
                <w:color w:val="000000"/>
                <w:sz w:val="22"/>
                <w:szCs w:val="22"/>
              </w:rPr>
            </w:pPr>
            <w:r w:rsidRPr="00D618B7">
              <w:rPr>
                <w:color w:val="000000"/>
                <w:sz w:val="22"/>
                <w:szCs w:val="22"/>
              </w:rPr>
              <w:t>0.08</w:t>
            </w:r>
          </w:p>
        </w:tc>
        <w:tc>
          <w:tcPr>
            <w:tcW w:w="550" w:type="pct"/>
            <w:tcBorders>
              <w:top w:val="nil"/>
              <w:left w:val="nil"/>
              <w:bottom w:val="nil"/>
              <w:right w:val="nil"/>
            </w:tcBorders>
            <w:shd w:val="clear" w:color="000000" w:fill="FFFFFF"/>
            <w:noWrap/>
            <w:vAlign w:val="center"/>
            <w:hideMark/>
          </w:tcPr>
          <w:p w14:paraId="241FDCB1" w14:textId="77777777" w:rsidR="00B53316" w:rsidRPr="00D618B7" w:rsidRDefault="00B53316" w:rsidP="004B11B7">
            <w:pPr>
              <w:jc w:val="right"/>
              <w:rPr>
                <w:color w:val="000000"/>
                <w:sz w:val="22"/>
                <w:szCs w:val="22"/>
              </w:rPr>
            </w:pPr>
            <w:r w:rsidRPr="00D618B7">
              <w:rPr>
                <w:color w:val="000000"/>
                <w:sz w:val="22"/>
                <w:szCs w:val="22"/>
              </w:rPr>
              <w:t>2.11</w:t>
            </w:r>
          </w:p>
        </w:tc>
        <w:tc>
          <w:tcPr>
            <w:tcW w:w="879" w:type="pct"/>
            <w:tcBorders>
              <w:top w:val="nil"/>
              <w:left w:val="nil"/>
              <w:bottom w:val="nil"/>
              <w:right w:val="nil"/>
            </w:tcBorders>
            <w:shd w:val="clear" w:color="000000" w:fill="FFFFFF"/>
            <w:noWrap/>
            <w:vAlign w:val="center"/>
            <w:hideMark/>
          </w:tcPr>
          <w:p w14:paraId="75624698" w14:textId="77777777" w:rsidR="00B53316" w:rsidRPr="00D618B7" w:rsidRDefault="00B53316" w:rsidP="004B11B7">
            <w:pPr>
              <w:jc w:val="right"/>
              <w:rPr>
                <w:color w:val="000000"/>
                <w:sz w:val="22"/>
                <w:szCs w:val="22"/>
              </w:rPr>
            </w:pPr>
            <w:r w:rsidRPr="00D618B7">
              <w:rPr>
                <w:color w:val="000000"/>
                <w:sz w:val="22"/>
                <w:szCs w:val="22"/>
              </w:rPr>
              <w:t>0.59</w:t>
            </w:r>
          </w:p>
        </w:tc>
      </w:tr>
      <w:tr w:rsidR="003B5FE0" w:rsidRPr="00D618B7" w14:paraId="6355C726" w14:textId="77777777" w:rsidTr="003B5FE0">
        <w:trPr>
          <w:trHeight w:val="273"/>
        </w:trPr>
        <w:tc>
          <w:tcPr>
            <w:tcW w:w="714" w:type="pct"/>
            <w:tcBorders>
              <w:top w:val="nil"/>
              <w:left w:val="nil"/>
              <w:bottom w:val="nil"/>
              <w:right w:val="nil"/>
            </w:tcBorders>
            <w:shd w:val="clear" w:color="000000" w:fill="FFFFFF"/>
            <w:vAlign w:val="center"/>
            <w:hideMark/>
          </w:tcPr>
          <w:p w14:paraId="34BA4D3B" w14:textId="77777777" w:rsidR="00B53316" w:rsidRPr="00D618B7" w:rsidRDefault="00B53316" w:rsidP="004B11B7">
            <w:pPr>
              <w:jc w:val="right"/>
              <w:rPr>
                <w:color w:val="000000"/>
                <w:sz w:val="22"/>
                <w:szCs w:val="22"/>
              </w:rPr>
            </w:pPr>
            <w:r w:rsidRPr="00D618B7">
              <w:rPr>
                <w:color w:val="000000"/>
                <w:sz w:val="22"/>
                <w:szCs w:val="22"/>
              </w:rPr>
              <w:t>0</w:t>
            </w:r>
          </w:p>
        </w:tc>
        <w:tc>
          <w:tcPr>
            <w:tcW w:w="550" w:type="pct"/>
            <w:tcBorders>
              <w:top w:val="nil"/>
              <w:left w:val="nil"/>
              <w:bottom w:val="nil"/>
              <w:right w:val="nil"/>
            </w:tcBorders>
            <w:shd w:val="clear" w:color="000000" w:fill="FFFFFF"/>
            <w:noWrap/>
            <w:vAlign w:val="center"/>
            <w:hideMark/>
          </w:tcPr>
          <w:p w14:paraId="6A31A94C" w14:textId="77777777" w:rsidR="00B53316" w:rsidRPr="00D618B7" w:rsidRDefault="00B53316" w:rsidP="004B11B7">
            <w:pPr>
              <w:jc w:val="right"/>
              <w:rPr>
                <w:color w:val="000000"/>
                <w:sz w:val="22"/>
                <w:szCs w:val="22"/>
              </w:rPr>
            </w:pPr>
            <w:r w:rsidRPr="00D618B7">
              <w:rPr>
                <w:color w:val="000000"/>
                <w:sz w:val="22"/>
                <w:szCs w:val="22"/>
              </w:rPr>
              <w:t>-0.16</w:t>
            </w:r>
          </w:p>
        </w:tc>
        <w:tc>
          <w:tcPr>
            <w:tcW w:w="876" w:type="pct"/>
            <w:tcBorders>
              <w:top w:val="nil"/>
              <w:left w:val="nil"/>
              <w:bottom w:val="nil"/>
              <w:right w:val="nil"/>
            </w:tcBorders>
            <w:shd w:val="clear" w:color="000000" w:fill="FFFFFF"/>
            <w:noWrap/>
            <w:vAlign w:val="center"/>
            <w:hideMark/>
          </w:tcPr>
          <w:p w14:paraId="0E38B2C9" w14:textId="77777777" w:rsidR="00B53316" w:rsidRPr="00D618B7" w:rsidRDefault="00B53316" w:rsidP="004B11B7">
            <w:pPr>
              <w:jc w:val="right"/>
              <w:rPr>
                <w:color w:val="000000"/>
                <w:sz w:val="22"/>
                <w:szCs w:val="22"/>
              </w:rPr>
            </w:pPr>
            <w:r w:rsidRPr="00D618B7">
              <w:rPr>
                <w:color w:val="000000"/>
                <w:sz w:val="22"/>
                <w:szCs w:val="22"/>
              </w:rPr>
              <w:t>0.05</w:t>
            </w:r>
          </w:p>
        </w:tc>
        <w:tc>
          <w:tcPr>
            <w:tcW w:w="538" w:type="pct"/>
            <w:tcBorders>
              <w:top w:val="nil"/>
              <w:left w:val="nil"/>
              <w:bottom w:val="nil"/>
              <w:right w:val="nil"/>
            </w:tcBorders>
            <w:shd w:val="clear" w:color="000000" w:fill="FFFFFF"/>
            <w:noWrap/>
            <w:vAlign w:val="center"/>
            <w:hideMark/>
          </w:tcPr>
          <w:p w14:paraId="302F8B42" w14:textId="77777777" w:rsidR="00B53316" w:rsidRPr="00D618B7" w:rsidRDefault="00B53316" w:rsidP="004B11B7">
            <w:pPr>
              <w:jc w:val="right"/>
              <w:rPr>
                <w:color w:val="000000"/>
                <w:sz w:val="22"/>
                <w:szCs w:val="22"/>
              </w:rPr>
            </w:pPr>
            <w:r w:rsidRPr="00D618B7">
              <w:rPr>
                <w:color w:val="000000"/>
                <w:sz w:val="22"/>
                <w:szCs w:val="22"/>
              </w:rPr>
              <w:t>0.01</w:t>
            </w:r>
          </w:p>
        </w:tc>
        <w:tc>
          <w:tcPr>
            <w:tcW w:w="890" w:type="pct"/>
            <w:tcBorders>
              <w:top w:val="nil"/>
              <w:left w:val="nil"/>
              <w:bottom w:val="nil"/>
              <w:right w:val="nil"/>
            </w:tcBorders>
            <w:shd w:val="clear" w:color="000000" w:fill="FFFFFF"/>
            <w:noWrap/>
            <w:vAlign w:val="center"/>
            <w:hideMark/>
          </w:tcPr>
          <w:p w14:paraId="2AFE2C55" w14:textId="77777777" w:rsidR="00B53316" w:rsidRPr="00D618B7" w:rsidRDefault="00B53316" w:rsidP="004B11B7">
            <w:pPr>
              <w:jc w:val="right"/>
              <w:rPr>
                <w:color w:val="000000"/>
                <w:sz w:val="22"/>
                <w:szCs w:val="22"/>
              </w:rPr>
            </w:pPr>
            <w:r w:rsidRPr="00D618B7">
              <w:rPr>
                <w:color w:val="000000"/>
                <w:sz w:val="22"/>
                <w:szCs w:val="22"/>
              </w:rPr>
              <w:t>0.35</w:t>
            </w:r>
          </w:p>
        </w:tc>
        <w:tc>
          <w:tcPr>
            <w:tcW w:w="550" w:type="pct"/>
            <w:tcBorders>
              <w:top w:val="nil"/>
              <w:left w:val="nil"/>
              <w:bottom w:val="nil"/>
              <w:right w:val="nil"/>
            </w:tcBorders>
            <w:shd w:val="clear" w:color="000000" w:fill="FFFFFF"/>
            <w:noWrap/>
            <w:vAlign w:val="center"/>
            <w:hideMark/>
          </w:tcPr>
          <w:p w14:paraId="73F78C0C" w14:textId="77777777" w:rsidR="00B53316" w:rsidRPr="00D618B7" w:rsidRDefault="00B53316" w:rsidP="004B11B7">
            <w:pPr>
              <w:jc w:val="right"/>
              <w:rPr>
                <w:color w:val="000000"/>
                <w:sz w:val="22"/>
                <w:szCs w:val="22"/>
              </w:rPr>
            </w:pPr>
            <w:r w:rsidRPr="00D618B7">
              <w:rPr>
                <w:color w:val="000000"/>
                <w:sz w:val="22"/>
                <w:szCs w:val="22"/>
              </w:rPr>
              <w:t>1.59</w:t>
            </w:r>
          </w:p>
        </w:tc>
        <w:tc>
          <w:tcPr>
            <w:tcW w:w="879" w:type="pct"/>
            <w:tcBorders>
              <w:top w:val="nil"/>
              <w:left w:val="nil"/>
              <w:bottom w:val="nil"/>
              <w:right w:val="nil"/>
            </w:tcBorders>
            <w:shd w:val="clear" w:color="000000" w:fill="FFFFFF"/>
            <w:noWrap/>
            <w:vAlign w:val="center"/>
            <w:hideMark/>
          </w:tcPr>
          <w:p w14:paraId="7AC49A06" w14:textId="77777777" w:rsidR="00B53316" w:rsidRPr="00D618B7" w:rsidRDefault="00B53316" w:rsidP="004B11B7">
            <w:pPr>
              <w:jc w:val="right"/>
              <w:rPr>
                <w:color w:val="000000"/>
                <w:sz w:val="22"/>
                <w:szCs w:val="22"/>
              </w:rPr>
            </w:pPr>
            <w:r w:rsidRPr="00D618B7">
              <w:rPr>
                <w:color w:val="000000"/>
                <w:sz w:val="22"/>
                <w:szCs w:val="22"/>
              </w:rPr>
              <w:t>0.27</w:t>
            </w:r>
          </w:p>
        </w:tc>
      </w:tr>
      <w:tr w:rsidR="003B5FE0" w:rsidRPr="00D618B7" w14:paraId="5BE698D9" w14:textId="77777777" w:rsidTr="003B5FE0">
        <w:trPr>
          <w:trHeight w:val="273"/>
        </w:trPr>
        <w:tc>
          <w:tcPr>
            <w:tcW w:w="714" w:type="pct"/>
            <w:tcBorders>
              <w:top w:val="nil"/>
              <w:left w:val="nil"/>
              <w:bottom w:val="nil"/>
              <w:right w:val="nil"/>
            </w:tcBorders>
            <w:shd w:val="clear" w:color="000000" w:fill="FFFFFF"/>
            <w:vAlign w:val="center"/>
            <w:hideMark/>
          </w:tcPr>
          <w:p w14:paraId="6CC5D717" w14:textId="77777777" w:rsidR="00B53316" w:rsidRPr="00D618B7" w:rsidRDefault="00B53316" w:rsidP="004B11B7">
            <w:pPr>
              <w:jc w:val="right"/>
              <w:rPr>
                <w:color w:val="000000"/>
                <w:sz w:val="22"/>
                <w:szCs w:val="22"/>
              </w:rPr>
            </w:pPr>
            <w:r w:rsidRPr="00D618B7">
              <w:rPr>
                <w:color w:val="000000"/>
                <w:sz w:val="22"/>
                <w:szCs w:val="22"/>
              </w:rPr>
              <w:t>1</w:t>
            </w:r>
          </w:p>
        </w:tc>
        <w:tc>
          <w:tcPr>
            <w:tcW w:w="550" w:type="pct"/>
            <w:tcBorders>
              <w:top w:val="nil"/>
              <w:left w:val="nil"/>
              <w:bottom w:val="nil"/>
              <w:right w:val="nil"/>
            </w:tcBorders>
            <w:shd w:val="clear" w:color="000000" w:fill="FFFFFF"/>
            <w:noWrap/>
            <w:vAlign w:val="center"/>
            <w:hideMark/>
          </w:tcPr>
          <w:p w14:paraId="7CD988D5" w14:textId="77777777" w:rsidR="00B53316" w:rsidRPr="00D618B7" w:rsidRDefault="00B53316" w:rsidP="004B11B7">
            <w:pPr>
              <w:jc w:val="right"/>
              <w:rPr>
                <w:color w:val="000000"/>
                <w:sz w:val="22"/>
                <w:szCs w:val="22"/>
              </w:rPr>
            </w:pPr>
            <w:r w:rsidRPr="00D618B7">
              <w:rPr>
                <w:color w:val="000000"/>
                <w:sz w:val="22"/>
                <w:szCs w:val="22"/>
              </w:rPr>
              <w:t>0.02</w:t>
            </w:r>
          </w:p>
        </w:tc>
        <w:tc>
          <w:tcPr>
            <w:tcW w:w="876" w:type="pct"/>
            <w:tcBorders>
              <w:top w:val="nil"/>
              <w:left w:val="nil"/>
              <w:bottom w:val="nil"/>
              <w:right w:val="nil"/>
            </w:tcBorders>
            <w:shd w:val="clear" w:color="000000" w:fill="FFFFFF"/>
            <w:noWrap/>
            <w:vAlign w:val="center"/>
            <w:hideMark/>
          </w:tcPr>
          <w:p w14:paraId="406360C5" w14:textId="77777777" w:rsidR="00B53316" w:rsidRPr="00D618B7" w:rsidRDefault="00B53316" w:rsidP="004B11B7">
            <w:pPr>
              <w:jc w:val="right"/>
              <w:rPr>
                <w:color w:val="000000"/>
                <w:sz w:val="22"/>
                <w:szCs w:val="22"/>
              </w:rPr>
            </w:pPr>
            <w:r w:rsidRPr="00D618B7">
              <w:rPr>
                <w:color w:val="000000"/>
                <w:sz w:val="22"/>
                <w:szCs w:val="22"/>
              </w:rPr>
              <w:t>0.06</w:t>
            </w:r>
          </w:p>
        </w:tc>
        <w:tc>
          <w:tcPr>
            <w:tcW w:w="538" w:type="pct"/>
            <w:tcBorders>
              <w:top w:val="nil"/>
              <w:left w:val="nil"/>
              <w:bottom w:val="nil"/>
              <w:right w:val="nil"/>
            </w:tcBorders>
            <w:shd w:val="clear" w:color="000000" w:fill="FFFFFF"/>
            <w:noWrap/>
            <w:vAlign w:val="center"/>
            <w:hideMark/>
          </w:tcPr>
          <w:p w14:paraId="3F84361D" w14:textId="77777777" w:rsidR="00B53316" w:rsidRPr="00D618B7" w:rsidRDefault="00B53316" w:rsidP="004B11B7">
            <w:pPr>
              <w:jc w:val="right"/>
              <w:rPr>
                <w:color w:val="000000"/>
                <w:sz w:val="22"/>
                <w:szCs w:val="22"/>
              </w:rPr>
            </w:pPr>
            <w:r w:rsidRPr="00D618B7">
              <w:rPr>
                <w:color w:val="000000"/>
                <w:sz w:val="22"/>
                <w:szCs w:val="22"/>
              </w:rPr>
              <w:t>-0.94</w:t>
            </w:r>
          </w:p>
        </w:tc>
        <w:tc>
          <w:tcPr>
            <w:tcW w:w="890" w:type="pct"/>
            <w:tcBorders>
              <w:top w:val="nil"/>
              <w:left w:val="nil"/>
              <w:bottom w:val="nil"/>
              <w:right w:val="nil"/>
            </w:tcBorders>
            <w:shd w:val="clear" w:color="000000" w:fill="FFFFFF"/>
            <w:noWrap/>
            <w:vAlign w:val="center"/>
            <w:hideMark/>
          </w:tcPr>
          <w:p w14:paraId="4E1CDA7D" w14:textId="77777777" w:rsidR="00B53316" w:rsidRPr="00D618B7" w:rsidRDefault="00B53316" w:rsidP="004B11B7">
            <w:pPr>
              <w:jc w:val="right"/>
              <w:rPr>
                <w:color w:val="000000"/>
                <w:sz w:val="22"/>
                <w:szCs w:val="22"/>
              </w:rPr>
            </w:pPr>
            <w:r w:rsidRPr="00D618B7">
              <w:rPr>
                <w:color w:val="000000"/>
                <w:sz w:val="22"/>
                <w:szCs w:val="22"/>
              </w:rPr>
              <w:t>0.67</w:t>
            </w:r>
          </w:p>
        </w:tc>
        <w:tc>
          <w:tcPr>
            <w:tcW w:w="550" w:type="pct"/>
            <w:tcBorders>
              <w:top w:val="nil"/>
              <w:left w:val="nil"/>
              <w:bottom w:val="nil"/>
              <w:right w:val="nil"/>
            </w:tcBorders>
            <w:shd w:val="clear" w:color="000000" w:fill="FFFFFF"/>
            <w:noWrap/>
            <w:vAlign w:val="center"/>
            <w:hideMark/>
          </w:tcPr>
          <w:p w14:paraId="43F6D317" w14:textId="77777777" w:rsidR="00B53316" w:rsidRPr="00D618B7" w:rsidRDefault="00B53316" w:rsidP="004B11B7">
            <w:pPr>
              <w:jc w:val="right"/>
              <w:rPr>
                <w:color w:val="000000"/>
                <w:sz w:val="22"/>
                <w:szCs w:val="22"/>
              </w:rPr>
            </w:pPr>
            <w:r w:rsidRPr="00D618B7">
              <w:rPr>
                <w:color w:val="000000"/>
                <w:sz w:val="22"/>
                <w:szCs w:val="22"/>
              </w:rPr>
              <w:t>-1.42</w:t>
            </w:r>
          </w:p>
        </w:tc>
        <w:tc>
          <w:tcPr>
            <w:tcW w:w="879" w:type="pct"/>
            <w:tcBorders>
              <w:top w:val="nil"/>
              <w:left w:val="nil"/>
              <w:bottom w:val="nil"/>
              <w:right w:val="nil"/>
            </w:tcBorders>
            <w:shd w:val="clear" w:color="000000" w:fill="FFFFFF"/>
            <w:noWrap/>
            <w:vAlign w:val="center"/>
            <w:hideMark/>
          </w:tcPr>
          <w:p w14:paraId="6F0CDF7C" w14:textId="77777777" w:rsidR="00B53316" w:rsidRPr="00D618B7" w:rsidRDefault="00B53316" w:rsidP="004B11B7">
            <w:pPr>
              <w:jc w:val="right"/>
              <w:rPr>
                <w:color w:val="000000"/>
                <w:sz w:val="22"/>
                <w:szCs w:val="22"/>
              </w:rPr>
            </w:pPr>
            <w:r w:rsidRPr="00D618B7">
              <w:rPr>
                <w:color w:val="000000"/>
                <w:sz w:val="22"/>
                <w:szCs w:val="22"/>
              </w:rPr>
              <w:t>0.35</w:t>
            </w:r>
          </w:p>
        </w:tc>
      </w:tr>
      <w:tr w:rsidR="003B5FE0" w:rsidRPr="00D618B7" w14:paraId="06BD5FFC" w14:textId="77777777" w:rsidTr="003B5FE0">
        <w:trPr>
          <w:trHeight w:val="273"/>
        </w:trPr>
        <w:tc>
          <w:tcPr>
            <w:tcW w:w="714" w:type="pct"/>
            <w:tcBorders>
              <w:top w:val="nil"/>
              <w:left w:val="nil"/>
              <w:bottom w:val="nil"/>
              <w:right w:val="nil"/>
            </w:tcBorders>
            <w:shd w:val="clear" w:color="000000" w:fill="FFFFFF"/>
            <w:vAlign w:val="center"/>
            <w:hideMark/>
          </w:tcPr>
          <w:p w14:paraId="38829FF7" w14:textId="77777777" w:rsidR="00B53316" w:rsidRPr="00D618B7" w:rsidRDefault="00B53316" w:rsidP="004B11B7">
            <w:pPr>
              <w:jc w:val="right"/>
              <w:rPr>
                <w:color w:val="000000"/>
                <w:sz w:val="22"/>
                <w:szCs w:val="22"/>
              </w:rPr>
            </w:pPr>
            <w:r w:rsidRPr="00D618B7">
              <w:rPr>
                <w:color w:val="000000"/>
                <w:sz w:val="22"/>
                <w:szCs w:val="22"/>
              </w:rPr>
              <w:t>2</w:t>
            </w:r>
          </w:p>
        </w:tc>
        <w:tc>
          <w:tcPr>
            <w:tcW w:w="550" w:type="pct"/>
            <w:tcBorders>
              <w:top w:val="nil"/>
              <w:left w:val="nil"/>
              <w:bottom w:val="nil"/>
              <w:right w:val="nil"/>
            </w:tcBorders>
            <w:shd w:val="clear" w:color="000000" w:fill="FFFFFF"/>
            <w:noWrap/>
            <w:vAlign w:val="center"/>
            <w:hideMark/>
          </w:tcPr>
          <w:p w14:paraId="063F8620" w14:textId="77777777" w:rsidR="00B53316" w:rsidRPr="00D618B7" w:rsidRDefault="00B53316" w:rsidP="004B11B7">
            <w:pPr>
              <w:jc w:val="right"/>
              <w:rPr>
                <w:color w:val="000000"/>
                <w:sz w:val="22"/>
                <w:szCs w:val="22"/>
              </w:rPr>
            </w:pPr>
            <w:r w:rsidRPr="00D618B7">
              <w:rPr>
                <w:color w:val="000000"/>
                <w:sz w:val="22"/>
                <w:szCs w:val="22"/>
              </w:rPr>
              <w:t>-0.21</w:t>
            </w:r>
          </w:p>
        </w:tc>
        <w:tc>
          <w:tcPr>
            <w:tcW w:w="876" w:type="pct"/>
            <w:tcBorders>
              <w:top w:val="nil"/>
              <w:left w:val="nil"/>
              <w:bottom w:val="nil"/>
              <w:right w:val="nil"/>
            </w:tcBorders>
            <w:shd w:val="clear" w:color="000000" w:fill="FFFFFF"/>
            <w:noWrap/>
            <w:vAlign w:val="center"/>
            <w:hideMark/>
          </w:tcPr>
          <w:p w14:paraId="4E09205D" w14:textId="77777777" w:rsidR="00B53316" w:rsidRPr="00D618B7" w:rsidRDefault="00B53316" w:rsidP="004B11B7">
            <w:pPr>
              <w:jc w:val="right"/>
              <w:rPr>
                <w:color w:val="000000"/>
                <w:sz w:val="22"/>
                <w:szCs w:val="22"/>
              </w:rPr>
            </w:pPr>
            <w:r w:rsidRPr="00D618B7">
              <w:rPr>
                <w:color w:val="000000"/>
                <w:sz w:val="22"/>
                <w:szCs w:val="22"/>
              </w:rPr>
              <w:t>0.10</w:t>
            </w:r>
          </w:p>
        </w:tc>
        <w:tc>
          <w:tcPr>
            <w:tcW w:w="538" w:type="pct"/>
            <w:tcBorders>
              <w:top w:val="nil"/>
              <w:left w:val="nil"/>
              <w:bottom w:val="nil"/>
              <w:right w:val="nil"/>
            </w:tcBorders>
            <w:shd w:val="clear" w:color="000000" w:fill="FFFFFF"/>
            <w:noWrap/>
            <w:vAlign w:val="center"/>
            <w:hideMark/>
          </w:tcPr>
          <w:p w14:paraId="4F2B661A" w14:textId="77777777" w:rsidR="00B53316" w:rsidRPr="00D618B7" w:rsidRDefault="00B53316" w:rsidP="004B11B7">
            <w:pPr>
              <w:jc w:val="right"/>
              <w:rPr>
                <w:color w:val="000000"/>
                <w:sz w:val="22"/>
                <w:szCs w:val="22"/>
              </w:rPr>
            </w:pPr>
            <w:r w:rsidRPr="00D618B7">
              <w:rPr>
                <w:color w:val="000000"/>
                <w:sz w:val="22"/>
                <w:szCs w:val="22"/>
              </w:rPr>
              <w:t>0.13</w:t>
            </w:r>
          </w:p>
        </w:tc>
        <w:tc>
          <w:tcPr>
            <w:tcW w:w="890" w:type="pct"/>
            <w:tcBorders>
              <w:top w:val="nil"/>
              <w:left w:val="nil"/>
              <w:bottom w:val="nil"/>
              <w:right w:val="nil"/>
            </w:tcBorders>
            <w:shd w:val="clear" w:color="000000" w:fill="FFFFFF"/>
            <w:noWrap/>
            <w:vAlign w:val="center"/>
            <w:hideMark/>
          </w:tcPr>
          <w:p w14:paraId="4EF8D6E0" w14:textId="77777777" w:rsidR="00B53316" w:rsidRPr="00D618B7" w:rsidRDefault="00B53316" w:rsidP="004B11B7">
            <w:pPr>
              <w:jc w:val="right"/>
              <w:rPr>
                <w:color w:val="000000"/>
                <w:sz w:val="22"/>
                <w:szCs w:val="22"/>
              </w:rPr>
            </w:pPr>
            <w:r w:rsidRPr="00D618B7">
              <w:rPr>
                <w:color w:val="000000"/>
                <w:sz w:val="22"/>
                <w:szCs w:val="22"/>
              </w:rPr>
              <w:t>0.42</w:t>
            </w:r>
          </w:p>
        </w:tc>
        <w:tc>
          <w:tcPr>
            <w:tcW w:w="550" w:type="pct"/>
            <w:tcBorders>
              <w:top w:val="nil"/>
              <w:left w:val="nil"/>
              <w:bottom w:val="nil"/>
              <w:right w:val="nil"/>
            </w:tcBorders>
            <w:shd w:val="clear" w:color="000000" w:fill="FFFFFF"/>
            <w:noWrap/>
            <w:vAlign w:val="center"/>
            <w:hideMark/>
          </w:tcPr>
          <w:p w14:paraId="3B582AA3" w14:textId="77777777" w:rsidR="00B53316" w:rsidRPr="00D618B7" w:rsidRDefault="00B53316" w:rsidP="004B11B7">
            <w:pPr>
              <w:jc w:val="right"/>
              <w:rPr>
                <w:color w:val="000000"/>
                <w:sz w:val="22"/>
                <w:szCs w:val="22"/>
              </w:rPr>
            </w:pPr>
            <w:r w:rsidRPr="00D618B7">
              <w:rPr>
                <w:color w:val="000000"/>
                <w:sz w:val="22"/>
                <w:szCs w:val="22"/>
              </w:rPr>
              <w:t>0.65</w:t>
            </w:r>
          </w:p>
        </w:tc>
        <w:tc>
          <w:tcPr>
            <w:tcW w:w="879" w:type="pct"/>
            <w:tcBorders>
              <w:top w:val="nil"/>
              <w:left w:val="nil"/>
              <w:bottom w:val="nil"/>
              <w:right w:val="nil"/>
            </w:tcBorders>
            <w:shd w:val="clear" w:color="000000" w:fill="FFFFFF"/>
            <w:noWrap/>
            <w:vAlign w:val="center"/>
            <w:hideMark/>
          </w:tcPr>
          <w:p w14:paraId="40689232" w14:textId="77777777" w:rsidR="00B53316" w:rsidRPr="00D618B7" w:rsidRDefault="00B53316" w:rsidP="004B11B7">
            <w:pPr>
              <w:jc w:val="right"/>
              <w:rPr>
                <w:color w:val="000000"/>
                <w:sz w:val="22"/>
                <w:szCs w:val="22"/>
              </w:rPr>
            </w:pPr>
            <w:r w:rsidRPr="00D618B7">
              <w:rPr>
                <w:color w:val="000000"/>
                <w:sz w:val="22"/>
                <w:szCs w:val="22"/>
              </w:rPr>
              <w:t>0.40</w:t>
            </w:r>
          </w:p>
        </w:tc>
      </w:tr>
      <w:tr w:rsidR="003B5FE0" w:rsidRPr="00D618B7" w14:paraId="1C03D9E2" w14:textId="77777777" w:rsidTr="003B5FE0">
        <w:trPr>
          <w:trHeight w:val="273"/>
        </w:trPr>
        <w:tc>
          <w:tcPr>
            <w:tcW w:w="714" w:type="pct"/>
            <w:tcBorders>
              <w:top w:val="nil"/>
              <w:left w:val="nil"/>
              <w:bottom w:val="nil"/>
              <w:right w:val="nil"/>
            </w:tcBorders>
            <w:shd w:val="clear" w:color="000000" w:fill="FFFFFF"/>
            <w:vAlign w:val="center"/>
            <w:hideMark/>
          </w:tcPr>
          <w:p w14:paraId="2A17F587" w14:textId="77777777" w:rsidR="00B53316" w:rsidRPr="00D618B7" w:rsidRDefault="00B53316" w:rsidP="004B11B7">
            <w:pPr>
              <w:jc w:val="right"/>
              <w:rPr>
                <w:color w:val="000000"/>
                <w:sz w:val="22"/>
                <w:szCs w:val="22"/>
              </w:rPr>
            </w:pPr>
            <w:r w:rsidRPr="00D618B7">
              <w:rPr>
                <w:color w:val="000000"/>
                <w:sz w:val="22"/>
                <w:szCs w:val="22"/>
              </w:rPr>
              <w:t>3</w:t>
            </w:r>
          </w:p>
        </w:tc>
        <w:tc>
          <w:tcPr>
            <w:tcW w:w="550" w:type="pct"/>
            <w:tcBorders>
              <w:top w:val="nil"/>
              <w:left w:val="nil"/>
              <w:bottom w:val="nil"/>
              <w:right w:val="nil"/>
            </w:tcBorders>
            <w:shd w:val="clear" w:color="000000" w:fill="FFFFFF"/>
            <w:noWrap/>
            <w:vAlign w:val="center"/>
            <w:hideMark/>
          </w:tcPr>
          <w:p w14:paraId="7433119C" w14:textId="77777777" w:rsidR="00B53316" w:rsidRPr="00D618B7" w:rsidRDefault="00B53316" w:rsidP="004B11B7">
            <w:pPr>
              <w:jc w:val="right"/>
              <w:rPr>
                <w:color w:val="000000"/>
                <w:sz w:val="22"/>
                <w:szCs w:val="22"/>
              </w:rPr>
            </w:pPr>
            <w:r w:rsidRPr="00D618B7">
              <w:rPr>
                <w:color w:val="000000"/>
                <w:sz w:val="22"/>
                <w:szCs w:val="22"/>
              </w:rPr>
              <w:t>0.17</w:t>
            </w:r>
          </w:p>
        </w:tc>
        <w:tc>
          <w:tcPr>
            <w:tcW w:w="876" w:type="pct"/>
            <w:tcBorders>
              <w:top w:val="nil"/>
              <w:left w:val="nil"/>
              <w:bottom w:val="nil"/>
              <w:right w:val="nil"/>
            </w:tcBorders>
            <w:shd w:val="clear" w:color="000000" w:fill="FFFFFF"/>
            <w:noWrap/>
            <w:vAlign w:val="center"/>
            <w:hideMark/>
          </w:tcPr>
          <w:p w14:paraId="66377825" w14:textId="77777777" w:rsidR="00B53316" w:rsidRPr="00D618B7" w:rsidRDefault="00B53316" w:rsidP="004B11B7">
            <w:pPr>
              <w:jc w:val="right"/>
              <w:rPr>
                <w:color w:val="000000"/>
                <w:sz w:val="22"/>
                <w:szCs w:val="22"/>
              </w:rPr>
            </w:pPr>
            <w:r w:rsidRPr="00D618B7">
              <w:rPr>
                <w:color w:val="000000"/>
                <w:sz w:val="22"/>
                <w:szCs w:val="22"/>
              </w:rPr>
              <w:t>0.18</w:t>
            </w:r>
          </w:p>
        </w:tc>
        <w:tc>
          <w:tcPr>
            <w:tcW w:w="538" w:type="pct"/>
            <w:tcBorders>
              <w:top w:val="nil"/>
              <w:left w:val="nil"/>
              <w:bottom w:val="nil"/>
              <w:right w:val="nil"/>
            </w:tcBorders>
            <w:shd w:val="clear" w:color="000000" w:fill="FFFFFF"/>
            <w:noWrap/>
            <w:vAlign w:val="center"/>
            <w:hideMark/>
          </w:tcPr>
          <w:p w14:paraId="790901A0" w14:textId="77777777" w:rsidR="00B53316" w:rsidRPr="00D618B7" w:rsidRDefault="00B53316" w:rsidP="004B11B7">
            <w:pPr>
              <w:jc w:val="right"/>
              <w:rPr>
                <w:color w:val="000000"/>
                <w:sz w:val="22"/>
                <w:szCs w:val="22"/>
              </w:rPr>
            </w:pPr>
            <w:r w:rsidRPr="00D618B7">
              <w:rPr>
                <w:color w:val="000000"/>
                <w:sz w:val="22"/>
                <w:szCs w:val="22"/>
              </w:rPr>
              <w:t>1.34</w:t>
            </w:r>
          </w:p>
        </w:tc>
        <w:tc>
          <w:tcPr>
            <w:tcW w:w="890" w:type="pct"/>
            <w:tcBorders>
              <w:top w:val="nil"/>
              <w:left w:val="nil"/>
              <w:bottom w:val="nil"/>
              <w:right w:val="nil"/>
            </w:tcBorders>
            <w:shd w:val="clear" w:color="000000" w:fill="FFFFFF"/>
            <w:noWrap/>
            <w:vAlign w:val="center"/>
            <w:hideMark/>
          </w:tcPr>
          <w:p w14:paraId="69903D53" w14:textId="77777777" w:rsidR="00B53316" w:rsidRPr="00D618B7" w:rsidRDefault="00B53316" w:rsidP="004B11B7">
            <w:pPr>
              <w:jc w:val="right"/>
              <w:rPr>
                <w:color w:val="000000"/>
                <w:sz w:val="22"/>
                <w:szCs w:val="22"/>
              </w:rPr>
            </w:pPr>
            <w:r w:rsidRPr="00D618B7">
              <w:rPr>
                <w:color w:val="000000"/>
                <w:sz w:val="22"/>
                <w:szCs w:val="22"/>
              </w:rPr>
              <w:t>0.26</w:t>
            </w:r>
          </w:p>
        </w:tc>
        <w:tc>
          <w:tcPr>
            <w:tcW w:w="550" w:type="pct"/>
            <w:tcBorders>
              <w:top w:val="nil"/>
              <w:left w:val="nil"/>
              <w:bottom w:val="nil"/>
              <w:right w:val="nil"/>
            </w:tcBorders>
            <w:shd w:val="clear" w:color="000000" w:fill="FFFFFF"/>
            <w:noWrap/>
            <w:vAlign w:val="center"/>
            <w:hideMark/>
          </w:tcPr>
          <w:p w14:paraId="5D8D9010" w14:textId="77777777" w:rsidR="00B53316" w:rsidRPr="00D618B7" w:rsidRDefault="00B53316" w:rsidP="004B11B7">
            <w:pPr>
              <w:jc w:val="right"/>
              <w:rPr>
                <w:color w:val="000000"/>
                <w:sz w:val="22"/>
                <w:szCs w:val="22"/>
              </w:rPr>
            </w:pPr>
            <w:r w:rsidRPr="00D618B7">
              <w:rPr>
                <w:color w:val="000000"/>
                <w:sz w:val="22"/>
                <w:szCs w:val="22"/>
              </w:rPr>
              <w:t>-0.74</w:t>
            </w:r>
          </w:p>
        </w:tc>
        <w:tc>
          <w:tcPr>
            <w:tcW w:w="879" w:type="pct"/>
            <w:tcBorders>
              <w:top w:val="nil"/>
              <w:left w:val="nil"/>
              <w:bottom w:val="nil"/>
              <w:right w:val="nil"/>
            </w:tcBorders>
            <w:shd w:val="clear" w:color="000000" w:fill="FFFFFF"/>
            <w:noWrap/>
            <w:vAlign w:val="center"/>
            <w:hideMark/>
          </w:tcPr>
          <w:p w14:paraId="1ADC99C5" w14:textId="77777777" w:rsidR="00B53316" w:rsidRPr="00D618B7" w:rsidRDefault="00B53316" w:rsidP="004B11B7">
            <w:pPr>
              <w:jc w:val="right"/>
              <w:rPr>
                <w:color w:val="000000"/>
                <w:sz w:val="22"/>
                <w:szCs w:val="22"/>
              </w:rPr>
            </w:pPr>
            <w:r w:rsidRPr="00D618B7">
              <w:rPr>
                <w:color w:val="000000"/>
                <w:sz w:val="22"/>
                <w:szCs w:val="22"/>
              </w:rPr>
              <w:t>0.19</w:t>
            </w:r>
          </w:p>
        </w:tc>
      </w:tr>
      <w:tr w:rsidR="003B5FE0" w:rsidRPr="00D618B7" w14:paraId="42717566" w14:textId="77777777" w:rsidTr="003B5FE0">
        <w:trPr>
          <w:trHeight w:val="273"/>
        </w:trPr>
        <w:tc>
          <w:tcPr>
            <w:tcW w:w="714" w:type="pct"/>
            <w:tcBorders>
              <w:top w:val="nil"/>
              <w:left w:val="nil"/>
              <w:bottom w:val="nil"/>
              <w:right w:val="nil"/>
            </w:tcBorders>
            <w:shd w:val="clear" w:color="000000" w:fill="FFFFFF"/>
            <w:vAlign w:val="center"/>
            <w:hideMark/>
          </w:tcPr>
          <w:p w14:paraId="5ACA793C" w14:textId="77777777" w:rsidR="00B53316" w:rsidRPr="00D618B7" w:rsidRDefault="00B53316" w:rsidP="004B11B7">
            <w:pPr>
              <w:jc w:val="right"/>
              <w:rPr>
                <w:color w:val="000000"/>
                <w:sz w:val="22"/>
                <w:szCs w:val="22"/>
              </w:rPr>
            </w:pPr>
            <w:r w:rsidRPr="00D618B7">
              <w:rPr>
                <w:color w:val="000000"/>
                <w:sz w:val="22"/>
                <w:szCs w:val="22"/>
              </w:rPr>
              <w:t>4</w:t>
            </w:r>
          </w:p>
        </w:tc>
        <w:tc>
          <w:tcPr>
            <w:tcW w:w="550" w:type="pct"/>
            <w:tcBorders>
              <w:top w:val="nil"/>
              <w:left w:val="nil"/>
              <w:bottom w:val="nil"/>
              <w:right w:val="nil"/>
            </w:tcBorders>
            <w:shd w:val="clear" w:color="000000" w:fill="FFFFFF"/>
            <w:noWrap/>
            <w:vAlign w:val="center"/>
            <w:hideMark/>
          </w:tcPr>
          <w:p w14:paraId="2499CD3D" w14:textId="77777777" w:rsidR="00B53316" w:rsidRPr="00D618B7" w:rsidRDefault="00B53316" w:rsidP="004B11B7">
            <w:pPr>
              <w:jc w:val="right"/>
              <w:rPr>
                <w:color w:val="000000"/>
                <w:sz w:val="22"/>
                <w:szCs w:val="22"/>
              </w:rPr>
            </w:pPr>
            <w:r w:rsidRPr="00D618B7">
              <w:rPr>
                <w:color w:val="000000"/>
                <w:sz w:val="22"/>
                <w:szCs w:val="22"/>
              </w:rPr>
              <w:t>-0.03</w:t>
            </w:r>
          </w:p>
        </w:tc>
        <w:tc>
          <w:tcPr>
            <w:tcW w:w="876" w:type="pct"/>
            <w:tcBorders>
              <w:top w:val="nil"/>
              <w:left w:val="nil"/>
              <w:bottom w:val="nil"/>
              <w:right w:val="nil"/>
            </w:tcBorders>
            <w:shd w:val="clear" w:color="000000" w:fill="FFFFFF"/>
            <w:noWrap/>
            <w:vAlign w:val="center"/>
            <w:hideMark/>
          </w:tcPr>
          <w:p w14:paraId="3B6359DA" w14:textId="77777777" w:rsidR="00B53316" w:rsidRPr="00D618B7" w:rsidRDefault="00B53316" w:rsidP="004B11B7">
            <w:pPr>
              <w:jc w:val="right"/>
              <w:rPr>
                <w:color w:val="000000"/>
                <w:sz w:val="22"/>
                <w:szCs w:val="22"/>
              </w:rPr>
            </w:pPr>
            <w:r w:rsidRPr="00D618B7">
              <w:rPr>
                <w:color w:val="000000"/>
                <w:sz w:val="22"/>
                <w:szCs w:val="22"/>
              </w:rPr>
              <w:t>0.01</w:t>
            </w:r>
          </w:p>
        </w:tc>
        <w:tc>
          <w:tcPr>
            <w:tcW w:w="538" w:type="pct"/>
            <w:tcBorders>
              <w:top w:val="nil"/>
              <w:left w:val="nil"/>
              <w:bottom w:val="nil"/>
              <w:right w:val="nil"/>
            </w:tcBorders>
            <w:shd w:val="clear" w:color="000000" w:fill="FFFFFF"/>
            <w:noWrap/>
            <w:vAlign w:val="center"/>
            <w:hideMark/>
          </w:tcPr>
          <w:p w14:paraId="6D7ADEFA" w14:textId="77777777" w:rsidR="00B53316" w:rsidRPr="00D618B7" w:rsidRDefault="00B53316" w:rsidP="004B11B7">
            <w:pPr>
              <w:jc w:val="right"/>
              <w:rPr>
                <w:color w:val="000000"/>
                <w:sz w:val="22"/>
                <w:szCs w:val="22"/>
              </w:rPr>
            </w:pPr>
            <w:r w:rsidRPr="00D618B7">
              <w:rPr>
                <w:color w:val="000000"/>
                <w:sz w:val="22"/>
                <w:szCs w:val="22"/>
              </w:rPr>
              <w:t>-0.86</w:t>
            </w:r>
          </w:p>
        </w:tc>
        <w:tc>
          <w:tcPr>
            <w:tcW w:w="890" w:type="pct"/>
            <w:tcBorders>
              <w:top w:val="nil"/>
              <w:left w:val="nil"/>
              <w:bottom w:val="nil"/>
              <w:right w:val="nil"/>
            </w:tcBorders>
            <w:shd w:val="clear" w:color="000000" w:fill="FFFFFF"/>
            <w:noWrap/>
            <w:vAlign w:val="center"/>
            <w:hideMark/>
          </w:tcPr>
          <w:p w14:paraId="1DC91469" w14:textId="77777777" w:rsidR="00B53316" w:rsidRPr="00D618B7" w:rsidRDefault="00B53316" w:rsidP="004B11B7">
            <w:pPr>
              <w:jc w:val="right"/>
              <w:rPr>
                <w:color w:val="000000"/>
                <w:sz w:val="22"/>
                <w:szCs w:val="22"/>
              </w:rPr>
            </w:pPr>
            <w:r w:rsidRPr="00D618B7">
              <w:rPr>
                <w:color w:val="000000"/>
                <w:sz w:val="22"/>
                <w:szCs w:val="22"/>
              </w:rPr>
              <w:t>0.16</w:t>
            </w:r>
          </w:p>
        </w:tc>
        <w:tc>
          <w:tcPr>
            <w:tcW w:w="550" w:type="pct"/>
            <w:tcBorders>
              <w:top w:val="nil"/>
              <w:left w:val="nil"/>
              <w:bottom w:val="nil"/>
              <w:right w:val="nil"/>
            </w:tcBorders>
            <w:shd w:val="clear" w:color="000000" w:fill="FFFFFF"/>
            <w:noWrap/>
            <w:vAlign w:val="center"/>
            <w:hideMark/>
          </w:tcPr>
          <w:p w14:paraId="4620AFB9" w14:textId="77777777" w:rsidR="00B53316" w:rsidRPr="00D618B7" w:rsidRDefault="00B53316" w:rsidP="004B11B7">
            <w:pPr>
              <w:jc w:val="right"/>
              <w:rPr>
                <w:color w:val="000000"/>
                <w:sz w:val="22"/>
                <w:szCs w:val="22"/>
              </w:rPr>
            </w:pPr>
            <w:r w:rsidRPr="00D618B7">
              <w:rPr>
                <w:color w:val="000000"/>
                <w:sz w:val="22"/>
                <w:szCs w:val="22"/>
              </w:rPr>
              <w:t>0.40</w:t>
            </w:r>
          </w:p>
        </w:tc>
        <w:tc>
          <w:tcPr>
            <w:tcW w:w="879" w:type="pct"/>
            <w:tcBorders>
              <w:top w:val="nil"/>
              <w:left w:val="nil"/>
              <w:bottom w:val="nil"/>
              <w:right w:val="nil"/>
            </w:tcBorders>
            <w:shd w:val="clear" w:color="000000" w:fill="FFFFFF"/>
            <w:noWrap/>
            <w:vAlign w:val="center"/>
            <w:hideMark/>
          </w:tcPr>
          <w:p w14:paraId="6F023328" w14:textId="77777777" w:rsidR="00B53316" w:rsidRPr="00D618B7" w:rsidRDefault="00B53316" w:rsidP="004B11B7">
            <w:pPr>
              <w:jc w:val="right"/>
              <w:rPr>
                <w:color w:val="000000"/>
                <w:sz w:val="22"/>
                <w:szCs w:val="22"/>
              </w:rPr>
            </w:pPr>
            <w:r w:rsidRPr="00D618B7">
              <w:rPr>
                <w:color w:val="000000"/>
                <w:sz w:val="22"/>
                <w:szCs w:val="22"/>
              </w:rPr>
              <w:t>0.35</w:t>
            </w:r>
          </w:p>
        </w:tc>
      </w:tr>
      <w:tr w:rsidR="003B5FE0" w:rsidRPr="00D618B7" w14:paraId="552F1D0F" w14:textId="77777777" w:rsidTr="003B5FE0">
        <w:trPr>
          <w:trHeight w:val="273"/>
        </w:trPr>
        <w:tc>
          <w:tcPr>
            <w:tcW w:w="714" w:type="pct"/>
            <w:tcBorders>
              <w:top w:val="nil"/>
              <w:left w:val="nil"/>
              <w:bottom w:val="single" w:sz="8" w:space="0" w:color="auto"/>
              <w:right w:val="nil"/>
            </w:tcBorders>
            <w:shd w:val="clear" w:color="000000" w:fill="FFFFFF"/>
            <w:vAlign w:val="center"/>
            <w:hideMark/>
          </w:tcPr>
          <w:p w14:paraId="15B1AB3D" w14:textId="77777777" w:rsidR="00B53316" w:rsidRPr="00D618B7" w:rsidRDefault="00B53316" w:rsidP="004B11B7">
            <w:pPr>
              <w:jc w:val="right"/>
              <w:rPr>
                <w:color w:val="000000"/>
                <w:sz w:val="22"/>
                <w:szCs w:val="22"/>
              </w:rPr>
            </w:pPr>
            <w:r w:rsidRPr="00D618B7">
              <w:rPr>
                <w:color w:val="000000"/>
                <w:sz w:val="22"/>
                <w:szCs w:val="22"/>
              </w:rPr>
              <w:t>5</w:t>
            </w:r>
          </w:p>
        </w:tc>
        <w:tc>
          <w:tcPr>
            <w:tcW w:w="550" w:type="pct"/>
            <w:tcBorders>
              <w:top w:val="nil"/>
              <w:left w:val="nil"/>
              <w:bottom w:val="single" w:sz="8" w:space="0" w:color="auto"/>
              <w:right w:val="nil"/>
            </w:tcBorders>
            <w:shd w:val="clear" w:color="000000" w:fill="FFFFFF"/>
            <w:noWrap/>
            <w:vAlign w:val="center"/>
            <w:hideMark/>
          </w:tcPr>
          <w:p w14:paraId="5C030D30" w14:textId="77777777" w:rsidR="00B53316" w:rsidRPr="00D618B7" w:rsidRDefault="00B53316" w:rsidP="004B11B7">
            <w:pPr>
              <w:jc w:val="right"/>
              <w:rPr>
                <w:color w:val="000000"/>
                <w:sz w:val="22"/>
                <w:szCs w:val="22"/>
              </w:rPr>
            </w:pPr>
            <w:r w:rsidRPr="00D618B7">
              <w:rPr>
                <w:color w:val="000000"/>
                <w:sz w:val="22"/>
                <w:szCs w:val="22"/>
              </w:rPr>
              <w:t>0.13</w:t>
            </w:r>
          </w:p>
        </w:tc>
        <w:tc>
          <w:tcPr>
            <w:tcW w:w="876" w:type="pct"/>
            <w:tcBorders>
              <w:top w:val="nil"/>
              <w:left w:val="nil"/>
              <w:bottom w:val="single" w:sz="8" w:space="0" w:color="auto"/>
              <w:right w:val="nil"/>
            </w:tcBorders>
            <w:shd w:val="clear" w:color="000000" w:fill="FFFFFF"/>
            <w:noWrap/>
            <w:vAlign w:val="center"/>
            <w:hideMark/>
          </w:tcPr>
          <w:p w14:paraId="7C1DD5F5" w14:textId="77777777" w:rsidR="00B53316" w:rsidRPr="00D618B7" w:rsidRDefault="00B53316" w:rsidP="004B11B7">
            <w:pPr>
              <w:jc w:val="right"/>
              <w:rPr>
                <w:color w:val="000000"/>
                <w:sz w:val="22"/>
                <w:szCs w:val="22"/>
              </w:rPr>
            </w:pPr>
            <w:r w:rsidRPr="00D618B7">
              <w:rPr>
                <w:color w:val="000000"/>
                <w:sz w:val="22"/>
                <w:szCs w:val="22"/>
              </w:rPr>
              <w:t>0.19</w:t>
            </w:r>
          </w:p>
        </w:tc>
        <w:tc>
          <w:tcPr>
            <w:tcW w:w="538" w:type="pct"/>
            <w:tcBorders>
              <w:top w:val="nil"/>
              <w:left w:val="nil"/>
              <w:bottom w:val="single" w:sz="8" w:space="0" w:color="auto"/>
              <w:right w:val="nil"/>
            </w:tcBorders>
            <w:shd w:val="clear" w:color="000000" w:fill="FFFFFF"/>
            <w:noWrap/>
            <w:vAlign w:val="center"/>
            <w:hideMark/>
          </w:tcPr>
          <w:p w14:paraId="1FA60AF2" w14:textId="77777777" w:rsidR="00B53316" w:rsidRPr="00D618B7" w:rsidRDefault="00B53316" w:rsidP="004B11B7">
            <w:pPr>
              <w:jc w:val="right"/>
              <w:rPr>
                <w:color w:val="000000"/>
                <w:sz w:val="22"/>
                <w:szCs w:val="22"/>
              </w:rPr>
            </w:pPr>
            <w:r w:rsidRPr="00D618B7">
              <w:rPr>
                <w:color w:val="000000"/>
                <w:sz w:val="22"/>
                <w:szCs w:val="22"/>
              </w:rPr>
              <w:t>-0.46</w:t>
            </w:r>
          </w:p>
        </w:tc>
        <w:tc>
          <w:tcPr>
            <w:tcW w:w="890" w:type="pct"/>
            <w:tcBorders>
              <w:top w:val="nil"/>
              <w:left w:val="nil"/>
              <w:bottom w:val="single" w:sz="8" w:space="0" w:color="auto"/>
              <w:right w:val="nil"/>
            </w:tcBorders>
            <w:shd w:val="clear" w:color="000000" w:fill="FFFFFF"/>
            <w:noWrap/>
            <w:vAlign w:val="center"/>
            <w:hideMark/>
          </w:tcPr>
          <w:p w14:paraId="3FFEB1F7" w14:textId="77777777" w:rsidR="00B53316" w:rsidRPr="00D618B7" w:rsidRDefault="00B53316" w:rsidP="004B11B7">
            <w:pPr>
              <w:jc w:val="right"/>
              <w:rPr>
                <w:color w:val="000000"/>
                <w:sz w:val="22"/>
                <w:szCs w:val="22"/>
              </w:rPr>
            </w:pPr>
            <w:r w:rsidRPr="00D618B7">
              <w:rPr>
                <w:color w:val="000000"/>
                <w:sz w:val="22"/>
                <w:szCs w:val="22"/>
              </w:rPr>
              <w:t>0.36</w:t>
            </w:r>
          </w:p>
        </w:tc>
        <w:tc>
          <w:tcPr>
            <w:tcW w:w="550" w:type="pct"/>
            <w:tcBorders>
              <w:top w:val="nil"/>
              <w:left w:val="nil"/>
              <w:bottom w:val="single" w:sz="8" w:space="0" w:color="auto"/>
              <w:right w:val="nil"/>
            </w:tcBorders>
            <w:shd w:val="clear" w:color="000000" w:fill="FFFFFF"/>
            <w:noWrap/>
            <w:vAlign w:val="center"/>
            <w:hideMark/>
          </w:tcPr>
          <w:p w14:paraId="28FE3895" w14:textId="77777777" w:rsidR="00B53316" w:rsidRPr="00D618B7" w:rsidRDefault="00B53316" w:rsidP="004B11B7">
            <w:pPr>
              <w:jc w:val="right"/>
              <w:rPr>
                <w:color w:val="000000"/>
                <w:sz w:val="22"/>
                <w:szCs w:val="22"/>
              </w:rPr>
            </w:pPr>
            <w:r w:rsidRPr="00D618B7">
              <w:rPr>
                <w:color w:val="000000"/>
                <w:sz w:val="22"/>
                <w:szCs w:val="22"/>
              </w:rPr>
              <w:t>4.20</w:t>
            </w:r>
          </w:p>
        </w:tc>
        <w:tc>
          <w:tcPr>
            <w:tcW w:w="879" w:type="pct"/>
            <w:tcBorders>
              <w:top w:val="nil"/>
              <w:left w:val="nil"/>
              <w:bottom w:val="single" w:sz="8" w:space="0" w:color="auto"/>
              <w:right w:val="nil"/>
            </w:tcBorders>
            <w:shd w:val="clear" w:color="000000" w:fill="FFFFFF"/>
            <w:noWrap/>
            <w:vAlign w:val="center"/>
            <w:hideMark/>
          </w:tcPr>
          <w:p w14:paraId="3BCD7C87" w14:textId="77777777" w:rsidR="00B53316" w:rsidRPr="00D618B7" w:rsidRDefault="00B53316" w:rsidP="004B11B7">
            <w:pPr>
              <w:jc w:val="right"/>
              <w:rPr>
                <w:color w:val="000000"/>
                <w:sz w:val="22"/>
                <w:szCs w:val="22"/>
              </w:rPr>
            </w:pPr>
            <w:r w:rsidRPr="00D618B7">
              <w:rPr>
                <w:color w:val="000000"/>
                <w:sz w:val="22"/>
                <w:szCs w:val="22"/>
              </w:rPr>
              <w:t>0.96</w:t>
            </w:r>
          </w:p>
        </w:tc>
      </w:tr>
      <w:tr w:rsidR="00B53316" w:rsidRPr="00D618B7" w14:paraId="5BDB75AC" w14:textId="77777777" w:rsidTr="003B5FE0">
        <w:trPr>
          <w:trHeight w:val="273"/>
        </w:trPr>
        <w:tc>
          <w:tcPr>
            <w:tcW w:w="714" w:type="pct"/>
            <w:tcBorders>
              <w:top w:val="nil"/>
              <w:left w:val="nil"/>
              <w:bottom w:val="nil"/>
              <w:right w:val="nil"/>
            </w:tcBorders>
            <w:shd w:val="clear" w:color="000000" w:fill="FFFFFF"/>
            <w:noWrap/>
            <w:vAlign w:val="bottom"/>
            <w:hideMark/>
          </w:tcPr>
          <w:p w14:paraId="0B7AB65F" w14:textId="77777777" w:rsidR="00B53316" w:rsidRPr="00D618B7" w:rsidRDefault="00B53316" w:rsidP="004B11B7">
            <w:pPr>
              <w:rPr>
                <w:color w:val="000000"/>
                <w:sz w:val="22"/>
                <w:szCs w:val="22"/>
              </w:rPr>
            </w:pPr>
            <w:r w:rsidRPr="00D618B7">
              <w:rPr>
                <w:color w:val="000000"/>
                <w:sz w:val="22"/>
                <w:szCs w:val="22"/>
              </w:rPr>
              <w:t> </w:t>
            </w:r>
          </w:p>
        </w:tc>
        <w:tc>
          <w:tcPr>
            <w:tcW w:w="4286" w:type="pct"/>
            <w:gridSpan w:val="6"/>
            <w:tcBorders>
              <w:top w:val="single" w:sz="8" w:space="0" w:color="auto"/>
              <w:left w:val="nil"/>
              <w:bottom w:val="nil"/>
              <w:right w:val="nil"/>
            </w:tcBorders>
            <w:shd w:val="clear" w:color="000000" w:fill="FFFFFF"/>
            <w:noWrap/>
            <w:vAlign w:val="center"/>
            <w:hideMark/>
          </w:tcPr>
          <w:p w14:paraId="7DB31FE4" w14:textId="77777777" w:rsidR="00B53316" w:rsidRPr="00D618B7" w:rsidRDefault="00B53316" w:rsidP="004B11B7">
            <w:pPr>
              <w:jc w:val="center"/>
              <w:rPr>
                <w:color w:val="000000"/>
                <w:sz w:val="22"/>
                <w:szCs w:val="22"/>
              </w:rPr>
            </w:pPr>
            <w:r w:rsidRPr="00D618B7">
              <w:rPr>
                <w:color w:val="000000"/>
                <w:sz w:val="22"/>
                <w:szCs w:val="22"/>
              </w:rPr>
              <w:t>Toy-in-Reach</w:t>
            </w:r>
          </w:p>
        </w:tc>
      </w:tr>
      <w:tr w:rsidR="003B5FE0" w:rsidRPr="00D618B7" w14:paraId="10BCF3C3" w14:textId="77777777" w:rsidTr="003B5FE0">
        <w:trPr>
          <w:trHeight w:val="273"/>
        </w:trPr>
        <w:tc>
          <w:tcPr>
            <w:tcW w:w="714" w:type="pct"/>
            <w:tcBorders>
              <w:top w:val="nil"/>
              <w:left w:val="nil"/>
              <w:bottom w:val="nil"/>
              <w:right w:val="nil"/>
            </w:tcBorders>
            <w:shd w:val="clear" w:color="000000" w:fill="FFFFFF"/>
            <w:vAlign w:val="center"/>
            <w:hideMark/>
          </w:tcPr>
          <w:p w14:paraId="0D3E2D77" w14:textId="77777777" w:rsidR="00B53316" w:rsidRPr="00D618B7" w:rsidRDefault="00B53316" w:rsidP="004B11B7">
            <w:pPr>
              <w:jc w:val="right"/>
              <w:rPr>
                <w:color w:val="000000"/>
                <w:sz w:val="22"/>
                <w:szCs w:val="22"/>
              </w:rPr>
            </w:pPr>
            <w:r w:rsidRPr="00D618B7">
              <w:rPr>
                <w:color w:val="000000"/>
                <w:sz w:val="22"/>
                <w:szCs w:val="22"/>
              </w:rPr>
              <w:t>-5</w:t>
            </w:r>
          </w:p>
        </w:tc>
        <w:tc>
          <w:tcPr>
            <w:tcW w:w="550" w:type="pct"/>
            <w:tcBorders>
              <w:top w:val="nil"/>
              <w:left w:val="nil"/>
              <w:bottom w:val="nil"/>
              <w:right w:val="nil"/>
            </w:tcBorders>
            <w:shd w:val="clear" w:color="000000" w:fill="FFFFFF"/>
            <w:noWrap/>
            <w:vAlign w:val="center"/>
            <w:hideMark/>
          </w:tcPr>
          <w:p w14:paraId="2562E9E0" w14:textId="77777777" w:rsidR="00B53316" w:rsidRPr="00D618B7" w:rsidRDefault="00B53316" w:rsidP="004B11B7">
            <w:pPr>
              <w:jc w:val="right"/>
              <w:rPr>
                <w:color w:val="000000"/>
                <w:sz w:val="22"/>
                <w:szCs w:val="22"/>
              </w:rPr>
            </w:pPr>
            <w:r w:rsidRPr="00D618B7">
              <w:rPr>
                <w:color w:val="000000"/>
                <w:sz w:val="22"/>
                <w:szCs w:val="22"/>
              </w:rPr>
              <w:t>3.08</w:t>
            </w:r>
          </w:p>
        </w:tc>
        <w:tc>
          <w:tcPr>
            <w:tcW w:w="876" w:type="pct"/>
            <w:tcBorders>
              <w:top w:val="nil"/>
              <w:left w:val="nil"/>
              <w:bottom w:val="nil"/>
              <w:right w:val="nil"/>
            </w:tcBorders>
            <w:shd w:val="clear" w:color="000000" w:fill="FFFFFF"/>
            <w:noWrap/>
            <w:vAlign w:val="center"/>
            <w:hideMark/>
          </w:tcPr>
          <w:p w14:paraId="5EB30054" w14:textId="77777777" w:rsidR="00B53316" w:rsidRPr="00D618B7" w:rsidRDefault="00B53316" w:rsidP="004B11B7">
            <w:pPr>
              <w:jc w:val="right"/>
              <w:rPr>
                <w:color w:val="000000"/>
                <w:sz w:val="22"/>
                <w:szCs w:val="22"/>
              </w:rPr>
            </w:pPr>
            <w:r w:rsidRPr="00D618B7">
              <w:rPr>
                <w:color w:val="000000"/>
                <w:sz w:val="22"/>
                <w:szCs w:val="22"/>
              </w:rPr>
              <w:t>0.11</w:t>
            </w:r>
          </w:p>
        </w:tc>
        <w:tc>
          <w:tcPr>
            <w:tcW w:w="538" w:type="pct"/>
            <w:tcBorders>
              <w:top w:val="nil"/>
              <w:left w:val="nil"/>
              <w:bottom w:val="nil"/>
              <w:right w:val="nil"/>
            </w:tcBorders>
            <w:shd w:val="clear" w:color="000000" w:fill="FFFFFF"/>
            <w:noWrap/>
            <w:vAlign w:val="center"/>
            <w:hideMark/>
          </w:tcPr>
          <w:p w14:paraId="14207B13" w14:textId="77777777" w:rsidR="00B53316" w:rsidRPr="00D618B7" w:rsidRDefault="00B53316" w:rsidP="004B11B7">
            <w:pPr>
              <w:jc w:val="right"/>
              <w:rPr>
                <w:color w:val="000000"/>
                <w:sz w:val="22"/>
                <w:szCs w:val="22"/>
              </w:rPr>
            </w:pPr>
            <w:r w:rsidRPr="00D618B7">
              <w:rPr>
                <w:color w:val="000000"/>
                <w:sz w:val="22"/>
                <w:szCs w:val="22"/>
              </w:rPr>
              <w:t>-0.27</w:t>
            </w:r>
          </w:p>
        </w:tc>
        <w:tc>
          <w:tcPr>
            <w:tcW w:w="890" w:type="pct"/>
            <w:tcBorders>
              <w:top w:val="nil"/>
              <w:left w:val="nil"/>
              <w:bottom w:val="nil"/>
              <w:right w:val="nil"/>
            </w:tcBorders>
            <w:shd w:val="clear" w:color="000000" w:fill="FFFFFF"/>
            <w:noWrap/>
            <w:vAlign w:val="center"/>
            <w:hideMark/>
          </w:tcPr>
          <w:p w14:paraId="3D1E323D" w14:textId="77777777" w:rsidR="00B53316" w:rsidRPr="00D618B7" w:rsidRDefault="00B53316" w:rsidP="004B11B7">
            <w:pPr>
              <w:jc w:val="right"/>
              <w:rPr>
                <w:color w:val="000000"/>
                <w:sz w:val="22"/>
                <w:szCs w:val="22"/>
              </w:rPr>
            </w:pPr>
            <w:r w:rsidRPr="00D618B7">
              <w:rPr>
                <w:color w:val="000000"/>
                <w:sz w:val="22"/>
                <w:szCs w:val="22"/>
              </w:rPr>
              <w:t>0.17</w:t>
            </w:r>
          </w:p>
        </w:tc>
        <w:tc>
          <w:tcPr>
            <w:tcW w:w="550" w:type="pct"/>
            <w:tcBorders>
              <w:top w:val="nil"/>
              <w:left w:val="nil"/>
              <w:bottom w:val="nil"/>
              <w:right w:val="nil"/>
            </w:tcBorders>
            <w:shd w:val="clear" w:color="000000" w:fill="FFFFFF"/>
            <w:noWrap/>
            <w:vAlign w:val="center"/>
            <w:hideMark/>
          </w:tcPr>
          <w:p w14:paraId="4A7A19B0" w14:textId="77777777" w:rsidR="00B53316" w:rsidRPr="00D618B7" w:rsidRDefault="00B53316" w:rsidP="004B11B7">
            <w:pPr>
              <w:jc w:val="right"/>
              <w:rPr>
                <w:color w:val="000000"/>
                <w:sz w:val="22"/>
                <w:szCs w:val="22"/>
              </w:rPr>
            </w:pPr>
            <w:r w:rsidRPr="00D618B7">
              <w:rPr>
                <w:color w:val="000000"/>
                <w:sz w:val="22"/>
                <w:szCs w:val="22"/>
              </w:rPr>
              <w:t>0.82</w:t>
            </w:r>
          </w:p>
        </w:tc>
        <w:tc>
          <w:tcPr>
            <w:tcW w:w="879" w:type="pct"/>
            <w:tcBorders>
              <w:top w:val="nil"/>
              <w:left w:val="nil"/>
              <w:bottom w:val="nil"/>
              <w:right w:val="nil"/>
            </w:tcBorders>
            <w:shd w:val="clear" w:color="000000" w:fill="FFFFFF"/>
            <w:noWrap/>
            <w:vAlign w:val="center"/>
            <w:hideMark/>
          </w:tcPr>
          <w:p w14:paraId="4938525F" w14:textId="77777777" w:rsidR="00B53316" w:rsidRPr="00D618B7" w:rsidRDefault="00B53316" w:rsidP="004B11B7">
            <w:pPr>
              <w:jc w:val="right"/>
              <w:rPr>
                <w:color w:val="000000"/>
                <w:sz w:val="22"/>
                <w:szCs w:val="22"/>
              </w:rPr>
            </w:pPr>
            <w:r w:rsidRPr="00D618B7">
              <w:rPr>
                <w:color w:val="000000"/>
                <w:sz w:val="22"/>
                <w:szCs w:val="22"/>
              </w:rPr>
              <w:t>0.63</w:t>
            </w:r>
          </w:p>
        </w:tc>
      </w:tr>
      <w:tr w:rsidR="003B5FE0" w:rsidRPr="00D618B7" w14:paraId="5D664AA9" w14:textId="77777777" w:rsidTr="003B5FE0">
        <w:trPr>
          <w:trHeight w:val="273"/>
        </w:trPr>
        <w:tc>
          <w:tcPr>
            <w:tcW w:w="714" w:type="pct"/>
            <w:tcBorders>
              <w:top w:val="nil"/>
              <w:left w:val="nil"/>
              <w:bottom w:val="nil"/>
              <w:right w:val="nil"/>
            </w:tcBorders>
            <w:shd w:val="clear" w:color="000000" w:fill="FFFFFF"/>
            <w:vAlign w:val="center"/>
            <w:hideMark/>
          </w:tcPr>
          <w:p w14:paraId="3BE02CDF" w14:textId="77777777" w:rsidR="00B53316" w:rsidRPr="00D618B7" w:rsidRDefault="00B53316" w:rsidP="004B11B7">
            <w:pPr>
              <w:jc w:val="right"/>
              <w:rPr>
                <w:color w:val="000000"/>
                <w:sz w:val="22"/>
                <w:szCs w:val="22"/>
              </w:rPr>
            </w:pPr>
            <w:r w:rsidRPr="00D618B7">
              <w:rPr>
                <w:color w:val="000000"/>
                <w:sz w:val="22"/>
                <w:szCs w:val="22"/>
              </w:rPr>
              <w:t>-4</w:t>
            </w:r>
          </w:p>
        </w:tc>
        <w:tc>
          <w:tcPr>
            <w:tcW w:w="550" w:type="pct"/>
            <w:tcBorders>
              <w:top w:val="nil"/>
              <w:left w:val="nil"/>
              <w:bottom w:val="nil"/>
              <w:right w:val="nil"/>
            </w:tcBorders>
            <w:shd w:val="clear" w:color="000000" w:fill="FFFFFF"/>
            <w:noWrap/>
            <w:vAlign w:val="center"/>
            <w:hideMark/>
          </w:tcPr>
          <w:p w14:paraId="22264739" w14:textId="77777777" w:rsidR="00B53316" w:rsidRPr="00D618B7" w:rsidRDefault="00B53316" w:rsidP="004B11B7">
            <w:pPr>
              <w:jc w:val="right"/>
              <w:rPr>
                <w:color w:val="000000"/>
                <w:sz w:val="22"/>
                <w:szCs w:val="22"/>
              </w:rPr>
            </w:pPr>
            <w:r w:rsidRPr="00D618B7">
              <w:rPr>
                <w:color w:val="000000"/>
                <w:sz w:val="22"/>
                <w:szCs w:val="22"/>
              </w:rPr>
              <w:t>-0.27</w:t>
            </w:r>
          </w:p>
        </w:tc>
        <w:tc>
          <w:tcPr>
            <w:tcW w:w="876" w:type="pct"/>
            <w:tcBorders>
              <w:top w:val="nil"/>
              <w:left w:val="nil"/>
              <w:bottom w:val="nil"/>
              <w:right w:val="nil"/>
            </w:tcBorders>
            <w:shd w:val="clear" w:color="000000" w:fill="FFFFFF"/>
            <w:noWrap/>
            <w:vAlign w:val="center"/>
            <w:hideMark/>
          </w:tcPr>
          <w:p w14:paraId="318711E0" w14:textId="77777777" w:rsidR="00B53316" w:rsidRPr="00D618B7" w:rsidRDefault="00B53316" w:rsidP="004B11B7">
            <w:pPr>
              <w:jc w:val="right"/>
              <w:rPr>
                <w:color w:val="000000"/>
                <w:sz w:val="22"/>
                <w:szCs w:val="22"/>
              </w:rPr>
            </w:pPr>
            <w:r w:rsidRPr="00D618B7">
              <w:rPr>
                <w:color w:val="000000"/>
                <w:sz w:val="22"/>
                <w:szCs w:val="22"/>
              </w:rPr>
              <w:t>0.28</w:t>
            </w:r>
          </w:p>
        </w:tc>
        <w:tc>
          <w:tcPr>
            <w:tcW w:w="538" w:type="pct"/>
            <w:tcBorders>
              <w:top w:val="nil"/>
              <w:left w:val="nil"/>
              <w:bottom w:val="nil"/>
              <w:right w:val="nil"/>
            </w:tcBorders>
            <w:shd w:val="clear" w:color="000000" w:fill="FFFFFF"/>
            <w:noWrap/>
            <w:vAlign w:val="center"/>
            <w:hideMark/>
          </w:tcPr>
          <w:p w14:paraId="25C592BF" w14:textId="77777777" w:rsidR="00B53316" w:rsidRPr="00D618B7" w:rsidRDefault="00B53316" w:rsidP="004B11B7">
            <w:pPr>
              <w:jc w:val="right"/>
              <w:rPr>
                <w:color w:val="000000"/>
                <w:sz w:val="22"/>
                <w:szCs w:val="22"/>
              </w:rPr>
            </w:pPr>
            <w:r w:rsidRPr="00D618B7">
              <w:rPr>
                <w:color w:val="000000"/>
                <w:sz w:val="22"/>
                <w:szCs w:val="22"/>
              </w:rPr>
              <w:t>0.46</w:t>
            </w:r>
          </w:p>
        </w:tc>
        <w:tc>
          <w:tcPr>
            <w:tcW w:w="890" w:type="pct"/>
            <w:tcBorders>
              <w:top w:val="nil"/>
              <w:left w:val="nil"/>
              <w:bottom w:val="nil"/>
              <w:right w:val="nil"/>
            </w:tcBorders>
            <w:shd w:val="clear" w:color="000000" w:fill="FFFFFF"/>
            <w:noWrap/>
            <w:vAlign w:val="center"/>
            <w:hideMark/>
          </w:tcPr>
          <w:p w14:paraId="279B7118" w14:textId="77777777" w:rsidR="00B53316" w:rsidRPr="00D618B7" w:rsidRDefault="00B53316" w:rsidP="004B11B7">
            <w:pPr>
              <w:jc w:val="right"/>
              <w:rPr>
                <w:color w:val="000000"/>
                <w:sz w:val="22"/>
                <w:szCs w:val="22"/>
              </w:rPr>
            </w:pPr>
            <w:r w:rsidRPr="00D618B7">
              <w:rPr>
                <w:color w:val="000000"/>
                <w:sz w:val="22"/>
                <w:szCs w:val="22"/>
              </w:rPr>
              <w:t>0.25</w:t>
            </w:r>
          </w:p>
        </w:tc>
        <w:tc>
          <w:tcPr>
            <w:tcW w:w="550" w:type="pct"/>
            <w:tcBorders>
              <w:top w:val="nil"/>
              <w:left w:val="nil"/>
              <w:bottom w:val="nil"/>
              <w:right w:val="nil"/>
            </w:tcBorders>
            <w:shd w:val="clear" w:color="000000" w:fill="FFFFFF"/>
            <w:noWrap/>
            <w:vAlign w:val="center"/>
            <w:hideMark/>
          </w:tcPr>
          <w:p w14:paraId="114E790B" w14:textId="77777777" w:rsidR="00B53316" w:rsidRPr="00D618B7" w:rsidRDefault="00B53316" w:rsidP="004B11B7">
            <w:pPr>
              <w:jc w:val="right"/>
              <w:rPr>
                <w:color w:val="000000"/>
                <w:sz w:val="22"/>
                <w:szCs w:val="22"/>
              </w:rPr>
            </w:pPr>
            <w:r w:rsidRPr="00D618B7">
              <w:rPr>
                <w:color w:val="000000"/>
                <w:sz w:val="22"/>
                <w:szCs w:val="22"/>
              </w:rPr>
              <w:t>2.62</w:t>
            </w:r>
          </w:p>
        </w:tc>
        <w:tc>
          <w:tcPr>
            <w:tcW w:w="879" w:type="pct"/>
            <w:tcBorders>
              <w:top w:val="nil"/>
              <w:left w:val="nil"/>
              <w:bottom w:val="nil"/>
              <w:right w:val="nil"/>
            </w:tcBorders>
            <w:shd w:val="clear" w:color="000000" w:fill="FFFFFF"/>
            <w:noWrap/>
            <w:vAlign w:val="center"/>
            <w:hideMark/>
          </w:tcPr>
          <w:p w14:paraId="0A864DE0" w14:textId="77777777" w:rsidR="00B53316" w:rsidRPr="00D618B7" w:rsidRDefault="00B53316" w:rsidP="004B11B7">
            <w:pPr>
              <w:jc w:val="right"/>
              <w:rPr>
                <w:color w:val="000000"/>
                <w:sz w:val="22"/>
                <w:szCs w:val="22"/>
              </w:rPr>
            </w:pPr>
            <w:r w:rsidRPr="00D618B7">
              <w:rPr>
                <w:color w:val="000000"/>
                <w:sz w:val="22"/>
                <w:szCs w:val="22"/>
              </w:rPr>
              <w:t>3.11</w:t>
            </w:r>
          </w:p>
        </w:tc>
      </w:tr>
      <w:tr w:rsidR="003B5FE0" w:rsidRPr="00D618B7" w14:paraId="22F7BA70" w14:textId="77777777" w:rsidTr="003B5FE0">
        <w:trPr>
          <w:trHeight w:val="273"/>
        </w:trPr>
        <w:tc>
          <w:tcPr>
            <w:tcW w:w="714" w:type="pct"/>
            <w:tcBorders>
              <w:top w:val="nil"/>
              <w:left w:val="nil"/>
              <w:bottom w:val="nil"/>
              <w:right w:val="nil"/>
            </w:tcBorders>
            <w:shd w:val="clear" w:color="000000" w:fill="FFFFFF"/>
            <w:vAlign w:val="center"/>
            <w:hideMark/>
          </w:tcPr>
          <w:p w14:paraId="384B2FC1" w14:textId="77777777" w:rsidR="00B53316" w:rsidRPr="00D618B7" w:rsidRDefault="00B53316" w:rsidP="004B11B7">
            <w:pPr>
              <w:jc w:val="right"/>
              <w:rPr>
                <w:color w:val="000000"/>
                <w:sz w:val="22"/>
                <w:szCs w:val="22"/>
              </w:rPr>
            </w:pPr>
            <w:r w:rsidRPr="00D618B7">
              <w:rPr>
                <w:color w:val="000000"/>
                <w:sz w:val="22"/>
                <w:szCs w:val="22"/>
              </w:rPr>
              <w:t>-3</w:t>
            </w:r>
          </w:p>
        </w:tc>
        <w:tc>
          <w:tcPr>
            <w:tcW w:w="550" w:type="pct"/>
            <w:tcBorders>
              <w:top w:val="nil"/>
              <w:left w:val="nil"/>
              <w:bottom w:val="nil"/>
              <w:right w:val="nil"/>
            </w:tcBorders>
            <w:shd w:val="clear" w:color="000000" w:fill="FFFFFF"/>
            <w:noWrap/>
            <w:vAlign w:val="center"/>
            <w:hideMark/>
          </w:tcPr>
          <w:p w14:paraId="3773CA58" w14:textId="77777777" w:rsidR="00B53316" w:rsidRPr="00D618B7" w:rsidRDefault="00B53316" w:rsidP="004B11B7">
            <w:pPr>
              <w:jc w:val="right"/>
              <w:rPr>
                <w:color w:val="000000"/>
                <w:sz w:val="22"/>
                <w:szCs w:val="22"/>
              </w:rPr>
            </w:pPr>
            <w:r w:rsidRPr="00D618B7">
              <w:rPr>
                <w:color w:val="000000"/>
                <w:sz w:val="22"/>
                <w:szCs w:val="22"/>
              </w:rPr>
              <w:t>1.30</w:t>
            </w:r>
          </w:p>
        </w:tc>
        <w:tc>
          <w:tcPr>
            <w:tcW w:w="876" w:type="pct"/>
            <w:tcBorders>
              <w:top w:val="nil"/>
              <w:left w:val="nil"/>
              <w:bottom w:val="nil"/>
              <w:right w:val="nil"/>
            </w:tcBorders>
            <w:shd w:val="clear" w:color="000000" w:fill="FFFFFF"/>
            <w:noWrap/>
            <w:vAlign w:val="center"/>
            <w:hideMark/>
          </w:tcPr>
          <w:p w14:paraId="70265387" w14:textId="77777777" w:rsidR="00B53316" w:rsidRPr="00D618B7" w:rsidRDefault="00B53316" w:rsidP="004B11B7">
            <w:pPr>
              <w:jc w:val="right"/>
              <w:rPr>
                <w:color w:val="000000"/>
                <w:sz w:val="22"/>
                <w:szCs w:val="22"/>
              </w:rPr>
            </w:pPr>
            <w:r w:rsidRPr="00D618B7">
              <w:rPr>
                <w:color w:val="000000"/>
                <w:sz w:val="22"/>
                <w:szCs w:val="22"/>
              </w:rPr>
              <w:t>0.96</w:t>
            </w:r>
          </w:p>
        </w:tc>
        <w:tc>
          <w:tcPr>
            <w:tcW w:w="538" w:type="pct"/>
            <w:tcBorders>
              <w:top w:val="nil"/>
              <w:left w:val="nil"/>
              <w:bottom w:val="nil"/>
              <w:right w:val="nil"/>
            </w:tcBorders>
            <w:shd w:val="clear" w:color="000000" w:fill="FFFFFF"/>
            <w:noWrap/>
            <w:vAlign w:val="center"/>
            <w:hideMark/>
          </w:tcPr>
          <w:p w14:paraId="095F5FC7" w14:textId="77777777" w:rsidR="00B53316" w:rsidRPr="00D618B7" w:rsidRDefault="00B53316" w:rsidP="004B11B7">
            <w:pPr>
              <w:jc w:val="right"/>
              <w:rPr>
                <w:color w:val="000000"/>
                <w:sz w:val="22"/>
                <w:szCs w:val="22"/>
              </w:rPr>
            </w:pPr>
            <w:r w:rsidRPr="00D618B7">
              <w:rPr>
                <w:color w:val="000000"/>
                <w:sz w:val="22"/>
                <w:szCs w:val="22"/>
              </w:rPr>
              <w:t>0.47</w:t>
            </w:r>
          </w:p>
        </w:tc>
        <w:tc>
          <w:tcPr>
            <w:tcW w:w="890" w:type="pct"/>
            <w:tcBorders>
              <w:top w:val="nil"/>
              <w:left w:val="nil"/>
              <w:bottom w:val="nil"/>
              <w:right w:val="nil"/>
            </w:tcBorders>
            <w:shd w:val="clear" w:color="000000" w:fill="FFFFFF"/>
            <w:noWrap/>
            <w:vAlign w:val="center"/>
            <w:hideMark/>
          </w:tcPr>
          <w:p w14:paraId="2AEA00FA" w14:textId="77777777" w:rsidR="00B53316" w:rsidRPr="00D618B7" w:rsidRDefault="00B53316" w:rsidP="004B11B7">
            <w:pPr>
              <w:jc w:val="right"/>
              <w:rPr>
                <w:color w:val="000000"/>
                <w:sz w:val="22"/>
                <w:szCs w:val="22"/>
              </w:rPr>
            </w:pPr>
            <w:r w:rsidRPr="00D618B7">
              <w:rPr>
                <w:color w:val="000000"/>
                <w:sz w:val="22"/>
                <w:szCs w:val="22"/>
              </w:rPr>
              <w:t>0.45</w:t>
            </w:r>
          </w:p>
        </w:tc>
        <w:tc>
          <w:tcPr>
            <w:tcW w:w="550" w:type="pct"/>
            <w:tcBorders>
              <w:top w:val="nil"/>
              <w:left w:val="nil"/>
              <w:bottom w:val="nil"/>
              <w:right w:val="nil"/>
            </w:tcBorders>
            <w:shd w:val="clear" w:color="000000" w:fill="FFFFFF"/>
            <w:noWrap/>
            <w:vAlign w:val="center"/>
            <w:hideMark/>
          </w:tcPr>
          <w:p w14:paraId="6E344CB0" w14:textId="77777777" w:rsidR="00B53316" w:rsidRPr="00D618B7" w:rsidRDefault="00B53316" w:rsidP="004B11B7">
            <w:pPr>
              <w:jc w:val="right"/>
              <w:rPr>
                <w:color w:val="000000"/>
                <w:sz w:val="22"/>
                <w:szCs w:val="22"/>
              </w:rPr>
            </w:pPr>
            <w:r w:rsidRPr="00D618B7">
              <w:rPr>
                <w:color w:val="000000"/>
                <w:sz w:val="22"/>
                <w:szCs w:val="22"/>
              </w:rPr>
              <w:t>14.04</w:t>
            </w:r>
          </w:p>
        </w:tc>
        <w:tc>
          <w:tcPr>
            <w:tcW w:w="879" w:type="pct"/>
            <w:tcBorders>
              <w:top w:val="nil"/>
              <w:left w:val="nil"/>
              <w:bottom w:val="nil"/>
              <w:right w:val="nil"/>
            </w:tcBorders>
            <w:shd w:val="clear" w:color="000000" w:fill="FFFFFF"/>
            <w:noWrap/>
            <w:vAlign w:val="center"/>
            <w:hideMark/>
          </w:tcPr>
          <w:p w14:paraId="676EDBEB" w14:textId="77777777" w:rsidR="00B53316" w:rsidRPr="00D618B7" w:rsidRDefault="00B53316" w:rsidP="004B11B7">
            <w:pPr>
              <w:jc w:val="right"/>
              <w:rPr>
                <w:color w:val="000000"/>
                <w:sz w:val="22"/>
                <w:szCs w:val="22"/>
              </w:rPr>
            </w:pPr>
            <w:r w:rsidRPr="00D618B7">
              <w:rPr>
                <w:color w:val="000000"/>
                <w:sz w:val="22"/>
                <w:szCs w:val="22"/>
              </w:rPr>
              <w:t>9.11</w:t>
            </w:r>
          </w:p>
        </w:tc>
      </w:tr>
      <w:tr w:rsidR="003B5FE0" w:rsidRPr="00D618B7" w14:paraId="73FDF25C" w14:textId="77777777" w:rsidTr="003B5FE0">
        <w:trPr>
          <w:trHeight w:val="273"/>
        </w:trPr>
        <w:tc>
          <w:tcPr>
            <w:tcW w:w="714" w:type="pct"/>
            <w:tcBorders>
              <w:top w:val="nil"/>
              <w:left w:val="nil"/>
              <w:bottom w:val="nil"/>
              <w:right w:val="nil"/>
            </w:tcBorders>
            <w:shd w:val="clear" w:color="000000" w:fill="FFFFFF"/>
            <w:vAlign w:val="center"/>
            <w:hideMark/>
          </w:tcPr>
          <w:p w14:paraId="14B81C07" w14:textId="77777777" w:rsidR="00B53316" w:rsidRPr="00D618B7" w:rsidRDefault="00B53316" w:rsidP="004B11B7">
            <w:pPr>
              <w:jc w:val="right"/>
              <w:rPr>
                <w:color w:val="000000"/>
                <w:sz w:val="22"/>
                <w:szCs w:val="22"/>
              </w:rPr>
            </w:pPr>
            <w:r w:rsidRPr="00D618B7">
              <w:rPr>
                <w:color w:val="000000"/>
                <w:sz w:val="22"/>
                <w:szCs w:val="22"/>
              </w:rPr>
              <w:t>-2</w:t>
            </w:r>
          </w:p>
        </w:tc>
        <w:tc>
          <w:tcPr>
            <w:tcW w:w="550" w:type="pct"/>
            <w:tcBorders>
              <w:top w:val="nil"/>
              <w:left w:val="nil"/>
              <w:bottom w:val="nil"/>
              <w:right w:val="nil"/>
            </w:tcBorders>
            <w:shd w:val="clear" w:color="000000" w:fill="FFFFFF"/>
            <w:noWrap/>
            <w:vAlign w:val="center"/>
            <w:hideMark/>
          </w:tcPr>
          <w:p w14:paraId="7617FB00" w14:textId="77777777" w:rsidR="00B53316" w:rsidRPr="00D618B7" w:rsidRDefault="00B53316" w:rsidP="004B11B7">
            <w:pPr>
              <w:jc w:val="right"/>
              <w:rPr>
                <w:color w:val="000000"/>
                <w:sz w:val="22"/>
                <w:szCs w:val="22"/>
              </w:rPr>
            </w:pPr>
            <w:r w:rsidRPr="00D618B7">
              <w:rPr>
                <w:color w:val="000000"/>
                <w:sz w:val="22"/>
                <w:szCs w:val="22"/>
              </w:rPr>
              <w:t>1.04</w:t>
            </w:r>
          </w:p>
        </w:tc>
        <w:tc>
          <w:tcPr>
            <w:tcW w:w="876" w:type="pct"/>
            <w:tcBorders>
              <w:top w:val="nil"/>
              <w:left w:val="nil"/>
              <w:bottom w:val="nil"/>
              <w:right w:val="nil"/>
            </w:tcBorders>
            <w:shd w:val="clear" w:color="000000" w:fill="FFFFFF"/>
            <w:noWrap/>
            <w:vAlign w:val="center"/>
            <w:hideMark/>
          </w:tcPr>
          <w:p w14:paraId="110533A0" w14:textId="77777777" w:rsidR="00B53316" w:rsidRPr="00D618B7" w:rsidRDefault="00B53316" w:rsidP="004B11B7">
            <w:pPr>
              <w:jc w:val="right"/>
              <w:rPr>
                <w:color w:val="000000"/>
                <w:sz w:val="22"/>
                <w:szCs w:val="22"/>
              </w:rPr>
            </w:pPr>
            <w:r w:rsidRPr="00D618B7">
              <w:rPr>
                <w:color w:val="000000"/>
                <w:sz w:val="22"/>
                <w:szCs w:val="22"/>
              </w:rPr>
              <w:t>0.69</w:t>
            </w:r>
          </w:p>
        </w:tc>
        <w:tc>
          <w:tcPr>
            <w:tcW w:w="538" w:type="pct"/>
            <w:tcBorders>
              <w:top w:val="nil"/>
              <w:left w:val="nil"/>
              <w:bottom w:val="nil"/>
              <w:right w:val="nil"/>
            </w:tcBorders>
            <w:shd w:val="clear" w:color="000000" w:fill="FFFFFF"/>
            <w:noWrap/>
            <w:vAlign w:val="center"/>
            <w:hideMark/>
          </w:tcPr>
          <w:p w14:paraId="0F9A4816" w14:textId="77777777" w:rsidR="00B53316" w:rsidRPr="00D618B7" w:rsidRDefault="00B53316" w:rsidP="004B11B7">
            <w:pPr>
              <w:jc w:val="right"/>
              <w:rPr>
                <w:color w:val="000000"/>
                <w:sz w:val="22"/>
                <w:szCs w:val="22"/>
              </w:rPr>
            </w:pPr>
            <w:r w:rsidRPr="00D618B7">
              <w:rPr>
                <w:color w:val="000000"/>
                <w:sz w:val="22"/>
                <w:szCs w:val="22"/>
              </w:rPr>
              <w:t>-0.16</w:t>
            </w:r>
          </w:p>
        </w:tc>
        <w:tc>
          <w:tcPr>
            <w:tcW w:w="890" w:type="pct"/>
            <w:tcBorders>
              <w:top w:val="nil"/>
              <w:left w:val="nil"/>
              <w:bottom w:val="nil"/>
              <w:right w:val="nil"/>
            </w:tcBorders>
            <w:shd w:val="clear" w:color="000000" w:fill="FFFFFF"/>
            <w:noWrap/>
            <w:vAlign w:val="center"/>
            <w:hideMark/>
          </w:tcPr>
          <w:p w14:paraId="2CCC27FE" w14:textId="77777777" w:rsidR="00B53316" w:rsidRPr="00D618B7" w:rsidRDefault="00B53316" w:rsidP="004B11B7">
            <w:pPr>
              <w:jc w:val="right"/>
              <w:rPr>
                <w:color w:val="000000"/>
                <w:sz w:val="22"/>
                <w:szCs w:val="22"/>
              </w:rPr>
            </w:pPr>
            <w:r w:rsidRPr="00D618B7">
              <w:rPr>
                <w:color w:val="000000"/>
                <w:sz w:val="22"/>
                <w:szCs w:val="22"/>
              </w:rPr>
              <w:t>0.18</w:t>
            </w:r>
          </w:p>
        </w:tc>
        <w:tc>
          <w:tcPr>
            <w:tcW w:w="550" w:type="pct"/>
            <w:tcBorders>
              <w:top w:val="nil"/>
              <w:left w:val="nil"/>
              <w:bottom w:val="nil"/>
              <w:right w:val="nil"/>
            </w:tcBorders>
            <w:shd w:val="clear" w:color="000000" w:fill="FFFFFF"/>
            <w:noWrap/>
            <w:vAlign w:val="center"/>
            <w:hideMark/>
          </w:tcPr>
          <w:p w14:paraId="2F27175D" w14:textId="77777777" w:rsidR="00B53316" w:rsidRPr="00D618B7" w:rsidRDefault="00B53316" w:rsidP="004B11B7">
            <w:pPr>
              <w:jc w:val="right"/>
              <w:rPr>
                <w:color w:val="000000"/>
                <w:sz w:val="22"/>
                <w:szCs w:val="22"/>
              </w:rPr>
            </w:pPr>
            <w:r w:rsidRPr="00D618B7">
              <w:rPr>
                <w:color w:val="000000"/>
                <w:sz w:val="22"/>
                <w:szCs w:val="22"/>
              </w:rPr>
              <w:t>8.90</w:t>
            </w:r>
          </w:p>
        </w:tc>
        <w:tc>
          <w:tcPr>
            <w:tcW w:w="879" w:type="pct"/>
            <w:tcBorders>
              <w:top w:val="nil"/>
              <w:left w:val="nil"/>
              <w:bottom w:val="nil"/>
              <w:right w:val="nil"/>
            </w:tcBorders>
            <w:shd w:val="clear" w:color="000000" w:fill="FFFFFF"/>
            <w:noWrap/>
            <w:vAlign w:val="center"/>
            <w:hideMark/>
          </w:tcPr>
          <w:p w14:paraId="09B80755" w14:textId="77777777" w:rsidR="00B53316" w:rsidRPr="00D618B7" w:rsidRDefault="00B53316" w:rsidP="004B11B7">
            <w:pPr>
              <w:jc w:val="right"/>
              <w:rPr>
                <w:color w:val="000000"/>
                <w:sz w:val="22"/>
                <w:szCs w:val="22"/>
              </w:rPr>
            </w:pPr>
            <w:r w:rsidRPr="00D618B7">
              <w:rPr>
                <w:color w:val="000000"/>
                <w:sz w:val="22"/>
                <w:szCs w:val="22"/>
              </w:rPr>
              <w:t>6.68</w:t>
            </w:r>
          </w:p>
        </w:tc>
      </w:tr>
      <w:tr w:rsidR="003B5FE0" w:rsidRPr="00D618B7" w14:paraId="6781AC21" w14:textId="77777777" w:rsidTr="003B5FE0">
        <w:trPr>
          <w:trHeight w:val="273"/>
        </w:trPr>
        <w:tc>
          <w:tcPr>
            <w:tcW w:w="714" w:type="pct"/>
            <w:tcBorders>
              <w:top w:val="nil"/>
              <w:left w:val="nil"/>
              <w:bottom w:val="nil"/>
              <w:right w:val="nil"/>
            </w:tcBorders>
            <w:shd w:val="clear" w:color="000000" w:fill="FFFFFF"/>
            <w:vAlign w:val="center"/>
            <w:hideMark/>
          </w:tcPr>
          <w:p w14:paraId="7047B33F" w14:textId="77777777" w:rsidR="00B53316" w:rsidRPr="00D618B7" w:rsidRDefault="00B53316" w:rsidP="004B11B7">
            <w:pPr>
              <w:jc w:val="right"/>
              <w:rPr>
                <w:color w:val="000000"/>
                <w:sz w:val="22"/>
                <w:szCs w:val="22"/>
              </w:rPr>
            </w:pPr>
            <w:r w:rsidRPr="00D618B7">
              <w:rPr>
                <w:color w:val="000000"/>
                <w:sz w:val="22"/>
                <w:szCs w:val="22"/>
              </w:rPr>
              <w:t>-1</w:t>
            </w:r>
          </w:p>
        </w:tc>
        <w:tc>
          <w:tcPr>
            <w:tcW w:w="550" w:type="pct"/>
            <w:tcBorders>
              <w:top w:val="nil"/>
              <w:left w:val="nil"/>
              <w:bottom w:val="nil"/>
              <w:right w:val="nil"/>
            </w:tcBorders>
            <w:shd w:val="clear" w:color="000000" w:fill="FFFFFF"/>
            <w:noWrap/>
            <w:vAlign w:val="center"/>
            <w:hideMark/>
          </w:tcPr>
          <w:p w14:paraId="09B47399" w14:textId="77777777" w:rsidR="00B53316" w:rsidRPr="00D618B7" w:rsidRDefault="00B53316" w:rsidP="004B11B7">
            <w:pPr>
              <w:jc w:val="right"/>
              <w:rPr>
                <w:color w:val="000000"/>
                <w:sz w:val="22"/>
                <w:szCs w:val="22"/>
              </w:rPr>
            </w:pPr>
            <w:r w:rsidRPr="00D618B7">
              <w:rPr>
                <w:color w:val="000000"/>
                <w:sz w:val="22"/>
                <w:szCs w:val="22"/>
              </w:rPr>
              <w:t>0.01</w:t>
            </w:r>
          </w:p>
        </w:tc>
        <w:tc>
          <w:tcPr>
            <w:tcW w:w="876" w:type="pct"/>
            <w:tcBorders>
              <w:top w:val="nil"/>
              <w:left w:val="nil"/>
              <w:bottom w:val="nil"/>
              <w:right w:val="nil"/>
            </w:tcBorders>
            <w:shd w:val="clear" w:color="000000" w:fill="FFFFFF"/>
            <w:noWrap/>
            <w:vAlign w:val="center"/>
            <w:hideMark/>
          </w:tcPr>
          <w:p w14:paraId="6AC363DC" w14:textId="77777777" w:rsidR="00B53316" w:rsidRPr="00D618B7" w:rsidRDefault="00B53316" w:rsidP="004B11B7">
            <w:pPr>
              <w:jc w:val="right"/>
              <w:rPr>
                <w:color w:val="000000"/>
                <w:sz w:val="22"/>
                <w:szCs w:val="22"/>
              </w:rPr>
            </w:pPr>
            <w:r w:rsidRPr="00D618B7">
              <w:rPr>
                <w:color w:val="000000"/>
                <w:sz w:val="22"/>
                <w:szCs w:val="22"/>
              </w:rPr>
              <w:t>0.12</w:t>
            </w:r>
          </w:p>
        </w:tc>
        <w:tc>
          <w:tcPr>
            <w:tcW w:w="538" w:type="pct"/>
            <w:tcBorders>
              <w:top w:val="nil"/>
              <w:left w:val="nil"/>
              <w:bottom w:val="nil"/>
              <w:right w:val="nil"/>
            </w:tcBorders>
            <w:shd w:val="clear" w:color="000000" w:fill="FFFFFF"/>
            <w:noWrap/>
            <w:vAlign w:val="center"/>
            <w:hideMark/>
          </w:tcPr>
          <w:p w14:paraId="64DAE05D" w14:textId="77777777" w:rsidR="00B53316" w:rsidRPr="00D618B7" w:rsidRDefault="00B53316" w:rsidP="004B11B7">
            <w:pPr>
              <w:jc w:val="right"/>
              <w:rPr>
                <w:color w:val="000000"/>
                <w:sz w:val="22"/>
                <w:szCs w:val="22"/>
              </w:rPr>
            </w:pPr>
            <w:r w:rsidRPr="00D618B7">
              <w:rPr>
                <w:color w:val="000000"/>
                <w:sz w:val="22"/>
                <w:szCs w:val="22"/>
              </w:rPr>
              <w:t>0.84</w:t>
            </w:r>
          </w:p>
        </w:tc>
        <w:tc>
          <w:tcPr>
            <w:tcW w:w="890" w:type="pct"/>
            <w:tcBorders>
              <w:top w:val="nil"/>
              <w:left w:val="nil"/>
              <w:bottom w:val="nil"/>
              <w:right w:val="nil"/>
            </w:tcBorders>
            <w:shd w:val="clear" w:color="000000" w:fill="FFFFFF"/>
            <w:noWrap/>
            <w:vAlign w:val="center"/>
            <w:hideMark/>
          </w:tcPr>
          <w:p w14:paraId="3BDE29C6" w14:textId="77777777" w:rsidR="00B53316" w:rsidRPr="00D618B7" w:rsidRDefault="00B53316" w:rsidP="004B11B7">
            <w:pPr>
              <w:jc w:val="right"/>
              <w:rPr>
                <w:color w:val="000000"/>
                <w:sz w:val="22"/>
                <w:szCs w:val="22"/>
              </w:rPr>
            </w:pPr>
            <w:r w:rsidRPr="00D618B7">
              <w:rPr>
                <w:color w:val="000000"/>
                <w:sz w:val="22"/>
                <w:szCs w:val="22"/>
              </w:rPr>
              <w:t>0.52</w:t>
            </w:r>
          </w:p>
        </w:tc>
        <w:tc>
          <w:tcPr>
            <w:tcW w:w="550" w:type="pct"/>
            <w:tcBorders>
              <w:top w:val="nil"/>
              <w:left w:val="nil"/>
              <w:bottom w:val="nil"/>
              <w:right w:val="nil"/>
            </w:tcBorders>
            <w:shd w:val="clear" w:color="000000" w:fill="FFFFFF"/>
            <w:noWrap/>
            <w:vAlign w:val="center"/>
            <w:hideMark/>
          </w:tcPr>
          <w:p w14:paraId="54F5708A" w14:textId="77777777" w:rsidR="00B53316" w:rsidRPr="00D618B7" w:rsidRDefault="00B53316" w:rsidP="004B11B7">
            <w:pPr>
              <w:jc w:val="right"/>
              <w:rPr>
                <w:color w:val="000000"/>
                <w:sz w:val="22"/>
                <w:szCs w:val="22"/>
              </w:rPr>
            </w:pPr>
            <w:r w:rsidRPr="00D618B7">
              <w:rPr>
                <w:color w:val="000000"/>
                <w:sz w:val="22"/>
                <w:szCs w:val="22"/>
              </w:rPr>
              <w:t>10.73</w:t>
            </w:r>
          </w:p>
        </w:tc>
        <w:tc>
          <w:tcPr>
            <w:tcW w:w="879" w:type="pct"/>
            <w:tcBorders>
              <w:top w:val="nil"/>
              <w:left w:val="nil"/>
              <w:bottom w:val="nil"/>
              <w:right w:val="nil"/>
            </w:tcBorders>
            <w:shd w:val="clear" w:color="000000" w:fill="FFFFFF"/>
            <w:noWrap/>
            <w:vAlign w:val="center"/>
            <w:hideMark/>
          </w:tcPr>
          <w:p w14:paraId="66EB2F47" w14:textId="77777777" w:rsidR="00B53316" w:rsidRPr="00D618B7" w:rsidRDefault="00B53316" w:rsidP="004B11B7">
            <w:pPr>
              <w:jc w:val="right"/>
              <w:rPr>
                <w:color w:val="000000"/>
                <w:sz w:val="22"/>
                <w:szCs w:val="22"/>
              </w:rPr>
            </w:pPr>
            <w:r w:rsidRPr="00D618B7">
              <w:rPr>
                <w:color w:val="000000"/>
                <w:sz w:val="22"/>
                <w:szCs w:val="22"/>
              </w:rPr>
              <w:t>2.89</w:t>
            </w:r>
          </w:p>
        </w:tc>
      </w:tr>
      <w:tr w:rsidR="003B5FE0" w:rsidRPr="00D618B7" w14:paraId="32AFB17B" w14:textId="77777777" w:rsidTr="003B5FE0">
        <w:trPr>
          <w:trHeight w:val="273"/>
        </w:trPr>
        <w:tc>
          <w:tcPr>
            <w:tcW w:w="714" w:type="pct"/>
            <w:tcBorders>
              <w:top w:val="nil"/>
              <w:left w:val="nil"/>
              <w:bottom w:val="nil"/>
              <w:right w:val="nil"/>
            </w:tcBorders>
            <w:shd w:val="clear" w:color="000000" w:fill="FFFFFF"/>
            <w:vAlign w:val="center"/>
            <w:hideMark/>
          </w:tcPr>
          <w:p w14:paraId="74B5590F" w14:textId="77777777" w:rsidR="00B53316" w:rsidRPr="00D618B7" w:rsidRDefault="00B53316" w:rsidP="004B11B7">
            <w:pPr>
              <w:jc w:val="right"/>
              <w:rPr>
                <w:color w:val="000000"/>
                <w:sz w:val="22"/>
                <w:szCs w:val="22"/>
              </w:rPr>
            </w:pPr>
            <w:r w:rsidRPr="00D618B7">
              <w:rPr>
                <w:color w:val="000000"/>
                <w:sz w:val="22"/>
                <w:szCs w:val="22"/>
              </w:rPr>
              <w:t>0</w:t>
            </w:r>
          </w:p>
        </w:tc>
        <w:tc>
          <w:tcPr>
            <w:tcW w:w="550" w:type="pct"/>
            <w:tcBorders>
              <w:top w:val="nil"/>
              <w:left w:val="nil"/>
              <w:bottom w:val="nil"/>
              <w:right w:val="nil"/>
            </w:tcBorders>
            <w:shd w:val="clear" w:color="000000" w:fill="FFFFFF"/>
            <w:noWrap/>
            <w:vAlign w:val="center"/>
            <w:hideMark/>
          </w:tcPr>
          <w:p w14:paraId="6C2683F1" w14:textId="77777777" w:rsidR="00B53316" w:rsidRPr="00D618B7" w:rsidRDefault="00B53316" w:rsidP="004B11B7">
            <w:pPr>
              <w:jc w:val="right"/>
              <w:rPr>
                <w:color w:val="000000"/>
                <w:sz w:val="22"/>
                <w:szCs w:val="22"/>
              </w:rPr>
            </w:pPr>
            <w:r w:rsidRPr="00D618B7">
              <w:rPr>
                <w:color w:val="000000"/>
                <w:sz w:val="22"/>
                <w:szCs w:val="22"/>
              </w:rPr>
              <w:t>-0.09</w:t>
            </w:r>
          </w:p>
        </w:tc>
        <w:tc>
          <w:tcPr>
            <w:tcW w:w="876" w:type="pct"/>
            <w:tcBorders>
              <w:top w:val="nil"/>
              <w:left w:val="nil"/>
              <w:bottom w:val="nil"/>
              <w:right w:val="nil"/>
            </w:tcBorders>
            <w:shd w:val="clear" w:color="000000" w:fill="FFFFFF"/>
            <w:noWrap/>
            <w:vAlign w:val="center"/>
            <w:hideMark/>
          </w:tcPr>
          <w:p w14:paraId="1CA0992F" w14:textId="77777777" w:rsidR="00B53316" w:rsidRPr="00D618B7" w:rsidRDefault="00B53316" w:rsidP="004B11B7">
            <w:pPr>
              <w:jc w:val="right"/>
              <w:rPr>
                <w:color w:val="000000"/>
                <w:sz w:val="22"/>
                <w:szCs w:val="22"/>
              </w:rPr>
            </w:pPr>
            <w:r w:rsidRPr="00D618B7">
              <w:rPr>
                <w:color w:val="000000"/>
                <w:sz w:val="22"/>
                <w:szCs w:val="22"/>
              </w:rPr>
              <w:t>0.08</w:t>
            </w:r>
          </w:p>
        </w:tc>
        <w:tc>
          <w:tcPr>
            <w:tcW w:w="538" w:type="pct"/>
            <w:tcBorders>
              <w:top w:val="nil"/>
              <w:left w:val="nil"/>
              <w:bottom w:val="nil"/>
              <w:right w:val="nil"/>
            </w:tcBorders>
            <w:shd w:val="clear" w:color="000000" w:fill="FFFFFF"/>
            <w:noWrap/>
            <w:vAlign w:val="center"/>
            <w:hideMark/>
          </w:tcPr>
          <w:p w14:paraId="58215173" w14:textId="77777777" w:rsidR="00B53316" w:rsidRPr="00D618B7" w:rsidRDefault="00B53316" w:rsidP="004B11B7">
            <w:pPr>
              <w:jc w:val="right"/>
              <w:rPr>
                <w:color w:val="000000"/>
                <w:sz w:val="22"/>
                <w:szCs w:val="22"/>
              </w:rPr>
            </w:pPr>
            <w:r w:rsidRPr="00D618B7">
              <w:rPr>
                <w:color w:val="000000"/>
                <w:sz w:val="22"/>
                <w:szCs w:val="22"/>
              </w:rPr>
              <w:t>0.11</w:t>
            </w:r>
          </w:p>
        </w:tc>
        <w:tc>
          <w:tcPr>
            <w:tcW w:w="890" w:type="pct"/>
            <w:tcBorders>
              <w:top w:val="nil"/>
              <w:left w:val="nil"/>
              <w:bottom w:val="nil"/>
              <w:right w:val="nil"/>
            </w:tcBorders>
            <w:shd w:val="clear" w:color="000000" w:fill="FFFFFF"/>
            <w:noWrap/>
            <w:vAlign w:val="center"/>
            <w:hideMark/>
          </w:tcPr>
          <w:p w14:paraId="113E9D85" w14:textId="77777777" w:rsidR="00B53316" w:rsidRPr="00D618B7" w:rsidRDefault="00B53316" w:rsidP="004B11B7">
            <w:pPr>
              <w:jc w:val="right"/>
              <w:rPr>
                <w:color w:val="000000"/>
                <w:sz w:val="22"/>
                <w:szCs w:val="22"/>
              </w:rPr>
            </w:pPr>
            <w:r w:rsidRPr="00D618B7">
              <w:rPr>
                <w:color w:val="000000"/>
                <w:sz w:val="22"/>
                <w:szCs w:val="22"/>
              </w:rPr>
              <w:t>0.04</w:t>
            </w:r>
          </w:p>
        </w:tc>
        <w:tc>
          <w:tcPr>
            <w:tcW w:w="550" w:type="pct"/>
            <w:tcBorders>
              <w:top w:val="nil"/>
              <w:left w:val="nil"/>
              <w:bottom w:val="nil"/>
              <w:right w:val="nil"/>
            </w:tcBorders>
            <w:shd w:val="clear" w:color="000000" w:fill="FFFFFF"/>
            <w:noWrap/>
            <w:vAlign w:val="center"/>
            <w:hideMark/>
          </w:tcPr>
          <w:p w14:paraId="2A2DAAA5" w14:textId="77777777" w:rsidR="00B53316" w:rsidRPr="00D618B7" w:rsidRDefault="00B53316" w:rsidP="004B11B7">
            <w:pPr>
              <w:jc w:val="right"/>
              <w:rPr>
                <w:color w:val="000000"/>
                <w:sz w:val="22"/>
                <w:szCs w:val="22"/>
              </w:rPr>
            </w:pPr>
            <w:r w:rsidRPr="00D618B7">
              <w:rPr>
                <w:color w:val="000000"/>
                <w:sz w:val="22"/>
                <w:szCs w:val="22"/>
              </w:rPr>
              <w:t>10.38</w:t>
            </w:r>
          </w:p>
        </w:tc>
        <w:tc>
          <w:tcPr>
            <w:tcW w:w="879" w:type="pct"/>
            <w:tcBorders>
              <w:top w:val="nil"/>
              <w:left w:val="nil"/>
              <w:bottom w:val="nil"/>
              <w:right w:val="nil"/>
            </w:tcBorders>
            <w:shd w:val="clear" w:color="000000" w:fill="FFFFFF"/>
            <w:noWrap/>
            <w:vAlign w:val="center"/>
            <w:hideMark/>
          </w:tcPr>
          <w:p w14:paraId="34F83FAD" w14:textId="77777777" w:rsidR="00B53316" w:rsidRPr="00D618B7" w:rsidRDefault="00B53316" w:rsidP="004B11B7">
            <w:pPr>
              <w:jc w:val="right"/>
              <w:rPr>
                <w:color w:val="000000"/>
                <w:sz w:val="22"/>
                <w:szCs w:val="22"/>
              </w:rPr>
            </w:pPr>
            <w:r w:rsidRPr="00D618B7">
              <w:rPr>
                <w:color w:val="000000"/>
                <w:sz w:val="22"/>
                <w:szCs w:val="22"/>
              </w:rPr>
              <w:t>3.59</w:t>
            </w:r>
          </w:p>
        </w:tc>
      </w:tr>
      <w:tr w:rsidR="003B5FE0" w:rsidRPr="00D618B7" w14:paraId="6655BD69" w14:textId="77777777" w:rsidTr="003B5FE0">
        <w:trPr>
          <w:trHeight w:val="273"/>
        </w:trPr>
        <w:tc>
          <w:tcPr>
            <w:tcW w:w="714" w:type="pct"/>
            <w:tcBorders>
              <w:top w:val="nil"/>
              <w:left w:val="nil"/>
              <w:bottom w:val="nil"/>
              <w:right w:val="nil"/>
            </w:tcBorders>
            <w:shd w:val="clear" w:color="000000" w:fill="FFFFFF"/>
            <w:vAlign w:val="center"/>
            <w:hideMark/>
          </w:tcPr>
          <w:p w14:paraId="1938892A" w14:textId="77777777" w:rsidR="00B53316" w:rsidRPr="00D618B7" w:rsidRDefault="00B53316" w:rsidP="004B11B7">
            <w:pPr>
              <w:jc w:val="right"/>
              <w:rPr>
                <w:color w:val="000000"/>
                <w:sz w:val="22"/>
                <w:szCs w:val="22"/>
              </w:rPr>
            </w:pPr>
            <w:r w:rsidRPr="00D618B7">
              <w:rPr>
                <w:color w:val="000000"/>
                <w:sz w:val="22"/>
                <w:szCs w:val="22"/>
              </w:rPr>
              <w:t>1</w:t>
            </w:r>
          </w:p>
        </w:tc>
        <w:tc>
          <w:tcPr>
            <w:tcW w:w="550" w:type="pct"/>
            <w:tcBorders>
              <w:top w:val="nil"/>
              <w:left w:val="nil"/>
              <w:bottom w:val="nil"/>
              <w:right w:val="nil"/>
            </w:tcBorders>
            <w:shd w:val="clear" w:color="000000" w:fill="FFFFFF"/>
            <w:noWrap/>
            <w:vAlign w:val="center"/>
            <w:hideMark/>
          </w:tcPr>
          <w:p w14:paraId="28F2BCB1" w14:textId="77777777" w:rsidR="00B53316" w:rsidRPr="00D618B7" w:rsidRDefault="00B53316" w:rsidP="004B11B7">
            <w:pPr>
              <w:jc w:val="right"/>
              <w:rPr>
                <w:color w:val="000000"/>
                <w:sz w:val="22"/>
                <w:szCs w:val="22"/>
              </w:rPr>
            </w:pPr>
            <w:r w:rsidRPr="00D618B7">
              <w:rPr>
                <w:color w:val="000000"/>
                <w:sz w:val="22"/>
                <w:szCs w:val="22"/>
              </w:rPr>
              <w:t>0.07</w:t>
            </w:r>
          </w:p>
        </w:tc>
        <w:tc>
          <w:tcPr>
            <w:tcW w:w="876" w:type="pct"/>
            <w:tcBorders>
              <w:top w:val="nil"/>
              <w:left w:val="nil"/>
              <w:bottom w:val="nil"/>
              <w:right w:val="nil"/>
            </w:tcBorders>
            <w:shd w:val="clear" w:color="000000" w:fill="FFFFFF"/>
            <w:noWrap/>
            <w:vAlign w:val="center"/>
            <w:hideMark/>
          </w:tcPr>
          <w:p w14:paraId="033DA121" w14:textId="77777777" w:rsidR="00B53316" w:rsidRPr="00D618B7" w:rsidRDefault="00B53316" w:rsidP="004B11B7">
            <w:pPr>
              <w:jc w:val="right"/>
              <w:rPr>
                <w:color w:val="000000"/>
                <w:sz w:val="22"/>
                <w:szCs w:val="22"/>
              </w:rPr>
            </w:pPr>
            <w:r w:rsidRPr="00D618B7">
              <w:rPr>
                <w:color w:val="000000"/>
                <w:sz w:val="22"/>
                <w:szCs w:val="22"/>
              </w:rPr>
              <w:t>0.01</w:t>
            </w:r>
          </w:p>
        </w:tc>
        <w:tc>
          <w:tcPr>
            <w:tcW w:w="538" w:type="pct"/>
            <w:tcBorders>
              <w:top w:val="nil"/>
              <w:left w:val="nil"/>
              <w:bottom w:val="nil"/>
              <w:right w:val="nil"/>
            </w:tcBorders>
            <w:shd w:val="clear" w:color="000000" w:fill="FFFFFF"/>
            <w:noWrap/>
            <w:vAlign w:val="center"/>
            <w:hideMark/>
          </w:tcPr>
          <w:p w14:paraId="6E5B25C2" w14:textId="77777777" w:rsidR="00B53316" w:rsidRPr="00D618B7" w:rsidRDefault="00B53316" w:rsidP="004B11B7">
            <w:pPr>
              <w:jc w:val="right"/>
              <w:rPr>
                <w:color w:val="000000"/>
                <w:sz w:val="22"/>
                <w:szCs w:val="22"/>
              </w:rPr>
            </w:pPr>
            <w:r w:rsidRPr="00D618B7">
              <w:rPr>
                <w:color w:val="000000"/>
                <w:sz w:val="22"/>
                <w:szCs w:val="22"/>
              </w:rPr>
              <w:t>1.97</w:t>
            </w:r>
          </w:p>
        </w:tc>
        <w:tc>
          <w:tcPr>
            <w:tcW w:w="890" w:type="pct"/>
            <w:tcBorders>
              <w:top w:val="nil"/>
              <w:left w:val="nil"/>
              <w:bottom w:val="nil"/>
              <w:right w:val="nil"/>
            </w:tcBorders>
            <w:shd w:val="clear" w:color="000000" w:fill="FFFFFF"/>
            <w:noWrap/>
            <w:vAlign w:val="center"/>
            <w:hideMark/>
          </w:tcPr>
          <w:p w14:paraId="39C47B37" w14:textId="77777777" w:rsidR="00B53316" w:rsidRPr="00D618B7" w:rsidRDefault="00B53316" w:rsidP="004B11B7">
            <w:pPr>
              <w:jc w:val="right"/>
              <w:rPr>
                <w:color w:val="000000"/>
                <w:sz w:val="22"/>
                <w:szCs w:val="22"/>
              </w:rPr>
            </w:pPr>
            <w:r w:rsidRPr="00D618B7">
              <w:rPr>
                <w:color w:val="000000"/>
                <w:sz w:val="22"/>
                <w:szCs w:val="22"/>
              </w:rPr>
              <w:t>0.65</w:t>
            </w:r>
          </w:p>
        </w:tc>
        <w:tc>
          <w:tcPr>
            <w:tcW w:w="550" w:type="pct"/>
            <w:tcBorders>
              <w:top w:val="nil"/>
              <w:left w:val="nil"/>
              <w:bottom w:val="nil"/>
              <w:right w:val="nil"/>
            </w:tcBorders>
            <w:shd w:val="clear" w:color="000000" w:fill="FFFFFF"/>
            <w:noWrap/>
            <w:vAlign w:val="center"/>
            <w:hideMark/>
          </w:tcPr>
          <w:p w14:paraId="41B7C193" w14:textId="77777777" w:rsidR="00B53316" w:rsidRPr="00D618B7" w:rsidRDefault="00B53316" w:rsidP="004B11B7">
            <w:pPr>
              <w:jc w:val="right"/>
              <w:rPr>
                <w:color w:val="000000"/>
                <w:sz w:val="22"/>
                <w:szCs w:val="22"/>
              </w:rPr>
            </w:pPr>
            <w:r w:rsidRPr="00D618B7">
              <w:rPr>
                <w:color w:val="000000"/>
                <w:sz w:val="22"/>
                <w:szCs w:val="22"/>
              </w:rPr>
              <w:t>2.15</w:t>
            </w:r>
          </w:p>
        </w:tc>
        <w:tc>
          <w:tcPr>
            <w:tcW w:w="879" w:type="pct"/>
            <w:tcBorders>
              <w:top w:val="nil"/>
              <w:left w:val="nil"/>
              <w:bottom w:val="nil"/>
              <w:right w:val="nil"/>
            </w:tcBorders>
            <w:shd w:val="clear" w:color="000000" w:fill="FFFFFF"/>
            <w:noWrap/>
            <w:vAlign w:val="center"/>
            <w:hideMark/>
          </w:tcPr>
          <w:p w14:paraId="418A0104" w14:textId="77777777" w:rsidR="00B53316" w:rsidRPr="00D618B7" w:rsidRDefault="00B53316" w:rsidP="004B11B7">
            <w:pPr>
              <w:jc w:val="right"/>
              <w:rPr>
                <w:color w:val="000000"/>
                <w:sz w:val="22"/>
                <w:szCs w:val="22"/>
              </w:rPr>
            </w:pPr>
            <w:r w:rsidRPr="00D618B7">
              <w:rPr>
                <w:color w:val="000000"/>
                <w:sz w:val="22"/>
                <w:szCs w:val="22"/>
              </w:rPr>
              <w:t>1.52</w:t>
            </w:r>
          </w:p>
        </w:tc>
      </w:tr>
      <w:tr w:rsidR="003B5FE0" w:rsidRPr="00D618B7" w14:paraId="28451CE6" w14:textId="77777777" w:rsidTr="003B5FE0">
        <w:trPr>
          <w:trHeight w:val="273"/>
        </w:trPr>
        <w:tc>
          <w:tcPr>
            <w:tcW w:w="714" w:type="pct"/>
            <w:tcBorders>
              <w:top w:val="nil"/>
              <w:left w:val="nil"/>
              <w:bottom w:val="nil"/>
              <w:right w:val="nil"/>
            </w:tcBorders>
            <w:shd w:val="clear" w:color="000000" w:fill="FFFFFF"/>
            <w:vAlign w:val="center"/>
            <w:hideMark/>
          </w:tcPr>
          <w:p w14:paraId="02503F83" w14:textId="77777777" w:rsidR="00B53316" w:rsidRPr="00D618B7" w:rsidRDefault="00B53316" w:rsidP="004B11B7">
            <w:pPr>
              <w:jc w:val="right"/>
              <w:rPr>
                <w:color w:val="000000"/>
                <w:sz w:val="22"/>
                <w:szCs w:val="22"/>
              </w:rPr>
            </w:pPr>
            <w:r w:rsidRPr="00D618B7">
              <w:rPr>
                <w:color w:val="000000"/>
                <w:sz w:val="22"/>
                <w:szCs w:val="22"/>
              </w:rPr>
              <w:t>2</w:t>
            </w:r>
          </w:p>
        </w:tc>
        <w:tc>
          <w:tcPr>
            <w:tcW w:w="550" w:type="pct"/>
            <w:tcBorders>
              <w:top w:val="nil"/>
              <w:left w:val="nil"/>
              <w:bottom w:val="nil"/>
              <w:right w:val="nil"/>
            </w:tcBorders>
            <w:shd w:val="clear" w:color="000000" w:fill="FFFFFF"/>
            <w:noWrap/>
            <w:vAlign w:val="center"/>
            <w:hideMark/>
          </w:tcPr>
          <w:p w14:paraId="5BA13A50" w14:textId="77777777" w:rsidR="00B53316" w:rsidRPr="00D618B7" w:rsidRDefault="00B53316" w:rsidP="004B11B7">
            <w:pPr>
              <w:jc w:val="right"/>
              <w:rPr>
                <w:color w:val="000000"/>
                <w:sz w:val="22"/>
                <w:szCs w:val="22"/>
              </w:rPr>
            </w:pPr>
            <w:r w:rsidRPr="00D618B7">
              <w:rPr>
                <w:color w:val="000000"/>
                <w:sz w:val="22"/>
                <w:szCs w:val="22"/>
              </w:rPr>
              <w:t>0.00</w:t>
            </w:r>
          </w:p>
        </w:tc>
        <w:tc>
          <w:tcPr>
            <w:tcW w:w="876" w:type="pct"/>
            <w:tcBorders>
              <w:top w:val="nil"/>
              <w:left w:val="nil"/>
              <w:bottom w:val="nil"/>
              <w:right w:val="nil"/>
            </w:tcBorders>
            <w:shd w:val="clear" w:color="000000" w:fill="FFFFFF"/>
            <w:noWrap/>
            <w:vAlign w:val="center"/>
            <w:hideMark/>
          </w:tcPr>
          <w:p w14:paraId="5346F1F8" w14:textId="77777777" w:rsidR="00B53316" w:rsidRPr="00D618B7" w:rsidRDefault="00B53316" w:rsidP="004B11B7">
            <w:pPr>
              <w:jc w:val="right"/>
              <w:rPr>
                <w:color w:val="000000"/>
                <w:sz w:val="22"/>
                <w:szCs w:val="22"/>
              </w:rPr>
            </w:pPr>
            <w:r w:rsidRPr="00D618B7">
              <w:rPr>
                <w:color w:val="000000"/>
                <w:sz w:val="22"/>
                <w:szCs w:val="22"/>
              </w:rPr>
              <w:t>0.08</w:t>
            </w:r>
          </w:p>
        </w:tc>
        <w:tc>
          <w:tcPr>
            <w:tcW w:w="538" w:type="pct"/>
            <w:tcBorders>
              <w:top w:val="nil"/>
              <w:left w:val="nil"/>
              <w:bottom w:val="nil"/>
              <w:right w:val="nil"/>
            </w:tcBorders>
            <w:shd w:val="clear" w:color="000000" w:fill="FFFFFF"/>
            <w:noWrap/>
            <w:vAlign w:val="center"/>
            <w:hideMark/>
          </w:tcPr>
          <w:p w14:paraId="63BD9EF1" w14:textId="77777777" w:rsidR="00B53316" w:rsidRPr="00D618B7" w:rsidRDefault="00B53316" w:rsidP="004B11B7">
            <w:pPr>
              <w:jc w:val="right"/>
              <w:rPr>
                <w:color w:val="000000"/>
                <w:sz w:val="22"/>
                <w:szCs w:val="22"/>
              </w:rPr>
            </w:pPr>
            <w:r w:rsidRPr="00D618B7">
              <w:rPr>
                <w:color w:val="000000"/>
                <w:sz w:val="22"/>
                <w:szCs w:val="22"/>
              </w:rPr>
              <w:t>0.14</w:t>
            </w:r>
          </w:p>
        </w:tc>
        <w:tc>
          <w:tcPr>
            <w:tcW w:w="890" w:type="pct"/>
            <w:tcBorders>
              <w:top w:val="nil"/>
              <w:left w:val="nil"/>
              <w:bottom w:val="nil"/>
              <w:right w:val="nil"/>
            </w:tcBorders>
            <w:shd w:val="clear" w:color="000000" w:fill="FFFFFF"/>
            <w:noWrap/>
            <w:vAlign w:val="center"/>
            <w:hideMark/>
          </w:tcPr>
          <w:p w14:paraId="7C877A4F" w14:textId="77777777" w:rsidR="00B53316" w:rsidRPr="00D618B7" w:rsidRDefault="00B53316" w:rsidP="004B11B7">
            <w:pPr>
              <w:jc w:val="right"/>
              <w:rPr>
                <w:color w:val="000000"/>
                <w:sz w:val="22"/>
                <w:szCs w:val="22"/>
              </w:rPr>
            </w:pPr>
            <w:r w:rsidRPr="00D618B7">
              <w:rPr>
                <w:color w:val="000000"/>
                <w:sz w:val="22"/>
                <w:szCs w:val="22"/>
              </w:rPr>
              <w:t>0.36</w:t>
            </w:r>
          </w:p>
        </w:tc>
        <w:tc>
          <w:tcPr>
            <w:tcW w:w="550" w:type="pct"/>
            <w:tcBorders>
              <w:top w:val="nil"/>
              <w:left w:val="nil"/>
              <w:bottom w:val="nil"/>
              <w:right w:val="nil"/>
            </w:tcBorders>
            <w:shd w:val="clear" w:color="000000" w:fill="FFFFFF"/>
            <w:noWrap/>
            <w:vAlign w:val="center"/>
            <w:hideMark/>
          </w:tcPr>
          <w:p w14:paraId="746C2514" w14:textId="77777777" w:rsidR="00B53316" w:rsidRPr="00D618B7" w:rsidRDefault="00B53316" w:rsidP="004B11B7">
            <w:pPr>
              <w:jc w:val="right"/>
              <w:rPr>
                <w:color w:val="000000"/>
                <w:sz w:val="22"/>
                <w:szCs w:val="22"/>
              </w:rPr>
            </w:pPr>
            <w:r w:rsidRPr="00D618B7">
              <w:rPr>
                <w:color w:val="000000"/>
                <w:sz w:val="22"/>
                <w:szCs w:val="22"/>
              </w:rPr>
              <w:t>-0.14</w:t>
            </w:r>
          </w:p>
        </w:tc>
        <w:tc>
          <w:tcPr>
            <w:tcW w:w="879" w:type="pct"/>
            <w:tcBorders>
              <w:top w:val="nil"/>
              <w:left w:val="nil"/>
              <w:bottom w:val="nil"/>
              <w:right w:val="nil"/>
            </w:tcBorders>
            <w:shd w:val="clear" w:color="000000" w:fill="FFFFFF"/>
            <w:noWrap/>
            <w:vAlign w:val="center"/>
            <w:hideMark/>
          </w:tcPr>
          <w:p w14:paraId="73D75E2F" w14:textId="77777777" w:rsidR="00B53316" w:rsidRPr="00D618B7" w:rsidRDefault="00B53316" w:rsidP="004B11B7">
            <w:pPr>
              <w:jc w:val="right"/>
              <w:rPr>
                <w:color w:val="000000"/>
                <w:sz w:val="22"/>
                <w:szCs w:val="22"/>
              </w:rPr>
            </w:pPr>
            <w:r w:rsidRPr="00D618B7">
              <w:rPr>
                <w:color w:val="000000"/>
                <w:sz w:val="22"/>
                <w:szCs w:val="22"/>
              </w:rPr>
              <w:t>0.89</w:t>
            </w:r>
          </w:p>
        </w:tc>
      </w:tr>
      <w:tr w:rsidR="003B5FE0" w:rsidRPr="00D618B7" w14:paraId="56F9B3CD" w14:textId="77777777" w:rsidTr="003B5FE0">
        <w:trPr>
          <w:trHeight w:val="273"/>
        </w:trPr>
        <w:tc>
          <w:tcPr>
            <w:tcW w:w="714" w:type="pct"/>
            <w:tcBorders>
              <w:top w:val="nil"/>
              <w:left w:val="nil"/>
              <w:bottom w:val="nil"/>
              <w:right w:val="nil"/>
            </w:tcBorders>
            <w:shd w:val="clear" w:color="000000" w:fill="FFFFFF"/>
            <w:vAlign w:val="center"/>
            <w:hideMark/>
          </w:tcPr>
          <w:p w14:paraId="7E7265B6" w14:textId="77777777" w:rsidR="00B53316" w:rsidRPr="00D618B7" w:rsidRDefault="00B53316" w:rsidP="004B11B7">
            <w:pPr>
              <w:jc w:val="right"/>
              <w:rPr>
                <w:color w:val="000000"/>
                <w:sz w:val="22"/>
                <w:szCs w:val="22"/>
              </w:rPr>
            </w:pPr>
            <w:r w:rsidRPr="00D618B7">
              <w:rPr>
                <w:color w:val="000000"/>
                <w:sz w:val="22"/>
                <w:szCs w:val="22"/>
              </w:rPr>
              <w:t>3</w:t>
            </w:r>
          </w:p>
        </w:tc>
        <w:tc>
          <w:tcPr>
            <w:tcW w:w="550" w:type="pct"/>
            <w:tcBorders>
              <w:top w:val="nil"/>
              <w:left w:val="nil"/>
              <w:bottom w:val="nil"/>
              <w:right w:val="nil"/>
            </w:tcBorders>
            <w:shd w:val="clear" w:color="000000" w:fill="FFFFFF"/>
            <w:noWrap/>
            <w:vAlign w:val="center"/>
            <w:hideMark/>
          </w:tcPr>
          <w:p w14:paraId="05B5063C" w14:textId="77777777" w:rsidR="00B53316" w:rsidRPr="00D618B7" w:rsidRDefault="00B53316" w:rsidP="004B11B7">
            <w:pPr>
              <w:jc w:val="right"/>
              <w:rPr>
                <w:color w:val="000000"/>
                <w:sz w:val="22"/>
                <w:szCs w:val="22"/>
              </w:rPr>
            </w:pPr>
            <w:r w:rsidRPr="00D618B7">
              <w:rPr>
                <w:color w:val="000000"/>
                <w:sz w:val="22"/>
                <w:szCs w:val="22"/>
              </w:rPr>
              <w:t>0.02</w:t>
            </w:r>
          </w:p>
        </w:tc>
        <w:tc>
          <w:tcPr>
            <w:tcW w:w="876" w:type="pct"/>
            <w:tcBorders>
              <w:top w:val="nil"/>
              <w:left w:val="nil"/>
              <w:bottom w:val="nil"/>
              <w:right w:val="nil"/>
            </w:tcBorders>
            <w:shd w:val="clear" w:color="000000" w:fill="FFFFFF"/>
            <w:noWrap/>
            <w:vAlign w:val="center"/>
            <w:hideMark/>
          </w:tcPr>
          <w:p w14:paraId="0CBCDCE1" w14:textId="77777777" w:rsidR="00B53316" w:rsidRPr="00D618B7" w:rsidRDefault="00B53316" w:rsidP="004B11B7">
            <w:pPr>
              <w:jc w:val="right"/>
              <w:rPr>
                <w:color w:val="000000"/>
                <w:sz w:val="22"/>
                <w:szCs w:val="22"/>
              </w:rPr>
            </w:pPr>
            <w:r w:rsidRPr="00D618B7">
              <w:rPr>
                <w:color w:val="000000"/>
                <w:sz w:val="22"/>
                <w:szCs w:val="22"/>
              </w:rPr>
              <w:t>0.14</w:t>
            </w:r>
          </w:p>
        </w:tc>
        <w:tc>
          <w:tcPr>
            <w:tcW w:w="538" w:type="pct"/>
            <w:tcBorders>
              <w:top w:val="nil"/>
              <w:left w:val="nil"/>
              <w:bottom w:val="nil"/>
              <w:right w:val="nil"/>
            </w:tcBorders>
            <w:shd w:val="clear" w:color="000000" w:fill="FFFFFF"/>
            <w:noWrap/>
            <w:vAlign w:val="center"/>
            <w:hideMark/>
          </w:tcPr>
          <w:p w14:paraId="4472563D" w14:textId="77777777" w:rsidR="00B53316" w:rsidRPr="00D618B7" w:rsidRDefault="00B53316" w:rsidP="004B11B7">
            <w:pPr>
              <w:jc w:val="right"/>
              <w:rPr>
                <w:color w:val="000000"/>
                <w:sz w:val="22"/>
                <w:szCs w:val="22"/>
              </w:rPr>
            </w:pPr>
            <w:r w:rsidRPr="00D618B7">
              <w:rPr>
                <w:color w:val="000000"/>
                <w:sz w:val="22"/>
                <w:szCs w:val="22"/>
              </w:rPr>
              <w:t>-1.00</w:t>
            </w:r>
          </w:p>
        </w:tc>
        <w:tc>
          <w:tcPr>
            <w:tcW w:w="890" w:type="pct"/>
            <w:tcBorders>
              <w:top w:val="nil"/>
              <w:left w:val="nil"/>
              <w:bottom w:val="nil"/>
              <w:right w:val="nil"/>
            </w:tcBorders>
            <w:shd w:val="clear" w:color="000000" w:fill="FFFFFF"/>
            <w:noWrap/>
            <w:vAlign w:val="center"/>
            <w:hideMark/>
          </w:tcPr>
          <w:p w14:paraId="71634C55" w14:textId="77777777" w:rsidR="00B53316" w:rsidRPr="00D618B7" w:rsidRDefault="00B53316" w:rsidP="004B11B7">
            <w:pPr>
              <w:jc w:val="right"/>
              <w:rPr>
                <w:color w:val="000000"/>
                <w:sz w:val="22"/>
                <w:szCs w:val="22"/>
              </w:rPr>
            </w:pPr>
            <w:r w:rsidRPr="00D618B7">
              <w:rPr>
                <w:color w:val="000000"/>
                <w:sz w:val="22"/>
                <w:szCs w:val="22"/>
              </w:rPr>
              <w:t>0.30</w:t>
            </w:r>
          </w:p>
        </w:tc>
        <w:tc>
          <w:tcPr>
            <w:tcW w:w="550" w:type="pct"/>
            <w:tcBorders>
              <w:top w:val="nil"/>
              <w:left w:val="nil"/>
              <w:bottom w:val="nil"/>
              <w:right w:val="nil"/>
            </w:tcBorders>
            <w:shd w:val="clear" w:color="000000" w:fill="FFFFFF"/>
            <w:noWrap/>
            <w:vAlign w:val="center"/>
            <w:hideMark/>
          </w:tcPr>
          <w:p w14:paraId="0974417C" w14:textId="77777777" w:rsidR="00B53316" w:rsidRPr="00D618B7" w:rsidRDefault="00B53316" w:rsidP="004B11B7">
            <w:pPr>
              <w:jc w:val="right"/>
              <w:rPr>
                <w:color w:val="000000"/>
                <w:sz w:val="22"/>
                <w:szCs w:val="22"/>
              </w:rPr>
            </w:pPr>
            <w:r w:rsidRPr="00D618B7">
              <w:rPr>
                <w:color w:val="000000"/>
                <w:sz w:val="22"/>
                <w:szCs w:val="22"/>
              </w:rPr>
              <w:t>2.91</w:t>
            </w:r>
          </w:p>
        </w:tc>
        <w:tc>
          <w:tcPr>
            <w:tcW w:w="879" w:type="pct"/>
            <w:tcBorders>
              <w:top w:val="nil"/>
              <w:left w:val="nil"/>
              <w:bottom w:val="nil"/>
              <w:right w:val="nil"/>
            </w:tcBorders>
            <w:shd w:val="clear" w:color="000000" w:fill="FFFFFF"/>
            <w:noWrap/>
            <w:vAlign w:val="center"/>
            <w:hideMark/>
          </w:tcPr>
          <w:p w14:paraId="4C00D50A" w14:textId="77777777" w:rsidR="00B53316" w:rsidRPr="00D618B7" w:rsidRDefault="00B53316" w:rsidP="004B11B7">
            <w:pPr>
              <w:jc w:val="right"/>
              <w:rPr>
                <w:color w:val="000000"/>
                <w:sz w:val="22"/>
                <w:szCs w:val="22"/>
              </w:rPr>
            </w:pPr>
            <w:r w:rsidRPr="00D618B7">
              <w:rPr>
                <w:color w:val="000000"/>
                <w:sz w:val="22"/>
                <w:szCs w:val="22"/>
              </w:rPr>
              <w:t>0.57</w:t>
            </w:r>
          </w:p>
        </w:tc>
      </w:tr>
      <w:tr w:rsidR="003B5FE0" w:rsidRPr="00D618B7" w14:paraId="59343E84" w14:textId="77777777" w:rsidTr="003B5FE0">
        <w:trPr>
          <w:trHeight w:val="273"/>
        </w:trPr>
        <w:tc>
          <w:tcPr>
            <w:tcW w:w="714" w:type="pct"/>
            <w:tcBorders>
              <w:top w:val="nil"/>
              <w:left w:val="nil"/>
              <w:bottom w:val="nil"/>
              <w:right w:val="nil"/>
            </w:tcBorders>
            <w:shd w:val="clear" w:color="000000" w:fill="FFFFFF"/>
            <w:vAlign w:val="center"/>
            <w:hideMark/>
          </w:tcPr>
          <w:p w14:paraId="4473B124" w14:textId="77777777" w:rsidR="00B53316" w:rsidRPr="00D618B7" w:rsidRDefault="00B53316" w:rsidP="004B11B7">
            <w:pPr>
              <w:jc w:val="right"/>
              <w:rPr>
                <w:color w:val="000000"/>
                <w:sz w:val="22"/>
                <w:szCs w:val="22"/>
              </w:rPr>
            </w:pPr>
            <w:r w:rsidRPr="00D618B7">
              <w:rPr>
                <w:color w:val="000000"/>
                <w:sz w:val="22"/>
                <w:szCs w:val="22"/>
              </w:rPr>
              <w:t>4</w:t>
            </w:r>
          </w:p>
        </w:tc>
        <w:tc>
          <w:tcPr>
            <w:tcW w:w="550" w:type="pct"/>
            <w:tcBorders>
              <w:top w:val="nil"/>
              <w:left w:val="nil"/>
              <w:bottom w:val="nil"/>
              <w:right w:val="nil"/>
            </w:tcBorders>
            <w:shd w:val="clear" w:color="000000" w:fill="FFFFFF"/>
            <w:noWrap/>
            <w:vAlign w:val="center"/>
            <w:hideMark/>
          </w:tcPr>
          <w:p w14:paraId="255F7A9C" w14:textId="77777777" w:rsidR="00B53316" w:rsidRPr="00D618B7" w:rsidRDefault="00B53316" w:rsidP="004B11B7">
            <w:pPr>
              <w:jc w:val="right"/>
              <w:rPr>
                <w:color w:val="000000"/>
                <w:sz w:val="22"/>
                <w:szCs w:val="22"/>
              </w:rPr>
            </w:pPr>
            <w:r w:rsidRPr="00D618B7">
              <w:rPr>
                <w:color w:val="000000"/>
                <w:sz w:val="22"/>
                <w:szCs w:val="22"/>
              </w:rPr>
              <w:t>-0.06</w:t>
            </w:r>
          </w:p>
        </w:tc>
        <w:tc>
          <w:tcPr>
            <w:tcW w:w="876" w:type="pct"/>
            <w:tcBorders>
              <w:top w:val="nil"/>
              <w:left w:val="nil"/>
              <w:bottom w:val="nil"/>
              <w:right w:val="nil"/>
            </w:tcBorders>
            <w:shd w:val="clear" w:color="000000" w:fill="FFFFFF"/>
            <w:noWrap/>
            <w:vAlign w:val="center"/>
            <w:hideMark/>
          </w:tcPr>
          <w:p w14:paraId="5AEF85EA" w14:textId="77777777" w:rsidR="00B53316" w:rsidRPr="00D618B7" w:rsidRDefault="00B53316" w:rsidP="004B11B7">
            <w:pPr>
              <w:jc w:val="right"/>
              <w:rPr>
                <w:color w:val="000000"/>
                <w:sz w:val="22"/>
                <w:szCs w:val="22"/>
              </w:rPr>
            </w:pPr>
            <w:r w:rsidRPr="00D618B7">
              <w:rPr>
                <w:color w:val="000000"/>
                <w:sz w:val="22"/>
                <w:szCs w:val="22"/>
              </w:rPr>
              <w:t>0.09</w:t>
            </w:r>
          </w:p>
        </w:tc>
        <w:tc>
          <w:tcPr>
            <w:tcW w:w="538" w:type="pct"/>
            <w:tcBorders>
              <w:top w:val="nil"/>
              <w:left w:val="nil"/>
              <w:bottom w:val="nil"/>
              <w:right w:val="nil"/>
            </w:tcBorders>
            <w:shd w:val="clear" w:color="000000" w:fill="FFFFFF"/>
            <w:noWrap/>
            <w:vAlign w:val="center"/>
            <w:hideMark/>
          </w:tcPr>
          <w:p w14:paraId="31F15AA5" w14:textId="77777777" w:rsidR="00B53316" w:rsidRPr="00D618B7" w:rsidRDefault="00B53316" w:rsidP="004B11B7">
            <w:pPr>
              <w:jc w:val="right"/>
              <w:rPr>
                <w:color w:val="000000"/>
                <w:sz w:val="22"/>
                <w:szCs w:val="22"/>
              </w:rPr>
            </w:pPr>
            <w:r w:rsidRPr="00D618B7">
              <w:rPr>
                <w:color w:val="000000"/>
                <w:sz w:val="22"/>
                <w:szCs w:val="22"/>
              </w:rPr>
              <w:t>-0.37</w:t>
            </w:r>
          </w:p>
        </w:tc>
        <w:tc>
          <w:tcPr>
            <w:tcW w:w="890" w:type="pct"/>
            <w:tcBorders>
              <w:top w:val="nil"/>
              <w:left w:val="nil"/>
              <w:bottom w:val="nil"/>
              <w:right w:val="nil"/>
            </w:tcBorders>
            <w:shd w:val="clear" w:color="000000" w:fill="FFFFFF"/>
            <w:noWrap/>
            <w:vAlign w:val="center"/>
            <w:hideMark/>
          </w:tcPr>
          <w:p w14:paraId="132F305B" w14:textId="77777777" w:rsidR="00B53316" w:rsidRPr="00D618B7" w:rsidRDefault="00B53316" w:rsidP="004B11B7">
            <w:pPr>
              <w:jc w:val="right"/>
              <w:rPr>
                <w:color w:val="000000"/>
                <w:sz w:val="22"/>
                <w:szCs w:val="22"/>
              </w:rPr>
            </w:pPr>
            <w:r w:rsidRPr="00D618B7">
              <w:rPr>
                <w:color w:val="000000"/>
                <w:sz w:val="22"/>
                <w:szCs w:val="22"/>
              </w:rPr>
              <w:t>0.45</w:t>
            </w:r>
          </w:p>
        </w:tc>
        <w:tc>
          <w:tcPr>
            <w:tcW w:w="550" w:type="pct"/>
            <w:tcBorders>
              <w:top w:val="nil"/>
              <w:left w:val="nil"/>
              <w:bottom w:val="nil"/>
              <w:right w:val="nil"/>
            </w:tcBorders>
            <w:shd w:val="clear" w:color="000000" w:fill="FFFFFF"/>
            <w:noWrap/>
            <w:vAlign w:val="center"/>
            <w:hideMark/>
          </w:tcPr>
          <w:p w14:paraId="145EC051" w14:textId="77777777" w:rsidR="00B53316" w:rsidRPr="00D618B7" w:rsidRDefault="00B53316" w:rsidP="004B11B7">
            <w:pPr>
              <w:jc w:val="right"/>
              <w:rPr>
                <w:color w:val="000000"/>
                <w:sz w:val="22"/>
                <w:szCs w:val="22"/>
              </w:rPr>
            </w:pPr>
            <w:r w:rsidRPr="00D618B7">
              <w:rPr>
                <w:color w:val="000000"/>
                <w:sz w:val="22"/>
                <w:szCs w:val="22"/>
              </w:rPr>
              <w:t>1.00</w:t>
            </w:r>
          </w:p>
        </w:tc>
        <w:tc>
          <w:tcPr>
            <w:tcW w:w="879" w:type="pct"/>
            <w:tcBorders>
              <w:top w:val="nil"/>
              <w:left w:val="nil"/>
              <w:bottom w:val="nil"/>
              <w:right w:val="nil"/>
            </w:tcBorders>
            <w:shd w:val="clear" w:color="000000" w:fill="FFFFFF"/>
            <w:noWrap/>
            <w:vAlign w:val="center"/>
            <w:hideMark/>
          </w:tcPr>
          <w:p w14:paraId="1204B22E" w14:textId="77777777" w:rsidR="00B53316" w:rsidRPr="00D618B7" w:rsidRDefault="00B53316" w:rsidP="004B11B7">
            <w:pPr>
              <w:jc w:val="right"/>
              <w:rPr>
                <w:color w:val="000000"/>
                <w:sz w:val="22"/>
                <w:szCs w:val="22"/>
              </w:rPr>
            </w:pPr>
            <w:r w:rsidRPr="00D618B7">
              <w:rPr>
                <w:color w:val="000000"/>
                <w:sz w:val="22"/>
                <w:szCs w:val="22"/>
              </w:rPr>
              <w:t>0.99</w:t>
            </w:r>
          </w:p>
        </w:tc>
      </w:tr>
      <w:tr w:rsidR="003B5FE0" w:rsidRPr="00D618B7" w14:paraId="48A8E898" w14:textId="77777777" w:rsidTr="003B5FE0">
        <w:trPr>
          <w:trHeight w:val="273"/>
        </w:trPr>
        <w:tc>
          <w:tcPr>
            <w:tcW w:w="714" w:type="pct"/>
            <w:tcBorders>
              <w:top w:val="nil"/>
              <w:left w:val="nil"/>
              <w:bottom w:val="single" w:sz="8" w:space="0" w:color="auto"/>
              <w:right w:val="nil"/>
            </w:tcBorders>
            <w:shd w:val="clear" w:color="000000" w:fill="FFFFFF"/>
            <w:vAlign w:val="center"/>
            <w:hideMark/>
          </w:tcPr>
          <w:p w14:paraId="444F2372" w14:textId="77777777" w:rsidR="00B53316" w:rsidRPr="00D618B7" w:rsidRDefault="00B53316" w:rsidP="004B11B7">
            <w:pPr>
              <w:jc w:val="right"/>
              <w:rPr>
                <w:color w:val="000000"/>
                <w:sz w:val="22"/>
                <w:szCs w:val="22"/>
              </w:rPr>
            </w:pPr>
            <w:r w:rsidRPr="00D618B7">
              <w:rPr>
                <w:color w:val="000000"/>
                <w:sz w:val="22"/>
                <w:szCs w:val="22"/>
              </w:rPr>
              <w:t>5</w:t>
            </w:r>
          </w:p>
        </w:tc>
        <w:tc>
          <w:tcPr>
            <w:tcW w:w="550" w:type="pct"/>
            <w:tcBorders>
              <w:top w:val="nil"/>
              <w:left w:val="nil"/>
              <w:bottom w:val="single" w:sz="8" w:space="0" w:color="auto"/>
              <w:right w:val="nil"/>
            </w:tcBorders>
            <w:shd w:val="clear" w:color="000000" w:fill="FFFFFF"/>
            <w:noWrap/>
            <w:vAlign w:val="center"/>
            <w:hideMark/>
          </w:tcPr>
          <w:p w14:paraId="2B0FAFEC" w14:textId="77777777" w:rsidR="00B53316" w:rsidRPr="00D618B7" w:rsidRDefault="00B53316" w:rsidP="004B11B7">
            <w:pPr>
              <w:jc w:val="right"/>
              <w:rPr>
                <w:color w:val="000000"/>
                <w:sz w:val="22"/>
                <w:szCs w:val="22"/>
              </w:rPr>
            </w:pPr>
            <w:r w:rsidRPr="00D618B7">
              <w:rPr>
                <w:color w:val="000000"/>
                <w:sz w:val="22"/>
                <w:szCs w:val="22"/>
              </w:rPr>
              <w:t>-0.13</w:t>
            </w:r>
          </w:p>
        </w:tc>
        <w:tc>
          <w:tcPr>
            <w:tcW w:w="876" w:type="pct"/>
            <w:tcBorders>
              <w:top w:val="nil"/>
              <w:left w:val="nil"/>
              <w:bottom w:val="single" w:sz="8" w:space="0" w:color="auto"/>
              <w:right w:val="nil"/>
            </w:tcBorders>
            <w:shd w:val="clear" w:color="000000" w:fill="FFFFFF"/>
            <w:noWrap/>
            <w:vAlign w:val="center"/>
            <w:hideMark/>
          </w:tcPr>
          <w:p w14:paraId="13DCAC9B" w14:textId="77777777" w:rsidR="00B53316" w:rsidRPr="00D618B7" w:rsidRDefault="00B53316" w:rsidP="004B11B7">
            <w:pPr>
              <w:jc w:val="right"/>
              <w:rPr>
                <w:color w:val="000000"/>
                <w:sz w:val="22"/>
                <w:szCs w:val="22"/>
              </w:rPr>
            </w:pPr>
            <w:r w:rsidRPr="00D618B7">
              <w:rPr>
                <w:color w:val="000000"/>
                <w:sz w:val="22"/>
                <w:szCs w:val="22"/>
              </w:rPr>
              <w:t>0.10</w:t>
            </w:r>
          </w:p>
        </w:tc>
        <w:tc>
          <w:tcPr>
            <w:tcW w:w="538" w:type="pct"/>
            <w:tcBorders>
              <w:top w:val="nil"/>
              <w:left w:val="nil"/>
              <w:bottom w:val="single" w:sz="8" w:space="0" w:color="auto"/>
              <w:right w:val="nil"/>
            </w:tcBorders>
            <w:shd w:val="clear" w:color="000000" w:fill="FFFFFF"/>
            <w:noWrap/>
            <w:vAlign w:val="center"/>
            <w:hideMark/>
          </w:tcPr>
          <w:p w14:paraId="13D66ECF" w14:textId="77777777" w:rsidR="00B53316" w:rsidRPr="00D618B7" w:rsidRDefault="00B53316" w:rsidP="004B11B7">
            <w:pPr>
              <w:jc w:val="right"/>
              <w:rPr>
                <w:color w:val="000000"/>
                <w:sz w:val="22"/>
                <w:szCs w:val="22"/>
              </w:rPr>
            </w:pPr>
            <w:r w:rsidRPr="00D618B7">
              <w:rPr>
                <w:color w:val="000000"/>
                <w:sz w:val="22"/>
                <w:szCs w:val="22"/>
              </w:rPr>
              <w:t>0.70</w:t>
            </w:r>
          </w:p>
        </w:tc>
        <w:tc>
          <w:tcPr>
            <w:tcW w:w="890" w:type="pct"/>
            <w:tcBorders>
              <w:top w:val="nil"/>
              <w:left w:val="nil"/>
              <w:bottom w:val="single" w:sz="8" w:space="0" w:color="auto"/>
              <w:right w:val="nil"/>
            </w:tcBorders>
            <w:shd w:val="clear" w:color="000000" w:fill="FFFFFF"/>
            <w:noWrap/>
            <w:vAlign w:val="center"/>
            <w:hideMark/>
          </w:tcPr>
          <w:p w14:paraId="2465AD07" w14:textId="77777777" w:rsidR="00B53316" w:rsidRPr="00D618B7" w:rsidRDefault="00B53316" w:rsidP="004B11B7">
            <w:pPr>
              <w:jc w:val="right"/>
              <w:rPr>
                <w:color w:val="000000"/>
                <w:sz w:val="22"/>
                <w:szCs w:val="22"/>
              </w:rPr>
            </w:pPr>
            <w:r w:rsidRPr="00D618B7">
              <w:rPr>
                <w:color w:val="000000"/>
                <w:sz w:val="22"/>
                <w:szCs w:val="22"/>
              </w:rPr>
              <w:t>0.44</w:t>
            </w:r>
          </w:p>
        </w:tc>
        <w:tc>
          <w:tcPr>
            <w:tcW w:w="550" w:type="pct"/>
            <w:tcBorders>
              <w:top w:val="nil"/>
              <w:left w:val="nil"/>
              <w:bottom w:val="single" w:sz="8" w:space="0" w:color="auto"/>
              <w:right w:val="nil"/>
            </w:tcBorders>
            <w:shd w:val="clear" w:color="000000" w:fill="FFFFFF"/>
            <w:noWrap/>
            <w:vAlign w:val="center"/>
            <w:hideMark/>
          </w:tcPr>
          <w:p w14:paraId="6BABB75D" w14:textId="77777777" w:rsidR="00B53316" w:rsidRPr="00D618B7" w:rsidRDefault="00B53316" w:rsidP="004B11B7">
            <w:pPr>
              <w:jc w:val="right"/>
              <w:rPr>
                <w:color w:val="000000"/>
                <w:sz w:val="22"/>
                <w:szCs w:val="22"/>
              </w:rPr>
            </w:pPr>
            <w:r w:rsidRPr="00D618B7">
              <w:rPr>
                <w:color w:val="000000"/>
                <w:sz w:val="22"/>
                <w:szCs w:val="22"/>
              </w:rPr>
              <w:t>0.63</w:t>
            </w:r>
          </w:p>
        </w:tc>
        <w:tc>
          <w:tcPr>
            <w:tcW w:w="879" w:type="pct"/>
            <w:tcBorders>
              <w:top w:val="nil"/>
              <w:left w:val="nil"/>
              <w:bottom w:val="single" w:sz="8" w:space="0" w:color="auto"/>
              <w:right w:val="nil"/>
            </w:tcBorders>
            <w:shd w:val="clear" w:color="000000" w:fill="FFFFFF"/>
            <w:noWrap/>
            <w:vAlign w:val="center"/>
            <w:hideMark/>
          </w:tcPr>
          <w:p w14:paraId="35A6521D" w14:textId="77777777" w:rsidR="00B53316" w:rsidRPr="00D618B7" w:rsidRDefault="00B53316" w:rsidP="004B11B7">
            <w:pPr>
              <w:jc w:val="right"/>
              <w:rPr>
                <w:color w:val="000000"/>
                <w:sz w:val="22"/>
                <w:szCs w:val="22"/>
              </w:rPr>
            </w:pPr>
            <w:r w:rsidRPr="00D618B7">
              <w:rPr>
                <w:color w:val="000000"/>
                <w:sz w:val="22"/>
                <w:szCs w:val="22"/>
              </w:rPr>
              <w:t>0.22</w:t>
            </w:r>
          </w:p>
        </w:tc>
      </w:tr>
    </w:tbl>
    <w:p w14:paraId="17D8611E" w14:textId="77777777" w:rsidR="00B53316" w:rsidRPr="00D618B7" w:rsidRDefault="00B53316" w:rsidP="00B53316">
      <w:r w:rsidRPr="00D618B7">
        <w:rPr>
          <w:i/>
          <w:iCs/>
        </w:rPr>
        <w:t>Note</w:t>
      </w:r>
      <w:r w:rsidRPr="00D618B7">
        <w:t>: This table lists the estimated mean frequency and standard errors for face, hand, and mouth events for toy-out-of-reach, toy-moving-into-reach, and toy-in-reach for each week of observation around reach-onset for the early reach group.</w:t>
      </w:r>
    </w:p>
    <w:p w14:paraId="3FAA2654" w14:textId="324A5575" w:rsidR="003B5FE0" w:rsidRPr="00D618B7" w:rsidRDefault="009628DB" w:rsidP="007C5074">
      <w:pPr>
        <w:pStyle w:val="Caption"/>
      </w:pPr>
      <w:bookmarkStart w:id="192" w:name="_Toc172716879"/>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51</w:t>
      </w:r>
      <w:r w:rsidR="00000000">
        <w:rPr>
          <w:noProof/>
        </w:rPr>
        <w:fldChar w:fldCharType="end"/>
      </w:r>
      <w:r w:rsidR="00BA36EF" w:rsidRPr="00BA36EF">
        <w:rPr>
          <w:noProof/>
        </w:rPr>
        <w:t xml:space="preserve">: </w:t>
      </w:r>
      <w:r w:rsidR="00940E58">
        <w:t xml:space="preserve">Event </w:t>
      </w:r>
      <w:r w:rsidR="00205741">
        <w:t>f</w:t>
      </w:r>
      <w:r w:rsidR="00BA36EF" w:rsidRPr="00BA36EF">
        <w:t xml:space="preserve">requency by </w:t>
      </w:r>
      <w:r w:rsidR="00205741">
        <w:t>p</w:t>
      </w:r>
      <w:r w:rsidR="00BA36EF">
        <w:t xml:space="preserve">roximity, </w:t>
      </w:r>
      <w:r w:rsidR="00205741">
        <w:t>t</w:t>
      </w:r>
      <w:r w:rsidR="00BA36EF">
        <w:t>ype</w:t>
      </w:r>
      <w:r w:rsidR="00711BCC">
        <w:t>,</w:t>
      </w:r>
      <w:r w:rsidR="00BA36EF">
        <w:t xml:space="preserve"> and </w:t>
      </w:r>
      <w:r w:rsidR="00205741">
        <w:t>w</w:t>
      </w:r>
      <w:r w:rsidR="00BA36EF">
        <w:t>eek for</w:t>
      </w:r>
      <w:r w:rsidR="00205741">
        <w:t xml:space="preserve"> l</w:t>
      </w:r>
      <w:r w:rsidR="00BA36EF">
        <w:t xml:space="preserve">ate </w:t>
      </w:r>
      <w:r w:rsidR="00205741">
        <w:t>g</w:t>
      </w:r>
      <w:r w:rsidR="00BA36EF">
        <w:t>roup</w:t>
      </w:r>
      <w:bookmarkEnd w:id="192"/>
    </w:p>
    <w:p w14:paraId="55F6DFA8" w14:textId="55873932" w:rsidR="00B53316" w:rsidRPr="00D618B7" w:rsidRDefault="00B53316" w:rsidP="00B53316">
      <w:r w:rsidRPr="00D618B7">
        <w:t>Estimated Mean Frequency of Events by Type, Proximity, and Week for the Late Reach Group.</w:t>
      </w:r>
    </w:p>
    <w:tbl>
      <w:tblPr>
        <w:tblW w:w="4828" w:type="pct"/>
        <w:tblLook w:val="04A0" w:firstRow="1" w:lastRow="0" w:firstColumn="1" w:lastColumn="0" w:noHBand="0" w:noVBand="1"/>
      </w:tblPr>
      <w:tblGrid>
        <w:gridCol w:w="1191"/>
        <w:gridCol w:w="895"/>
        <w:gridCol w:w="1488"/>
        <w:gridCol w:w="894"/>
        <w:gridCol w:w="1488"/>
        <w:gridCol w:w="914"/>
        <w:gridCol w:w="1473"/>
      </w:tblGrid>
      <w:tr w:rsidR="003B5FE0" w:rsidRPr="00D618B7" w14:paraId="72361BEE" w14:textId="77777777" w:rsidTr="003B5FE0">
        <w:trPr>
          <w:trHeight w:val="258"/>
        </w:trPr>
        <w:tc>
          <w:tcPr>
            <w:tcW w:w="713" w:type="pct"/>
            <w:tcBorders>
              <w:top w:val="single" w:sz="4" w:space="0" w:color="auto"/>
              <w:left w:val="nil"/>
              <w:bottom w:val="nil"/>
              <w:right w:val="nil"/>
            </w:tcBorders>
            <w:shd w:val="clear" w:color="000000" w:fill="FFFFFF"/>
            <w:vAlign w:val="center"/>
            <w:hideMark/>
          </w:tcPr>
          <w:p w14:paraId="7AEF1A93" w14:textId="77777777" w:rsidR="00B53316" w:rsidRPr="00D618B7" w:rsidRDefault="00B53316" w:rsidP="004B11B7">
            <w:pPr>
              <w:rPr>
                <w:color w:val="000000"/>
                <w:sz w:val="22"/>
                <w:szCs w:val="22"/>
              </w:rPr>
            </w:pPr>
            <w:r w:rsidRPr="00D618B7">
              <w:rPr>
                <w:color w:val="000000"/>
                <w:sz w:val="22"/>
                <w:szCs w:val="22"/>
              </w:rPr>
              <w:t>Week</w:t>
            </w:r>
          </w:p>
        </w:tc>
        <w:tc>
          <w:tcPr>
            <w:tcW w:w="1428" w:type="pct"/>
            <w:gridSpan w:val="2"/>
            <w:tcBorders>
              <w:top w:val="single" w:sz="4" w:space="0" w:color="auto"/>
              <w:left w:val="nil"/>
              <w:bottom w:val="single" w:sz="8" w:space="0" w:color="auto"/>
              <w:right w:val="nil"/>
            </w:tcBorders>
            <w:shd w:val="clear" w:color="000000" w:fill="FFFFFF"/>
            <w:vAlign w:val="center"/>
            <w:hideMark/>
          </w:tcPr>
          <w:p w14:paraId="41DB84D8" w14:textId="77777777" w:rsidR="00B53316" w:rsidRPr="00D618B7" w:rsidRDefault="00B53316" w:rsidP="004B11B7">
            <w:pPr>
              <w:jc w:val="center"/>
              <w:rPr>
                <w:color w:val="000000"/>
                <w:sz w:val="22"/>
                <w:szCs w:val="22"/>
              </w:rPr>
            </w:pPr>
            <w:r w:rsidRPr="00D618B7">
              <w:rPr>
                <w:color w:val="000000"/>
                <w:sz w:val="22"/>
                <w:szCs w:val="22"/>
              </w:rPr>
              <w:t>Face</w:t>
            </w:r>
          </w:p>
        </w:tc>
        <w:tc>
          <w:tcPr>
            <w:tcW w:w="1428" w:type="pct"/>
            <w:gridSpan w:val="2"/>
            <w:tcBorders>
              <w:top w:val="single" w:sz="4" w:space="0" w:color="auto"/>
              <w:left w:val="nil"/>
              <w:bottom w:val="single" w:sz="8" w:space="0" w:color="auto"/>
              <w:right w:val="nil"/>
            </w:tcBorders>
            <w:shd w:val="clear" w:color="000000" w:fill="FFFFFF"/>
            <w:vAlign w:val="center"/>
            <w:hideMark/>
          </w:tcPr>
          <w:p w14:paraId="1D842DA9" w14:textId="77777777" w:rsidR="00B53316" w:rsidRPr="00D618B7" w:rsidRDefault="00B53316" w:rsidP="004B11B7">
            <w:pPr>
              <w:jc w:val="center"/>
              <w:rPr>
                <w:color w:val="000000"/>
                <w:sz w:val="22"/>
                <w:szCs w:val="22"/>
              </w:rPr>
            </w:pPr>
            <w:r w:rsidRPr="00D618B7">
              <w:rPr>
                <w:color w:val="000000"/>
                <w:sz w:val="22"/>
                <w:szCs w:val="22"/>
              </w:rPr>
              <w:t>Hand</w:t>
            </w:r>
          </w:p>
        </w:tc>
        <w:tc>
          <w:tcPr>
            <w:tcW w:w="1430" w:type="pct"/>
            <w:gridSpan w:val="2"/>
            <w:tcBorders>
              <w:top w:val="single" w:sz="4" w:space="0" w:color="auto"/>
              <w:left w:val="nil"/>
              <w:bottom w:val="single" w:sz="8" w:space="0" w:color="auto"/>
              <w:right w:val="nil"/>
            </w:tcBorders>
            <w:shd w:val="clear" w:color="000000" w:fill="FFFFFF"/>
            <w:vAlign w:val="center"/>
            <w:hideMark/>
          </w:tcPr>
          <w:p w14:paraId="72D8620A" w14:textId="77777777" w:rsidR="00B53316" w:rsidRPr="00D618B7" w:rsidRDefault="00B53316" w:rsidP="004B11B7">
            <w:pPr>
              <w:jc w:val="center"/>
              <w:rPr>
                <w:color w:val="000000"/>
                <w:sz w:val="22"/>
                <w:szCs w:val="22"/>
              </w:rPr>
            </w:pPr>
            <w:r w:rsidRPr="00D618B7">
              <w:rPr>
                <w:color w:val="000000"/>
                <w:sz w:val="22"/>
                <w:szCs w:val="22"/>
              </w:rPr>
              <w:t>Mouth</w:t>
            </w:r>
          </w:p>
        </w:tc>
      </w:tr>
      <w:tr w:rsidR="003B5FE0" w:rsidRPr="00D618B7" w14:paraId="4E1F225E" w14:textId="77777777" w:rsidTr="003B5FE0">
        <w:trPr>
          <w:trHeight w:val="258"/>
        </w:trPr>
        <w:tc>
          <w:tcPr>
            <w:tcW w:w="713" w:type="pct"/>
            <w:tcBorders>
              <w:top w:val="nil"/>
              <w:left w:val="nil"/>
              <w:bottom w:val="single" w:sz="8" w:space="0" w:color="auto"/>
              <w:right w:val="nil"/>
            </w:tcBorders>
            <w:shd w:val="clear" w:color="000000" w:fill="FFFFFF"/>
            <w:noWrap/>
            <w:vAlign w:val="bottom"/>
            <w:hideMark/>
          </w:tcPr>
          <w:p w14:paraId="20DA74DF" w14:textId="77777777" w:rsidR="00B53316" w:rsidRPr="00D618B7" w:rsidRDefault="00B53316" w:rsidP="004B11B7">
            <w:pPr>
              <w:rPr>
                <w:color w:val="000000"/>
                <w:sz w:val="22"/>
                <w:szCs w:val="22"/>
              </w:rPr>
            </w:pPr>
            <w:r w:rsidRPr="00D618B7">
              <w:rPr>
                <w:color w:val="000000"/>
                <w:sz w:val="22"/>
                <w:szCs w:val="22"/>
              </w:rPr>
              <w:t> </w:t>
            </w:r>
          </w:p>
        </w:tc>
        <w:tc>
          <w:tcPr>
            <w:tcW w:w="536" w:type="pct"/>
            <w:tcBorders>
              <w:top w:val="nil"/>
              <w:left w:val="nil"/>
              <w:bottom w:val="single" w:sz="8" w:space="0" w:color="auto"/>
              <w:right w:val="nil"/>
            </w:tcBorders>
            <w:shd w:val="clear" w:color="000000" w:fill="FFFFFF"/>
            <w:noWrap/>
            <w:vAlign w:val="center"/>
            <w:hideMark/>
          </w:tcPr>
          <w:p w14:paraId="77C248C7" w14:textId="77777777" w:rsidR="00B53316" w:rsidRPr="00D618B7" w:rsidRDefault="00B53316" w:rsidP="004B11B7">
            <w:pPr>
              <w:jc w:val="right"/>
              <w:rPr>
                <w:color w:val="000000"/>
                <w:sz w:val="22"/>
                <w:szCs w:val="22"/>
              </w:rPr>
            </w:pPr>
            <w:r w:rsidRPr="00D618B7">
              <w:rPr>
                <w:color w:val="000000"/>
                <w:sz w:val="22"/>
                <w:szCs w:val="22"/>
              </w:rPr>
              <w:t>Mean</w:t>
            </w:r>
          </w:p>
        </w:tc>
        <w:tc>
          <w:tcPr>
            <w:tcW w:w="892" w:type="pct"/>
            <w:tcBorders>
              <w:top w:val="nil"/>
              <w:left w:val="nil"/>
              <w:bottom w:val="single" w:sz="8" w:space="0" w:color="auto"/>
              <w:right w:val="nil"/>
            </w:tcBorders>
            <w:shd w:val="clear" w:color="000000" w:fill="FFFFFF"/>
            <w:noWrap/>
            <w:vAlign w:val="center"/>
            <w:hideMark/>
          </w:tcPr>
          <w:p w14:paraId="736EFC37" w14:textId="77777777" w:rsidR="00B53316" w:rsidRPr="00D618B7" w:rsidRDefault="00B53316" w:rsidP="004B11B7">
            <w:pPr>
              <w:jc w:val="right"/>
              <w:rPr>
                <w:color w:val="000000"/>
                <w:sz w:val="22"/>
                <w:szCs w:val="22"/>
              </w:rPr>
            </w:pPr>
            <w:r w:rsidRPr="00D618B7">
              <w:rPr>
                <w:color w:val="000000"/>
                <w:sz w:val="22"/>
                <w:szCs w:val="22"/>
              </w:rPr>
              <w:t>Std. Error</w:t>
            </w:r>
          </w:p>
        </w:tc>
        <w:tc>
          <w:tcPr>
            <w:tcW w:w="536" w:type="pct"/>
            <w:tcBorders>
              <w:top w:val="nil"/>
              <w:left w:val="nil"/>
              <w:bottom w:val="single" w:sz="8" w:space="0" w:color="auto"/>
              <w:right w:val="nil"/>
            </w:tcBorders>
            <w:shd w:val="clear" w:color="000000" w:fill="FFFFFF"/>
            <w:noWrap/>
            <w:vAlign w:val="center"/>
            <w:hideMark/>
          </w:tcPr>
          <w:p w14:paraId="03CEC8FD" w14:textId="77777777" w:rsidR="00B53316" w:rsidRPr="00D618B7" w:rsidRDefault="00B53316" w:rsidP="004B11B7">
            <w:pPr>
              <w:jc w:val="right"/>
              <w:rPr>
                <w:color w:val="000000"/>
                <w:sz w:val="22"/>
                <w:szCs w:val="22"/>
              </w:rPr>
            </w:pPr>
            <w:r w:rsidRPr="00D618B7">
              <w:rPr>
                <w:color w:val="000000"/>
                <w:sz w:val="22"/>
                <w:szCs w:val="22"/>
              </w:rPr>
              <w:t>Mean</w:t>
            </w:r>
          </w:p>
        </w:tc>
        <w:tc>
          <w:tcPr>
            <w:tcW w:w="892" w:type="pct"/>
            <w:tcBorders>
              <w:top w:val="nil"/>
              <w:left w:val="nil"/>
              <w:bottom w:val="single" w:sz="8" w:space="0" w:color="auto"/>
              <w:right w:val="nil"/>
            </w:tcBorders>
            <w:shd w:val="clear" w:color="000000" w:fill="FFFFFF"/>
            <w:noWrap/>
            <w:vAlign w:val="center"/>
            <w:hideMark/>
          </w:tcPr>
          <w:p w14:paraId="2F0140E4" w14:textId="77777777" w:rsidR="00B53316" w:rsidRPr="00D618B7" w:rsidRDefault="00B53316" w:rsidP="004B11B7">
            <w:pPr>
              <w:jc w:val="right"/>
              <w:rPr>
                <w:color w:val="000000"/>
                <w:sz w:val="22"/>
                <w:szCs w:val="22"/>
              </w:rPr>
            </w:pPr>
            <w:r w:rsidRPr="00D618B7">
              <w:rPr>
                <w:color w:val="000000"/>
                <w:sz w:val="22"/>
                <w:szCs w:val="22"/>
              </w:rPr>
              <w:t>Std. Error</w:t>
            </w:r>
          </w:p>
        </w:tc>
        <w:tc>
          <w:tcPr>
            <w:tcW w:w="548" w:type="pct"/>
            <w:tcBorders>
              <w:top w:val="nil"/>
              <w:left w:val="nil"/>
              <w:bottom w:val="single" w:sz="8" w:space="0" w:color="auto"/>
              <w:right w:val="nil"/>
            </w:tcBorders>
            <w:shd w:val="clear" w:color="000000" w:fill="FFFFFF"/>
            <w:noWrap/>
            <w:vAlign w:val="center"/>
            <w:hideMark/>
          </w:tcPr>
          <w:p w14:paraId="5E234065" w14:textId="77777777" w:rsidR="00B53316" w:rsidRPr="00D618B7" w:rsidRDefault="00B53316" w:rsidP="004B11B7">
            <w:pPr>
              <w:jc w:val="right"/>
              <w:rPr>
                <w:color w:val="000000"/>
                <w:sz w:val="22"/>
                <w:szCs w:val="22"/>
              </w:rPr>
            </w:pPr>
            <w:r w:rsidRPr="00D618B7">
              <w:rPr>
                <w:color w:val="000000"/>
                <w:sz w:val="22"/>
                <w:szCs w:val="22"/>
              </w:rPr>
              <w:t>Mean</w:t>
            </w:r>
          </w:p>
        </w:tc>
        <w:tc>
          <w:tcPr>
            <w:tcW w:w="881" w:type="pct"/>
            <w:tcBorders>
              <w:top w:val="nil"/>
              <w:left w:val="nil"/>
              <w:bottom w:val="single" w:sz="8" w:space="0" w:color="auto"/>
              <w:right w:val="nil"/>
            </w:tcBorders>
            <w:shd w:val="clear" w:color="000000" w:fill="FFFFFF"/>
            <w:noWrap/>
            <w:vAlign w:val="center"/>
            <w:hideMark/>
          </w:tcPr>
          <w:p w14:paraId="096A4D2B" w14:textId="77777777" w:rsidR="00B53316" w:rsidRPr="00D618B7" w:rsidRDefault="00B53316" w:rsidP="004B11B7">
            <w:pPr>
              <w:jc w:val="right"/>
              <w:rPr>
                <w:color w:val="000000"/>
                <w:sz w:val="22"/>
                <w:szCs w:val="22"/>
              </w:rPr>
            </w:pPr>
            <w:r w:rsidRPr="00D618B7">
              <w:rPr>
                <w:color w:val="000000"/>
                <w:sz w:val="22"/>
                <w:szCs w:val="22"/>
              </w:rPr>
              <w:t>Std. Error</w:t>
            </w:r>
          </w:p>
        </w:tc>
      </w:tr>
      <w:tr w:rsidR="003B5FE0" w:rsidRPr="00D618B7" w14:paraId="62E535A5" w14:textId="77777777" w:rsidTr="003B5FE0">
        <w:trPr>
          <w:trHeight w:val="258"/>
        </w:trPr>
        <w:tc>
          <w:tcPr>
            <w:tcW w:w="713" w:type="pct"/>
            <w:tcBorders>
              <w:top w:val="nil"/>
              <w:left w:val="nil"/>
              <w:bottom w:val="nil"/>
              <w:right w:val="nil"/>
            </w:tcBorders>
            <w:shd w:val="clear" w:color="000000" w:fill="FFFFFF"/>
            <w:noWrap/>
            <w:vAlign w:val="bottom"/>
            <w:hideMark/>
          </w:tcPr>
          <w:p w14:paraId="1B764F63" w14:textId="77777777" w:rsidR="00B53316" w:rsidRPr="00D618B7" w:rsidRDefault="00B53316" w:rsidP="004B11B7">
            <w:pPr>
              <w:rPr>
                <w:color w:val="000000"/>
                <w:sz w:val="22"/>
                <w:szCs w:val="22"/>
              </w:rPr>
            </w:pPr>
            <w:r w:rsidRPr="00D618B7">
              <w:rPr>
                <w:color w:val="000000"/>
                <w:sz w:val="22"/>
                <w:szCs w:val="22"/>
              </w:rPr>
              <w:t> </w:t>
            </w:r>
          </w:p>
        </w:tc>
        <w:tc>
          <w:tcPr>
            <w:tcW w:w="4287" w:type="pct"/>
            <w:gridSpan w:val="6"/>
            <w:tcBorders>
              <w:top w:val="single" w:sz="8" w:space="0" w:color="auto"/>
              <w:left w:val="nil"/>
              <w:bottom w:val="nil"/>
              <w:right w:val="nil"/>
            </w:tcBorders>
            <w:shd w:val="clear" w:color="000000" w:fill="FFFFFF"/>
            <w:noWrap/>
            <w:vAlign w:val="center"/>
            <w:hideMark/>
          </w:tcPr>
          <w:p w14:paraId="24D03746" w14:textId="77777777" w:rsidR="00B53316" w:rsidRPr="00D618B7" w:rsidRDefault="00B53316" w:rsidP="004B11B7">
            <w:pPr>
              <w:jc w:val="center"/>
              <w:rPr>
                <w:color w:val="000000"/>
                <w:sz w:val="22"/>
                <w:szCs w:val="22"/>
              </w:rPr>
            </w:pPr>
            <w:r w:rsidRPr="00D618B7">
              <w:rPr>
                <w:color w:val="000000"/>
                <w:sz w:val="22"/>
                <w:szCs w:val="22"/>
              </w:rPr>
              <w:t>Toy-out-of-Reach</w:t>
            </w:r>
          </w:p>
        </w:tc>
      </w:tr>
      <w:tr w:rsidR="003B5FE0" w:rsidRPr="00D618B7" w14:paraId="454D81C9" w14:textId="77777777" w:rsidTr="003B5FE0">
        <w:trPr>
          <w:trHeight w:val="258"/>
        </w:trPr>
        <w:tc>
          <w:tcPr>
            <w:tcW w:w="713" w:type="pct"/>
            <w:tcBorders>
              <w:top w:val="nil"/>
              <w:left w:val="nil"/>
              <w:bottom w:val="nil"/>
              <w:right w:val="nil"/>
            </w:tcBorders>
            <w:shd w:val="clear" w:color="000000" w:fill="FFFFFF"/>
            <w:vAlign w:val="center"/>
            <w:hideMark/>
          </w:tcPr>
          <w:p w14:paraId="0E47E425" w14:textId="77777777" w:rsidR="00B53316" w:rsidRPr="00D618B7" w:rsidRDefault="00B53316" w:rsidP="004B11B7">
            <w:pPr>
              <w:jc w:val="right"/>
              <w:rPr>
                <w:color w:val="000000"/>
                <w:sz w:val="22"/>
                <w:szCs w:val="22"/>
              </w:rPr>
            </w:pPr>
            <w:r w:rsidRPr="00D618B7">
              <w:rPr>
                <w:color w:val="000000"/>
                <w:sz w:val="22"/>
                <w:szCs w:val="22"/>
              </w:rPr>
              <w:t>-5.00</w:t>
            </w:r>
          </w:p>
        </w:tc>
        <w:tc>
          <w:tcPr>
            <w:tcW w:w="536" w:type="pct"/>
            <w:tcBorders>
              <w:top w:val="nil"/>
              <w:left w:val="nil"/>
              <w:bottom w:val="nil"/>
              <w:right w:val="nil"/>
            </w:tcBorders>
            <w:shd w:val="clear" w:color="000000" w:fill="FFFFFF"/>
            <w:noWrap/>
            <w:vAlign w:val="center"/>
            <w:hideMark/>
          </w:tcPr>
          <w:p w14:paraId="770813D0" w14:textId="77777777" w:rsidR="00B53316" w:rsidRPr="00D618B7" w:rsidRDefault="00B53316" w:rsidP="004B11B7">
            <w:pPr>
              <w:jc w:val="right"/>
              <w:rPr>
                <w:color w:val="000000"/>
                <w:sz w:val="22"/>
                <w:szCs w:val="22"/>
              </w:rPr>
            </w:pPr>
            <w:r w:rsidRPr="00D618B7">
              <w:rPr>
                <w:color w:val="000000"/>
                <w:sz w:val="22"/>
                <w:szCs w:val="22"/>
              </w:rPr>
              <w:t>-0.16</w:t>
            </w:r>
          </w:p>
        </w:tc>
        <w:tc>
          <w:tcPr>
            <w:tcW w:w="892" w:type="pct"/>
            <w:tcBorders>
              <w:top w:val="nil"/>
              <w:left w:val="nil"/>
              <w:bottom w:val="nil"/>
              <w:right w:val="nil"/>
            </w:tcBorders>
            <w:shd w:val="clear" w:color="000000" w:fill="FFFFFF"/>
            <w:noWrap/>
            <w:vAlign w:val="center"/>
            <w:hideMark/>
          </w:tcPr>
          <w:p w14:paraId="0BED117F" w14:textId="77777777" w:rsidR="00B53316" w:rsidRPr="00D618B7" w:rsidRDefault="00B53316" w:rsidP="004B11B7">
            <w:pPr>
              <w:jc w:val="right"/>
              <w:rPr>
                <w:color w:val="000000"/>
                <w:sz w:val="22"/>
                <w:szCs w:val="22"/>
              </w:rPr>
            </w:pPr>
            <w:r w:rsidRPr="00D618B7">
              <w:rPr>
                <w:color w:val="000000"/>
                <w:sz w:val="22"/>
                <w:szCs w:val="22"/>
              </w:rPr>
              <w:t>0.04</w:t>
            </w:r>
          </w:p>
        </w:tc>
        <w:tc>
          <w:tcPr>
            <w:tcW w:w="536" w:type="pct"/>
            <w:tcBorders>
              <w:top w:val="nil"/>
              <w:left w:val="nil"/>
              <w:bottom w:val="nil"/>
              <w:right w:val="nil"/>
            </w:tcBorders>
            <w:shd w:val="clear" w:color="000000" w:fill="FFFFFF"/>
            <w:noWrap/>
            <w:vAlign w:val="center"/>
            <w:hideMark/>
          </w:tcPr>
          <w:p w14:paraId="20C4DD3A" w14:textId="77777777" w:rsidR="00B53316" w:rsidRPr="00D618B7" w:rsidRDefault="00B53316" w:rsidP="004B11B7">
            <w:pPr>
              <w:jc w:val="right"/>
              <w:rPr>
                <w:color w:val="000000"/>
                <w:sz w:val="22"/>
                <w:szCs w:val="22"/>
              </w:rPr>
            </w:pPr>
            <w:r w:rsidRPr="00D618B7">
              <w:rPr>
                <w:color w:val="000000"/>
                <w:sz w:val="22"/>
                <w:szCs w:val="22"/>
              </w:rPr>
              <w:t>-0.28</w:t>
            </w:r>
          </w:p>
        </w:tc>
        <w:tc>
          <w:tcPr>
            <w:tcW w:w="892" w:type="pct"/>
            <w:tcBorders>
              <w:top w:val="nil"/>
              <w:left w:val="nil"/>
              <w:bottom w:val="nil"/>
              <w:right w:val="nil"/>
            </w:tcBorders>
            <w:shd w:val="clear" w:color="000000" w:fill="FFFFFF"/>
            <w:noWrap/>
            <w:vAlign w:val="center"/>
            <w:hideMark/>
          </w:tcPr>
          <w:p w14:paraId="3B67B45D" w14:textId="77777777" w:rsidR="00B53316" w:rsidRPr="00D618B7" w:rsidRDefault="00B53316" w:rsidP="004B11B7">
            <w:pPr>
              <w:jc w:val="right"/>
              <w:rPr>
                <w:color w:val="000000"/>
                <w:sz w:val="22"/>
                <w:szCs w:val="22"/>
              </w:rPr>
            </w:pPr>
            <w:r w:rsidRPr="00D618B7">
              <w:rPr>
                <w:color w:val="000000"/>
                <w:sz w:val="22"/>
                <w:szCs w:val="22"/>
              </w:rPr>
              <w:t>0.11</w:t>
            </w:r>
          </w:p>
        </w:tc>
        <w:tc>
          <w:tcPr>
            <w:tcW w:w="548" w:type="pct"/>
            <w:tcBorders>
              <w:top w:val="nil"/>
              <w:left w:val="nil"/>
              <w:bottom w:val="nil"/>
              <w:right w:val="nil"/>
            </w:tcBorders>
            <w:shd w:val="clear" w:color="000000" w:fill="FFFFFF"/>
            <w:noWrap/>
            <w:vAlign w:val="center"/>
            <w:hideMark/>
          </w:tcPr>
          <w:p w14:paraId="147F39C4" w14:textId="77777777" w:rsidR="00B53316" w:rsidRPr="00D618B7" w:rsidRDefault="00B53316" w:rsidP="004B11B7">
            <w:pPr>
              <w:jc w:val="right"/>
              <w:rPr>
                <w:color w:val="000000"/>
                <w:sz w:val="22"/>
                <w:szCs w:val="22"/>
              </w:rPr>
            </w:pPr>
            <w:r w:rsidRPr="00D618B7">
              <w:rPr>
                <w:color w:val="000000"/>
                <w:sz w:val="22"/>
                <w:szCs w:val="22"/>
              </w:rPr>
              <w:t>0.20</w:t>
            </w:r>
          </w:p>
        </w:tc>
        <w:tc>
          <w:tcPr>
            <w:tcW w:w="881" w:type="pct"/>
            <w:tcBorders>
              <w:top w:val="nil"/>
              <w:left w:val="nil"/>
              <w:bottom w:val="nil"/>
              <w:right w:val="nil"/>
            </w:tcBorders>
            <w:shd w:val="clear" w:color="000000" w:fill="FFFFFF"/>
            <w:noWrap/>
            <w:vAlign w:val="center"/>
            <w:hideMark/>
          </w:tcPr>
          <w:p w14:paraId="6FD7CFD8" w14:textId="77777777" w:rsidR="00B53316" w:rsidRPr="00D618B7" w:rsidRDefault="00B53316" w:rsidP="004B11B7">
            <w:pPr>
              <w:jc w:val="right"/>
              <w:rPr>
                <w:color w:val="000000"/>
                <w:sz w:val="22"/>
                <w:szCs w:val="22"/>
              </w:rPr>
            </w:pPr>
            <w:r w:rsidRPr="00D618B7">
              <w:rPr>
                <w:color w:val="000000"/>
                <w:sz w:val="22"/>
                <w:szCs w:val="22"/>
              </w:rPr>
              <w:t>0.47</w:t>
            </w:r>
          </w:p>
        </w:tc>
      </w:tr>
      <w:tr w:rsidR="003B5FE0" w:rsidRPr="00D618B7" w14:paraId="0DA9E162" w14:textId="77777777" w:rsidTr="003B5FE0">
        <w:trPr>
          <w:trHeight w:val="258"/>
        </w:trPr>
        <w:tc>
          <w:tcPr>
            <w:tcW w:w="713" w:type="pct"/>
            <w:tcBorders>
              <w:top w:val="nil"/>
              <w:left w:val="nil"/>
              <w:bottom w:val="nil"/>
              <w:right w:val="nil"/>
            </w:tcBorders>
            <w:shd w:val="clear" w:color="000000" w:fill="FFFFFF"/>
            <w:vAlign w:val="center"/>
            <w:hideMark/>
          </w:tcPr>
          <w:p w14:paraId="4978E0A6" w14:textId="77777777" w:rsidR="00B53316" w:rsidRPr="00D618B7" w:rsidRDefault="00B53316" w:rsidP="004B11B7">
            <w:pPr>
              <w:jc w:val="right"/>
              <w:rPr>
                <w:color w:val="000000"/>
                <w:sz w:val="22"/>
                <w:szCs w:val="22"/>
              </w:rPr>
            </w:pPr>
            <w:r w:rsidRPr="00D618B7">
              <w:rPr>
                <w:color w:val="000000"/>
                <w:sz w:val="22"/>
                <w:szCs w:val="22"/>
              </w:rPr>
              <w:t>-4.00</w:t>
            </w:r>
          </w:p>
        </w:tc>
        <w:tc>
          <w:tcPr>
            <w:tcW w:w="536" w:type="pct"/>
            <w:tcBorders>
              <w:top w:val="nil"/>
              <w:left w:val="nil"/>
              <w:bottom w:val="nil"/>
              <w:right w:val="nil"/>
            </w:tcBorders>
            <w:shd w:val="clear" w:color="000000" w:fill="FFFFFF"/>
            <w:noWrap/>
            <w:vAlign w:val="center"/>
            <w:hideMark/>
          </w:tcPr>
          <w:p w14:paraId="3D4F17F9" w14:textId="77777777" w:rsidR="00B53316" w:rsidRPr="00D618B7" w:rsidRDefault="00B53316" w:rsidP="004B11B7">
            <w:pPr>
              <w:jc w:val="right"/>
              <w:rPr>
                <w:color w:val="000000"/>
                <w:sz w:val="22"/>
                <w:szCs w:val="22"/>
              </w:rPr>
            </w:pPr>
            <w:r w:rsidRPr="00D618B7">
              <w:rPr>
                <w:color w:val="000000"/>
                <w:sz w:val="22"/>
                <w:szCs w:val="22"/>
              </w:rPr>
              <w:t>-0.11</w:t>
            </w:r>
          </w:p>
        </w:tc>
        <w:tc>
          <w:tcPr>
            <w:tcW w:w="892" w:type="pct"/>
            <w:tcBorders>
              <w:top w:val="nil"/>
              <w:left w:val="nil"/>
              <w:bottom w:val="nil"/>
              <w:right w:val="nil"/>
            </w:tcBorders>
            <w:shd w:val="clear" w:color="000000" w:fill="FFFFFF"/>
            <w:noWrap/>
            <w:vAlign w:val="center"/>
            <w:hideMark/>
          </w:tcPr>
          <w:p w14:paraId="1E5772DE" w14:textId="77777777" w:rsidR="00B53316" w:rsidRPr="00D618B7" w:rsidRDefault="00B53316" w:rsidP="004B11B7">
            <w:pPr>
              <w:jc w:val="right"/>
              <w:rPr>
                <w:color w:val="000000"/>
                <w:sz w:val="22"/>
                <w:szCs w:val="22"/>
              </w:rPr>
            </w:pPr>
            <w:r w:rsidRPr="00D618B7">
              <w:rPr>
                <w:color w:val="000000"/>
                <w:sz w:val="22"/>
                <w:szCs w:val="22"/>
              </w:rPr>
              <w:t>0.07</w:t>
            </w:r>
          </w:p>
        </w:tc>
        <w:tc>
          <w:tcPr>
            <w:tcW w:w="536" w:type="pct"/>
            <w:tcBorders>
              <w:top w:val="nil"/>
              <w:left w:val="nil"/>
              <w:bottom w:val="nil"/>
              <w:right w:val="nil"/>
            </w:tcBorders>
            <w:shd w:val="clear" w:color="000000" w:fill="FFFFFF"/>
            <w:noWrap/>
            <w:vAlign w:val="center"/>
            <w:hideMark/>
          </w:tcPr>
          <w:p w14:paraId="1BDE6619" w14:textId="77777777" w:rsidR="00B53316" w:rsidRPr="00D618B7" w:rsidRDefault="00B53316" w:rsidP="004B11B7">
            <w:pPr>
              <w:jc w:val="right"/>
              <w:rPr>
                <w:color w:val="000000"/>
                <w:sz w:val="22"/>
                <w:szCs w:val="22"/>
              </w:rPr>
            </w:pPr>
            <w:r w:rsidRPr="00D618B7">
              <w:rPr>
                <w:color w:val="000000"/>
                <w:sz w:val="22"/>
                <w:szCs w:val="22"/>
              </w:rPr>
              <w:t>0.19</w:t>
            </w:r>
          </w:p>
        </w:tc>
        <w:tc>
          <w:tcPr>
            <w:tcW w:w="892" w:type="pct"/>
            <w:tcBorders>
              <w:top w:val="nil"/>
              <w:left w:val="nil"/>
              <w:bottom w:val="nil"/>
              <w:right w:val="nil"/>
            </w:tcBorders>
            <w:shd w:val="clear" w:color="000000" w:fill="FFFFFF"/>
            <w:noWrap/>
            <w:vAlign w:val="center"/>
            <w:hideMark/>
          </w:tcPr>
          <w:p w14:paraId="3DFF9071" w14:textId="77777777" w:rsidR="00B53316" w:rsidRPr="00D618B7" w:rsidRDefault="00B53316" w:rsidP="004B11B7">
            <w:pPr>
              <w:jc w:val="right"/>
              <w:rPr>
                <w:color w:val="000000"/>
                <w:sz w:val="22"/>
                <w:szCs w:val="22"/>
              </w:rPr>
            </w:pPr>
            <w:r w:rsidRPr="00D618B7">
              <w:rPr>
                <w:color w:val="000000"/>
                <w:sz w:val="22"/>
                <w:szCs w:val="22"/>
              </w:rPr>
              <w:t>0.11</w:t>
            </w:r>
          </w:p>
        </w:tc>
        <w:tc>
          <w:tcPr>
            <w:tcW w:w="548" w:type="pct"/>
            <w:tcBorders>
              <w:top w:val="nil"/>
              <w:left w:val="nil"/>
              <w:bottom w:val="nil"/>
              <w:right w:val="nil"/>
            </w:tcBorders>
            <w:shd w:val="clear" w:color="000000" w:fill="FFFFFF"/>
            <w:noWrap/>
            <w:vAlign w:val="center"/>
            <w:hideMark/>
          </w:tcPr>
          <w:p w14:paraId="10552435" w14:textId="77777777" w:rsidR="00B53316" w:rsidRPr="00D618B7" w:rsidRDefault="00B53316" w:rsidP="004B11B7">
            <w:pPr>
              <w:jc w:val="right"/>
              <w:rPr>
                <w:color w:val="000000"/>
                <w:sz w:val="22"/>
                <w:szCs w:val="22"/>
              </w:rPr>
            </w:pPr>
            <w:r w:rsidRPr="00D618B7">
              <w:rPr>
                <w:color w:val="000000"/>
                <w:sz w:val="22"/>
                <w:szCs w:val="22"/>
              </w:rPr>
              <w:t>0.15</w:t>
            </w:r>
          </w:p>
        </w:tc>
        <w:tc>
          <w:tcPr>
            <w:tcW w:w="881" w:type="pct"/>
            <w:tcBorders>
              <w:top w:val="nil"/>
              <w:left w:val="nil"/>
              <w:bottom w:val="nil"/>
              <w:right w:val="nil"/>
            </w:tcBorders>
            <w:shd w:val="clear" w:color="000000" w:fill="FFFFFF"/>
            <w:noWrap/>
            <w:vAlign w:val="center"/>
            <w:hideMark/>
          </w:tcPr>
          <w:p w14:paraId="2D5AC0F9" w14:textId="77777777" w:rsidR="00B53316" w:rsidRPr="00D618B7" w:rsidRDefault="00B53316" w:rsidP="004B11B7">
            <w:pPr>
              <w:jc w:val="right"/>
              <w:rPr>
                <w:color w:val="000000"/>
                <w:sz w:val="22"/>
                <w:szCs w:val="22"/>
              </w:rPr>
            </w:pPr>
            <w:r w:rsidRPr="00D618B7">
              <w:rPr>
                <w:color w:val="000000"/>
                <w:sz w:val="22"/>
                <w:szCs w:val="22"/>
              </w:rPr>
              <w:t>0.10</w:t>
            </w:r>
          </w:p>
        </w:tc>
      </w:tr>
      <w:tr w:rsidR="003B5FE0" w:rsidRPr="00D618B7" w14:paraId="38D46C48" w14:textId="77777777" w:rsidTr="003B5FE0">
        <w:trPr>
          <w:trHeight w:val="258"/>
        </w:trPr>
        <w:tc>
          <w:tcPr>
            <w:tcW w:w="713" w:type="pct"/>
            <w:tcBorders>
              <w:top w:val="nil"/>
              <w:left w:val="nil"/>
              <w:bottom w:val="nil"/>
              <w:right w:val="nil"/>
            </w:tcBorders>
            <w:shd w:val="clear" w:color="000000" w:fill="FFFFFF"/>
            <w:vAlign w:val="center"/>
            <w:hideMark/>
          </w:tcPr>
          <w:p w14:paraId="493826AC" w14:textId="77777777" w:rsidR="00B53316" w:rsidRPr="00D618B7" w:rsidRDefault="00B53316" w:rsidP="004B11B7">
            <w:pPr>
              <w:jc w:val="right"/>
              <w:rPr>
                <w:color w:val="000000"/>
                <w:sz w:val="22"/>
                <w:szCs w:val="22"/>
              </w:rPr>
            </w:pPr>
            <w:r w:rsidRPr="00D618B7">
              <w:rPr>
                <w:color w:val="000000"/>
                <w:sz w:val="22"/>
                <w:szCs w:val="22"/>
              </w:rPr>
              <w:t>-3.00</w:t>
            </w:r>
          </w:p>
        </w:tc>
        <w:tc>
          <w:tcPr>
            <w:tcW w:w="536" w:type="pct"/>
            <w:tcBorders>
              <w:top w:val="nil"/>
              <w:left w:val="nil"/>
              <w:bottom w:val="nil"/>
              <w:right w:val="nil"/>
            </w:tcBorders>
            <w:shd w:val="clear" w:color="000000" w:fill="FFFFFF"/>
            <w:noWrap/>
            <w:vAlign w:val="center"/>
            <w:hideMark/>
          </w:tcPr>
          <w:p w14:paraId="0A30658F" w14:textId="77777777" w:rsidR="00B53316" w:rsidRPr="00D618B7" w:rsidRDefault="00B53316" w:rsidP="004B11B7">
            <w:pPr>
              <w:jc w:val="right"/>
              <w:rPr>
                <w:color w:val="000000"/>
                <w:sz w:val="22"/>
                <w:szCs w:val="22"/>
              </w:rPr>
            </w:pPr>
            <w:r w:rsidRPr="00D618B7">
              <w:rPr>
                <w:color w:val="000000"/>
                <w:sz w:val="22"/>
                <w:szCs w:val="22"/>
              </w:rPr>
              <w:t>0.31</w:t>
            </w:r>
          </w:p>
        </w:tc>
        <w:tc>
          <w:tcPr>
            <w:tcW w:w="892" w:type="pct"/>
            <w:tcBorders>
              <w:top w:val="nil"/>
              <w:left w:val="nil"/>
              <w:bottom w:val="nil"/>
              <w:right w:val="nil"/>
            </w:tcBorders>
            <w:shd w:val="clear" w:color="000000" w:fill="FFFFFF"/>
            <w:noWrap/>
            <w:vAlign w:val="center"/>
            <w:hideMark/>
          </w:tcPr>
          <w:p w14:paraId="7DB4E6F4" w14:textId="77777777" w:rsidR="00B53316" w:rsidRPr="00D618B7" w:rsidRDefault="00B53316" w:rsidP="004B11B7">
            <w:pPr>
              <w:jc w:val="right"/>
              <w:rPr>
                <w:color w:val="000000"/>
                <w:sz w:val="22"/>
                <w:szCs w:val="22"/>
              </w:rPr>
            </w:pPr>
            <w:r w:rsidRPr="00D618B7">
              <w:rPr>
                <w:color w:val="000000"/>
                <w:sz w:val="22"/>
                <w:szCs w:val="22"/>
              </w:rPr>
              <w:t>0.07</w:t>
            </w:r>
          </w:p>
        </w:tc>
        <w:tc>
          <w:tcPr>
            <w:tcW w:w="536" w:type="pct"/>
            <w:tcBorders>
              <w:top w:val="nil"/>
              <w:left w:val="nil"/>
              <w:bottom w:val="nil"/>
              <w:right w:val="nil"/>
            </w:tcBorders>
            <w:shd w:val="clear" w:color="000000" w:fill="FFFFFF"/>
            <w:noWrap/>
            <w:vAlign w:val="center"/>
            <w:hideMark/>
          </w:tcPr>
          <w:p w14:paraId="200D0DD6" w14:textId="77777777" w:rsidR="00B53316" w:rsidRPr="00D618B7" w:rsidRDefault="00B53316" w:rsidP="004B11B7">
            <w:pPr>
              <w:jc w:val="right"/>
              <w:rPr>
                <w:color w:val="000000"/>
                <w:sz w:val="22"/>
                <w:szCs w:val="22"/>
              </w:rPr>
            </w:pPr>
            <w:r w:rsidRPr="00D618B7">
              <w:rPr>
                <w:color w:val="000000"/>
                <w:sz w:val="22"/>
                <w:szCs w:val="22"/>
              </w:rPr>
              <w:t>0.23</w:t>
            </w:r>
          </w:p>
        </w:tc>
        <w:tc>
          <w:tcPr>
            <w:tcW w:w="892" w:type="pct"/>
            <w:tcBorders>
              <w:top w:val="nil"/>
              <w:left w:val="nil"/>
              <w:bottom w:val="nil"/>
              <w:right w:val="nil"/>
            </w:tcBorders>
            <w:shd w:val="clear" w:color="000000" w:fill="FFFFFF"/>
            <w:noWrap/>
            <w:vAlign w:val="center"/>
            <w:hideMark/>
          </w:tcPr>
          <w:p w14:paraId="2FD89380" w14:textId="77777777" w:rsidR="00B53316" w:rsidRPr="00D618B7" w:rsidRDefault="00B53316" w:rsidP="004B11B7">
            <w:pPr>
              <w:jc w:val="right"/>
              <w:rPr>
                <w:color w:val="000000"/>
                <w:sz w:val="22"/>
                <w:szCs w:val="22"/>
              </w:rPr>
            </w:pPr>
            <w:r w:rsidRPr="00D618B7">
              <w:rPr>
                <w:color w:val="000000"/>
                <w:sz w:val="22"/>
                <w:szCs w:val="22"/>
              </w:rPr>
              <w:t>0.15</w:t>
            </w:r>
          </w:p>
        </w:tc>
        <w:tc>
          <w:tcPr>
            <w:tcW w:w="548" w:type="pct"/>
            <w:tcBorders>
              <w:top w:val="nil"/>
              <w:left w:val="nil"/>
              <w:bottom w:val="nil"/>
              <w:right w:val="nil"/>
            </w:tcBorders>
            <w:shd w:val="clear" w:color="000000" w:fill="FFFFFF"/>
            <w:noWrap/>
            <w:vAlign w:val="center"/>
            <w:hideMark/>
          </w:tcPr>
          <w:p w14:paraId="229F574A" w14:textId="77777777" w:rsidR="00B53316" w:rsidRPr="00D618B7" w:rsidRDefault="00B53316" w:rsidP="004B11B7">
            <w:pPr>
              <w:jc w:val="right"/>
              <w:rPr>
                <w:color w:val="000000"/>
                <w:sz w:val="22"/>
                <w:szCs w:val="22"/>
              </w:rPr>
            </w:pPr>
            <w:r w:rsidRPr="00D618B7">
              <w:rPr>
                <w:color w:val="000000"/>
                <w:sz w:val="22"/>
                <w:szCs w:val="22"/>
              </w:rPr>
              <w:t>-0.04</w:t>
            </w:r>
          </w:p>
        </w:tc>
        <w:tc>
          <w:tcPr>
            <w:tcW w:w="881" w:type="pct"/>
            <w:tcBorders>
              <w:top w:val="nil"/>
              <w:left w:val="nil"/>
              <w:bottom w:val="nil"/>
              <w:right w:val="nil"/>
            </w:tcBorders>
            <w:shd w:val="clear" w:color="000000" w:fill="FFFFFF"/>
            <w:noWrap/>
            <w:vAlign w:val="center"/>
            <w:hideMark/>
          </w:tcPr>
          <w:p w14:paraId="55E477CA" w14:textId="77777777" w:rsidR="00B53316" w:rsidRPr="00D618B7" w:rsidRDefault="00B53316" w:rsidP="004B11B7">
            <w:pPr>
              <w:jc w:val="right"/>
              <w:rPr>
                <w:color w:val="000000"/>
                <w:sz w:val="22"/>
                <w:szCs w:val="22"/>
              </w:rPr>
            </w:pPr>
            <w:r w:rsidRPr="00D618B7">
              <w:rPr>
                <w:color w:val="000000"/>
                <w:sz w:val="22"/>
                <w:szCs w:val="22"/>
              </w:rPr>
              <w:t>0.07</w:t>
            </w:r>
          </w:p>
        </w:tc>
      </w:tr>
      <w:tr w:rsidR="003B5FE0" w:rsidRPr="00D618B7" w14:paraId="04308104" w14:textId="77777777" w:rsidTr="003B5FE0">
        <w:trPr>
          <w:trHeight w:val="258"/>
        </w:trPr>
        <w:tc>
          <w:tcPr>
            <w:tcW w:w="713" w:type="pct"/>
            <w:tcBorders>
              <w:top w:val="nil"/>
              <w:left w:val="nil"/>
              <w:bottom w:val="nil"/>
              <w:right w:val="nil"/>
            </w:tcBorders>
            <w:shd w:val="clear" w:color="000000" w:fill="FFFFFF"/>
            <w:vAlign w:val="center"/>
            <w:hideMark/>
          </w:tcPr>
          <w:p w14:paraId="484ACF36" w14:textId="77777777" w:rsidR="00B53316" w:rsidRPr="00D618B7" w:rsidRDefault="00B53316" w:rsidP="004B11B7">
            <w:pPr>
              <w:jc w:val="right"/>
              <w:rPr>
                <w:color w:val="000000"/>
                <w:sz w:val="22"/>
                <w:szCs w:val="22"/>
              </w:rPr>
            </w:pPr>
            <w:r w:rsidRPr="00D618B7">
              <w:rPr>
                <w:color w:val="000000"/>
                <w:sz w:val="22"/>
                <w:szCs w:val="22"/>
              </w:rPr>
              <w:t>-2.00</w:t>
            </w:r>
          </w:p>
        </w:tc>
        <w:tc>
          <w:tcPr>
            <w:tcW w:w="536" w:type="pct"/>
            <w:tcBorders>
              <w:top w:val="nil"/>
              <w:left w:val="nil"/>
              <w:bottom w:val="nil"/>
              <w:right w:val="nil"/>
            </w:tcBorders>
            <w:shd w:val="clear" w:color="000000" w:fill="FFFFFF"/>
            <w:noWrap/>
            <w:vAlign w:val="center"/>
            <w:hideMark/>
          </w:tcPr>
          <w:p w14:paraId="78FC2846" w14:textId="77777777" w:rsidR="00B53316" w:rsidRPr="00D618B7" w:rsidRDefault="00B53316" w:rsidP="004B11B7">
            <w:pPr>
              <w:jc w:val="right"/>
              <w:rPr>
                <w:color w:val="000000"/>
                <w:sz w:val="22"/>
                <w:szCs w:val="22"/>
              </w:rPr>
            </w:pPr>
            <w:r w:rsidRPr="00D618B7">
              <w:rPr>
                <w:color w:val="000000"/>
                <w:sz w:val="22"/>
                <w:szCs w:val="22"/>
              </w:rPr>
              <w:t>0.39</w:t>
            </w:r>
          </w:p>
        </w:tc>
        <w:tc>
          <w:tcPr>
            <w:tcW w:w="892" w:type="pct"/>
            <w:tcBorders>
              <w:top w:val="nil"/>
              <w:left w:val="nil"/>
              <w:bottom w:val="nil"/>
              <w:right w:val="nil"/>
            </w:tcBorders>
            <w:shd w:val="clear" w:color="000000" w:fill="FFFFFF"/>
            <w:noWrap/>
            <w:vAlign w:val="center"/>
            <w:hideMark/>
          </w:tcPr>
          <w:p w14:paraId="7CA20794" w14:textId="77777777" w:rsidR="00B53316" w:rsidRPr="00D618B7" w:rsidRDefault="00B53316" w:rsidP="004B11B7">
            <w:pPr>
              <w:jc w:val="right"/>
              <w:rPr>
                <w:color w:val="000000"/>
                <w:sz w:val="22"/>
                <w:szCs w:val="22"/>
              </w:rPr>
            </w:pPr>
            <w:r w:rsidRPr="00D618B7">
              <w:rPr>
                <w:color w:val="000000"/>
                <w:sz w:val="22"/>
                <w:szCs w:val="22"/>
              </w:rPr>
              <w:t>0.11</w:t>
            </w:r>
          </w:p>
        </w:tc>
        <w:tc>
          <w:tcPr>
            <w:tcW w:w="536" w:type="pct"/>
            <w:tcBorders>
              <w:top w:val="nil"/>
              <w:left w:val="nil"/>
              <w:bottom w:val="nil"/>
              <w:right w:val="nil"/>
            </w:tcBorders>
            <w:shd w:val="clear" w:color="000000" w:fill="FFFFFF"/>
            <w:noWrap/>
            <w:vAlign w:val="center"/>
            <w:hideMark/>
          </w:tcPr>
          <w:p w14:paraId="6F09A63C" w14:textId="77777777" w:rsidR="00B53316" w:rsidRPr="00D618B7" w:rsidRDefault="00B53316" w:rsidP="004B11B7">
            <w:pPr>
              <w:jc w:val="right"/>
              <w:rPr>
                <w:color w:val="000000"/>
                <w:sz w:val="22"/>
                <w:szCs w:val="22"/>
              </w:rPr>
            </w:pPr>
            <w:r w:rsidRPr="00D618B7">
              <w:rPr>
                <w:color w:val="000000"/>
                <w:sz w:val="22"/>
                <w:szCs w:val="22"/>
              </w:rPr>
              <w:t>0.13</w:t>
            </w:r>
          </w:p>
        </w:tc>
        <w:tc>
          <w:tcPr>
            <w:tcW w:w="892" w:type="pct"/>
            <w:tcBorders>
              <w:top w:val="nil"/>
              <w:left w:val="nil"/>
              <w:bottom w:val="nil"/>
              <w:right w:val="nil"/>
            </w:tcBorders>
            <w:shd w:val="clear" w:color="000000" w:fill="FFFFFF"/>
            <w:noWrap/>
            <w:vAlign w:val="center"/>
            <w:hideMark/>
          </w:tcPr>
          <w:p w14:paraId="603B342C" w14:textId="77777777" w:rsidR="00B53316" w:rsidRPr="00D618B7" w:rsidRDefault="00B53316" w:rsidP="004B11B7">
            <w:pPr>
              <w:jc w:val="right"/>
              <w:rPr>
                <w:color w:val="000000"/>
                <w:sz w:val="22"/>
                <w:szCs w:val="22"/>
              </w:rPr>
            </w:pPr>
            <w:r w:rsidRPr="00D618B7">
              <w:rPr>
                <w:color w:val="000000"/>
                <w:sz w:val="22"/>
                <w:szCs w:val="22"/>
              </w:rPr>
              <w:t>0.16</w:t>
            </w:r>
          </w:p>
        </w:tc>
        <w:tc>
          <w:tcPr>
            <w:tcW w:w="548" w:type="pct"/>
            <w:tcBorders>
              <w:top w:val="nil"/>
              <w:left w:val="nil"/>
              <w:bottom w:val="nil"/>
              <w:right w:val="nil"/>
            </w:tcBorders>
            <w:shd w:val="clear" w:color="000000" w:fill="FFFFFF"/>
            <w:noWrap/>
            <w:vAlign w:val="center"/>
            <w:hideMark/>
          </w:tcPr>
          <w:p w14:paraId="5A4D56DF" w14:textId="77777777" w:rsidR="00B53316" w:rsidRPr="00D618B7" w:rsidRDefault="00B53316" w:rsidP="004B11B7">
            <w:pPr>
              <w:jc w:val="right"/>
              <w:rPr>
                <w:color w:val="000000"/>
                <w:sz w:val="22"/>
                <w:szCs w:val="22"/>
              </w:rPr>
            </w:pPr>
            <w:r w:rsidRPr="00D618B7">
              <w:rPr>
                <w:color w:val="000000"/>
                <w:sz w:val="22"/>
                <w:szCs w:val="22"/>
              </w:rPr>
              <w:t>1.17</w:t>
            </w:r>
          </w:p>
        </w:tc>
        <w:tc>
          <w:tcPr>
            <w:tcW w:w="881" w:type="pct"/>
            <w:tcBorders>
              <w:top w:val="nil"/>
              <w:left w:val="nil"/>
              <w:bottom w:val="nil"/>
              <w:right w:val="nil"/>
            </w:tcBorders>
            <w:shd w:val="clear" w:color="000000" w:fill="FFFFFF"/>
            <w:noWrap/>
            <w:vAlign w:val="center"/>
            <w:hideMark/>
          </w:tcPr>
          <w:p w14:paraId="640A8F83" w14:textId="77777777" w:rsidR="00B53316" w:rsidRPr="00D618B7" w:rsidRDefault="00B53316" w:rsidP="004B11B7">
            <w:pPr>
              <w:jc w:val="right"/>
              <w:rPr>
                <w:color w:val="000000"/>
                <w:sz w:val="22"/>
                <w:szCs w:val="22"/>
              </w:rPr>
            </w:pPr>
            <w:r w:rsidRPr="00D618B7">
              <w:rPr>
                <w:color w:val="000000"/>
                <w:sz w:val="22"/>
                <w:szCs w:val="22"/>
              </w:rPr>
              <w:t>0.71</w:t>
            </w:r>
          </w:p>
        </w:tc>
      </w:tr>
      <w:tr w:rsidR="003B5FE0" w:rsidRPr="00D618B7" w14:paraId="3DEC8556" w14:textId="77777777" w:rsidTr="003B5FE0">
        <w:trPr>
          <w:trHeight w:val="258"/>
        </w:trPr>
        <w:tc>
          <w:tcPr>
            <w:tcW w:w="713" w:type="pct"/>
            <w:tcBorders>
              <w:top w:val="nil"/>
              <w:left w:val="nil"/>
              <w:bottom w:val="nil"/>
              <w:right w:val="nil"/>
            </w:tcBorders>
            <w:shd w:val="clear" w:color="000000" w:fill="FFFFFF"/>
            <w:vAlign w:val="center"/>
            <w:hideMark/>
          </w:tcPr>
          <w:p w14:paraId="53D2238F" w14:textId="77777777" w:rsidR="00B53316" w:rsidRPr="00D618B7" w:rsidRDefault="00B53316" w:rsidP="004B11B7">
            <w:pPr>
              <w:jc w:val="right"/>
              <w:rPr>
                <w:color w:val="000000"/>
                <w:sz w:val="22"/>
                <w:szCs w:val="22"/>
              </w:rPr>
            </w:pPr>
            <w:r w:rsidRPr="00D618B7">
              <w:rPr>
                <w:color w:val="000000"/>
                <w:sz w:val="22"/>
                <w:szCs w:val="22"/>
              </w:rPr>
              <w:t>-1.00</w:t>
            </w:r>
          </w:p>
        </w:tc>
        <w:tc>
          <w:tcPr>
            <w:tcW w:w="536" w:type="pct"/>
            <w:tcBorders>
              <w:top w:val="nil"/>
              <w:left w:val="nil"/>
              <w:bottom w:val="nil"/>
              <w:right w:val="nil"/>
            </w:tcBorders>
            <w:shd w:val="clear" w:color="000000" w:fill="FFFFFF"/>
            <w:noWrap/>
            <w:vAlign w:val="center"/>
            <w:hideMark/>
          </w:tcPr>
          <w:p w14:paraId="3FAB0C20" w14:textId="77777777" w:rsidR="00B53316" w:rsidRPr="00D618B7" w:rsidRDefault="00B53316" w:rsidP="004B11B7">
            <w:pPr>
              <w:jc w:val="right"/>
              <w:rPr>
                <w:color w:val="000000"/>
                <w:sz w:val="22"/>
                <w:szCs w:val="22"/>
              </w:rPr>
            </w:pPr>
            <w:r w:rsidRPr="00D618B7">
              <w:rPr>
                <w:color w:val="000000"/>
                <w:sz w:val="22"/>
                <w:szCs w:val="22"/>
              </w:rPr>
              <w:t>-0.15</w:t>
            </w:r>
          </w:p>
        </w:tc>
        <w:tc>
          <w:tcPr>
            <w:tcW w:w="892" w:type="pct"/>
            <w:tcBorders>
              <w:top w:val="nil"/>
              <w:left w:val="nil"/>
              <w:bottom w:val="nil"/>
              <w:right w:val="nil"/>
            </w:tcBorders>
            <w:shd w:val="clear" w:color="000000" w:fill="FFFFFF"/>
            <w:noWrap/>
            <w:vAlign w:val="center"/>
            <w:hideMark/>
          </w:tcPr>
          <w:p w14:paraId="1FFD0609" w14:textId="77777777" w:rsidR="00B53316" w:rsidRPr="00D618B7" w:rsidRDefault="00B53316" w:rsidP="004B11B7">
            <w:pPr>
              <w:jc w:val="right"/>
              <w:rPr>
                <w:color w:val="000000"/>
                <w:sz w:val="22"/>
                <w:szCs w:val="22"/>
              </w:rPr>
            </w:pPr>
            <w:r w:rsidRPr="00D618B7">
              <w:rPr>
                <w:color w:val="000000"/>
                <w:sz w:val="22"/>
                <w:szCs w:val="22"/>
              </w:rPr>
              <w:t>0.15</w:t>
            </w:r>
          </w:p>
        </w:tc>
        <w:tc>
          <w:tcPr>
            <w:tcW w:w="536" w:type="pct"/>
            <w:tcBorders>
              <w:top w:val="nil"/>
              <w:left w:val="nil"/>
              <w:bottom w:val="nil"/>
              <w:right w:val="nil"/>
            </w:tcBorders>
            <w:shd w:val="clear" w:color="000000" w:fill="FFFFFF"/>
            <w:noWrap/>
            <w:vAlign w:val="center"/>
            <w:hideMark/>
          </w:tcPr>
          <w:p w14:paraId="48DD5C03" w14:textId="77777777" w:rsidR="00B53316" w:rsidRPr="00D618B7" w:rsidRDefault="00B53316" w:rsidP="004B11B7">
            <w:pPr>
              <w:jc w:val="right"/>
              <w:rPr>
                <w:color w:val="000000"/>
                <w:sz w:val="22"/>
                <w:szCs w:val="22"/>
              </w:rPr>
            </w:pPr>
            <w:r w:rsidRPr="00D618B7">
              <w:rPr>
                <w:color w:val="000000"/>
                <w:sz w:val="22"/>
                <w:szCs w:val="22"/>
              </w:rPr>
              <w:t>-0.25</w:t>
            </w:r>
          </w:p>
        </w:tc>
        <w:tc>
          <w:tcPr>
            <w:tcW w:w="892" w:type="pct"/>
            <w:tcBorders>
              <w:top w:val="nil"/>
              <w:left w:val="nil"/>
              <w:bottom w:val="nil"/>
              <w:right w:val="nil"/>
            </w:tcBorders>
            <w:shd w:val="clear" w:color="000000" w:fill="FFFFFF"/>
            <w:noWrap/>
            <w:vAlign w:val="center"/>
            <w:hideMark/>
          </w:tcPr>
          <w:p w14:paraId="6F1FC9A3" w14:textId="77777777" w:rsidR="00B53316" w:rsidRPr="00D618B7" w:rsidRDefault="00B53316" w:rsidP="004B11B7">
            <w:pPr>
              <w:jc w:val="right"/>
              <w:rPr>
                <w:color w:val="000000"/>
                <w:sz w:val="22"/>
                <w:szCs w:val="22"/>
              </w:rPr>
            </w:pPr>
            <w:r w:rsidRPr="00D618B7">
              <w:rPr>
                <w:color w:val="000000"/>
                <w:sz w:val="22"/>
                <w:szCs w:val="22"/>
              </w:rPr>
              <w:t>0.27</w:t>
            </w:r>
          </w:p>
        </w:tc>
        <w:tc>
          <w:tcPr>
            <w:tcW w:w="548" w:type="pct"/>
            <w:tcBorders>
              <w:top w:val="nil"/>
              <w:left w:val="nil"/>
              <w:bottom w:val="nil"/>
              <w:right w:val="nil"/>
            </w:tcBorders>
            <w:shd w:val="clear" w:color="000000" w:fill="FFFFFF"/>
            <w:noWrap/>
            <w:vAlign w:val="center"/>
            <w:hideMark/>
          </w:tcPr>
          <w:p w14:paraId="3187574B" w14:textId="77777777" w:rsidR="00B53316" w:rsidRPr="00D618B7" w:rsidRDefault="00B53316" w:rsidP="004B11B7">
            <w:pPr>
              <w:jc w:val="right"/>
              <w:rPr>
                <w:color w:val="000000"/>
                <w:sz w:val="22"/>
                <w:szCs w:val="22"/>
              </w:rPr>
            </w:pPr>
            <w:r w:rsidRPr="00D618B7">
              <w:rPr>
                <w:color w:val="000000"/>
                <w:sz w:val="22"/>
                <w:szCs w:val="22"/>
              </w:rPr>
              <w:t>1.69</w:t>
            </w:r>
          </w:p>
        </w:tc>
        <w:tc>
          <w:tcPr>
            <w:tcW w:w="881" w:type="pct"/>
            <w:tcBorders>
              <w:top w:val="nil"/>
              <w:left w:val="nil"/>
              <w:bottom w:val="nil"/>
              <w:right w:val="nil"/>
            </w:tcBorders>
            <w:shd w:val="clear" w:color="000000" w:fill="FFFFFF"/>
            <w:noWrap/>
            <w:vAlign w:val="center"/>
            <w:hideMark/>
          </w:tcPr>
          <w:p w14:paraId="302CB36F" w14:textId="77777777" w:rsidR="00B53316" w:rsidRPr="00D618B7" w:rsidRDefault="00B53316" w:rsidP="004B11B7">
            <w:pPr>
              <w:jc w:val="right"/>
              <w:rPr>
                <w:color w:val="000000"/>
                <w:sz w:val="22"/>
                <w:szCs w:val="22"/>
              </w:rPr>
            </w:pPr>
            <w:r w:rsidRPr="00D618B7">
              <w:rPr>
                <w:color w:val="000000"/>
                <w:sz w:val="22"/>
                <w:szCs w:val="22"/>
              </w:rPr>
              <w:t>1.17</w:t>
            </w:r>
          </w:p>
        </w:tc>
      </w:tr>
      <w:tr w:rsidR="003B5FE0" w:rsidRPr="00D618B7" w14:paraId="624C8656" w14:textId="77777777" w:rsidTr="003B5FE0">
        <w:trPr>
          <w:trHeight w:val="258"/>
        </w:trPr>
        <w:tc>
          <w:tcPr>
            <w:tcW w:w="713" w:type="pct"/>
            <w:tcBorders>
              <w:top w:val="nil"/>
              <w:left w:val="nil"/>
              <w:bottom w:val="nil"/>
              <w:right w:val="nil"/>
            </w:tcBorders>
            <w:shd w:val="clear" w:color="000000" w:fill="FFFFFF"/>
            <w:vAlign w:val="center"/>
            <w:hideMark/>
          </w:tcPr>
          <w:p w14:paraId="35C4102E" w14:textId="77777777" w:rsidR="00B53316" w:rsidRPr="00D618B7" w:rsidRDefault="00B53316" w:rsidP="004B11B7">
            <w:pPr>
              <w:jc w:val="right"/>
              <w:rPr>
                <w:color w:val="000000"/>
                <w:sz w:val="22"/>
                <w:szCs w:val="22"/>
              </w:rPr>
            </w:pPr>
            <w:r w:rsidRPr="00D618B7">
              <w:rPr>
                <w:color w:val="000000"/>
                <w:sz w:val="22"/>
                <w:szCs w:val="22"/>
              </w:rPr>
              <w:t>0.00</w:t>
            </w:r>
          </w:p>
        </w:tc>
        <w:tc>
          <w:tcPr>
            <w:tcW w:w="536" w:type="pct"/>
            <w:tcBorders>
              <w:top w:val="nil"/>
              <w:left w:val="nil"/>
              <w:bottom w:val="nil"/>
              <w:right w:val="nil"/>
            </w:tcBorders>
            <w:shd w:val="clear" w:color="000000" w:fill="FFFFFF"/>
            <w:noWrap/>
            <w:vAlign w:val="center"/>
            <w:hideMark/>
          </w:tcPr>
          <w:p w14:paraId="3DAD89AE" w14:textId="77777777" w:rsidR="00B53316" w:rsidRPr="00D618B7" w:rsidRDefault="00B53316" w:rsidP="004B11B7">
            <w:pPr>
              <w:jc w:val="right"/>
              <w:rPr>
                <w:color w:val="000000"/>
                <w:sz w:val="22"/>
                <w:szCs w:val="22"/>
              </w:rPr>
            </w:pPr>
            <w:r w:rsidRPr="00D618B7">
              <w:rPr>
                <w:color w:val="000000"/>
                <w:sz w:val="22"/>
                <w:szCs w:val="22"/>
              </w:rPr>
              <w:t>0.65</w:t>
            </w:r>
          </w:p>
        </w:tc>
        <w:tc>
          <w:tcPr>
            <w:tcW w:w="892" w:type="pct"/>
            <w:tcBorders>
              <w:top w:val="nil"/>
              <w:left w:val="nil"/>
              <w:bottom w:val="nil"/>
              <w:right w:val="nil"/>
            </w:tcBorders>
            <w:shd w:val="clear" w:color="000000" w:fill="FFFFFF"/>
            <w:noWrap/>
            <w:vAlign w:val="center"/>
            <w:hideMark/>
          </w:tcPr>
          <w:p w14:paraId="4587B14D" w14:textId="77777777" w:rsidR="00B53316" w:rsidRPr="00D618B7" w:rsidRDefault="00B53316" w:rsidP="004B11B7">
            <w:pPr>
              <w:jc w:val="right"/>
              <w:rPr>
                <w:color w:val="000000"/>
                <w:sz w:val="22"/>
                <w:szCs w:val="22"/>
              </w:rPr>
            </w:pPr>
            <w:r w:rsidRPr="00D618B7">
              <w:rPr>
                <w:color w:val="000000"/>
                <w:sz w:val="22"/>
                <w:szCs w:val="22"/>
              </w:rPr>
              <w:t>0.37</w:t>
            </w:r>
          </w:p>
        </w:tc>
        <w:tc>
          <w:tcPr>
            <w:tcW w:w="536" w:type="pct"/>
            <w:tcBorders>
              <w:top w:val="nil"/>
              <w:left w:val="nil"/>
              <w:bottom w:val="nil"/>
              <w:right w:val="nil"/>
            </w:tcBorders>
            <w:shd w:val="clear" w:color="000000" w:fill="FFFFFF"/>
            <w:noWrap/>
            <w:vAlign w:val="center"/>
            <w:hideMark/>
          </w:tcPr>
          <w:p w14:paraId="01A9AFB1" w14:textId="77777777" w:rsidR="00B53316" w:rsidRPr="00D618B7" w:rsidRDefault="00B53316" w:rsidP="004B11B7">
            <w:pPr>
              <w:jc w:val="right"/>
              <w:rPr>
                <w:color w:val="000000"/>
                <w:sz w:val="22"/>
                <w:szCs w:val="22"/>
              </w:rPr>
            </w:pPr>
            <w:r w:rsidRPr="00D618B7">
              <w:rPr>
                <w:color w:val="000000"/>
                <w:sz w:val="22"/>
                <w:szCs w:val="22"/>
              </w:rPr>
              <w:t>0.83</w:t>
            </w:r>
          </w:p>
        </w:tc>
        <w:tc>
          <w:tcPr>
            <w:tcW w:w="892" w:type="pct"/>
            <w:tcBorders>
              <w:top w:val="nil"/>
              <w:left w:val="nil"/>
              <w:bottom w:val="nil"/>
              <w:right w:val="nil"/>
            </w:tcBorders>
            <w:shd w:val="clear" w:color="000000" w:fill="FFFFFF"/>
            <w:noWrap/>
            <w:vAlign w:val="center"/>
            <w:hideMark/>
          </w:tcPr>
          <w:p w14:paraId="65C5CF2C" w14:textId="77777777" w:rsidR="00B53316" w:rsidRPr="00D618B7" w:rsidRDefault="00B53316" w:rsidP="004B11B7">
            <w:pPr>
              <w:jc w:val="right"/>
              <w:rPr>
                <w:color w:val="000000"/>
                <w:sz w:val="22"/>
                <w:szCs w:val="22"/>
              </w:rPr>
            </w:pPr>
            <w:r w:rsidRPr="00D618B7">
              <w:rPr>
                <w:color w:val="000000"/>
                <w:sz w:val="22"/>
                <w:szCs w:val="22"/>
              </w:rPr>
              <w:t>0.18</w:t>
            </w:r>
          </w:p>
        </w:tc>
        <w:tc>
          <w:tcPr>
            <w:tcW w:w="548" w:type="pct"/>
            <w:tcBorders>
              <w:top w:val="nil"/>
              <w:left w:val="nil"/>
              <w:bottom w:val="nil"/>
              <w:right w:val="nil"/>
            </w:tcBorders>
            <w:shd w:val="clear" w:color="000000" w:fill="FFFFFF"/>
            <w:noWrap/>
            <w:vAlign w:val="center"/>
            <w:hideMark/>
          </w:tcPr>
          <w:p w14:paraId="70A9BBD3" w14:textId="77777777" w:rsidR="00B53316" w:rsidRPr="00D618B7" w:rsidRDefault="00B53316" w:rsidP="004B11B7">
            <w:pPr>
              <w:jc w:val="right"/>
              <w:rPr>
                <w:color w:val="000000"/>
                <w:sz w:val="22"/>
                <w:szCs w:val="22"/>
              </w:rPr>
            </w:pPr>
            <w:r w:rsidRPr="00D618B7">
              <w:rPr>
                <w:color w:val="000000"/>
                <w:sz w:val="22"/>
                <w:szCs w:val="22"/>
              </w:rPr>
              <w:t>1.59</w:t>
            </w:r>
          </w:p>
        </w:tc>
        <w:tc>
          <w:tcPr>
            <w:tcW w:w="881" w:type="pct"/>
            <w:tcBorders>
              <w:top w:val="nil"/>
              <w:left w:val="nil"/>
              <w:bottom w:val="nil"/>
              <w:right w:val="nil"/>
            </w:tcBorders>
            <w:shd w:val="clear" w:color="000000" w:fill="FFFFFF"/>
            <w:noWrap/>
            <w:vAlign w:val="center"/>
            <w:hideMark/>
          </w:tcPr>
          <w:p w14:paraId="3A978816" w14:textId="77777777" w:rsidR="00B53316" w:rsidRPr="00D618B7" w:rsidRDefault="00B53316" w:rsidP="004B11B7">
            <w:pPr>
              <w:jc w:val="right"/>
              <w:rPr>
                <w:color w:val="000000"/>
                <w:sz w:val="22"/>
                <w:szCs w:val="22"/>
              </w:rPr>
            </w:pPr>
            <w:r w:rsidRPr="00D618B7">
              <w:rPr>
                <w:color w:val="000000"/>
                <w:sz w:val="22"/>
                <w:szCs w:val="22"/>
              </w:rPr>
              <w:t>0.64</w:t>
            </w:r>
          </w:p>
        </w:tc>
      </w:tr>
      <w:tr w:rsidR="003B5FE0" w:rsidRPr="00D618B7" w14:paraId="6D9EEB99" w14:textId="77777777" w:rsidTr="003B5FE0">
        <w:trPr>
          <w:trHeight w:val="258"/>
        </w:trPr>
        <w:tc>
          <w:tcPr>
            <w:tcW w:w="713" w:type="pct"/>
            <w:tcBorders>
              <w:top w:val="nil"/>
              <w:left w:val="nil"/>
              <w:bottom w:val="nil"/>
              <w:right w:val="nil"/>
            </w:tcBorders>
            <w:shd w:val="clear" w:color="000000" w:fill="FFFFFF"/>
            <w:vAlign w:val="center"/>
            <w:hideMark/>
          </w:tcPr>
          <w:p w14:paraId="2CCA82FC" w14:textId="77777777" w:rsidR="00B53316" w:rsidRPr="00D618B7" w:rsidRDefault="00B53316" w:rsidP="004B11B7">
            <w:pPr>
              <w:jc w:val="right"/>
              <w:rPr>
                <w:color w:val="000000"/>
                <w:sz w:val="22"/>
                <w:szCs w:val="22"/>
              </w:rPr>
            </w:pPr>
            <w:r w:rsidRPr="00D618B7">
              <w:rPr>
                <w:color w:val="000000"/>
                <w:sz w:val="22"/>
                <w:szCs w:val="22"/>
              </w:rPr>
              <w:t>1.00</w:t>
            </w:r>
          </w:p>
        </w:tc>
        <w:tc>
          <w:tcPr>
            <w:tcW w:w="536" w:type="pct"/>
            <w:tcBorders>
              <w:top w:val="nil"/>
              <w:left w:val="nil"/>
              <w:bottom w:val="nil"/>
              <w:right w:val="nil"/>
            </w:tcBorders>
            <w:shd w:val="clear" w:color="000000" w:fill="FFFFFF"/>
            <w:noWrap/>
            <w:vAlign w:val="center"/>
            <w:hideMark/>
          </w:tcPr>
          <w:p w14:paraId="700FCD0B" w14:textId="77777777" w:rsidR="00B53316" w:rsidRPr="00D618B7" w:rsidRDefault="00B53316" w:rsidP="004B11B7">
            <w:pPr>
              <w:jc w:val="right"/>
              <w:rPr>
                <w:color w:val="000000"/>
                <w:sz w:val="22"/>
                <w:szCs w:val="22"/>
              </w:rPr>
            </w:pPr>
            <w:r w:rsidRPr="00D618B7">
              <w:rPr>
                <w:color w:val="000000"/>
                <w:sz w:val="22"/>
                <w:szCs w:val="22"/>
              </w:rPr>
              <w:t>0.01</w:t>
            </w:r>
          </w:p>
        </w:tc>
        <w:tc>
          <w:tcPr>
            <w:tcW w:w="892" w:type="pct"/>
            <w:tcBorders>
              <w:top w:val="nil"/>
              <w:left w:val="nil"/>
              <w:bottom w:val="nil"/>
              <w:right w:val="nil"/>
            </w:tcBorders>
            <w:shd w:val="clear" w:color="000000" w:fill="FFFFFF"/>
            <w:noWrap/>
            <w:vAlign w:val="center"/>
            <w:hideMark/>
          </w:tcPr>
          <w:p w14:paraId="293A147C" w14:textId="77777777" w:rsidR="00B53316" w:rsidRPr="00D618B7" w:rsidRDefault="00B53316" w:rsidP="004B11B7">
            <w:pPr>
              <w:jc w:val="right"/>
              <w:rPr>
                <w:color w:val="000000"/>
                <w:sz w:val="22"/>
                <w:szCs w:val="22"/>
              </w:rPr>
            </w:pPr>
            <w:r w:rsidRPr="00D618B7">
              <w:rPr>
                <w:color w:val="000000"/>
                <w:sz w:val="22"/>
                <w:szCs w:val="22"/>
              </w:rPr>
              <w:t>0.07</w:t>
            </w:r>
          </w:p>
        </w:tc>
        <w:tc>
          <w:tcPr>
            <w:tcW w:w="536" w:type="pct"/>
            <w:tcBorders>
              <w:top w:val="nil"/>
              <w:left w:val="nil"/>
              <w:bottom w:val="nil"/>
              <w:right w:val="nil"/>
            </w:tcBorders>
            <w:shd w:val="clear" w:color="000000" w:fill="FFFFFF"/>
            <w:noWrap/>
            <w:vAlign w:val="center"/>
            <w:hideMark/>
          </w:tcPr>
          <w:p w14:paraId="3430ABB2" w14:textId="77777777" w:rsidR="00B53316" w:rsidRPr="00D618B7" w:rsidRDefault="00B53316" w:rsidP="004B11B7">
            <w:pPr>
              <w:jc w:val="right"/>
              <w:rPr>
                <w:color w:val="000000"/>
                <w:sz w:val="22"/>
                <w:szCs w:val="22"/>
              </w:rPr>
            </w:pPr>
            <w:r w:rsidRPr="00D618B7">
              <w:rPr>
                <w:color w:val="000000"/>
                <w:sz w:val="22"/>
                <w:szCs w:val="22"/>
              </w:rPr>
              <w:t>-0.17</w:t>
            </w:r>
          </w:p>
        </w:tc>
        <w:tc>
          <w:tcPr>
            <w:tcW w:w="892" w:type="pct"/>
            <w:tcBorders>
              <w:top w:val="nil"/>
              <w:left w:val="nil"/>
              <w:bottom w:val="nil"/>
              <w:right w:val="nil"/>
            </w:tcBorders>
            <w:shd w:val="clear" w:color="000000" w:fill="FFFFFF"/>
            <w:noWrap/>
            <w:vAlign w:val="center"/>
            <w:hideMark/>
          </w:tcPr>
          <w:p w14:paraId="4A378C8D" w14:textId="77777777" w:rsidR="00B53316" w:rsidRPr="00D618B7" w:rsidRDefault="00B53316" w:rsidP="004B11B7">
            <w:pPr>
              <w:jc w:val="right"/>
              <w:rPr>
                <w:color w:val="000000"/>
                <w:sz w:val="22"/>
                <w:szCs w:val="22"/>
              </w:rPr>
            </w:pPr>
            <w:r w:rsidRPr="00D618B7">
              <w:rPr>
                <w:color w:val="000000"/>
                <w:sz w:val="22"/>
                <w:szCs w:val="22"/>
              </w:rPr>
              <w:t>0.03</w:t>
            </w:r>
          </w:p>
        </w:tc>
        <w:tc>
          <w:tcPr>
            <w:tcW w:w="548" w:type="pct"/>
            <w:tcBorders>
              <w:top w:val="nil"/>
              <w:left w:val="nil"/>
              <w:bottom w:val="nil"/>
              <w:right w:val="nil"/>
            </w:tcBorders>
            <w:shd w:val="clear" w:color="000000" w:fill="FFFFFF"/>
            <w:noWrap/>
            <w:vAlign w:val="center"/>
            <w:hideMark/>
          </w:tcPr>
          <w:p w14:paraId="5017E29A" w14:textId="77777777" w:rsidR="00B53316" w:rsidRPr="00D618B7" w:rsidRDefault="00B53316" w:rsidP="004B11B7">
            <w:pPr>
              <w:jc w:val="right"/>
              <w:rPr>
                <w:color w:val="000000"/>
                <w:sz w:val="22"/>
                <w:szCs w:val="22"/>
              </w:rPr>
            </w:pPr>
            <w:r w:rsidRPr="00D618B7">
              <w:rPr>
                <w:color w:val="000000"/>
                <w:sz w:val="22"/>
                <w:szCs w:val="22"/>
              </w:rPr>
              <w:t>5.17</w:t>
            </w:r>
          </w:p>
        </w:tc>
        <w:tc>
          <w:tcPr>
            <w:tcW w:w="881" w:type="pct"/>
            <w:tcBorders>
              <w:top w:val="nil"/>
              <w:left w:val="nil"/>
              <w:bottom w:val="nil"/>
              <w:right w:val="nil"/>
            </w:tcBorders>
            <w:shd w:val="clear" w:color="000000" w:fill="FFFFFF"/>
            <w:noWrap/>
            <w:vAlign w:val="center"/>
            <w:hideMark/>
          </w:tcPr>
          <w:p w14:paraId="3F5CFE92" w14:textId="77777777" w:rsidR="00B53316" w:rsidRPr="00D618B7" w:rsidRDefault="00B53316" w:rsidP="004B11B7">
            <w:pPr>
              <w:jc w:val="right"/>
              <w:rPr>
                <w:color w:val="000000"/>
                <w:sz w:val="22"/>
                <w:szCs w:val="22"/>
              </w:rPr>
            </w:pPr>
            <w:r w:rsidRPr="00D618B7">
              <w:rPr>
                <w:color w:val="000000"/>
                <w:sz w:val="22"/>
                <w:szCs w:val="22"/>
              </w:rPr>
              <w:t>1.73</w:t>
            </w:r>
          </w:p>
        </w:tc>
      </w:tr>
      <w:tr w:rsidR="003B5FE0" w:rsidRPr="00D618B7" w14:paraId="789FE9E6" w14:textId="77777777" w:rsidTr="003B5FE0">
        <w:trPr>
          <w:trHeight w:val="258"/>
        </w:trPr>
        <w:tc>
          <w:tcPr>
            <w:tcW w:w="713" w:type="pct"/>
            <w:tcBorders>
              <w:top w:val="nil"/>
              <w:left w:val="nil"/>
              <w:bottom w:val="nil"/>
              <w:right w:val="nil"/>
            </w:tcBorders>
            <w:shd w:val="clear" w:color="000000" w:fill="FFFFFF"/>
            <w:vAlign w:val="center"/>
            <w:hideMark/>
          </w:tcPr>
          <w:p w14:paraId="04C12E25" w14:textId="77777777" w:rsidR="00B53316" w:rsidRPr="00D618B7" w:rsidRDefault="00B53316" w:rsidP="004B11B7">
            <w:pPr>
              <w:jc w:val="right"/>
              <w:rPr>
                <w:color w:val="000000"/>
                <w:sz w:val="22"/>
                <w:szCs w:val="22"/>
              </w:rPr>
            </w:pPr>
            <w:r w:rsidRPr="00D618B7">
              <w:rPr>
                <w:color w:val="000000"/>
                <w:sz w:val="22"/>
                <w:szCs w:val="22"/>
              </w:rPr>
              <w:t>2.00</w:t>
            </w:r>
          </w:p>
        </w:tc>
        <w:tc>
          <w:tcPr>
            <w:tcW w:w="536" w:type="pct"/>
            <w:tcBorders>
              <w:top w:val="nil"/>
              <w:left w:val="nil"/>
              <w:bottom w:val="nil"/>
              <w:right w:val="nil"/>
            </w:tcBorders>
            <w:shd w:val="clear" w:color="000000" w:fill="FFFFFF"/>
            <w:noWrap/>
            <w:vAlign w:val="center"/>
            <w:hideMark/>
          </w:tcPr>
          <w:p w14:paraId="0213E1BD" w14:textId="77777777" w:rsidR="00B53316" w:rsidRPr="00D618B7" w:rsidRDefault="00B53316" w:rsidP="004B11B7">
            <w:pPr>
              <w:jc w:val="right"/>
              <w:rPr>
                <w:color w:val="000000"/>
                <w:sz w:val="22"/>
                <w:szCs w:val="22"/>
              </w:rPr>
            </w:pPr>
            <w:r w:rsidRPr="00D618B7">
              <w:rPr>
                <w:color w:val="000000"/>
                <w:sz w:val="22"/>
                <w:szCs w:val="22"/>
              </w:rPr>
              <w:t>1.05</w:t>
            </w:r>
          </w:p>
        </w:tc>
        <w:tc>
          <w:tcPr>
            <w:tcW w:w="892" w:type="pct"/>
            <w:tcBorders>
              <w:top w:val="nil"/>
              <w:left w:val="nil"/>
              <w:bottom w:val="nil"/>
              <w:right w:val="nil"/>
            </w:tcBorders>
            <w:shd w:val="clear" w:color="000000" w:fill="FFFFFF"/>
            <w:noWrap/>
            <w:vAlign w:val="center"/>
            <w:hideMark/>
          </w:tcPr>
          <w:p w14:paraId="4FC7CE26" w14:textId="77777777" w:rsidR="00B53316" w:rsidRPr="00D618B7" w:rsidRDefault="00B53316" w:rsidP="004B11B7">
            <w:pPr>
              <w:jc w:val="right"/>
              <w:rPr>
                <w:color w:val="000000"/>
                <w:sz w:val="22"/>
                <w:szCs w:val="22"/>
              </w:rPr>
            </w:pPr>
            <w:r w:rsidRPr="00D618B7">
              <w:rPr>
                <w:color w:val="000000"/>
                <w:sz w:val="22"/>
                <w:szCs w:val="22"/>
              </w:rPr>
              <w:t>0.02</w:t>
            </w:r>
          </w:p>
        </w:tc>
        <w:tc>
          <w:tcPr>
            <w:tcW w:w="536" w:type="pct"/>
            <w:tcBorders>
              <w:top w:val="nil"/>
              <w:left w:val="nil"/>
              <w:bottom w:val="nil"/>
              <w:right w:val="nil"/>
            </w:tcBorders>
            <w:shd w:val="clear" w:color="000000" w:fill="FFFFFF"/>
            <w:noWrap/>
            <w:vAlign w:val="center"/>
            <w:hideMark/>
          </w:tcPr>
          <w:p w14:paraId="3F3C7461" w14:textId="77777777" w:rsidR="00B53316" w:rsidRPr="00D618B7" w:rsidRDefault="00B53316" w:rsidP="004B11B7">
            <w:pPr>
              <w:jc w:val="right"/>
              <w:rPr>
                <w:color w:val="000000"/>
                <w:sz w:val="22"/>
                <w:szCs w:val="22"/>
              </w:rPr>
            </w:pPr>
            <w:r w:rsidRPr="00D618B7">
              <w:rPr>
                <w:color w:val="000000"/>
                <w:sz w:val="22"/>
                <w:szCs w:val="22"/>
              </w:rPr>
              <w:t>-0.28</w:t>
            </w:r>
          </w:p>
        </w:tc>
        <w:tc>
          <w:tcPr>
            <w:tcW w:w="892" w:type="pct"/>
            <w:tcBorders>
              <w:top w:val="nil"/>
              <w:left w:val="nil"/>
              <w:bottom w:val="nil"/>
              <w:right w:val="nil"/>
            </w:tcBorders>
            <w:shd w:val="clear" w:color="000000" w:fill="FFFFFF"/>
            <w:noWrap/>
            <w:vAlign w:val="center"/>
            <w:hideMark/>
          </w:tcPr>
          <w:p w14:paraId="0D497F4A" w14:textId="77777777" w:rsidR="00B53316" w:rsidRPr="00D618B7" w:rsidRDefault="00B53316" w:rsidP="004B11B7">
            <w:pPr>
              <w:jc w:val="right"/>
              <w:rPr>
                <w:color w:val="000000"/>
                <w:sz w:val="22"/>
                <w:szCs w:val="22"/>
              </w:rPr>
            </w:pPr>
            <w:r w:rsidRPr="00D618B7">
              <w:rPr>
                <w:color w:val="000000"/>
                <w:sz w:val="22"/>
                <w:szCs w:val="22"/>
              </w:rPr>
              <w:t>0.13</w:t>
            </w:r>
          </w:p>
        </w:tc>
        <w:tc>
          <w:tcPr>
            <w:tcW w:w="548" w:type="pct"/>
            <w:tcBorders>
              <w:top w:val="nil"/>
              <w:left w:val="nil"/>
              <w:bottom w:val="nil"/>
              <w:right w:val="nil"/>
            </w:tcBorders>
            <w:shd w:val="clear" w:color="000000" w:fill="FFFFFF"/>
            <w:noWrap/>
            <w:vAlign w:val="center"/>
            <w:hideMark/>
          </w:tcPr>
          <w:p w14:paraId="57A4E963" w14:textId="77777777" w:rsidR="00B53316" w:rsidRPr="00D618B7" w:rsidRDefault="00B53316" w:rsidP="004B11B7">
            <w:pPr>
              <w:jc w:val="right"/>
              <w:rPr>
                <w:color w:val="000000"/>
                <w:sz w:val="22"/>
                <w:szCs w:val="22"/>
              </w:rPr>
            </w:pPr>
            <w:r w:rsidRPr="00D618B7">
              <w:rPr>
                <w:color w:val="000000"/>
                <w:sz w:val="22"/>
                <w:szCs w:val="22"/>
              </w:rPr>
              <w:t>8.17</w:t>
            </w:r>
          </w:p>
        </w:tc>
        <w:tc>
          <w:tcPr>
            <w:tcW w:w="881" w:type="pct"/>
            <w:tcBorders>
              <w:top w:val="nil"/>
              <w:left w:val="nil"/>
              <w:bottom w:val="nil"/>
              <w:right w:val="nil"/>
            </w:tcBorders>
            <w:shd w:val="clear" w:color="000000" w:fill="FFFFFF"/>
            <w:noWrap/>
            <w:vAlign w:val="center"/>
            <w:hideMark/>
          </w:tcPr>
          <w:p w14:paraId="6C9A5AF2" w14:textId="77777777" w:rsidR="00B53316" w:rsidRPr="00D618B7" w:rsidRDefault="00B53316" w:rsidP="004B11B7">
            <w:pPr>
              <w:jc w:val="right"/>
              <w:rPr>
                <w:color w:val="000000"/>
                <w:sz w:val="22"/>
                <w:szCs w:val="22"/>
              </w:rPr>
            </w:pPr>
            <w:r w:rsidRPr="00D618B7">
              <w:rPr>
                <w:color w:val="000000"/>
                <w:sz w:val="22"/>
                <w:szCs w:val="22"/>
              </w:rPr>
              <w:t>1.49</w:t>
            </w:r>
          </w:p>
        </w:tc>
      </w:tr>
      <w:tr w:rsidR="003B5FE0" w:rsidRPr="00D618B7" w14:paraId="6CAA4C66" w14:textId="77777777" w:rsidTr="003B5FE0">
        <w:trPr>
          <w:trHeight w:val="258"/>
        </w:trPr>
        <w:tc>
          <w:tcPr>
            <w:tcW w:w="713" w:type="pct"/>
            <w:tcBorders>
              <w:top w:val="nil"/>
              <w:left w:val="nil"/>
              <w:bottom w:val="nil"/>
              <w:right w:val="nil"/>
            </w:tcBorders>
            <w:shd w:val="clear" w:color="000000" w:fill="FFFFFF"/>
            <w:vAlign w:val="center"/>
            <w:hideMark/>
          </w:tcPr>
          <w:p w14:paraId="29DD23A7" w14:textId="77777777" w:rsidR="00B53316" w:rsidRPr="00D618B7" w:rsidRDefault="00B53316" w:rsidP="004B11B7">
            <w:pPr>
              <w:jc w:val="right"/>
              <w:rPr>
                <w:color w:val="000000"/>
                <w:sz w:val="22"/>
                <w:szCs w:val="22"/>
              </w:rPr>
            </w:pPr>
            <w:r w:rsidRPr="00D618B7">
              <w:rPr>
                <w:color w:val="000000"/>
                <w:sz w:val="22"/>
                <w:szCs w:val="22"/>
              </w:rPr>
              <w:t>3.00</w:t>
            </w:r>
          </w:p>
        </w:tc>
        <w:tc>
          <w:tcPr>
            <w:tcW w:w="536" w:type="pct"/>
            <w:tcBorders>
              <w:top w:val="nil"/>
              <w:left w:val="nil"/>
              <w:bottom w:val="nil"/>
              <w:right w:val="nil"/>
            </w:tcBorders>
            <w:shd w:val="clear" w:color="000000" w:fill="FFFFFF"/>
            <w:noWrap/>
            <w:vAlign w:val="center"/>
            <w:hideMark/>
          </w:tcPr>
          <w:p w14:paraId="23AD8454" w14:textId="77777777" w:rsidR="00B53316" w:rsidRPr="00D618B7" w:rsidRDefault="00B53316" w:rsidP="004B11B7">
            <w:pPr>
              <w:jc w:val="right"/>
              <w:rPr>
                <w:color w:val="000000"/>
                <w:sz w:val="22"/>
                <w:szCs w:val="22"/>
              </w:rPr>
            </w:pPr>
            <w:r w:rsidRPr="00D618B7">
              <w:rPr>
                <w:color w:val="000000"/>
                <w:sz w:val="22"/>
                <w:szCs w:val="22"/>
              </w:rPr>
              <w:t>0.36</w:t>
            </w:r>
          </w:p>
        </w:tc>
        <w:tc>
          <w:tcPr>
            <w:tcW w:w="892" w:type="pct"/>
            <w:tcBorders>
              <w:top w:val="nil"/>
              <w:left w:val="nil"/>
              <w:bottom w:val="nil"/>
              <w:right w:val="nil"/>
            </w:tcBorders>
            <w:shd w:val="clear" w:color="000000" w:fill="FFFFFF"/>
            <w:noWrap/>
            <w:vAlign w:val="center"/>
            <w:hideMark/>
          </w:tcPr>
          <w:p w14:paraId="52BA4901" w14:textId="77777777" w:rsidR="00B53316" w:rsidRPr="00D618B7" w:rsidRDefault="00B53316" w:rsidP="004B11B7">
            <w:pPr>
              <w:jc w:val="right"/>
              <w:rPr>
                <w:color w:val="000000"/>
                <w:sz w:val="22"/>
                <w:szCs w:val="22"/>
              </w:rPr>
            </w:pPr>
            <w:r w:rsidRPr="00D618B7">
              <w:rPr>
                <w:color w:val="000000"/>
                <w:sz w:val="22"/>
                <w:szCs w:val="22"/>
              </w:rPr>
              <w:t>0.24</w:t>
            </w:r>
          </w:p>
        </w:tc>
        <w:tc>
          <w:tcPr>
            <w:tcW w:w="536" w:type="pct"/>
            <w:tcBorders>
              <w:top w:val="nil"/>
              <w:left w:val="nil"/>
              <w:bottom w:val="nil"/>
              <w:right w:val="nil"/>
            </w:tcBorders>
            <w:shd w:val="clear" w:color="000000" w:fill="FFFFFF"/>
            <w:noWrap/>
            <w:vAlign w:val="center"/>
            <w:hideMark/>
          </w:tcPr>
          <w:p w14:paraId="4F8F97EF" w14:textId="77777777" w:rsidR="00B53316" w:rsidRPr="00D618B7" w:rsidRDefault="00B53316" w:rsidP="004B11B7">
            <w:pPr>
              <w:jc w:val="right"/>
              <w:rPr>
                <w:color w:val="000000"/>
                <w:sz w:val="22"/>
                <w:szCs w:val="22"/>
              </w:rPr>
            </w:pPr>
            <w:r w:rsidRPr="00D618B7">
              <w:rPr>
                <w:color w:val="000000"/>
                <w:sz w:val="22"/>
                <w:szCs w:val="22"/>
              </w:rPr>
              <w:t>0.87</w:t>
            </w:r>
          </w:p>
        </w:tc>
        <w:tc>
          <w:tcPr>
            <w:tcW w:w="892" w:type="pct"/>
            <w:tcBorders>
              <w:top w:val="nil"/>
              <w:left w:val="nil"/>
              <w:bottom w:val="nil"/>
              <w:right w:val="nil"/>
            </w:tcBorders>
            <w:shd w:val="clear" w:color="000000" w:fill="FFFFFF"/>
            <w:noWrap/>
            <w:vAlign w:val="center"/>
            <w:hideMark/>
          </w:tcPr>
          <w:p w14:paraId="52C48D3B" w14:textId="77777777" w:rsidR="00B53316" w:rsidRPr="00D618B7" w:rsidRDefault="00B53316" w:rsidP="004B11B7">
            <w:pPr>
              <w:jc w:val="right"/>
              <w:rPr>
                <w:color w:val="000000"/>
                <w:sz w:val="22"/>
                <w:szCs w:val="22"/>
              </w:rPr>
            </w:pPr>
            <w:r w:rsidRPr="00D618B7">
              <w:rPr>
                <w:color w:val="000000"/>
                <w:sz w:val="22"/>
                <w:szCs w:val="22"/>
              </w:rPr>
              <w:t>0.44</w:t>
            </w:r>
          </w:p>
        </w:tc>
        <w:tc>
          <w:tcPr>
            <w:tcW w:w="548" w:type="pct"/>
            <w:tcBorders>
              <w:top w:val="nil"/>
              <w:left w:val="nil"/>
              <w:bottom w:val="nil"/>
              <w:right w:val="nil"/>
            </w:tcBorders>
            <w:shd w:val="clear" w:color="000000" w:fill="FFFFFF"/>
            <w:noWrap/>
            <w:vAlign w:val="center"/>
            <w:hideMark/>
          </w:tcPr>
          <w:p w14:paraId="596AEF5E" w14:textId="77777777" w:rsidR="00B53316" w:rsidRPr="00D618B7" w:rsidRDefault="00B53316" w:rsidP="004B11B7">
            <w:pPr>
              <w:jc w:val="right"/>
              <w:rPr>
                <w:color w:val="000000"/>
                <w:sz w:val="22"/>
                <w:szCs w:val="22"/>
              </w:rPr>
            </w:pPr>
            <w:r w:rsidRPr="00D618B7">
              <w:rPr>
                <w:color w:val="000000"/>
                <w:sz w:val="22"/>
                <w:szCs w:val="22"/>
              </w:rPr>
              <w:t>3.63</w:t>
            </w:r>
          </w:p>
        </w:tc>
        <w:tc>
          <w:tcPr>
            <w:tcW w:w="881" w:type="pct"/>
            <w:tcBorders>
              <w:top w:val="nil"/>
              <w:left w:val="nil"/>
              <w:bottom w:val="nil"/>
              <w:right w:val="nil"/>
            </w:tcBorders>
            <w:shd w:val="clear" w:color="000000" w:fill="FFFFFF"/>
            <w:noWrap/>
            <w:vAlign w:val="center"/>
            <w:hideMark/>
          </w:tcPr>
          <w:p w14:paraId="766DC84E" w14:textId="77777777" w:rsidR="00B53316" w:rsidRPr="00D618B7" w:rsidRDefault="00B53316" w:rsidP="004B11B7">
            <w:pPr>
              <w:jc w:val="right"/>
              <w:rPr>
                <w:color w:val="000000"/>
                <w:sz w:val="22"/>
                <w:szCs w:val="22"/>
              </w:rPr>
            </w:pPr>
            <w:r w:rsidRPr="00D618B7">
              <w:rPr>
                <w:color w:val="000000"/>
                <w:sz w:val="22"/>
                <w:szCs w:val="22"/>
              </w:rPr>
              <w:t>1.03</w:t>
            </w:r>
          </w:p>
        </w:tc>
      </w:tr>
      <w:tr w:rsidR="003B5FE0" w:rsidRPr="00D618B7" w14:paraId="5935F08B" w14:textId="77777777" w:rsidTr="003B5FE0">
        <w:trPr>
          <w:trHeight w:val="258"/>
        </w:trPr>
        <w:tc>
          <w:tcPr>
            <w:tcW w:w="713" w:type="pct"/>
            <w:tcBorders>
              <w:top w:val="nil"/>
              <w:left w:val="nil"/>
              <w:bottom w:val="nil"/>
              <w:right w:val="nil"/>
            </w:tcBorders>
            <w:shd w:val="clear" w:color="000000" w:fill="FFFFFF"/>
            <w:vAlign w:val="center"/>
            <w:hideMark/>
          </w:tcPr>
          <w:p w14:paraId="5C41CCD4" w14:textId="77777777" w:rsidR="00B53316" w:rsidRPr="00D618B7" w:rsidRDefault="00B53316" w:rsidP="004B11B7">
            <w:pPr>
              <w:jc w:val="right"/>
              <w:rPr>
                <w:color w:val="000000"/>
                <w:sz w:val="22"/>
                <w:szCs w:val="22"/>
              </w:rPr>
            </w:pPr>
            <w:r w:rsidRPr="00D618B7">
              <w:rPr>
                <w:color w:val="000000"/>
                <w:sz w:val="22"/>
                <w:szCs w:val="22"/>
              </w:rPr>
              <w:t>4.00</w:t>
            </w:r>
          </w:p>
        </w:tc>
        <w:tc>
          <w:tcPr>
            <w:tcW w:w="536" w:type="pct"/>
            <w:tcBorders>
              <w:top w:val="nil"/>
              <w:left w:val="nil"/>
              <w:bottom w:val="nil"/>
              <w:right w:val="nil"/>
            </w:tcBorders>
            <w:shd w:val="clear" w:color="000000" w:fill="FFFFFF"/>
            <w:noWrap/>
            <w:vAlign w:val="center"/>
            <w:hideMark/>
          </w:tcPr>
          <w:p w14:paraId="635BD0E2" w14:textId="77777777" w:rsidR="00B53316" w:rsidRPr="00D618B7" w:rsidRDefault="00B53316" w:rsidP="004B11B7">
            <w:pPr>
              <w:jc w:val="right"/>
              <w:rPr>
                <w:color w:val="000000"/>
                <w:sz w:val="22"/>
                <w:szCs w:val="22"/>
              </w:rPr>
            </w:pPr>
            <w:r w:rsidRPr="00D618B7">
              <w:rPr>
                <w:color w:val="000000"/>
                <w:sz w:val="22"/>
                <w:szCs w:val="22"/>
              </w:rPr>
              <w:t>0.47</w:t>
            </w:r>
          </w:p>
        </w:tc>
        <w:tc>
          <w:tcPr>
            <w:tcW w:w="892" w:type="pct"/>
            <w:tcBorders>
              <w:top w:val="nil"/>
              <w:left w:val="nil"/>
              <w:bottom w:val="nil"/>
              <w:right w:val="nil"/>
            </w:tcBorders>
            <w:shd w:val="clear" w:color="000000" w:fill="FFFFFF"/>
            <w:noWrap/>
            <w:vAlign w:val="center"/>
            <w:hideMark/>
          </w:tcPr>
          <w:p w14:paraId="54694F35" w14:textId="77777777" w:rsidR="00B53316" w:rsidRPr="00D618B7" w:rsidRDefault="00B53316" w:rsidP="004B11B7">
            <w:pPr>
              <w:jc w:val="right"/>
              <w:rPr>
                <w:color w:val="000000"/>
                <w:sz w:val="22"/>
                <w:szCs w:val="22"/>
              </w:rPr>
            </w:pPr>
            <w:r w:rsidRPr="00D618B7">
              <w:rPr>
                <w:color w:val="000000"/>
                <w:sz w:val="22"/>
                <w:szCs w:val="22"/>
              </w:rPr>
              <w:t>0.29</w:t>
            </w:r>
          </w:p>
        </w:tc>
        <w:tc>
          <w:tcPr>
            <w:tcW w:w="536" w:type="pct"/>
            <w:tcBorders>
              <w:top w:val="nil"/>
              <w:left w:val="nil"/>
              <w:bottom w:val="nil"/>
              <w:right w:val="nil"/>
            </w:tcBorders>
            <w:shd w:val="clear" w:color="000000" w:fill="FFFFFF"/>
            <w:noWrap/>
            <w:vAlign w:val="center"/>
            <w:hideMark/>
          </w:tcPr>
          <w:p w14:paraId="67108DAD" w14:textId="77777777" w:rsidR="00B53316" w:rsidRPr="00D618B7" w:rsidRDefault="00B53316" w:rsidP="004B11B7">
            <w:pPr>
              <w:jc w:val="right"/>
              <w:rPr>
                <w:color w:val="000000"/>
                <w:sz w:val="22"/>
                <w:szCs w:val="22"/>
              </w:rPr>
            </w:pPr>
            <w:r w:rsidRPr="00D618B7">
              <w:rPr>
                <w:color w:val="000000"/>
                <w:sz w:val="22"/>
                <w:szCs w:val="22"/>
              </w:rPr>
              <w:t>0.04</w:t>
            </w:r>
          </w:p>
        </w:tc>
        <w:tc>
          <w:tcPr>
            <w:tcW w:w="892" w:type="pct"/>
            <w:tcBorders>
              <w:top w:val="nil"/>
              <w:left w:val="nil"/>
              <w:bottom w:val="nil"/>
              <w:right w:val="nil"/>
            </w:tcBorders>
            <w:shd w:val="clear" w:color="000000" w:fill="FFFFFF"/>
            <w:noWrap/>
            <w:vAlign w:val="center"/>
            <w:hideMark/>
          </w:tcPr>
          <w:p w14:paraId="0118157F" w14:textId="77777777" w:rsidR="00B53316" w:rsidRPr="00D618B7" w:rsidRDefault="00B53316" w:rsidP="004B11B7">
            <w:pPr>
              <w:jc w:val="right"/>
              <w:rPr>
                <w:color w:val="000000"/>
                <w:sz w:val="22"/>
                <w:szCs w:val="22"/>
              </w:rPr>
            </w:pPr>
            <w:r w:rsidRPr="00D618B7">
              <w:rPr>
                <w:color w:val="000000"/>
                <w:sz w:val="22"/>
                <w:szCs w:val="22"/>
              </w:rPr>
              <w:t>0.38</w:t>
            </w:r>
          </w:p>
        </w:tc>
        <w:tc>
          <w:tcPr>
            <w:tcW w:w="548" w:type="pct"/>
            <w:tcBorders>
              <w:top w:val="nil"/>
              <w:left w:val="nil"/>
              <w:bottom w:val="nil"/>
              <w:right w:val="nil"/>
            </w:tcBorders>
            <w:shd w:val="clear" w:color="000000" w:fill="FFFFFF"/>
            <w:noWrap/>
            <w:vAlign w:val="center"/>
            <w:hideMark/>
          </w:tcPr>
          <w:p w14:paraId="13FD4EFB" w14:textId="77777777" w:rsidR="00B53316" w:rsidRPr="00D618B7" w:rsidRDefault="00B53316" w:rsidP="004B11B7">
            <w:pPr>
              <w:jc w:val="right"/>
              <w:rPr>
                <w:color w:val="000000"/>
                <w:sz w:val="22"/>
                <w:szCs w:val="22"/>
              </w:rPr>
            </w:pPr>
            <w:r w:rsidRPr="00D618B7">
              <w:rPr>
                <w:color w:val="000000"/>
                <w:sz w:val="22"/>
                <w:szCs w:val="22"/>
              </w:rPr>
              <w:t>10.47</w:t>
            </w:r>
          </w:p>
        </w:tc>
        <w:tc>
          <w:tcPr>
            <w:tcW w:w="881" w:type="pct"/>
            <w:tcBorders>
              <w:top w:val="nil"/>
              <w:left w:val="nil"/>
              <w:bottom w:val="nil"/>
              <w:right w:val="nil"/>
            </w:tcBorders>
            <w:shd w:val="clear" w:color="000000" w:fill="FFFFFF"/>
            <w:noWrap/>
            <w:vAlign w:val="center"/>
            <w:hideMark/>
          </w:tcPr>
          <w:p w14:paraId="77CB9C3E" w14:textId="77777777" w:rsidR="00B53316" w:rsidRPr="00D618B7" w:rsidRDefault="00B53316" w:rsidP="004B11B7">
            <w:pPr>
              <w:jc w:val="right"/>
              <w:rPr>
                <w:color w:val="000000"/>
                <w:sz w:val="22"/>
                <w:szCs w:val="22"/>
              </w:rPr>
            </w:pPr>
            <w:r w:rsidRPr="00D618B7">
              <w:rPr>
                <w:color w:val="000000"/>
                <w:sz w:val="22"/>
                <w:szCs w:val="22"/>
              </w:rPr>
              <w:t>1.55</w:t>
            </w:r>
          </w:p>
        </w:tc>
      </w:tr>
      <w:tr w:rsidR="003B5FE0" w:rsidRPr="00D618B7" w14:paraId="22BFBE5B" w14:textId="77777777" w:rsidTr="003B5FE0">
        <w:trPr>
          <w:trHeight w:val="258"/>
        </w:trPr>
        <w:tc>
          <w:tcPr>
            <w:tcW w:w="713" w:type="pct"/>
            <w:tcBorders>
              <w:top w:val="nil"/>
              <w:left w:val="nil"/>
              <w:bottom w:val="single" w:sz="8" w:space="0" w:color="auto"/>
              <w:right w:val="nil"/>
            </w:tcBorders>
            <w:shd w:val="clear" w:color="000000" w:fill="FFFFFF"/>
            <w:vAlign w:val="center"/>
            <w:hideMark/>
          </w:tcPr>
          <w:p w14:paraId="0559EA07" w14:textId="77777777" w:rsidR="00B53316" w:rsidRPr="00D618B7" w:rsidRDefault="00B53316" w:rsidP="004B11B7">
            <w:pPr>
              <w:jc w:val="right"/>
              <w:rPr>
                <w:color w:val="000000"/>
                <w:sz w:val="22"/>
                <w:szCs w:val="22"/>
              </w:rPr>
            </w:pPr>
            <w:r w:rsidRPr="00D618B7">
              <w:rPr>
                <w:color w:val="000000"/>
                <w:sz w:val="22"/>
                <w:szCs w:val="22"/>
              </w:rPr>
              <w:t>5.00</w:t>
            </w:r>
          </w:p>
        </w:tc>
        <w:tc>
          <w:tcPr>
            <w:tcW w:w="536" w:type="pct"/>
            <w:tcBorders>
              <w:top w:val="nil"/>
              <w:left w:val="nil"/>
              <w:bottom w:val="single" w:sz="8" w:space="0" w:color="auto"/>
              <w:right w:val="nil"/>
            </w:tcBorders>
            <w:shd w:val="clear" w:color="000000" w:fill="FFFFFF"/>
            <w:noWrap/>
            <w:vAlign w:val="center"/>
            <w:hideMark/>
          </w:tcPr>
          <w:p w14:paraId="6573C6BD" w14:textId="77777777" w:rsidR="00B53316" w:rsidRPr="00D618B7" w:rsidRDefault="00B53316" w:rsidP="004B11B7">
            <w:pPr>
              <w:jc w:val="right"/>
              <w:rPr>
                <w:color w:val="000000"/>
                <w:sz w:val="22"/>
                <w:szCs w:val="22"/>
              </w:rPr>
            </w:pPr>
            <w:r w:rsidRPr="00D618B7">
              <w:rPr>
                <w:color w:val="000000"/>
                <w:sz w:val="22"/>
                <w:szCs w:val="22"/>
              </w:rPr>
              <w:t>-0.22</w:t>
            </w:r>
          </w:p>
        </w:tc>
        <w:tc>
          <w:tcPr>
            <w:tcW w:w="892" w:type="pct"/>
            <w:tcBorders>
              <w:top w:val="nil"/>
              <w:left w:val="nil"/>
              <w:bottom w:val="single" w:sz="8" w:space="0" w:color="auto"/>
              <w:right w:val="nil"/>
            </w:tcBorders>
            <w:shd w:val="clear" w:color="000000" w:fill="FFFFFF"/>
            <w:noWrap/>
            <w:vAlign w:val="center"/>
            <w:hideMark/>
          </w:tcPr>
          <w:p w14:paraId="259C2358" w14:textId="77777777" w:rsidR="00B53316" w:rsidRPr="00D618B7" w:rsidRDefault="00B53316" w:rsidP="004B11B7">
            <w:pPr>
              <w:jc w:val="right"/>
              <w:rPr>
                <w:color w:val="000000"/>
                <w:sz w:val="22"/>
                <w:szCs w:val="22"/>
              </w:rPr>
            </w:pPr>
            <w:r w:rsidRPr="00D618B7">
              <w:rPr>
                <w:color w:val="000000"/>
                <w:sz w:val="22"/>
                <w:szCs w:val="22"/>
              </w:rPr>
              <w:t>0.12</w:t>
            </w:r>
          </w:p>
        </w:tc>
        <w:tc>
          <w:tcPr>
            <w:tcW w:w="536" w:type="pct"/>
            <w:tcBorders>
              <w:top w:val="nil"/>
              <w:left w:val="nil"/>
              <w:bottom w:val="single" w:sz="8" w:space="0" w:color="auto"/>
              <w:right w:val="nil"/>
            </w:tcBorders>
            <w:shd w:val="clear" w:color="000000" w:fill="FFFFFF"/>
            <w:noWrap/>
            <w:vAlign w:val="center"/>
            <w:hideMark/>
          </w:tcPr>
          <w:p w14:paraId="7204A2E9" w14:textId="77777777" w:rsidR="00B53316" w:rsidRPr="00D618B7" w:rsidRDefault="00B53316" w:rsidP="004B11B7">
            <w:pPr>
              <w:jc w:val="right"/>
              <w:rPr>
                <w:color w:val="000000"/>
                <w:sz w:val="22"/>
                <w:szCs w:val="22"/>
              </w:rPr>
            </w:pPr>
            <w:r w:rsidRPr="00D618B7">
              <w:rPr>
                <w:color w:val="000000"/>
                <w:sz w:val="22"/>
                <w:szCs w:val="22"/>
              </w:rPr>
              <w:t>-0.01</w:t>
            </w:r>
          </w:p>
        </w:tc>
        <w:tc>
          <w:tcPr>
            <w:tcW w:w="892" w:type="pct"/>
            <w:tcBorders>
              <w:top w:val="nil"/>
              <w:left w:val="nil"/>
              <w:bottom w:val="single" w:sz="8" w:space="0" w:color="auto"/>
              <w:right w:val="nil"/>
            </w:tcBorders>
            <w:shd w:val="clear" w:color="000000" w:fill="FFFFFF"/>
            <w:noWrap/>
            <w:vAlign w:val="center"/>
            <w:hideMark/>
          </w:tcPr>
          <w:p w14:paraId="36EAAA79" w14:textId="77777777" w:rsidR="00B53316" w:rsidRPr="00D618B7" w:rsidRDefault="00B53316" w:rsidP="004B11B7">
            <w:pPr>
              <w:jc w:val="right"/>
              <w:rPr>
                <w:color w:val="000000"/>
                <w:sz w:val="22"/>
                <w:szCs w:val="22"/>
              </w:rPr>
            </w:pPr>
            <w:r w:rsidRPr="00D618B7">
              <w:rPr>
                <w:color w:val="000000"/>
                <w:sz w:val="22"/>
                <w:szCs w:val="22"/>
              </w:rPr>
              <w:t>0.21</w:t>
            </w:r>
          </w:p>
        </w:tc>
        <w:tc>
          <w:tcPr>
            <w:tcW w:w="548" w:type="pct"/>
            <w:tcBorders>
              <w:top w:val="nil"/>
              <w:left w:val="nil"/>
              <w:bottom w:val="single" w:sz="8" w:space="0" w:color="auto"/>
              <w:right w:val="nil"/>
            </w:tcBorders>
            <w:shd w:val="clear" w:color="000000" w:fill="FFFFFF"/>
            <w:noWrap/>
            <w:vAlign w:val="center"/>
            <w:hideMark/>
          </w:tcPr>
          <w:p w14:paraId="639AB81A" w14:textId="77777777" w:rsidR="00B53316" w:rsidRPr="00D618B7" w:rsidRDefault="00B53316" w:rsidP="004B11B7">
            <w:pPr>
              <w:jc w:val="right"/>
              <w:rPr>
                <w:color w:val="000000"/>
                <w:sz w:val="22"/>
                <w:szCs w:val="22"/>
              </w:rPr>
            </w:pPr>
            <w:r w:rsidRPr="00D618B7">
              <w:rPr>
                <w:color w:val="000000"/>
                <w:sz w:val="22"/>
                <w:szCs w:val="22"/>
              </w:rPr>
              <w:t>1.37</w:t>
            </w:r>
          </w:p>
        </w:tc>
        <w:tc>
          <w:tcPr>
            <w:tcW w:w="881" w:type="pct"/>
            <w:tcBorders>
              <w:top w:val="nil"/>
              <w:left w:val="nil"/>
              <w:bottom w:val="single" w:sz="8" w:space="0" w:color="auto"/>
              <w:right w:val="nil"/>
            </w:tcBorders>
            <w:shd w:val="clear" w:color="000000" w:fill="FFFFFF"/>
            <w:noWrap/>
            <w:vAlign w:val="center"/>
            <w:hideMark/>
          </w:tcPr>
          <w:p w14:paraId="4195969C" w14:textId="77777777" w:rsidR="00B53316" w:rsidRPr="00D618B7" w:rsidRDefault="00B53316" w:rsidP="004B11B7">
            <w:pPr>
              <w:jc w:val="right"/>
              <w:rPr>
                <w:color w:val="000000"/>
                <w:sz w:val="22"/>
                <w:szCs w:val="22"/>
              </w:rPr>
            </w:pPr>
            <w:r w:rsidRPr="00D618B7">
              <w:rPr>
                <w:color w:val="000000"/>
                <w:sz w:val="22"/>
                <w:szCs w:val="22"/>
              </w:rPr>
              <w:t>0.82</w:t>
            </w:r>
          </w:p>
        </w:tc>
      </w:tr>
      <w:tr w:rsidR="003B5FE0" w:rsidRPr="00D618B7" w14:paraId="054B9DFA" w14:textId="77777777" w:rsidTr="003B5FE0">
        <w:trPr>
          <w:trHeight w:val="258"/>
        </w:trPr>
        <w:tc>
          <w:tcPr>
            <w:tcW w:w="713" w:type="pct"/>
            <w:tcBorders>
              <w:top w:val="nil"/>
              <w:left w:val="nil"/>
              <w:bottom w:val="nil"/>
              <w:right w:val="nil"/>
            </w:tcBorders>
            <w:shd w:val="clear" w:color="000000" w:fill="FFFFFF"/>
            <w:noWrap/>
            <w:vAlign w:val="bottom"/>
            <w:hideMark/>
          </w:tcPr>
          <w:p w14:paraId="30F6812D" w14:textId="77777777" w:rsidR="00B53316" w:rsidRPr="00D618B7" w:rsidRDefault="00B53316" w:rsidP="004B11B7">
            <w:pPr>
              <w:rPr>
                <w:color w:val="000000"/>
                <w:sz w:val="22"/>
                <w:szCs w:val="22"/>
              </w:rPr>
            </w:pPr>
            <w:r w:rsidRPr="00D618B7">
              <w:rPr>
                <w:color w:val="000000"/>
                <w:sz w:val="22"/>
                <w:szCs w:val="22"/>
              </w:rPr>
              <w:t> </w:t>
            </w:r>
          </w:p>
        </w:tc>
        <w:tc>
          <w:tcPr>
            <w:tcW w:w="4287" w:type="pct"/>
            <w:gridSpan w:val="6"/>
            <w:tcBorders>
              <w:top w:val="single" w:sz="8" w:space="0" w:color="auto"/>
              <w:left w:val="nil"/>
              <w:bottom w:val="nil"/>
              <w:right w:val="nil"/>
            </w:tcBorders>
            <w:shd w:val="clear" w:color="000000" w:fill="FFFFFF"/>
            <w:noWrap/>
            <w:vAlign w:val="center"/>
            <w:hideMark/>
          </w:tcPr>
          <w:p w14:paraId="7BC66633" w14:textId="77777777" w:rsidR="00B53316" w:rsidRPr="00D618B7" w:rsidRDefault="00B53316" w:rsidP="004B11B7">
            <w:pPr>
              <w:jc w:val="center"/>
              <w:rPr>
                <w:color w:val="000000"/>
                <w:sz w:val="22"/>
                <w:szCs w:val="22"/>
              </w:rPr>
            </w:pPr>
            <w:r w:rsidRPr="00D618B7">
              <w:rPr>
                <w:color w:val="000000"/>
                <w:sz w:val="22"/>
                <w:szCs w:val="22"/>
              </w:rPr>
              <w:t>Toy-Moving-into-Reach</w:t>
            </w:r>
          </w:p>
        </w:tc>
      </w:tr>
      <w:tr w:rsidR="003B5FE0" w:rsidRPr="00D618B7" w14:paraId="115811EC" w14:textId="77777777" w:rsidTr="003B5FE0">
        <w:trPr>
          <w:trHeight w:val="258"/>
        </w:trPr>
        <w:tc>
          <w:tcPr>
            <w:tcW w:w="713" w:type="pct"/>
            <w:tcBorders>
              <w:top w:val="nil"/>
              <w:left w:val="nil"/>
              <w:bottom w:val="nil"/>
              <w:right w:val="nil"/>
            </w:tcBorders>
            <w:shd w:val="clear" w:color="000000" w:fill="FFFFFF"/>
            <w:vAlign w:val="center"/>
            <w:hideMark/>
          </w:tcPr>
          <w:p w14:paraId="40F84594" w14:textId="77777777" w:rsidR="00B53316" w:rsidRPr="00D618B7" w:rsidRDefault="00B53316" w:rsidP="004B11B7">
            <w:pPr>
              <w:jc w:val="right"/>
              <w:rPr>
                <w:color w:val="000000"/>
                <w:sz w:val="22"/>
                <w:szCs w:val="22"/>
              </w:rPr>
            </w:pPr>
            <w:r w:rsidRPr="00D618B7">
              <w:rPr>
                <w:color w:val="000000"/>
                <w:sz w:val="22"/>
                <w:szCs w:val="22"/>
              </w:rPr>
              <w:t>-5.00</w:t>
            </w:r>
          </w:p>
        </w:tc>
        <w:tc>
          <w:tcPr>
            <w:tcW w:w="536" w:type="pct"/>
            <w:tcBorders>
              <w:top w:val="nil"/>
              <w:left w:val="nil"/>
              <w:bottom w:val="nil"/>
              <w:right w:val="nil"/>
            </w:tcBorders>
            <w:shd w:val="clear" w:color="000000" w:fill="FFFFFF"/>
            <w:noWrap/>
            <w:vAlign w:val="center"/>
            <w:hideMark/>
          </w:tcPr>
          <w:p w14:paraId="0F921CBB" w14:textId="77777777" w:rsidR="00B53316" w:rsidRPr="00D618B7" w:rsidRDefault="00B53316" w:rsidP="004B11B7">
            <w:pPr>
              <w:jc w:val="right"/>
              <w:rPr>
                <w:color w:val="000000"/>
                <w:sz w:val="22"/>
                <w:szCs w:val="22"/>
              </w:rPr>
            </w:pPr>
            <w:r w:rsidRPr="00D618B7">
              <w:rPr>
                <w:color w:val="000000"/>
                <w:sz w:val="22"/>
                <w:szCs w:val="22"/>
              </w:rPr>
              <w:t>-0.19</w:t>
            </w:r>
          </w:p>
        </w:tc>
        <w:tc>
          <w:tcPr>
            <w:tcW w:w="892" w:type="pct"/>
            <w:tcBorders>
              <w:top w:val="nil"/>
              <w:left w:val="nil"/>
              <w:bottom w:val="nil"/>
              <w:right w:val="nil"/>
            </w:tcBorders>
            <w:shd w:val="clear" w:color="000000" w:fill="FFFFFF"/>
            <w:noWrap/>
            <w:vAlign w:val="center"/>
            <w:hideMark/>
          </w:tcPr>
          <w:p w14:paraId="7364DCDD" w14:textId="77777777" w:rsidR="00B53316" w:rsidRPr="00D618B7" w:rsidRDefault="00B53316" w:rsidP="004B11B7">
            <w:pPr>
              <w:jc w:val="right"/>
              <w:rPr>
                <w:color w:val="000000"/>
                <w:sz w:val="22"/>
                <w:szCs w:val="22"/>
              </w:rPr>
            </w:pPr>
            <w:r w:rsidRPr="00D618B7">
              <w:rPr>
                <w:color w:val="000000"/>
                <w:sz w:val="22"/>
                <w:szCs w:val="22"/>
              </w:rPr>
              <w:t>0.04</w:t>
            </w:r>
          </w:p>
        </w:tc>
        <w:tc>
          <w:tcPr>
            <w:tcW w:w="536" w:type="pct"/>
            <w:tcBorders>
              <w:top w:val="nil"/>
              <w:left w:val="nil"/>
              <w:bottom w:val="nil"/>
              <w:right w:val="nil"/>
            </w:tcBorders>
            <w:shd w:val="clear" w:color="000000" w:fill="FFFFFF"/>
            <w:noWrap/>
            <w:vAlign w:val="center"/>
            <w:hideMark/>
          </w:tcPr>
          <w:p w14:paraId="7F7A0D8E" w14:textId="77777777" w:rsidR="00B53316" w:rsidRPr="00D618B7" w:rsidRDefault="00B53316" w:rsidP="004B11B7">
            <w:pPr>
              <w:jc w:val="right"/>
              <w:rPr>
                <w:color w:val="000000"/>
                <w:sz w:val="22"/>
                <w:szCs w:val="22"/>
              </w:rPr>
            </w:pPr>
            <w:r w:rsidRPr="00D618B7">
              <w:rPr>
                <w:color w:val="000000"/>
                <w:sz w:val="22"/>
                <w:szCs w:val="22"/>
              </w:rPr>
              <w:t>0.00</w:t>
            </w:r>
          </w:p>
        </w:tc>
        <w:tc>
          <w:tcPr>
            <w:tcW w:w="892" w:type="pct"/>
            <w:tcBorders>
              <w:top w:val="nil"/>
              <w:left w:val="nil"/>
              <w:bottom w:val="nil"/>
              <w:right w:val="nil"/>
            </w:tcBorders>
            <w:shd w:val="clear" w:color="000000" w:fill="FFFFFF"/>
            <w:noWrap/>
            <w:vAlign w:val="center"/>
            <w:hideMark/>
          </w:tcPr>
          <w:p w14:paraId="086709C9" w14:textId="77777777" w:rsidR="00B53316" w:rsidRPr="00D618B7" w:rsidRDefault="00B53316" w:rsidP="004B11B7">
            <w:pPr>
              <w:jc w:val="right"/>
              <w:rPr>
                <w:color w:val="000000"/>
                <w:sz w:val="22"/>
                <w:szCs w:val="22"/>
              </w:rPr>
            </w:pPr>
            <w:r w:rsidRPr="00D618B7">
              <w:rPr>
                <w:color w:val="000000"/>
                <w:sz w:val="22"/>
                <w:szCs w:val="22"/>
              </w:rPr>
              <w:t>0.06</w:t>
            </w:r>
          </w:p>
        </w:tc>
        <w:tc>
          <w:tcPr>
            <w:tcW w:w="548" w:type="pct"/>
            <w:tcBorders>
              <w:top w:val="nil"/>
              <w:left w:val="nil"/>
              <w:bottom w:val="nil"/>
              <w:right w:val="nil"/>
            </w:tcBorders>
            <w:shd w:val="clear" w:color="000000" w:fill="FFFFFF"/>
            <w:noWrap/>
            <w:vAlign w:val="center"/>
            <w:hideMark/>
          </w:tcPr>
          <w:p w14:paraId="73EF079C" w14:textId="77777777" w:rsidR="00B53316" w:rsidRPr="00D618B7" w:rsidRDefault="00B53316" w:rsidP="004B11B7">
            <w:pPr>
              <w:jc w:val="right"/>
              <w:rPr>
                <w:color w:val="000000"/>
                <w:sz w:val="22"/>
                <w:szCs w:val="22"/>
              </w:rPr>
            </w:pPr>
            <w:r w:rsidRPr="00D618B7">
              <w:rPr>
                <w:color w:val="000000"/>
                <w:sz w:val="22"/>
                <w:szCs w:val="22"/>
              </w:rPr>
              <w:t>-0.06</w:t>
            </w:r>
          </w:p>
        </w:tc>
        <w:tc>
          <w:tcPr>
            <w:tcW w:w="881" w:type="pct"/>
            <w:tcBorders>
              <w:top w:val="nil"/>
              <w:left w:val="nil"/>
              <w:bottom w:val="nil"/>
              <w:right w:val="nil"/>
            </w:tcBorders>
            <w:shd w:val="clear" w:color="000000" w:fill="FFFFFF"/>
            <w:noWrap/>
            <w:vAlign w:val="center"/>
            <w:hideMark/>
          </w:tcPr>
          <w:p w14:paraId="3403D03A" w14:textId="77777777" w:rsidR="00B53316" w:rsidRPr="00D618B7" w:rsidRDefault="00B53316" w:rsidP="004B11B7">
            <w:pPr>
              <w:jc w:val="right"/>
              <w:rPr>
                <w:color w:val="000000"/>
                <w:sz w:val="22"/>
                <w:szCs w:val="22"/>
              </w:rPr>
            </w:pPr>
            <w:r w:rsidRPr="00D618B7">
              <w:rPr>
                <w:color w:val="000000"/>
                <w:sz w:val="22"/>
                <w:szCs w:val="22"/>
              </w:rPr>
              <w:t>0.12</w:t>
            </w:r>
          </w:p>
        </w:tc>
      </w:tr>
      <w:tr w:rsidR="003B5FE0" w:rsidRPr="00D618B7" w14:paraId="22A4AB7F" w14:textId="77777777" w:rsidTr="003B5FE0">
        <w:trPr>
          <w:trHeight w:val="258"/>
        </w:trPr>
        <w:tc>
          <w:tcPr>
            <w:tcW w:w="713" w:type="pct"/>
            <w:tcBorders>
              <w:top w:val="nil"/>
              <w:left w:val="nil"/>
              <w:bottom w:val="nil"/>
              <w:right w:val="nil"/>
            </w:tcBorders>
            <w:shd w:val="clear" w:color="000000" w:fill="FFFFFF"/>
            <w:vAlign w:val="center"/>
            <w:hideMark/>
          </w:tcPr>
          <w:p w14:paraId="7AB43DD5" w14:textId="77777777" w:rsidR="00B53316" w:rsidRPr="00D618B7" w:rsidRDefault="00B53316" w:rsidP="004B11B7">
            <w:pPr>
              <w:jc w:val="right"/>
              <w:rPr>
                <w:color w:val="000000"/>
                <w:sz w:val="22"/>
                <w:szCs w:val="22"/>
              </w:rPr>
            </w:pPr>
            <w:r w:rsidRPr="00D618B7">
              <w:rPr>
                <w:color w:val="000000"/>
                <w:sz w:val="22"/>
                <w:szCs w:val="22"/>
              </w:rPr>
              <w:t>-4.00</w:t>
            </w:r>
          </w:p>
        </w:tc>
        <w:tc>
          <w:tcPr>
            <w:tcW w:w="536" w:type="pct"/>
            <w:tcBorders>
              <w:top w:val="nil"/>
              <w:left w:val="nil"/>
              <w:bottom w:val="nil"/>
              <w:right w:val="nil"/>
            </w:tcBorders>
            <w:shd w:val="clear" w:color="000000" w:fill="FFFFFF"/>
            <w:noWrap/>
            <w:vAlign w:val="center"/>
            <w:hideMark/>
          </w:tcPr>
          <w:p w14:paraId="6FB50FEF" w14:textId="77777777" w:rsidR="00B53316" w:rsidRPr="00D618B7" w:rsidRDefault="00B53316" w:rsidP="004B11B7">
            <w:pPr>
              <w:jc w:val="right"/>
              <w:rPr>
                <w:color w:val="000000"/>
                <w:sz w:val="22"/>
                <w:szCs w:val="22"/>
              </w:rPr>
            </w:pPr>
            <w:r w:rsidRPr="00D618B7">
              <w:rPr>
                <w:color w:val="000000"/>
                <w:sz w:val="22"/>
                <w:szCs w:val="22"/>
              </w:rPr>
              <w:t>0.13</w:t>
            </w:r>
          </w:p>
        </w:tc>
        <w:tc>
          <w:tcPr>
            <w:tcW w:w="892" w:type="pct"/>
            <w:tcBorders>
              <w:top w:val="nil"/>
              <w:left w:val="nil"/>
              <w:bottom w:val="nil"/>
              <w:right w:val="nil"/>
            </w:tcBorders>
            <w:shd w:val="clear" w:color="000000" w:fill="FFFFFF"/>
            <w:noWrap/>
            <w:vAlign w:val="center"/>
            <w:hideMark/>
          </w:tcPr>
          <w:p w14:paraId="103131E6" w14:textId="77777777" w:rsidR="00B53316" w:rsidRPr="00D618B7" w:rsidRDefault="00B53316" w:rsidP="004B11B7">
            <w:pPr>
              <w:jc w:val="right"/>
              <w:rPr>
                <w:color w:val="000000"/>
                <w:sz w:val="22"/>
                <w:szCs w:val="22"/>
              </w:rPr>
            </w:pPr>
            <w:r w:rsidRPr="00D618B7">
              <w:rPr>
                <w:color w:val="000000"/>
                <w:sz w:val="22"/>
                <w:szCs w:val="22"/>
              </w:rPr>
              <w:t>0.02</w:t>
            </w:r>
          </w:p>
        </w:tc>
        <w:tc>
          <w:tcPr>
            <w:tcW w:w="536" w:type="pct"/>
            <w:tcBorders>
              <w:top w:val="nil"/>
              <w:left w:val="nil"/>
              <w:bottom w:val="nil"/>
              <w:right w:val="nil"/>
            </w:tcBorders>
            <w:shd w:val="clear" w:color="000000" w:fill="FFFFFF"/>
            <w:noWrap/>
            <w:vAlign w:val="center"/>
            <w:hideMark/>
          </w:tcPr>
          <w:p w14:paraId="4A53F196" w14:textId="77777777" w:rsidR="00B53316" w:rsidRPr="00D618B7" w:rsidRDefault="00B53316" w:rsidP="004B11B7">
            <w:pPr>
              <w:jc w:val="right"/>
              <w:rPr>
                <w:color w:val="000000"/>
                <w:sz w:val="22"/>
                <w:szCs w:val="22"/>
              </w:rPr>
            </w:pPr>
            <w:r w:rsidRPr="00D618B7">
              <w:rPr>
                <w:color w:val="000000"/>
                <w:sz w:val="22"/>
                <w:szCs w:val="22"/>
              </w:rPr>
              <w:t>0.15</w:t>
            </w:r>
          </w:p>
        </w:tc>
        <w:tc>
          <w:tcPr>
            <w:tcW w:w="892" w:type="pct"/>
            <w:tcBorders>
              <w:top w:val="nil"/>
              <w:left w:val="nil"/>
              <w:bottom w:val="nil"/>
              <w:right w:val="nil"/>
            </w:tcBorders>
            <w:shd w:val="clear" w:color="000000" w:fill="FFFFFF"/>
            <w:noWrap/>
            <w:vAlign w:val="center"/>
            <w:hideMark/>
          </w:tcPr>
          <w:p w14:paraId="1167E7B4" w14:textId="77777777" w:rsidR="00B53316" w:rsidRPr="00D618B7" w:rsidRDefault="00B53316" w:rsidP="004B11B7">
            <w:pPr>
              <w:jc w:val="right"/>
              <w:rPr>
                <w:color w:val="000000"/>
                <w:sz w:val="22"/>
                <w:szCs w:val="22"/>
              </w:rPr>
            </w:pPr>
            <w:r w:rsidRPr="00D618B7">
              <w:rPr>
                <w:color w:val="000000"/>
                <w:sz w:val="22"/>
                <w:szCs w:val="22"/>
              </w:rPr>
              <w:t>0.07</w:t>
            </w:r>
          </w:p>
        </w:tc>
        <w:tc>
          <w:tcPr>
            <w:tcW w:w="548" w:type="pct"/>
            <w:tcBorders>
              <w:top w:val="nil"/>
              <w:left w:val="nil"/>
              <w:bottom w:val="nil"/>
              <w:right w:val="nil"/>
            </w:tcBorders>
            <w:shd w:val="clear" w:color="000000" w:fill="FFFFFF"/>
            <w:noWrap/>
            <w:vAlign w:val="center"/>
            <w:hideMark/>
          </w:tcPr>
          <w:p w14:paraId="5A30A08F" w14:textId="77777777" w:rsidR="00B53316" w:rsidRPr="00D618B7" w:rsidRDefault="00B53316" w:rsidP="004B11B7">
            <w:pPr>
              <w:jc w:val="right"/>
              <w:rPr>
                <w:color w:val="000000"/>
                <w:sz w:val="22"/>
                <w:szCs w:val="22"/>
              </w:rPr>
            </w:pPr>
            <w:r w:rsidRPr="00D618B7">
              <w:rPr>
                <w:color w:val="000000"/>
                <w:sz w:val="22"/>
                <w:szCs w:val="22"/>
              </w:rPr>
              <w:t>0.19</w:t>
            </w:r>
          </w:p>
        </w:tc>
        <w:tc>
          <w:tcPr>
            <w:tcW w:w="881" w:type="pct"/>
            <w:tcBorders>
              <w:top w:val="nil"/>
              <w:left w:val="nil"/>
              <w:bottom w:val="nil"/>
              <w:right w:val="nil"/>
            </w:tcBorders>
            <w:shd w:val="clear" w:color="000000" w:fill="FFFFFF"/>
            <w:noWrap/>
            <w:vAlign w:val="center"/>
            <w:hideMark/>
          </w:tcPr>
          <w:p w14:paraId="168C6252" w14:textId="77777777" w:rsidR="00B53316" w:rsidRPr="00D618B7" w:rsidRDefault="00B53316" w:rsidP="004B11B7">
            <w:pPr>
              <w:jc w:val="right"/>
              <w:rPr>
                <w:color w:val="000000"/>
                <w:sz w:val="22"/>
                <w:szCs w:val="22"/>
              </w:rPr>
            </w:pPr>
            <w:r w:rsidRPr="00D618B7">
              <w:rPr>
                <w:color w:val="000000"/>
                <w:sz w:val="22"/>
                <w:szCs w:val="22"/>
              </w:rPr>
              <w:t>0.47</w:t>
            </w:r>
          </w:p>
        </w:tc>
      </w:tr>
      <w:tr w:rsidR="003B5FE0" w:rsidRPr="00D618B7" w14:paraId="1F19F3CF" w14:textId="77777777" w:rsidTr="003B5FE0">
        <w:trPr>
          <w:trHeight w:val="258"/>
        </w:trPr>
        <w:tc>
          <w:tcPr>
            <w:tcW w:w="713" w:type="pct"/>
            <w:tcBorders>
              <w:top w:val="nil"/>
              <w:left w:val="nil"/>
              <w:bottom w:val="nil"/>
              <w:right w:val="nil"/>
            </w:tcBorders>
            <w:shd w:val="clear" w:color="000000" w:fill="FFFFFF"/>
            <w:vAlign w:val="center"/>
            <w:hideMark/>
          </w:tcPr>
          <w:p w14:paraId="2253FA76" w14:textId="77777777" w:rsidR="00B53316" w:rsidRPr="00D618B7" w:rsidRDefault="00B53316" w:rsidP="004B11B7">
            <w:pPr>
              <w:jc w:val="right"/>
              <w:rPr>
                <w:color w:val="000000"/>
                <w:sz w:val="22"/>
                <w:szCs w:val="22"/>
              </w:rPr>
            </w:pPr>
            <w:r w:rsidRPr="00D618B7">
              <w:rPr>
                <w:color w:val="000000"/>
                <w:sz w:val="22"/>
                <w:szCs w:val="22"/>
              </w:rPr>
              <w:t>-3.00</w:t>
            </w:r>
          </w:p>
        </w:tc>
        <w:tc>
          <w:tcPr>
            <w:tcW w:w="536" w:type="pct"/>
            <w:tcBorders>
              <w:top w:val="nil"/>
              <w:left w:val="nil"/>
              <w:bottom w:val="nil"/>
              <w:right w:val="nil"/>
            </w:tcBorders>
            <w:shd w:val="clear" w:color="000000" w:fill="FFFFFF"/>
            <w:noWrap/>
            <w:vAlign w:val="center"/>
            <w:hideMark/>
          </w:tcPr>
          <w:p w14:paraId="0ABC33BF" w14:textId="77777777" w:rsidR="00B53316" w:rsidRPr="00D618B7" w:rsidRDefault="00B53316" w:rsidP="004B11B7">
            <w:pPr>
              <w:jc w:val="right"/>
              <w:rPr>
                <w:color w:val="000000"/>
                <w:sz w:val="22"/>
                <w:szCs w:val="22"/>
              </w:rPr>
            </w:pPr>
            <w:r w:rsidRPr="00D618B7">
              <w:rPr>
                <w:color w:val="000000"/>
                <w:sz w:val="22"/>
                <w:szCs w:val="22"/>
              </w:rPr>
              <w:t>0.11</w:t>
            </w:r>
          </w:p>
        </w:tc>
        <w:tc>
          <w:tcPr>
            <w:tcW w:w="892" w:type="pct"/>
            <w:tcBorders>
              <w:top w:val="nil"/>
              <w:left w:val="nil"/>
              <w:bottom w:val="nil"/>
              <w:right w:val="nil"/>
            </w:tcBorders>
            <w:shd w:val="clear" w:color="000000" w:fill="FFFFFF"/>
            <w:noWrap/>
            <w:vAlign w:val="center"/>
            <w:hideMark/>
          </w:tcPr>
          <w:p w14:paraId="7119E6AC" w14:textId="77777777" w:rsidR="00B53316" w:rsidRPr="00D618B7" w:rsidRDefault="00B53316" w:rsidP="004B11B7">
            <w:pPr>
              <w:jc w:val="right"/>
              <w:rPr>
                <w:color w:val="000000"/>
                <w:sz w:val="22"/>
                <w:szCs w:val="22"/>
              </w:rPr>
            </w:pPr>
            <w:r w:rsidRPr="00D618B7">
              <w:rPr>
                <w:color w:val="000000"/>
                <w:sz w:val="22"/>
                <w:szCs w:val="22"/>
              </w:rPr>
              <w:t>0.08</w:t>
            </w:r>
          </w:p>
        </w:tc>
        <w:tc>
          <w:tcPr>
            <w:tcW w:w="536" w:type="pct"/>
            <w:tcBorders>
              <w:top w:val="nil"/>
              <w:left w:val="nil"/>
              <w:bottom w:val="nil"/>
              <w:right w:val="nil"/>
            </w:tcBorders>
            <w:shd w:val="clear" w:color="000000" w:fill="FFFFFF"/>
            <w:noWrap/>
            <w:vAlign w:val="center"/>
            <w:hideMark/>
          </w:tcPr>
          <w:p w14:paraId="09B34ED9" w14:textId="77777777" w:rsidR="00B53316" w:rsidRPr="00D618B7" w:rsidRDefault="00B53316" w:rsidP="004B11B7">
            <w:pPr>
              <w:jc w:val="right"/>
              <w:rPr>
                <w:color w:val="000000"/>
                <w:sz w:val="22"/>
                <w:szCs w:val="22"/>
              </w:rPr>
            </w:pPr>
            <w:r w:rsidRPr="00D618B7">
              <w:rPr>
                <w:color w:val="000000"/>
                <w:sz w:val="22"/>
                <w:szCs w:val="22"/>
              </w:rPr>
              <w:t>0.12</w:t>
            </w:r>
          </w:p>
        </w:tc>
        <w:tc>
          <w:tcPr>
            <w:tcW w:w="892" w:type="pct"/>
            <w:tcBorders>
              <w:top w:val="nil"/>
              <w:left w:val="nil"/>
              <w:bottom w:val="nil"/>
              <w:right w:val="nil"/>
            </w:tcBorders>
            <w:shd w:val="clear" w:color="000000" w:fill="FFFFFF"/>
            <w:noWrap/>
            <w:vAlign w:val="center"/>
            <w:hideMark/>
          </w:tcPr>
          <w:p w14:paraId="3EE47FC6" w14:textId="77777777" w:rsidR="00B53316" w:rsidRPr="00D618B7" w:rsidRDefault="00B53316" w:rsidP="004B11B7">
            <w:pPr>
              <w:jc w:val="right"/>
              <w:rPr>
                <w:color w:val="000000"/>
                <w:sz w:val="22"/>
                <w:szCs w:val="22"/>
              </w:rPr>
            </w:pPr>
            <w:r w:rsidRPr="00D618B7">
              <w:rPr>
                <w:color w:val="000000"/>
                <w:sz w:val="22"/>
                <w:szCs w:val="22"/>
              </w:rPr>
              <w:t>0.12</w:t>
            </w:r>
          </w:p>
        </w:tc>
        <w:tc>
          <w:tcPr>
            <w:tcW w:w="548" w:type="pct"/>
            <w:tcBorders>
              <w:top w:val="nil"/>
              <w:left w:val="nil"/>
              <w:bottom w:val="nil"/>
              <w:right w:val="nil"/>
            </w:tcBorders>
            <w:shd w:val="clear" w:color="000000" w:fill="FFFFFF"/>
            <w:noWrap/>
            <w:vAlign w:val="center"/>
            <w:hideMark/>
          </w:tcPr>
          <w:p w14:paraId="5F069775" w14:textId="77777777" w:rsidR="00B53316" w:rsidRPr="00D618B7" w:rsidRDefault="00B53316" w:rsidP="004B11B7">
            <w:pPr>
              <w:jc w:val="right"/>
              <w:rPr>
                <w:color w:val="000000"/>
                <w:sz w:val="22"/>
                <w:szCs w:val="22"/>
              </w:rPr>
            </w:pPr>
            <w:r w:rsidRPr="00D618B7">
              <w:rPr>
                <w:color w:val="000000"/>
                <w:sz w:val="22"/>
                <w:szCs w:val="22"/>
              </w:rPr>
              <w:t>0.48</w:t>
            </w:r>
          </w:p>
        </w:tc>
        <w:tc>
          <w:tcPr>
            <w:tcW w:w="881" w:type="pct"/>
            <w:tcBorders>
              <w:top w:val="nil"/>
              <w:left w:val="nil"/>
              <w:bottom w:val="nil"/>
              <w:right w:val="nil"/>
            </w:tcBorders>
            <w:shd w:val="clear" w:color="000000" w:fill="FFFFFF"/>
            <w:noWrap/>
            <w:vAlign w:val="center"/>
            <w:hideMark/>
          </w:tcPr>
          <w:p w14:paraId="1AED5D1D" w14:textId="77777777" w:rsidR="00B53316" w:rsidRPr="00D618B7" w:rsidRDefault="00B53316" w:rsidP="004B11B7">
            <w:pPr>
              <w:jc w:val="right"/>
              <w:rPr>
                <w:color w:val="000000"/>
                <w:sz w:val="22"/>
                <w:szCs w:val="22"/>
              </w:rPr>
            </w:pPr>
            <w:r w:rsidRPr="00D618B7">
              <w:rPr>
                <w:color w:val="000000"/>
                <w:sz w:val="22"/>
                <w:szCs w:val="22"/>
              </w:rPr>
              <w:t>0.24</w:t>
            </w:r>
          </w:p>
        </w:tc>
      </w:tr>
      <w:tr w:rsidR="003B5FE0" w:rsidRPr="00D618B7" w14:paraId="3F7A9C1C" w14:textId="77777777" w:rsidTr="003B5FE0">
        <w:trPr>
          <w:trHeight w:val="258"/>
        </w:trPr>
        <w:tc>
          <w:tcPr>
            <w:tcW w:w="713" w:type="pct"/>
            <w:tcBorders>
              <w:top w:val="nil"/>
              <w:left w:val="nil"/>
              <w:bottom w:val="nil"/>
              <w:right w:val="nil"/>
            </w:tcBorders>
            <w:shd w:val="clear" w:color="000000" w:fill="FFFFFF"/>
            <w:vAlign w:val="center"/>
            <w:hideMark/>
          </w:tcPr>
          <w:p w14:paraId="41AB109C" w14:textId="77777777" w:rsidR="00B53316" w:rsidRPr="00D618B7" w:rsidRDefault="00B53316" w:rsidP="004B11B7">
            <w:pPr>
              <w:jc w:val="right"/>
              <w:rPr>
                <w:color w:val="000000"/>
                <w:sz w:val="22"/>
                <w:szCs w:val="22"/>
              </w:rPr>
            </w:pPr>
            <w:r w:rsidRPr="00D618B7">
              <w:rPr>
                <w:color w:val="000000"/>
                <w:sz w:val="22"/>
                <w:szCs w:val="22"/>
              </w:rPr>
              <w:t>-2.00</w:t>
            </w:r>
          </w:p>
        </w:tc>
        <w:tc>
          <w:tcPr>
            <w:tcW w:w="536" w:type="pct"/>
            <w:tcBorders>
              <w:top w:val="nil"/>
              <w:left w:val="nil"/>
              <w:bottom w:val="nil"/>
              <w:right w:val="nil"/>
            </w:tcBorders>
            <w:shd w:val="clear" w:color="000000" w:fill="FFFFFF"/>
            <w:noWrap/>
            <w:vAlign w:val="center"/>
            <w:hideMark/>
          </w:tcPr>
          <w:p w14:paraId="5AA9044A" w14:textId="77777777" w:rsidR="00B53316" w:rsidRPr="00D618B7" w:rsidRDefault="00B53316" w:rsidP="004B11B7">
            <w:pPr>
              <w:jc w:val="right"/>
              <w:rPr>
                <w:color w:val="000000"/>
                <w:sz w:val="22"/>
                <w:szCs w:val="22"/>
              </w:rPr>
            </w:pPr>
            <w:r w:rsidRPr="00D618B7">
              <w:rPr>
                <w:color w:val="000000"/>
                <w:sz w:val="22"/>
                <w:szCs w:val="22"/>
              </w:rPr>
              <w:t>0.07</w:t>
            </w:r>
          </w:p>
        </w:tc>
        <w:tc>
          <w:tcPr>
            <w:tcW w:w="892" w:type="pct"/>
            <w:tcBorders>
              <w:top w:val="nil"/>
              <w:left w:val="nil"/>
              <w:bottom w:val="nil"/>
              <w:right w:val="nil"/>
            </w:tcBorders>
            <w:shd w:val="clear" w:color="000000" w:fill="FFFFFF"/>
            <w:noWrap/>
            <w:vAlign w:val="center"/>
            <w:hideMark/>
          </w:tcPr>
          <w:p w14:paraId="21167FFF" w14:textId="77777777" w:rsidR="00B53316" w:rsidRPr="00D618B7" w:rsidRDefault="00B53316" w:rsidP="004B11B7">
            <w:pPr>
              <w:jc w:val="right"/>
              <w:rPr>
                <w:color w:val="000000"/>
                <w:sz w:val="22"/>
                <w:szCs w:val="22"/>
              </w:rPr>
            </w:pPr>
            <w:r w:rsidRPr="00D618B7">
              <w:rPr>
                <w:color w:val="000000"/>
                <w:sz w:val="22"/>
                <w:szCs w:val="22"/>
              </w:rPr>
              <w:t>0.06</w:t>
            </w:r>
          </w:p>
        </w:tc>
        <w:tc>
          <w:tcPr>
            <w:tcW w:w="536" w:type="pct"/>
            <w:tcBorders>
              <w:top w:val="nil"/>
              <w:left w:val="nil"/>
              <w:bottom w:val="nil"/>
              <w:right w:val="nil"/>
            </w:tcBorders>
            <w:shd w:val="clear" w:color="000000" w:fill="FFFFFF"/>
            <w:noWrap/>
            <w:vAlign w:val="center"/>
            <w:hideMark/>
          </w:tcPr>
          <w:p w14:paraId="77392FCD" w14:textId="77777777" w:rsidR="00B53316" w:rsidRPr="00D618B7" w:rsidRDefault="00B53316" w:rsidP="004B11B7">
            <w:pPr>
              <w:jc w:val="right"/>
              <w:rPr>
                <w:color w:val="000000"/>
                <w:sz w:val="22"/>
                <w:szCs w:val="22"/>
              </w:rPr>
            </w:pPr>
            <w:r w:rsidRPr="00D618B7">
              <w:rPr>
                <w:color w:val="000000"/>
                <w:sz w:val="22"/>
                <w:szCs w:val="22"/>
              </w:rPr>
              <w:t>-0.14</w:t>
            </w:r>
          </w:p>
        </w:tc>
        <w:tc>
          <w:tcPr>
            <w:tcW w:w="892" w:type="pct"/>
            <w:tcBorders>
              <w:top w:val="nil"/>
              <w:left w:val="nil"/>
              <w:bottom w:val="nil"/>
              <w:right w:val="nil"/>
            </w:tcBorders>
            <w:shd w:val="clear" w:color="000000" w:fill="FFFFFF"/>
            <w:noWrap/>
            <w:vAlign w:val="center"/>
            <w:hideMark/>
          </w:tcPr>
          <w:p w14:paraId="67EBC754" w14:textId="77777777" w:rsidR="00B53316" w:rsidRPr="00D618B7" w:rsidRDefault="00B53316" w:rsidP="004B11B7">
            <w:pPr>
              <w:jc w:val="right"/>
              <w:rPr>
                <w:color w:val="000000"/>
                <w:sz w:val="22"/>
                <w:szCs w:val="22"/>
              </w:rPr>
            </w:pPr>
            <w:r w:rsidRPr="00D618B7">
              <w:rPr>
                <w:color w:val="000000"/>
                <w:sz w:val="22"/>
                <w:szCs w:val="22"/>
              </w:rPr>
              <w:t>0.20</w:t>
            </w:r>
          </w:p>
        </w:tc>
        <w:tc>
          <w:tcPr>
            <w:tcW w:w="548" w:type="pct"/>
            <w:tcBorders>
              <w:top w:val="nil"/>
              <w:left w:val="nil"/>
              <w:bottom w:val="nil"/>
              <w:right w:val="nil"/>
            </w:tcBorders>
            <w:shd w:val="clear" w:color="000000" w:fill="FFFFFF"/>
            <w:noWrap/>
            <w:vAlign w:val="center"/>
            <w:hideMark/>
          </w:tcPr>
          <w:p w14:paraId="5B4AC518" w14:textId="77777777" w:rsidR="00B53316" w:rsidRPr="00D618B7" w:rsidRDefault="00B53316" w:rsidP="004B11B7">
            <w:pPr>
              <w:jc w:val="right"/>
              <w:rPr>
                <w:color w:val="000000"/>
                <w:sz w:val="22"/>
                <w:szCs w:val="22"/>
              </w:rPr>
            </w:pPr>
            <w:r w:rsidRPr="00D618B7">
              <w:rPr>
                <w:color w:val="000000"/>
                <w:sz w:val="22"/>
                <w:szCs w:val="22"/>
              </w:rPr>
              <w:t>0.36</w:t>
            </w:r>
          </w:p>
        </w:tc>
        <w:tc>
          <w:tcPr>
            <w:tcW w:w="881" w:type="pct"/>
            <w:tcBorders>
              <w:top w:val="nil"/>
              <w:left w:val="nil"/>
              <w:bottom w:val="nil"/>
              <w:right w:val="nil"/>
            </w:tcBorders>
            <w:shd w:val="clear" w:color="000000" w:fill="FFFFFF"/>
            <w:noWrap/>
            <w:vAlign w:val="center"/>
            <w:hideMark/>
          </w:tcPr>
          <w:p w14:paraId="5E7812EB" w14:textId="77777777" w:rsidR="00B53316" w:rsidRPr="00D618B7" w:rsidRDefault="00B53316" w:rsidP="004B11B7">
            <w:pPr>
              <w:jc w:val="right"/>
              <w:rPr>
                <w:color w:val="000000"/>
                <w:sz w:val="22"/>
                <w:szCs w:val="22"/>
              </w:rPr>
            </w:pPr>
            <w:r w:rsidRPr="00D618B7">
              <w:rPr>
                <w:color w:val="000000"/>
                <w:sz w:val="22"/>
                <w:szCs w:val="22"/>
              </w:rPr>
              <w:t>0.16</w:t>
            </w:r>
          </w:p>
        </w:tc>
      </w:tr>
      <w:tr w:rsidR="003B5FE0" w:rsidRPr="00D618B7" w14:paraId="7489073C" w14:textId="77777777" w:rsidTr="003B5FE0">
        <w:trPr>
          <w:trHeight w:val="258"/>
        </w:trPr>
        <w:tc>
          <w:tcPr>
            <w:tcW w:w="713" w:type="pct"/>
            <w:tcBorders>
              <w:top w:val="nil"/>
              <w:left w:val="nil"/>
              <w:bottom w:val="nil"/>
              <w:right w:val="nil"/>
            </w:tcBorders>
            <w:shd w:val="clear" w:color="000000" w:fill="FFFFFF"/>
            <w:vAlign w:val="center"/>
            <w:hideMark/>
          </w:tcPr>
          <w:p w14:paraId="5DC3B6BC" w14:textId="77777777" w:rsidR="00B53316" w:rsidRPr="00D618B7" w:rsidRDefault="00B53316" w:rsidP="004B11B7">
            <w:pPr>
              <w:jc w:val="right"/>
              <w:rPr>
                <w:color w:val="000000"/>
                <w:sz w:val="22"/>
                <w:szCs w:val="22"/>
              </w:rPr>
            </w:pPr>
            <w:r w:rsidRPr="00D618B7">
              <w:rPr>
                <w:color w:val="000000"/>
                <w:sz w:val="22"/>
                <w:szCs w:val="22"/>
              </w:rPr>
              <w:t>-1.00</w:t>
            </w:r>
          </w:p>
        </w:tc>
        <w:tc>
          <w:tcPr>
            <w:tcW w:w="536" w:type="pct"/>
            <w:tcBorders>
              <w:top w:val="nil"/>
              <w:left w:val="nil"/>
              <w:bottom w:val="nil"/>
              <w:right w:val="nil"/>
            </w:tcBorders>
            <w:shd w:val="clear" w:color="000000" w:fill="FFFFFF"/>
            <w:noWrap/>
            <w:vAlign w:val="center"/>
            <w:hideMark/>
          </w:tcPr>
          <w:p w14:paraId="38463EF6" w14:textId="77777777" w:rsidR="00B53316" w:rsidRPr="00D618B7" w:rsidRDefault="00B53316" w:rsidP="004B11B7">
            <w:pPr>
              <w:jc w:val="right"/>
              <w:rPr>
                <w:color w:val="000000"/>
                <w:sz w:val="22"/>
                <w:szCs w:val="22"/>
              </w:rPr>
            </w:pPr>
            <w:r w:rsidRPr="00D618B7">
              <w:rPr>
                <w:color w:val="000000"/>
                <w:sz w:val="22"/>
                <w:szCs w:val="22"/>
              </w:rPr>
              <w:t>0.04</w:t>
            </w:r>
          </w:p>
        </w:tc>
        <w:tc>
          <w:tcPr>
            <w:tcW w:w="892" w:type="pct"/>
            <w:tcBorders>
              <w:top w:val="nil"/>
              <w:left w:val="nil"/>
              <w:bottom w:val="nil"/>
              <w:right w:val="nil"/>
            </w:tcBorders>
            <w:shd w:val="clear" w:color="000000" w:fill="FFFFFF"/>
            <w:noWrap/>
            <w:vAlign w:val="center"/>
            <w:hideMark/>
          </w:tcPr>
          <w:p w14:paraId="79EA3616" w14:textId="77777777" w:rsidR="00B53316" w:rsidRPr="00D618B7" w:rsidRDefault="00B53316" w:rsidP="004B11B7">
            <w:pPr>
              <w:jc w:val="right"/>
              <w:rPr>
                <w:color w:val="000000"/>
                <w:sz w:val="22"/>
                <w:szCs w:val="22"/>
              </w:rPr>
            </w:pPr>
            <w:r w:rsidRPr="00D618B7">
              <w:rPr>
                <w:color w:val="000000"/>
                <w:sz w:val="22"/>
                <w:szCs w:val="22"/>
              </w:rPr>
              <w:t>0.10</w:t>
            </w:r>
          </w:p>
        </w:tc>
        <w:tc>
          <w:tcPr>
            <w:tcW w:w="536" w:type="pct"/>
            <w:tcBorders>
              <w:top w:val="nil"/>
              <w:left w:val="nil"/>
              <w:bottom w:val="nil"/>
              <w:right w:val="nil"/>
            </w:tcBorders>
            <w:shd w:val="clear" w:color="000000" w:fill="FFFFFF"/>
            <w:noWrap/>
            <w:vAlign w:val="center"/>
            <w:hideMark/>
          </w:tcPr>
          <w:p w14:paraId="2929D837" w14:textId="77777777" w:rsidR="00B53316" w:rsidRPr="00D618B7" w:rsidRDefault="00B53316" w:rsidP="004B11B7">
            <w:pPr>
              <w:jc w:val="right"/>
              <w:rPr>
                <w:color w:val="000000"/>
                <w:sz w:val="22"/>
                <w:szCs w:val="22"/>
              </w:rPr>
            </w:pPr>
            <w:r w:rsidRPr="00D618B7">
              <w:rPr>
                <w:color w:val="000000"/>
                <w:sz w:val="22"/>
                <w:szCs w:val="22"/>
              </w:rPr>
              <w:t>-0.08</w:t>
            </w:r>
          </w:p>
        </w:tc>
        <w:tc>
          <w:tcPr>
            <w:tcW w:w="892" w:type="pct"/>
            <w:tcBorders>
              <w:top w:val="nil"/>
              <w:left w:val="nil"/>
              <w:bottom w:val="nil"/>
              <w:right w:val="nil"/>
            </w:tcBorders>
            <w:shd w:val="clear" w:color="000000" w:fill="FFFFFF"/>
            <w:noWrap/>
            <w:vAlign w:val="center"/>
            <w:hideMark/>
          </w:tcPr>
          <w:p w14:paraId="455870F3" w14:textId="77777777" w:rsidR="00B53316" w:rsidRPr="00D618B7" w:rsidRDefault="00B53316" w:rsidP="004B11B7">
            <w:pPr>
              <w:jc w:val="right"/>
              <w:rPr>
                <w:color w:val="000000"/>
                <w:sz w:val="22"/>
                <w:szCs w:val="22"/>
              </w:rPr>
            </w:pPr>
            <w:r w:rsidRPr="00D618B7">
              <w:rPr>
                <w:color w:val="000000"/>
                <w:sz w:val="22"/>
                <w:szCs w:val="22"/>
              </w:rPr>
              <w:t>0.09</w:t>
            </w:r>
          </w:p>
        </w:tc>
        <w:tc>
          <w:tcPr>
            <w:tcW w:w="548" w:type="pct"/>
            <w:tcBorders>
              <w:top w:val="nil"/>
              <w:left w:val="nil"/>
              <w:bottom w:val="nil"/>
              <w:right w:val="nil"/>
            </w:tcBorders>
            <w:shd w:val="clear" w:color="000000" w:fill="FFFFFF"/>
            <w:noWrap/>
            <w:vAlign w:val="center"/>
            <w:hideMark/>
          </w:tcPr>
          <w:p w14:paraId="6CF1F23E" w14:textId="77777777" w:rsidR="00B53316" w:rsidRPr="00D618B7" w:rsidRDefault="00B53316" w:rsidP="004B11B7">
            <w:pPr>
              <w:jc w:val="right"/>
              <w:rPr>
                <w:color w:val="000000"/>
                <w:sz w:val="22"/>
                <w:szCs w:val="22"/>
              </w:rPr>
            </w:pPr>
            <w:r w:rsidRPr="00D618B7">
              <w:rPr>
                <w:color w:val="000000"/>
                <w:sz w:val="22"/>
                <w:szCs w:val="22"/>
              </w:rPr>
              <w:t>-0.58</w:t>
            </w:r>
          </w:p>
        </w:tc>
        <w:tc>
          <w:tcPr>
            <w:tcW w:w="881" w:type="pct"/>
            <w:tcBorders>
              <w:top w:val="nil"/>
              <w:left w:val="nil"/>
              <w:bottom w:val="nil"/>
              <w:right w:val="nil"/>
            </w:tcBorders>
            <w:shd w:val="clear" w:color="000000" w:fill="FFFFFF"/>
            <w:noWrap/>
            <w:vAlign w:val="center"/>
            <w:hideMark/>
          </w:tcPr>
          <w:p w14:paraId="18E717CE" w14:textId="77777777" w:rsidR="00B53316" w:rsidRPr="00D618B7" w:rsidRDefault="00B53316" w:rsidP="004B11B7">
            <w:pPr>
              <w:jc w:val="right"/>
              <w:rPr>
                <w:color w:val="000000"/>
                <w:sz w:val="22"/>
                <w:szCs w:val="22"/>
              </w:rPr>
            </w:pPr>
            <w:r w:rsidRPr="00D618B7">
              <w:rPr>
                <w:color w:val="000000"/>
                <w:sz w:val="22"/>
                <w:szCs w:val="22"/>
              </w:rPr>
              <w:t>0.51</w:t>
            </w:r>
          </w:p>
        </w:tc>
      </w:tr>
      <w:tr w:rsidR="003B5FE0" w:rsidRPr="00D618B7" w14:paraId="5EC219C9" w14:textId="77777777" w:rsidTr="003B5FE0">
        <w:trPr>
          <w:trHeight w:val="258"/>
        </w:trPr>
        <w:tc>
          <w:tcPr>
            <w:tcW w:w="713" w:type="pct"/>
            <w:tcBorders>
              <w:top w:val="nil"/>
              <w:left w:val="nil"/>
              <w:bottom w:val="nil"/>
              <w:right w:val="nil"/>
            </w:tcBorders>
            <w:shd w:val="clear" w:color="000000" w:fill="FFFFFF"/>
            <w:vAlign w:val="center"/>
            <w:hideMark/>
          </w:tcPr>
          <w:p w14:paraId="47E77AFD" w14:textId="77777777" w:rsidR="00B53316" w:rsidRPr="00D618B7" w:rsidRDefault="00B53316" w:rsidP="004B11B7">
            <w:pPr>
              <w:jc w:val="right"/>
              <w:rPr>
                <w:color w:val="000000"/>
                <w:sz w:val="22"/>
                <w:szCs w:val="22"/>
              </w:rPr>
            </w:pPr>
            <w:r w:rsidRPr="00D618B7">
              <w:rPr>
                <w:color w:val="000000"/>
                <w:sz w:val="22"/>
                <w:szCs w:val="22"/>
              </w:rPr>
              <w:t>0.00</w:t>
            </w:r>
          </w:p>
        </w:tc>
        <w:tc>
          <w:tcPr>
            <w:tcW w:w="536" w:type="pct"/>
            <w:tcBorders>
              <w:top w:val="nil"/>
              <w:left w:val="nil"/>
              <w:bottom w:val="nil"/>
              <w:right w:val="nil"/>
            </w:tcBorders>
            <w:shd w:val="clear" w:color="000000" w:fill="FFFFFF"/>
            <w:noWrap/>
            <w:vAlign w:val="center"/>
            <w:hideMark/>
          </w:tcPr>
          <w:p w14:paraId="16660EDC" w14:textId="77777777" w:rsidR="00B53316" w:rsidRPr="00D618B7" w:rsidRDefault="00B53316" w:rsidP="004B11B7">
            <w:pPr>
              <w:jc w:val="right"/>
              <w:rPr>
                <w:color w:val="000000"/>
                <w:sz w:val="22"/>
                <w:szCs w:val="22"/>
              </w:rPr>
            </w:pPr>
            <w:r w:rsidRPr="00D618B7">
              <w:rPr>
                <w:color w:val="000000"/>
                <w:sz w:val="22"/>
                <w:szCs w:val="22"/>
              </w:rPr>
              <w:t>0.06</w:t>
            </w:r>
          </w:p>
        </w:tc>
        <w:tc>
          <w:tcPr>
            <w:tcW w:w="892" w:type="pct"/>
            <w:tcBorders>
              <w:top w:val="nil"/>
              <w:left w:val="nil"/>
              <w:bottom w:val="nil"/>
              <w:right w:val="nil"/>
            </w:tcBorders>
            <w:shd w:val="clear" w:color="000000" w:fill="FFFFFF"/>
            <w:noWrap/>
            <w:vAlign w:val="center"/>
            <w:hideMark/>
          </w:tcPr>
          <w:p w14:paraId="6454C451" w14:textId="77777777" w:rsidR="00B53316" w:rsidRPr="00D618B7" w:rsidRDefault="00B53316" w:rsidP="004B11B7">
            <w:pPr>
              <w:jc w:val="right"/>
              <w:rPr>
                <w:color w:val="000000"/>
                <w:sz w:val="22"/>
                <w:szCs w:val="22"/>
              </w:rPr>
            </w:pPr>
            <w:r w:rsidRPr="00D618B7">
              <w:rPr>
                <w:color w:val="000000"/>
                <w:sz w:val="22"/>
                <w:szCs w:val="22"/>
              </w:rPr>
              <w:t>0.02</w:t>
            </w:r>
          </w:p>
        </w:tc>
        <w:tc>
          <w:tcPr>
            <w:tcW w:w="536" w:type="pct"/>
            <w:tcBorders>
              <w:top w:val="nil"/>
              <w:left w:val="nil"/>
              <w:bottom w:val="nil"/>
              <w:right w:val="nil"/>
            </w:tcBorders>
            <w:shd w:val="clear" w:color="000000" w:fill="FFFFFF"/>
            <w:noWrap/>
            <w:vAlign w:val="center"/>
            <w:hideMark/>
          </w:tcPr>
          <w:p w14:paraId="22FC52AF" w14:textId="77777777" w:rsidR="00B53316" w:rsidRPr="00D618B7" w:rsidRDefault="00B53316" w:rsidP="004B11B7">
            <w:pPr>
              <w:jc w:val="right"/>
              <w:rPr>
                <w:color w:val="000000"/>
                <w:sz w:val="22"/>
                <w:szCs w:val="22"/>
              </w:rPr>
            </w:pPr>
            <w:r w:rsidRPr="00D618B7">
              <w:rPr>
                <w:color w:val="000000"/>
                <w:sz w:val="22"/>
                <w:szCs w:val="22"/>
              </w:rPr>
              <w:t>0.30</w:t>
            </w:r>
          </w:p>
        </w:tc>
        <w:tc>
          <w:tcPr>
            <w:tcW w:w="892" w:type="pct"/>
            <w:tcBorders>
              <w:top w:val="nil"/>
              <w:left w:val="nil"/>
              <w:bottom w:val="nil"/>
              <w:right w:val="nil"/>
            </w:tcBorders>
            <w:shd w:val="clear" w:color="000000" w:fill="FFFFFF"/>
            <w:noWrap/>
            <w:vAlign w:val="center"/>
            <w:hideMark/>
          </w:tcPr>
          <w:p w14:paraId="44FCD5B2" w14:textId="77777777" w:rsidR="00B53316" w:rsidRPr="00D618B7" w:rsidRDefault="00B53316" w:rsidP="004B11B7">
            <w:pPr>
              <w:jc w:val="right"/>
              <w:rPr>
                <w:color w:val="000000"/>
                <w:sz w:val="22"/>
                <w:szCs w:val="22"/>
              </w:rPr>
            </w:pPr>
            <w:r w:rsidRPr="00D618B7">
              <w:rPr>
                <w:color w:val="000000"/>
                <w:sz w:val="22"/>
                <w:szCs w:val="22"/>
              </w:rPr>
              <w:t>0.02</w:t>
            </w:r>
          </w:p>
        </w:tc>
        <w:tc>
          <w:tcPr>
            <w:tcW w:w="548" w:type="pct"/>
            <w:tcBorders>
              <w:top w:val="nil"/>
              <w:left w:val="nil"/>
              <w:bottom w:val="nil"/>
              <w:right w:val="nil"/>
            </w:tcBorders>
            <w:shd w:val="clear" w:color="000000" w:fill="FFFFFF"/>
            <w:noWrap/>
            <w:vAlign w:val="center"/>
            <w:hideMark/>
          </w:tcPr>
          <w:p w14:paraId="329EEA80" w14:textId="77777777" w:rsidR="00B53316" w:rsidRPr="00D618B7" w:rsidRDefault="00B53316" w:rsidP="004B11B7">
            <w:pPr>
              <w:jc w:val="right"/>
              <w:rPr>
                <w:color w:val="000000"/>
                <w:sz w:val="22"/>
                <w:szCs w:val="22"/>
              </w:rPr>
            </w:pPr>
            <w:r w:rsidRPr="00D618B7">
              <w:rPr>
                <w:color w:val="000000"/>
                <w:sz w:val="22"/>
                <w:szCs w:val="22"/>
              </w:rPr>
              <w:t>1.29</w:t>
            </w:r>
          </w:p>
        </w:tc>
        <w:tc>
          <w:tcPr>
            <w:tcW w:w="881" w:type="pct"/>
            <w:tcBorders>
              <w:top w:val="nil"/>
              <w:left w:val="nil"/>
              <w:bottom w:val="nil"/>
              <w:right w:val="nil"/>
            </w:tcBorders>
            <w:shd w:val="clear" w:color="000000" w:fill="FFFFFF"/>
            <w:noWrap/>
            <w:vAlign w:val="center"/>
            <w:hideMark/>
          </w:tcPr>
          <w:p w14:paraId="15970C5D" w14:textId="77777777" w:rsidR="00B53316" w:rsidRPr="00D618B7" w:rsidRDefault="00B53316" w:rsidP="004B11B7">
            <w:pPr>
              <w:jc w:val="right"/>
              <w:rPr>
                <w:color w:val="000000"/>
                <w:sz w:val="22"/>
                <w:szCs w:val="22"/>
              </w:rPr>
            </w:pPr>
            <w:r w:rsidRPr="00D618B7">
              <w:rPr>
                <w:color w:val="000000"/>
                <w:sz w:val="22"/>
                <w:szCs w:val="22"/>
              </w:rPr>
              <w:t>0.57</w:t>
            </w:r>
          </w:p>
        </w:tc>
      </w:tr>
      <w:tr w:rsidR="003B5FE0" w:rsidRPr="00D618B7" w14:paraId="412D99FE" w14:textId="77777777" w:rsidTr="003B5FE0">
        <w:trPr>
          <w:trHeight w:val="258"/>
        </w:trPr>
        <w:tc>
          <w:tcPr>
            <w:tcW w:w="713" w:type="pct"/>
            <w:tcBorders>
              <w:top w:val="nil"/>
              <w:left w:val="nil"/>
              <w:bottom w:val="nil"/>
              <w:right w:val="nil"/>
            </w:tcBorders>
            <w:shd w:val="clear" w:color="000000" w:fill="FFFFFF"/>
            <w:vAlign w:val="center"/>
            <w:hideMark/>
          </w:tcPr>
          <w:p w14:paraId="5764113B" w14:textId="77777777" w:rsidR="00B53316" w:rsidRPr="00D618B7" w:rsidRDefault="00B53316" w:rsidP="004B11B7">
            <w:pPr>
              <w:jc w:val="right"/>
              <w:rPr>
                <w:color w:val="000000"/>
                <w:sz w:val="22"/>
                <w:szCs w:val="22"/>
              </w:rPr>
            </w:pPr>
            <w:r w:rsidRPr="00D618B7">
              <w:rPr>
                <w:color w:val="000000"/>
                <w:sz w:val="22"/>
                <w:szCs w:val="22"/>
              </w:rPr>
              <w:t>1.00</w:t>
            </w:r>
          </w:p>
        </w:tc>
        <w:tc>
          <w:tcPr>
            <w:tcW w:w="536" w:type="pct"/>
            <w:tcBorders>
              <w:top w:val="nil"/>
              <w:left w:val="nil"/>
              <w:bottom w:val="nil"/>
              <w:right w:val="nil"/>
            </w:tcBorders>
            <w:shd w:val="clear" w:color="000000" w:fill="FFFFFF"/>
            <w:noWrap/>
            <w:vAlign w:val="center"/>
            <w:hideMark/>
          </w:tcPr>
          <w:p w14:paraId="34F5DCC6" w14:textId="77777777" w:rsidR="00B53316" w:rsidRPr="00D618B7" w:rsidRDefault="00B53316" w:rsidP="004B11B7">
            <w:pPr>
              <w:jc w:val="right"/>
              <w:rPr>
                <w:color w:val="000000"/>
                <w:sz w:val="22"/>
                <w:szCs w:val="22"/>
              </w:rPr>
            </w:pPr>
            <w:r w:rsidRPr="00D618B7">
              <w:rPr>
                <w:color w:val="000000"/>
                <w:sz w:val="22"/>
                <w:szCs w:val="22"/>
              </w:rPr>
              <w:t>-0.13</w:t>
            </w:r>
          </w:p>
        </w:tc>
        <w:tc>
          <w:tcPr>
            <w:tcW w:w="892" w:type="pct"/>
            <w:tcBorders>
              <w:top w:val="nil"/>
              <w:left w:val="nil"/>
              <w:bottom w:val="nil"/>
              <w:right w:val="nil"/>
            </w:tcBorders>
            <w:shd w:val="clear" w:color="000000" w:fill="FFFFFF"/>
            <w:noWrap/>
            <w:vAlign w:val="center"/>
            <w:hideMark/>
          </w:tcPr>
          <w:p w14:paraId="572377B0" w14:textId="77777777" w:rsidR="00B53316" w:rsidRPr="00D618B7" w:rsidRDefault="00B53316" w:rsidP="004B11B7">
            <w:pPr>
              <w:jc w:val="right"/>
              <w:rPr>
                <w:color w:val="000000"/>
                <w:sz w:val="22"/>
                <w:szCs w:val="22"/>
              </w:rPr>
            </w:pPr>
            <w:r w:rsidRPr="00D618B7">
              <w:rPr>
                <w:color w:val="000000"/>
                <w:sz w:val="22"/>
                <w:szCs w:val="22"/>
              </w:rPr>
              <w:t>0.06</w:t>
            </w:r>
          </w:p>
        </w:tc>
        <w:tc>
          <w:tcPr>
            <w:tcW w:w="536" w:type="pct"/>
            <w:tcBorders>
              <w:top w:val="nil"/>
              <w:left w:val="nil"/>
              <w:bottom w:val="nil"/>
              <w:right w:val="nil"/>
            </w:tcBorders>
            <w:shd w:val="clear" w:color="000000" w:fill="FFFFFF"/>
            <w:noWrap/>
            <w:vAlign w:val="center"/>
            <w:hideMark/>
          </w:tcPr>
          <w:p w14:paraId="06B37A06" w14:textId="77777777" w:rsidR="00B53316" w:rsidRPr="00D618B7" w:rsidRDefault="00B53316" w:rsidP="004B11B7">
            <w:pPr>
              <w:jc w:val="right"/>
              <w:rPr>
                <w:color w:val="000000"/>
                <w:sz w:val="22"/>
                <w:szCs w:val="22"/>
              </w:rPr>
            </w:pPr>
            <w:r w:rsidRPr="00D618B7">
              <w:rPr>
                <w:color w:val="000000"/>
                <w:sz w:val="22"/>
                <w:szCs w:val="22"/>
              </w:rPr>
              <w:t>-0.10</w:t>
            </w:r>
          </w:p>
        </w:tc>
        <w:tc>
          <w:tcPr>
            <w:tcW w:w="892" w:type="pct"/>
            <w:tcBorders>
              <w:top w:val="nil"/>
              <w:left w:val="nil"/>
              <w:bottom w:val="nil"/>
              <w:right w:val="nil"/>
            </w:tcBorders>
            <w:shd w:val="clear" w:color="000000" w:fill="FFFFFF"/>
            <w:noWrap/>
            <w:vAlign w:val="center"/>
            <w:hideMark/>
          </w:tcPr>
          <w:p w14:paraId="2E5CFEEA" w14:textId="77777777" w:rsidR="00B53316" w:rsidRPr="00D618B7" w:rsidRDefault="00B53316" w:rsidP="004B11B7">
            <w:pPr>
              <w:jc w:val="right"/>
              <w:rPr>
                <w:color w:val="000000"/>
                <w:sz w:val="22"/>
                <w:szCs w:val="22"/>
              </w:rPr>
            </w:pPr>
            <w:r w:rsidRPr="00D618B7">
              <w:rPr>
                <w:color w:val="000000"/>
                <w:sz w:val="22"/>
                <w:szCs w:val="22"/>
              </w:rPr>
              <w:t>0.03</w:t>
            </w:r>
          </w:p>
        </w:tc>
        <w:tc>
          <w:tcPr>
            <w:tcW w:w="548" w:type="pct"/>
            <w:tcBorders>
              <w:top w:val="nil"/>
              <w:left w:val="nil"/>
              <w:bottom w:val="nil"/>
              <w:right w:val="nil"/>
            </w:tcBorders>
            <w:shd w:val="clear" w:color="000000" w:fill="FFFFFF"/>
            <w:noWrap/>
            <w:vAlign w:val="center"/>
            <w:hideMark/>
          </w:tcPr>
          <w:p w14:paraId="40AC1C77" w14:textId="77777777" w:rsidR="00B53316" w:rsidRPr="00D618B7" w:rsidRDefault="00B53316" w:rsidP="004B11B7">
            <w:pPr>
              <w:jc w:val="right"/>
              <w:rPr>
                <w:color w:val="000000"/>
                <w:sz w:val="22"/>
                <w:szCs w:val="22"/>
              </w:rPr>
            </w:pPr>
            <w:r w:rsidRPr="00D618B7">
              <w:rPr>
                <w:color w:val="000000"/>
                <w:sz w:val="22"/>
                <w:szCs w:val="22"/>
              </w:rPr>
              <w:t>1.26</w:t>
            </w:r>
          </w:p>
        </w:tc>
        <w:tc>
          <w:tcPr>
            <w:tcW w:w="881" w:type="pct"/>
            <w:tcBorders>
              <w:top w:val="nil"/>
              <w:left w:val="nil"/>
              <w:bottom w:val="nil"/>
              <w:right w:val="nil"/>
            </w:tcBorders>
            <w:shd w:val="clear" w:color="000000" w:fill="FFFFFF"/>
            <w:noWrap/>
            <w:vAlign w:val="center"/>
            <w:hideMark/>
          </w:tcPr>
          <w:p w14:paraId="25CCE9AF" w14:textId="77777777" w:rsidR="00B53316" w:rsidRPr="00D618B7" w:rsidRDefault="00B53316" w:rsidP="004B11B7">
            <w:pPr>
              <w:jc w:val="right"/>
              <w:rPr>
                <w:color w:val="000000"/>
                <w:sz w:val="22"/>
                <w:szCs w:val="22"/>
              </w:rPr>
            </w:pPr>
            <w:r w:rsidRPr="00D618B7">
              <w:rPr>
                <w:color w:val="000000"/>
                <w:sz w:val="22"/>
                <w:szCs w:val="22"/>
              </w:rPr>
              <w:t>0.41</w:t>
            </w:r>
          </w:p>
        </w:tc>
      </w:tr>
      <w:tr w:rsidR="003B5FE0" w:rsidRPr="00D618B7" w14:paraId="4EEABD2B" w14:textId="77777777" w:rsidTr="003B5FE0">
        <w:trPr>
          <w:trHeight w:val="258"/>
        </w:trPr>
        <w:tc>
          <w:tcPr>
            <w:tcW w:w="713" w:type="pct"/>
            <w:tcBorders>
              <w:top w:val="nil"/>
              <w:left w:val="nil"/>
              <w:bottom w:val="nil"/>
              <w:right w:val="nil"/>
            </w:tcBorders>
            <w:shd w:val="clear" w:color="000000" w:fill="FFFFFF"/>
            <w:vAlign w:val="center"/>
            <w:hideMark/>
          </w:tcPr>
          <w:p w14:paraId="0D7980B0" w14:textId="77777777" w:rsidR="00B53316" w:rsidRPr="00D618B7" w:rsidRDefault="00B53316" w:rsidP="004B11B7">
            <w:pPr>
              <w:jc w:val="right"/>
              <w:rPr>
                <w:color w:val="000000"/>
                <w:sz w:val="22"/>
                <w:szCs w:val="22"/>
              </w:rPr>
            </w:pPr>
            <w:r w:rsidRPr="00D618B7">
              <w:rPr>
                <w:color w:val="000000"/>
                <w:sz w:val="22"/>
                <w:szCs w:val="22"/>
              </w:rPr>
              <w:t>2.00</w:t>
            </w:r>
          </w:p>
        </w:tc>
        <w:tc>
          <w:tcPr>
            <w:tcW w:w="536" w:type="pct"/>
            <w:tcBorders>
              <w:top w:val="nil"/>
              <w:left w:val="nil"/>
              <w:bottom w:val="nil"/>
              <w:right w:val="nil"/>
            </w:tcBorders>
            <w:shd w:val="clear" w:color="000000" w:fill="FFFFFF"/>
            <w:noWrap/>
            <w:vAlign w:val="center"/>
            <w:hideMark/>
          </w:tcPr>
          <w:p w14:paraId="094AAA7F" w14:textId="77777777" w:rsidR="00B53316" w:rsidRPr="00D618B7" w:rsidRDefault="00B53316" w:rsidP="004B11B7">
            <w:pPr>
              <w:jc w:val="right"/>
              <w:rPr>
                <w:color w:val="000000"/>
                <w:sz w:val="22"/>
                <w:szCs w:val="22"/>
              </w:rPr>
            </w:pPr>
            <w:r w:rsidRPr="00D618B7">
              <w:rPr>
                <w:color w:val="000000"/>
                <w:sz w:val="22"/>
                <w:szCs w:val="22"/>
              </w:rPr>
              <w:t>0.25</w:t>
            </w:r>
          </w:p>
        </w:tc>
        <w:tc>
          <w:tcPr>
            <w:tcW w:w="892" w:type="pct"/>
            <w:tcBorders>
              <w:top w:val="nil"/>
              <w:left w:val="nil"/>
              <w:bottom w:val="nil"/>
              <w:right w:val="nil"/>
            </w:tcBorders>
            <w:shd w:val="clear" w:color="000000" w:fill="FFFFFF"/>
            <w:noWrap/>
            <w:vAlign w:val="center"/>
            <w:hideMark/>
          </w:tcPr>
          <w:p w14:paraId="107B735A" w14:textId="77777777" w:rsidR="00B53316" w:rsidRPr="00D618B7" w:rsidRDefault="00B53316" w:rsidP="004B11B7">
            <w:pPr>
              <w:jc w:val="right"/>
              <w:rPr>
                <w:color w:val="000000"/>
                <w:sz w:val="22"/>
                <w:szCs w:val="22"/>
              </w:rPr>
            </w:pPr>
            <w:r w:rsidRPr="00D618B7">
              <w:rPr>
                <w:color w:val="000000"/>
                <w:sz w:val="22"/>
                <w:szCs w:val="22"/>
              </w:rPr>
              <w:t>0.10</w:t>
            </w:r>
          </w:p>
        </w:tc>
        <w:tc>
          <w:tcPr>
            <w:tcW w:w="536" w:type="pct"/>
            <w:tcBorders>
              <w:top w:val="nil"/>
              <w:left w:val="nil"/>
              <w:bottom w:val="nil"/>
              <w:right w:val="nil"/>
            </w:tcBorders>
            <w:shd w:val="clear" w:color="000000" w:fill="FFFFFF"/>
            <w:noWrap/>
            <w:vAlign w:val="center"/>
            <w:hideMark/>
          </w:tcPr>
          <w:p w14:paraId="6B04F36C" w14:textId="77777777" w:rsidR="00B53316" w:rsidRPr="00D618B7" w:rsidRDefault="00B53316" w:rsidP="004B11B7">
            <w:pPr>
              <w:jc w:val="right"/>
              <w:rPr>
                <w:color w:val="000000"/>
                <w:sz w:val="22"/>
                <w:szCs w:val="22"/>
              </w:rPr>
            </w:pPr>
            <w:r w:rsidRPr="00D618B7">
              <w:rPr>
                <w:color w:val="000000"/>
                <w:sz w:val="22"/>
                <w:szCs w:val="22"/>
              </w:rPr>
              <w:t>0.03</w:t>
            </w:r>
          </w:p>
        </w:tc>
        <w:tc>
          <w:tcPr>
            <w:tcW w:w="892" w:type="pct"/>
            <w:tcBorders>
              <w:top w:val="nil"/>
              <w:left w:val="nil"/>
              <w:bottom w:val="nil"/>
              <w:right w:val="nil"/>
            </w:tcBorders>
            <w:shd w:val="clear" w:color="000000" w:fill="FFFFFF"/>
            <w:noWrap/>
            <w:vAlign w:val="center"/>
            <w:hideMark/>
          </w:tcPr>
          <w:p w14:paraId="37FB6B20" w14:textId="77777777" w:rsidR="00B53316" w:rsidRPr="00D618B7" w:rsidRDefault="00B53316" w:rsidP="004B11B7">
            <w:pPr>
              <w:jc w:val="right"/>
              <w:rPr>
                <w:color w:val="000000"/>
                <w:sz w:val="22"/>
                <w:szCs w:val="22"/>
              </w:rPr>
            </w:pPr>
            <w:r w:rsidRPr="00D618B7">
              <w:rPr>
                <w:color w:val="000000"/>
                <w:sz w:val="22"/>
                <w:szCs w:val="22"/>
              </w:rPr>
              <w:t>0.05</w:t>
            </w:r>
          </w:p>
        </w:tc>
        <w:tc>
          <w:tcPr>
            <w:tcW w:w="548" w:type="pct"/>
            <w:tcBorders>
              <w:top w:val="nil"/>
              <w:left w:val="nil"/>
              <w:bottom w:val="nil"/>
              <w:right w:val="nil"/>
            </w:tcBorders>
            <w:shd w:val="clear" w:color="000000" w:fill="FFFFFF"/>
            <w:noWrap/>
            <w:vAlign w:val="center"/>
            <w:hideMark/>
          </w:tcPr>
          <w:p w14:paraId="43496BE3" w14:textId="77777777" w:rsidR="00B53316" w:rsidRPr="00D618B7" w:rsidRDefault="00B53316" w:rsidP="004B11B7">
            <w:pPr>
              <w:jc w:val="right"/>
              <w:rPr>
                <w:color w:val="000000"/>
                <w:sz w:val="22"/>
                <w:szCs w:val="22"/>
              </w:rPr>
            </w:pPr>
            <w:r w:rsidRPr="00D618B7">
              <w:rPr>
                <w:color w:val="000000"/>
                <w:sz w:val="22"/>
                <w:szCs w:val="22"/>
              </w:rPr>
              <w:t>0.56</w:t>
            </w:r>
          </w:p>
        </w:tc>
        <w:tc>
          <w:tcPr>
            <w:tcW w:w="881" w:type="pct"/>
            <w:tcBorders>
              <w:top w:val="nil"/>
              <w:left w:val="nil"/>
              <w:bottom w:val="nil"/>
              <w:right w:val="nil"/>
            </w:tcBorders>
            <w:shd w:val="clear" w:color="000000" w:fill="FFFFFF"/>
            <w:noWrap/>
            <w:vAlign w:val="center"/>
            <w:hideMark/>
          </w:tcPr>
          <w:p w14:paraId="72BCC552" w14:textId="77777777" w:rsidR="00B53316" w:rsidRPr="00D618B7" w:rsidRDefault="00B53316" w:rsidP="004B11B7">
            <w:pPr>
              <w:jc w:val="right"/>
              <w:rPr>
                <w:color w:val="000000"/>
                <w:sz w:val="22"/>
                <w:szCs w:val="22"/>
              </w:rPr>
            </w:pPr>
            <w:r w:rsidRPr="00D618B7">
              <w:rPr>
                <w:color w:val="000000"/>
                <w:sz w:val="22"/>
                <w:szCs w:val="22"/>
              </w:rPr>
              <w:t>0.66</w:t>
            </w:r>
          </w:p>
        </w:tc>
      </w:tr>
      <w:tr w:rsidR="003B5FE0" w:rsidRPr="00D618B7" w14:paraId="75BBA171" w14:textId="77777777" w:rsidTr="003B5FE0">
        <w:trPr>
          <w:trHeight w:val="258"/>
        </w:trPr>
        <w:tc>
          <w:tcPr>
            <w:tcW w:w="713" w:type="pct"/>
            <w:tcBorders>
              <w:top w:val="nil"/>
              <w:left w:val="nil"/>
              <w:bottom w:val="nil"/>
              <w:right w:val="nil"/>
            </w:tcBorders>
            <w:shd w:val="clear" w:color="000000" w:fill="FFFFFF"/>
            <w:vAlign w:val="center"/>
            <w:hideMark/>
          </w:tcPr>
          <w:p w14:paraId="1E68077F" w14:textId="77777777" w:rsidR="00B53316" w:rsidRPr="00D618B7" w:rsidRDefault="00B53316" w:rsidP="004B11B7">
            <w:pPr>
              <w:jc w:val="right"/>
              <w:rPr>
                <w:color w:val="000000"/>
                <w:sz w:val="22"/>
                <w:szCs w:val="22"/>
              </w:rPr>
            </w:pPr>
            <w:r w:rsidRPr="00D618B7">
              <w:rPr>
                <w:color w:val="000000"/>
                <w:sz w:val="22"/>
                <w:szCs w:val="22"/>
              </w:rPr>
              <w:t>3.00</w:t>
            </w:r>
          </w:p>
        </w:tc>
        <w:tc>
          <w:tcPr>
            <w:tcW w:w="536" w:type="pct"/>
            <w:tcBorders>
              <w:top w:val="nil"/>
              <w:left w:val="nil"/>
              <w:bottom w:val="nil"/>
              <w:right w:val="nil"/>
            </w:tcBorders>
            <w:shd w:val="clear" w:color="000000" w:fill="FFFFFF"/>
            <w:noWrap/>
            <w:vAlign w:val="center"/>
            <w:hideMark/>
          </w:tcPr>
          <w:p w14:paraId="17F443B1" w14:textId="77777777" w:rsidR="00B53316" w:rsidRPr="00D618B7" w:rsidRDefault="00B53316" w:rsidP="004B11B7">
            <w:pPr>
              <w:jc w:val="right"/>
              <w:rPr>
                <w:color w:val="000000"/>
                <w:sz w:val="22"/>
                <w:szCs w:val="22"/>
              </w:rPr>
            </w:pPr>
            <w:r w:rsidRPr="00D618B7">
              <w:rPr>
                <w:color w:val="000000"/>
                <w:sz w:val="22"/>
                <w:szCs w:val="22"/>
              </w:rPr>
              <w:t>0.04</w:t>
            </w:r>
          </w:p>
        </w:tc>
        <w:tc>
          <w:tcPr>
            <w:tcW w:w="892" w:type="pct"/>
            <w:tcBorders>
              <w:top w:val="nil"/>
              <w:left w:val="nil"/>
              <w:bottom w:val="nil"/>
              <w:right w:val="nil"/>
            </w:tcBorders>
            <w:shd w:val="clear" w:color="000000" w:fill="FFFFFF"/>
            <w:noWrap/>
            <w:vAlign w:val="center"/>
            <w:hideMark/>
          </w:tcPr>
          <w:p w14:paraId="10D5ABC1" w14:textId="77777777" w:rsidR="00B53316" w:rsidRPr="00D618B7" w:rsidRDefault="00B53316" w:rsidP="004B11B7">
            <w:pPr>
              <w:jc w:val="right"/>
              <w:rPr>
                <w:color w:val="000000"/>
                <w:sz w:val="22"/>
                <w:szCs w:val="22"/>
              </w:rPr>
            </w:pPr>
            <w:r w:rsidRPr="00D618B7">
              <w:rPr>
                <w:color w:val="000000"/>
                <w:sz w:val="22"/>
                <w:szCs w:val="22"/>
              </w:rPr>
              <w:t>0.02</w:t>
            </w:r>
          </w:p>
        </w:tc>
        <w:tc>
          <w:tcPr>
            <w:tcW w:w="536" w:type="pct"/>
            <w:tcBorders>
              <w:top w:val="nil"/>
              <w:left w:val="nil"/>
              <w:bottom w:val="nil"/>
              <w:right w:val="nil"/>
            </w:tcBorders>
            <w:shd w:val="clear" w:color="000000" w:fill="FFFFFF"/>
            <w:noWrap/>
            <w:vAlign w:val="center"/>
            <w:hideMark/>
          </w:tcPr>
          <w:p w14:paraId="702AC568" w14:textId="77777777" w:rsidR="00B53316" w:rsidRPr="00D618B7" w:rsidRDefault="00B53316" w:rsidP="004B11B7">
            <w:pPr>
              <w:jc w:val="right"/>
              <w:rPr>
                <w:color w:val="000000"/>
                <w:sz w:val="22"/>
                <w:szCs w:val="22"/>
              </w:rPr>
            </w:pPr>
            <w:r w:rsidRPr="00D618B7">
              <w:rPr>
                <w:color w:val="000000"/>
                <w:sz w:val="22"/>
                <w:szCs w:val="22"/>
              </w:rPr>
              <w:t>0.13</w:t>
            </w:r>
          </w:p>
        </w:tc>
        <w:tc>
          <w:tcPr>
            <w:tcW w:w="892" w:type="pct"/>
            <w:tcBorders>
              <w:top w:val="nil"/>
              <w:left w:val="nil"/>
              <w:bottom w:val="nil"/>
              <w:right w:val="nil"/>
            </w:tcBorders>
            <w:shd w:val="clear" w:color="000000" w:fill="FFFFFF"/>
            <w:noWrap/>
            <w:vAlign w:val="center"/>
            <w:hideMark/>
          </w:tcPr>
          <w:p w14:paraId="33E40CC2" w14:textId="77777777" w:rsidR="00B53316" w:rsidRPr="00D618B7" w:rsidRDefault="00B53316" w:rsidP="004B11B7">
            <w:pPr>
              <w:jc w:val="right"/>
              <w:rPr>
                <w:color w:val="000000"/>
                <w:sz w:val="22"/>
                <w:szCs w:val="22"/>
              </w:rPr>
            </w:pPr>
            <w:r w:rsidRPr="00D618B7">
              <w:rPr>
                <w:color w:val="000000"/>
                <w:sz w:val="22"/>
                <w:szCs w:val="22"/>
              </w:rPr>
              <w:t>0.05</w:t>
            </w:r>
          </w:p>
        </w:tc>
        <w:tc>
          <w:tcPr>
            <w:tcW w:w="548" w:type="pct"/>
            <w:tcBorders>
              <w:top w:val="nil"/>
              <w:left w:val="nil"/>
              <w:bottom w:val="nil"/>
              <w:right w:val="nil"/>
            </w:tcBorders>
            <w:shd w:val="clear" w:color="000000" w:fill="FFFFFF"/>
            <w:noWrap/>
            <w:vAlign w:val="center"/>
            <w:hideMark/>
          </w:tcPr>
          <w:p w14:paraId="4ECA508F" w14:textId="77777777" w:rsidR="00B53316" w:rsidRPr="00D618B7" w:rsidRDefault="00B53316" w:rsidP="004B11B7">
            <w:pPr>
              <w:jc w:val="right"/>
              <w:rPr>
                <w:color w:val="000000"/>
                <w:sz w:val="22"/>
                <w:szCs w:val="22"/>
              </w:rPr>
            </w:pPr>
            <w:r w:rsidRPr="00D618B7">
              <w:rPr>
                <w:color w:val="000000"/>
                <w:sz w:val="22"/>
                <w:szCs w:val="22"/>
              </w:rPr>
              <w:t>0.30</w:t>
            </w:r>
          </w:p>
        </w:tc>
        <w:tc>
          <w:tcPr>
            <w:tcW w:w="881" w:type="pct"/>
            <w:tcBorders>
              <w:top w:val="nil"/>
              <w:left w:val="nil"/>
              <w:bottom w:val="nil"/>
              <w:right w:val="nil"/>
            </w:tcBorders>
            <w:shd w:val="clear" w:color="000000" w:fill="FFFFFF"/>
            <w:noWrap/>
            <w:vAlign w:val="center"/>
            <w:hideMark/>
          </w:tcPr>
          <w:p w14:paraId="42814EDF" w14:textId="77777777" w:rsidR="00B53316" w:rsidRPr="00D618B7" w:rsidRDefault="00B53316" w:rsidP="004B11B7">
            <w:pPr>
              <w:jc w:val="right"/>
              <w:rPr>
                <w:color w:val="000000"/>
                <w:sz w:val="22"/>
                <w:szCs w:val="22"/>
              </w:rPr>
            </w:pPr>
            <w:r w:rsidRPr="00D618B7">
              <w:rPr>
                <w:color w:val="000000"/>
                <w:sz w:val="22"/>
                <w:szCs w:val="22"/>
              </w:rPr>
              <w:t>0.42</w:t>
            </w:r>
          </w:p>
        </w:tc>
      </w:tr>
      <w:tr w:rsidR="003B5FE0" w:rsidRPr="00D618B7" w14:paraId="62D344C8" w14:textId="77777777" w:rsidTr="003B5FE0">
        <w:trPr>
          <w:trHeight w:val="258"/>
        </w:trPr>
        <w:tc>
          <w:tcPr>
            <w:tcW w:w="713" w:type="pct"/>
            <w:tcBorders>
              <w:top w:val="nil"/>
              <w:left w:val="nil"/>
              <w:bottom w:val="nil"/>
              <w:right w:val="nil"/>
            </w:tcBorders>
            <w:shd w:val="clear" w:color="000000" w:fill="FFFFFF"/>
            <w:vAlign w:val="center"/>
            <w:hideMark/>
          </w:tcPr>
          <w:p w14:paraId="3A2D637D" w14:textId="77777777" w:rsidR="00B53316" w:rsidRPr="00D618B7" w:rsidRDefault="00B53316" w:rsidP="004B11B7">
            <w:pPr>
              <w:jc w:val="right"/>
              <w:rPr>
                <w:color w:val="000000"/>
                <w:sz w:val="22"/>
                <w:szCs w:val="22"/>
              </w:rPr>
            </w:pPr>
            <w:r w:rsidRPr="00D618B7">
              <w:rPr>
                <w:color w:val="000000"/>
                <w:sz w:val="22"/>
                <w:szCs w:val="22"/>
              </w:rPr>
              <w:t>4.00</w:t>
            </w:r>
          </w:p>
        </w:tc>
        <w:tc>
          <w:tcPr>
            <w:tcW w:w="536" w:type="pct"/>
            <w:tcBorders>
              <w:top w:val="nil"/>
              <w:left w:val="nil"/>
              <w:bottom w:val="nil"/>
              <w:right w:val="nil"/>
            </w:tcBorders>
            <w:shd w:val="clear" w:color="000000" w:fill="FFFFFF"/>
            <w:noWrap/>
            <w:vAlign w:val="center"/>
            <w:hideMark/>
          </w:tcPr>
          <w:p w14:paraId="7A4E7A90" w14:textId="77777777" w:rsidR="00B53316" w:rsidRPr="00D618B7" w:rsidRDefault="00B53316" w:rsidP="004B11B7">
            <w:pPr>
              <w:jc w:val="right"/>
              <w:rPr>
                <w:color w:val="000000"/>
                <w:sz w:val="22"/>
                <w:szCs w:val="22"/>
              </w:rPr>
            </w:pPr>
            <w:r w:rsidRPr="00D618B7">
              <w:rPr>
                <w:color w:val="000000"/>
                <w:sz w:val="22"/>
                <w:szCs w:val="22"/>
              </w:rPr>
              <w:t>-0.24</w:t>
            </w:r>
          </w:p>
        </w:tc>
        <w:tc>
          <w:tcPr>
            <w:tcW w:w="892" w:type="pct"/>
            <w:tcBorders>
              <w:top w:val="nil"/>
              <w:left w:val="nil"/>
              <w:bottom w:val="nil"/>
              <w:right w:val="nil"/>
            </w:tcBorders>
            <w:shd w:val="clear" w:color="000000" w:fill="FFFFFF"/>
            <w:noWrap/>
            <w:vAlign w:val="center"/>
            <w:hideMark/>
          </w:tcPr>
          <w:p w14:paraId="2FC0E372" w14:textId="77777777" w:rsidR="00B53316" w:rsidRPr="00D618B7" w:rsidRDefault="00B53316" w:rsidP="004B11B7">
            <w:pPr>
              <w:jc w:val="right"/>
              <w:rPr>
                <w:color w:val="000000"/>
                <w:sz w:val="22"/>
                <w:szCs w:val="22"/>
              </w:rPr>
            </w:pPr>
            <w:r w:rsidRPr="00D618B7">
              <w:rPr>
                <w:color w:val="000000"/>
                <w:sz w:val="22"/>
                <w:szCs w:val="22"/>
              </w:rPr>
              <w:t>0.06</w:t>
            </w:r>
          </w:p>
        </w:tc>
        <w:tc>
          <w:tcPr>
            <w:tcW w:w="536" w:type="pct"/>
            <w:tcBorders>
              <w:top w:val="nil"/>
              <w:left w:val="nil"/>
              <w:bottom w:val="nil"/>
              <w:right w:val="nil"/>
            </w:tcBorders>
            <w:shd w:val="clear" w:color="000000" w:fill="FFFFFF"/>
            <w:noWrap/>
            <w:vAlign w:val="center"/>
            <w:hideMark/>
          </w:tcPr>
          <w:p w14:paraId="15E24D14" w14:textId="77777777" w:rsidR="00B53316" w:rsidRPr="00D618B7" w:rsidRDefault="00B53316" w:rsidP="004B11B7">
            <w:pPr>
              <w:jc w:val="right"/>
              <w:rPr>
                <w:color w:val="000000"/>
                <w:sz w:val="22"/>
                <w:szCs w:val="22"/>
              </w:rPr>
            </w:pPr>
            <w:r w:rsidRPr="00D618B7">
              <w:rPr>
                <w:color w:val="000000"/>
                <w:sz w:val="22"/>
                <w:szCs w:val="22"/>
              </w:rPr>
              <w:t>-0.23</w:t>
            </w:r>
          </w:p>
        </w:tc>
        <w:tc>
          <w:tcPr>
            <w:tcW w:w="892" w:type="pct"/>
            <w:tcBorders>
              <w:top w:val="nil"/>
              <w:left w:val="nil"/>
              <w:bottom w:val="nil"/>
              <w:right w:val="nil"/>
            </w:tcBorders>
            <w:shd w:val="clear" w:color="000000" w:fill="FFFFFF"/>
            <w:noWrap/>
            <w:vAlign w:val="center"/>
            <w:hideMark/>
          </w:tcPr>
          <w:p w14:paraId="25B3C8BE" w14:textId="77777777" w:rsidR="00B53316" w:rsidRPr="00D618B7" w:rsidRDefault="00B53316" w:rsidP="004B11B7">
            <w:pPr>
              <w:jc w:val="right"/>
              <w:rPr>
                <w:color w:val="000000"/>
                <w:sz w:val="22"/>
                <w:szCs w:val="22"/>
              </w:rPr>
            </w:pPr>
            <w:r w:rsidRPr="00D618B7">
              <w:rPr>
                <w:color w:val="000000"/>
                <w:sz w:val="22"/>
                <w:szCs w:val="22"/>
              </w:rPr>
              <w:t>0.16</w:t>
            </w:r>
          </w:p>
        </w:tc>
        <w:tc>
          <w:tcPr>
            <w:tcW w:w="548" w:type="pct"/>
            <w:tcBorders>
              <w:top w:val="nil"/>
              <w:left w:val="nil"/>
              <w:bottom w:val="nil"/>
              <w:right w:val="nil"/>
            </w:tcBorders>
            <w:shd w:val="clear" w:color="000000" w:fill="FFFFFF"/>
            <w:noWrap/>
            <w:vAlign w:val="center"/>
            <w:hideMark/>
          </w:tcPr>
          <w:p w14:paraId="7D28D7A5" w14:textId="77777777" w:rsidR="00B53316" w:rsidRPr="00D618B7" w:rsidRDefault="00B53316" w:rsidP="004B11B7">
            <w:pPr>
              <w:jc w:val="right"/>
              <w:rPr>
                <w:color w:val="000000"/>
                <w:sz w:val="22"/>
                <w:szCs w:val="22"/>
              </w:rPr>
            </w:pPr>
            <w:r w:rsidRPr="00D618B7">
              <w:rPr>
                <w:color w:val="000000"/>
                <w:sz w:val="22"/>
                <w:szCs w:val="22"/>
              </w:rPr>
              <w:t>0.44</w:t>
            </w:r>
          </w:p>
        </w:tc>
        <w:tc>
          <w:tcPr>
            <w:tcW w:w="881" w:type="pct"/>
            <w:tcBorders>
              <w:top w:val="nil"/>
              <w:left w:val="nil"/>
              <w:bottom w:val="nil"/>
              <w:right w:val="nil"/>
            </w:tcBorders>
            <w:shd w:val="clear" w:color="000000" w:fill="FFFFFF"/>
            <w:noWrap/>
            <w:vAlign w:val="center"/>
            <w:hideMark/>
          </w:tcPr>
          <w:p w14:paraId="22E5BEBE" w14:textId="77777777" w:rsidR="00B53316" w:rsidRPr="00D618B7" w:rsidRDefault="00B53316" w:rsidP="004B11B7">
            <w:pPr>
              <w:jc w:val="right"/>
              <w:rPr>
                <w:color w:val="000000"/>
                <w:sz w:val="22"/>
                <w:szCs w:val="22"/>
              </w:rPr>
            </w:pPr>
            <w:r w:rsidRPr="00D618B7">
              <w:rPr>
                <w:color w:val="000000"/>
                <w:sz w:val="22"/>
                <w:szCs w:val="22"/>
              </w:rPr>
              <w:t>0.16</w:t>
            </w:r>
          </w:p>
        </w:tc>
      </w:tr>
      <w:tr w:rsidR="003B5FE0" w:rsidRPr="00D618B7" w14:paraId="0E848D99" w14:textId="77777777" w:rsidTr="003B5FE0">
        <w:trPr>
          <w:trHeight w:val="258"/>
        </w:trPr>
        <w:tc>
          <w:tcPr>
            <w:tcW w:w="713" w:type="pct"/>
            <w:tcBorders>
              <w:top w:val="nil"/>
              <w:left w:val="nil"/>
              <w:bottom w:val="single" w:sz="8" w:space="0" w:color="auto"/>
              <w:right w:val="nil"/>
            </w:tcBorders>
            <w:shd w:val="clear" w:color="000000" w:fill="FFFFFF"/>
            <w:vAlign w:val="center"/>
            <w:hideMark/>
          </w:tcPr>
          <w:p w14:paraId="5E028A9D" w14:textId="77777777" w:rsidR="00B53316" w:rsidRPr="00D618B7" w:rsidRDefault="00B53316" w:rsidP="004B11B7">
            <w:pPr>
              <w:jc w:val="right"/>
              <w:rPr>
                <w:color w:val="000000"/>
                <w:sz w:val="22"/>
                <w:szCs w:val="22"/>
              </w:rPr>
            </w:pPr>
            <w:r w:rsidRPr="00D618B7">
              <w:rPr>
                <w:color w:val="000000"/>
                <w:sz w:val="22"/>
                <w:szCs w:val="22"/>
              </w:rPr>
              <w:t>5.00</w:t>
            </w:r>
          </w:p>
        </w:tc>
        <w:tc>
          <w:tcPr>
            <w:tcW w:w="536" w:type="pct"/>
            <w:tcBorders>
              <w:top w:val="nil"/>
              <w:left w:val="nil"/>
              <w:bottom w:val="single" w:sz="8" w:space="0" w:color="auto"/>
              <w:right w:val="nil"/>
            </w:tcBorders>
            <w:shd w:val="clear" w:color="000000" w:fill="FFFFFF"/>
            <w:noWrap/>
            <w:vAlign w:val="center"/>
            <w:hideMark/>
          </w:tcPr>
          <w:p w14:paraId="228CA0B3" w14:textId="77777777" w:rsidR="00B53316" w:rsidRPr="00D618B7" w:rsidRDefault="00B53316" w:rsidP="004B11B7">
            <w:pPr>
              <w:jc w:val="right"/>
              <w:rPr>
                <w:color w:val="000000"/>
                <w:sz w:val="22"/>
                <w:szCs w:val="22"/>
              </w:rPr>
            </w:pPr>
            <w:r w:rsidRPr="00D618B7">
              <w:rPr>
                <w:color w:val="000000"/>
                <w:sz w:val="22"/>
                <w:szCs w:val="22"/>
              </w:rPr>
              <w:t>0.08</w:t>
            </w:r>
          </w:p>
        </w:tc>
        <w:tc>
          <w:tcPr>
            <w:tcW w:w="892" w:type="pct"/>
            <w:tcBorders>
              <w:top w:val="nil"/>
              <w:left w:val="nil"/>
              <w:bottom w:val="single" w:sz="8" w:space="0" w:color="auto"/>
              <w:right w:val="nil"/>
            </w:tcBorders>
            <w:shd w:val="clear" w:color="000000" w:fill="FFFFFF"/>
            <w:noWrap/>
            <w:vAlign w:val="center"/>
            <w:hideMark/>
          </w:tcPr>
          <w:p w14:paraId="07FDA994" w14:textId="77777777" w:rsidR="00B53316" w:rsidRPr="00D618B7" w:rsidRDefault="00B53316" w:rsidP="004B11B7">
            <w:pPr>
              <w:jc w:val="right"/>
              <w:rPr>
                <w:color w:val="000000"/>
                <w:sz w:val="22"/>
                <w:szCs w:val="22"/>
              </w:rPr>
            </w:pPr>
            <w:r w:rsidRPr="00D618B7">
              <w:rPr>
                <w:color w:val="000000"/>
                <w:sz w:val="22"/>
                <w:szCs w:val="22"/>
              </w:rPr>
              <w:t>0.17</w:t>
            </w:r>
          </w:p>
        </w:tc>
        <w:tc>
          <w:tcPr>
            <w:tcW w:w="536" w:type="pct"/>
            <w:tcBorders>
              <w:top w:val="nil"/>
              <w:left w:val="nil"/>
              <w:bottom w:val="single" w:sz="8" w:space="0" w:color="auto"/>
              <w:right w:val="nil"/>
            </w:tcBorders>
            <w:shd w:val="clear" w:color="000000" w:fill="FFFFFF"/>
            <w:noWrap/>
            <w:vAlign w:val="center"/>
            <w:hideMark/>
          </w:tcPr>
          <w:p w14:paraId="295F4F3C" w14:textId="77777777" w:rsidR="00B53316" w:rsidRPr="00D618B7" w:rsidRDefault="00B53316" w:rsidP="004B11B7">
            <w:pPr>
              <w:jc w:val="right"/>
              <w:rPr>
                <w:color w:val="000000"/>
                <w:sz w:val="22"/>
                <w:szCs w:val="22"/>
              </w:rPr>
            </w:pPr>
            <w:r w:rsidRPr="00D618B7">
              <w:rPr>
                <w:color w:val="000000"/>
                <w:sz w:val="22"/>
                <w:szCs w:val="22"/>
              </w:rPr>
              <w:t>0.22</w:t>
            </w:r>
          </w:p>
        </w:tc>
        <w:tc>
          <w:tcPr>
            <w:tcW w:w="892" w:type="pct"/>
            <w:tcBorders>
              <w:top w:val="nil"/>
              <w:left w:val="nil"/>
              <w:bottom w:val="single" w:sz="8" w:space="0" w:color="auto"/>
              <w:right w:val="nil"/>
            </w:tcBorders>
            <w:shd w:val="clear" w:color="000000" w:fill="FFFFFF"/>
            <w:noWrap/>
            <w:vAlign w:val="center"/>
            <w:hideMark/>
          </w:tcPr>
          <w:p w14:paraId="486F7AAD" w14:textId="77777777" w:rsidR="00B53316" w:rsidRPr="00D618B7" w:rsidRDefault="00B53316" w:rsidP="004B11B7">
            <w:pPr>
              <w:jc w:val="right"/>
              <w:rPr>
                <w:color w:val="000000"/>
                <w:sz w:val="22"/>
                <w:szCs w:val="22"/>
              </w:rPr>
            </w:pPr>
            <w:r w:rsidRPr="00D618B7">
              <w:rPr>
                <w:color w:val="000000"/>
                <w:sz w:val="22"/>
                <w:szCs w:val="22"/>
              </w:rPr>
              <w:t>0.34</w:t>
            </w:r>
          </w:p>
        </w:tc>
        <w:tc>
          <w:tcPr>
            <w:tcW w:w="548" w:type="pct"/>
            <w:tcBorders>
              <w:top w:val="nil"/>
              <w:left w:val="nil"/>
              <w:bottom w:val="single" w:sz="8" w:space="0" w:color="auto"/>
              <w:right w:val="nil"/>
            </w:tcBorders>
            <w:shd w:val="clear" w:color="000000" w:fill="FFFFFF"/>
            <w:noWrap/>
            <w:vAlign w:val="center"/>
            <w:hideMark/>
          </w:tcPr>
          <w:p w14:paraId="77C21C6E" w14:textId="77777777" w:rsidR="00B53316" w:rsidRPr="00D618B7" w:rsidRDefault="00B53316" w:rsidP="004B11B7">
            <w:pPr>
              <w:jc w:val="right"/>
              <w:rPr>
                <w:color w:val="000000"/>
                <w:sz w:val="22"/>
                <w:szCs w:val="22"/>
              </w:rPr>
            </w:pPr>
            <w:r w:rsidRPr="00D618B7">
              <w:rPr>
                <w:color w:val="000000"/>
                <w:sz w:val="22"/>
                <w:szCs w:val="22"/>
              </w:rPr>
              <w:t>0.20</w:t>
            </w:r>
          </w:p>
        </w:tc>
        <w:tc>
          <w:tcPr>
            <w:tcW w:w="881" w:type="pct"/>
            <w:tcBorders>
              <w:top w:val="nil"/>
              <w:left w:val="nil"/>
              <w:bottom w:val="single" w:sz="8" w:space="0" w:color="auto"/>
              <w:right w:val="nil"/>
            </w:tcBorders>
            <w:shd w:val="clear" w:color="000000" w:fill="FFFFFF"/>
            <w:noWrap/>
            <w:vAlign w:val="center"/>
            <w:hideMark/>
          </w:tcPr>
          <w:p w14:paraId="6CC9A324" w14:textId="77777777" w:rsidR="00B53316" w:rsidRPr="00D618B7" w:rsidRDefault="00B53316" w:rsidP="004B11B7">
            <w:pPr>
              <w:jc w:val="right"/>
              <w:rPr>
                <w:color w:val="000000"/>
                <w:sz w:val="22"/>
                <w:szCs w:val="22"/>
              </w:rPr>
            </w:pPr>
            <w:r w:rsidRPr="00D618B7">
              <w:rPr>
                <w:color w:val="000000"/>
                <w:sz w:val="22"/>
                <w:szCs w:val="22"/>
              </w:rPr>
              <w:t>0.29</w:t>
            </w:r>
          </w:p>
        </w:tc>
      </w:tr>
      <w:tr w:rsidR="003B5FE0" w:rsidRPr="00D618B7" w14:paraId="500D8B27" w14:textId="77777777" w:rsidTr="003B5FE0">
        <w:trPr>
          <w:trHeight w:val="258"/>
        </w:trPr>
        <w:tc>
          <w:tcPr>
            <w:tcW w:w="713" w:type="pct"/>
            <w:tcBorders>
              <w:top w:val="nil"/>
              <w:left w:val="nil"/>
              <w:bottom w:val="nil"/>
              <w:right w:val="nil"/>
            </w:tcBorders>
            <w:shd w:val="clear" w:color="000000" w:fill="FFFFFF"/>
            <w:noWrap/>
            <w:vAlign w:val="bottom"/>
            <w:hideMark/>
          </w:tcPr>
          <w:p w14:paraId="0E38E141" w14:textId="77777777" w:rsidR="00B53316" w:rsidRPr="00D618B7" w:rsidRDefault="00B53316" w:rsidP="004B11B7">
            <w:pPr>
              <w:rPr>
                <w:color w:val="000000"/>
                <w:sz w:val="22"/>
                <w:szCs w:val="22"/>
              </w:rPr>
            </w:pPr>
            <w:r w:rsidRPr="00D618B7">
              <w:rPr>
                <w:color w:val="000000"/>
                <w:sz w:val="22"/>
                <w:szCs w:val="22"/>
              </w:rPr>
              <w:t> </w:t>
            </w:r>
          </w:p>
        </w:tc>
        <w:tc>
          <w:tcPr>
            <w:tcW w:w="4287" w:type="pct"/>
            <w:gridSpan w:val="6"/>
            <w:tcBorders>
              <w:top w:val="single" w:sz="8" w:space="0" w:color="auto"/>
              <w:left w:val="nil"/>
              <w:bottom w:val="nil"/>
              <w:right w:val="nil"/>
            </w:tcBorders>
            <w:shd w:val="clear" w:color="000000" w:fill="FFFFFF"/>
            <w:noWrap/>
            <w:vAlign w:val="center"/>
            <w:hideMark/>
          </w:tcPr>
          <w:p w14:paraId="372636B5" w14:textId="77777777" w:rsidR="00B53316" w:rsidRPr="00D618B7" w:rsidRDefault="00B53316" w:rsidP="004B11B7">
            <w:pPr>
              <w:jc w:val="center"/>
              <w:rPr>
                <w:color w:val="000000"/>
                <w:sz w:val="22"/>
                <w:szCs w:val="22"/>
              </w:rPr>
            </w:pPr>
            <w:r w:rsidRPr="00D618B7">
              <w:rPr>
                <w:color w:val="000000"/>
                <w:sz w:val="22"/>
                <w:szCs w:val="22"/>
              </w:rPr>
              <w:t>Toy-in-Reach</w:t>
            </w:r>
          </w:p>
        </w:tc>
      </w:tr>
      <w:tr w:rsidR="003B5FE0" w:rsidRPr="00D618B7" w14:paraId="1166A8C9" w14:textId="77777777" w:rsidTr="003B5FE0">
        <w:trPr>
          <w:trHeight w:val="258"/>
        </w:trPr>
        <w:tc>
          <w:tcPr>
            <w:tcW w:w="713" w:type="pct"/>
            <w:tcBorders>
              <w:top w:val="nil"/>
              <w:left w:val="nil"/>
              <w:bottom w:val="nil"/>
              <w:right w:val="nil"/>
            </w:tcBorders>
            <w:shd w:val="clear" w:color="000000" w:fill="FFFFFF"/>
            <w:vAlign w:val="center"/>
            <w:hideMark/>
          </w:tcPr>
          <w:p w14:paraId="32A0495C" w14:textId="77777777" w:rsidR="00B53316" w:rsidRPr="00D618B7" w:rsidRDefault="00B53316" w:rsidP="004B11B7">
            <w:pPr>
              <w:jc w:val="right"/>
              <w:rPr>
                <w:color w:val="000000"/>
                <w:sz w:val="22"/>
                <w:szCs w:val="22"/>
              </w:rPr>
            </w:pPr>
            <w:r w:rsidRPr="00D618B7">
              <w:rPr>
                <w:color w:val="000000"/>
                <w:sz w:val="22"/>
                <w:szCs w:val="22"/>
              </w:rPr>
              <w:t>-5.00</w:t>
            </w:r>
          </w:p>
        </w:tc>
        <w:tc>
          <w:tcPr>
            <w:tcW w:w="536" w:type="pct"/>
            <w:tcBorders>
              <w:top w:val="nil"/>
              <w:left w:val="nil"/>
              <w:bottom w:val="nil"/>
              <w:right w:val="nil"/>
            </w:tcBorders>
            <w:shd w:val="clear" w:color="000000" w:fill="FFFFFF"/>
            <w:noWrap/>
            <w:vAlign w:val="center"/>
            <w:hideMark/>
          </w:tcPr>
          <w:p w14:paraId="4A2B215E" w14:textId="77777777" w:rsidR="00B53316" w:rsidRPr="00D618B7" w:rsidRDefault="00B53316" w:rsidP="004B11B7">
            <w:pPr>
              <w:jc w:val="right"/>
              <w:rPr>
                <w:color w:val="000000"/>
                <w:sz w:val="22"/>
                <w:szCs w:val="22"/>
              </w:rPr>
            </w:pPr>
            <w:r w:rsidRPr="00D618B7">
              <w:rPr>
                <w:color w:val="000000"/>
                <w:sz w:val="22"/>
                <w:szCs w:val="22"/>
              </w:rPr>
              <w:t>0.02</w:t>
            </w:r>
          </w:p>
        </w:tc>
        <w:tc>
          <w:tcPr>
            <w:tcW w:w="892" w:type="pct"/>
            <w:tcBorders>
              <w:top w:val="nil"/>
              <w:left w:val="nil"/>
              <w:bottom w:val="nil"/>
              <w:right w:val="nil"/>
            </w:tcBorders>
            <w:shd w:val="clear" w:color="000000" w:fill="FFFFFF"/>
            <w:noWrap/>
            <w:vAlign w:val="center"/>
            <w:hideMark/>
          </w:tcPr>
          <w:p w14:paraId="73ABEFE8" w14:textId="77777777" w:rsidR="00B53316" w:rsidRPr="00D618B7" w:rsidRDefault="00B53316" w:rsidP="004B11B7">
            <w:pPr>
              <w:jc w:val="right"/>
              <w:rPr>
                <w:color w:val="000000"/>
                <w:sz w:val="22"/>
                <w:szCs w:val="22"/>
              </w:rPr>
            </w:pPr>
            <w:r w:rsidRPr="00D618B7">
              <w:rPr>
                <w:color w:val="000000"/>
                <w:sz w:val="22"/>
                <w:szCs w:val="22"/>
              </w:rPr>
              <w:t>0.06</w:t>
            </w:r>
          </w:p>
        </w:tc>
        <w:tc>
          <w:tcPr>
            <w:tcW w:w="536" w:type="pct"/>
            <w:tcBorders>
              <w:top w:val="nil"/>
              <w:left w:val="nil"/>
              <w:bottom w:val="nil"/>
              <w:right w:val="nil"/>
            </w:tcBorders>
            <w:shd w:val="clear" w:color="000000" w:fill="FFFFFF"/>
            <w:noWrap/>
            <w:vAlign w:val="center"/>
            <w:hideMark/>
          </w:tcPr>
          <w:p w14:paraId="261F928A" w14:textId="77777777" w:rsidR="00B53316" w:rsidRPr="00D618B7" w:rsidRDefault="00B53316" w:rsidP="004B11B7">
            <w:pPr>
              <w:jc w:val="right"/>
              <w:rPr>
                <w:color w:val="000000"/>
                <w:sz w:val="22"/>
                <w:szCs w:val="22"/>
              </w:rPr>
            </w:pPr>
            <w:r w:rsidRPr="00D618B7">
              <w:rPr>
                <w:color w:val="000000"/>
                <w:sz w:val="22"/>
                <w:szCs w:val="22"/>
              </w:rPr>
              <w:t>0.01</w:t>
            </w:r>
          </w:p>
        </w:tc>
        <w:tc>
          <w:tcPr>
            <w:tcW w:w="892" w:type="pct"/>
            <w:tcBorders>
              <w:top w:val="nil"/>
              <w:left w:val="nil"/>
              <w:bottom w:val="nil"/>
              <w:right w:val="nil"/>
            </w:tcBorders>
            <w:shd w:val="clear" w:color="000000" w:fill="FFFFFF"/>
            <w:noWrap/>
            <w:vAlign w:val="center"/>
            <w:hideMark/>
          </w:tcPr>
          <w:p w14:paraId="24458A55" w14:textId="77777777" w:rsidR="00B53316" w:rsidRPr="00D618B7" w:rsidRDefault="00B53316" w:rsidP="004B11B7">
            <w:pPr>
              <w:jc w:val="right"/>
              <w:rPr>
                <w:color w:val="000000"/>
                <w:sz w:val="22"/>
                <w:szCs w:val="22"/>
              </w:rPr>
            </w:pPr>
            <w:r w:rsidRPr="00D618B7">
              <w:rPr>
                <w:color w:val="000000"/>
                <w:sz w:val="22"/>
                <w:szCs w:val="22"/>
              </w:rPr>
              <w:t>0.01</w:t>
            </w:r>
          </w:p>
        </w:tc>
        <w:tc>
          <w:tcPr>
            <w:tcW w:w="548" w:type="pct"/>
            <w:tcBorders>
              <w:top w:val="nil"/>
              <w:left w:val="nil"/>
              <w:bottom w:val="nil"/>
              <w:right w:val="nil"/>
            </w:tcBorders>
            <w:shd w:val="clear" w:color="000000" w:fill="FFFFFF"/>
            <w:noWrap/>
            <w:vAlign w:val="center"/>
            <w:hideMark/>
          </w:tcPr>
          <w:p w14:paraId="1AD89C53" w14:textId="77777777" w:rsidR="00B53316" w:rsidRPr="00D618B7" w:rsidRDefault="00B53316" w:rsidP="004B11B7">
            <w:pPr>
              <w:jc w:val="right"/>
              <w:rPr>
                <w:color w:val="000000"/>
                <w:sz w:val="22"/>
                <w:szCs w:val="22"/>
              </w:rPr>
            </w:pPr>
            <w:r w:rsidRPr="00D618B7">
              <w:rPr>
                <w:color w:val="000000"/>
                <w:sz w:val="22"/>
                <w:szCs w:val="22"/>
              </w:rPr>
              <w:t>-0.02</w:t>
            </w:r>
          </w:p>
        </w:tc>
        <w:tc>
          <w:tcPr>
            <w:tcW w:w="881" w:type="pct"/>
            <w:tcBorders>
              <w:top w:val="nil"/>
              <w:left w:val="nil"/>
              <w:bottom w:val="nil"/>
              <w:right w:val="nil"/>
            </w:tcBorders>
            <w:shd w:val="clear" w:color="000000" w:fill="FFFFFF"/>
            <w:noWrap/>
            <w:vAlign w:val="center"/>
            <w:hideMark/>
          </w:tcPr>
          <w:p w14:paraId="02F1CD89" w14:textId="77777777" w:rsidR="00B53316" w:rsidRPr="00D618B7" w:rsidRDefault="00B53316" w:rsidP="004B11B7">
            <w:pPr>
              <w:jc w:val="right"/>
              <w:rPr>
                <w:color w:val="000000"/>
                <w:sz w:val="22"/>
                <w:szCs w:val="22"/>
              </w:rPr>
            </w:pPr>
            <w:r w:rsidRPr="00D618B7">
              <w:rPr>
                <w:color w:val="000000"/>
                <w:sz w:val="22"/>
                <w:szCs w:val="22"/>
              </w:rPr>
              <w:t>0.16</w:t>
            </w:r>
          </w:p>
        </w:tc>
      </w:tr>
      <w:tr w:rsidR="003B5FE0" w:rsidRPr="00D618B7" w14:paraId="4E8E1A7D" w14:textId="77777777" w:rsidTr="003B5FE0">
        <w:trPr>
          <w:trHeight w:val="258"/>
        </w:trPr>
        <w:tc>
          <w:tcPr>
            <w:tcW w:w="713" w:type="pct"/>
            <w:tcBorders>
              <w:top w:val="nil"/>
              <w:left w:val="nil"/>
              <w:bottom w:val="nil"/>
              <w:right w:val="nil"/>
            </w:tcBorders>
            <w:shd w:val="clear" w:color="000000" w:fill="FFFFFF"/>
            <w:vAlign w:val="center"/>
            <w:hideMark/>
          </w:tcPr>
          <w:p w14:paraId="2A65DA59" w14:textId="77777777" w:rsidR="00B53316" w:rsidRPr="00D618B7" w:rsidRDefault="00B53316" w:rsidP="004B11B7">
            <w:pPr>
              <w:jc w:val="right"/>
              <w:rPr>
                <w:color w:val="000000"/>
                <w:sz w:val="22"/>
                <w:szCs w:val="22"/>
              </w:rPr>
            </w:pPr>
            <w:r w:rsidRPr="00D618B7">
              <w:rPr>
                <w:color w:val="000000"/>
                <w:sz w:val="22"/>
                <w:szCs w:val="22"/>
              </w:rPr>
              <w:t>-4.00</w:t>
            </w:r>
          </w:p>
        </w:tc>
        <w:tc>
          <w:tcPr>
            <w:tcW w:w="536" w:type="pct"/>
            <w:tcBorders>
              <w:top w:val="nil"/>
              <w:left w:val="nil"/>
              <w:bottom w:val="nil"/>
              <w:right w:val="nil"/>
            </w:tcBorders>
            <w:shd w:val="clear" w:color="000000" w:fill="FFFFFF"/>
            <w:noWrap/>
            <w:vAlign w:val="center"/>
            <w:hideMark/>
          </w:tcPr>
          <w:p w14:paraId="20766313" w14:textId="77777777" w:rsidR="00B53316" w:rsidRPr="00D618B7" w:rsidRDefault="00B53316" w:rsidP="004B11B7">
            <w:pPr>
              <w:jc w:val="right"/>
              <w:rPr>
                <w:color w:val="000000"/>
                <w:sz w:val="22"/>
                <w:szCs w:val="22"/>
              </w:rPr>
            </w:pPr>
            <w:r w:rsidRPr="00D618B7">
              <w:rPr>
                <w:color w:val="000000"/>
                <w:sz w:val="22"/>
                <w:szCs w:val="22"/>
              </w:rPr>
              <w:t>0.05</w:t>
            </w:r>
          </w:p>
        </w:tc>
        <w:tc>
          <w:tcPr>
            <w:tcW w:w="892" w:type="pct"/>
            <w:tcBorders>
              <w:top w:val="nil"/>
              <w:left w:val="nil"/>
              <w:bottom w:val="nil"/>
              <w:right w:val="nil"/>
            </w:tcBorders>
            <w:shd w:val="clear" w:color="000000" w:fill="FFFFFF"/>
            <w:noWrap/>
            <w:vAlign w:val="center"/>
            <w:hideMark/>
          </w:tcPr>
          <w:p w14:paraId="78C3821A" w14:textId="77777777" w:rsidR="00B53316" w:rsidRPr="00D618B7" w:rsidRDefault="00B53316" w:rsidP="004B11B7">
            <w:pPr>
              <w:jc w:val="right"/>
              <w:rPr>
                <w:color w:val="000000"/>
                <w:sz w:val="22"/>
                <w:szCs w:val="22"/>
              </w:rPr>
            </w:pPr>
            <w:r w:rsidRPr="00D618B7">
              <w:rPr>
                <w:color w:val="000000"/>
                <w:sz w:val="22"/>
                <w:szCs w:val="22"/>
              </w:rPr>
              <w:t>0.02</w:t>
            </w:r>
          </w:p>
        </w:tc>
        <w:tc>
          <w:tcPr>
            <w:tcW w:w="536" w:type="pct"/>
            <w:tcBorders>
              <w:top w:val="nil"/>
              <w:left w:val="nil"/>
              <w:bottom w:val="nil"/>
              <w:right w:val="nil"/>
            </w:tcBorders>
            <w:shd w:val="clear" w:color="000000" w:fill="FFFFFF"/>
            <w:noWrap/>
            <w:vAlign w:val="center"/>
            <w:hideMark/>
          </w:tcPr>
          <w:p w14:paraId="7F63141B" w14:textId="77777777" w:rsidR="00B53316" w:rsidRPr="00D618B7" w:rsidRDefault="00B53316" w:rsidP="004B11B7">
            <w:pPr>
              <w:jc w:val="right"/>
              <w:rPr>
                <w:color w:val="000000"/>
                <w:sz w:val="22"/>
                <w:szCs w:val="22"/>
              </w:rPr>
            </w:pPr>
            <w:r w:rsidRPr="00D618B7">
              <w:rPr>
                <w:color w:val="000000"/>
                <w:sz w:val="22"/>
                <w:szCs w:val="22"/>
              </w:rPr>
              <w:t>0.01</w:t>
            </w:r>
          </w:p>
        </w:tc>
        <w:tc>
          <w:tcPr>
            <w:tcW w:w="892" w:type="pct"/>
            <w:tcBorders>
              <w:top w:val="nil"/>
              <w:left w:val="nil"/>
              <w:bottom w:val="nil"/>
              <w:right w:val="nil"/>
            </w:tcBorders>
            <w:shd w:val="clear" w:color="000000" w:fill="FFFFFF"/>
            <w:noWrap/>
            <w:vAlign w:val="center"/>
            <w:hideMark/>
          </w:tcPr>
          <w:p w14:paraId="170748F8" w14:textId="77777777" w:rsidR="00B53316" w:rsidRPr="00D618B7" w:rsidRDefault="00B53316" w:rsidP="004B11B7">
            <w:pPr>
              <w:jc w:val="right"/>
              <w:rPr>
                <w:color w:val="000000"/>
                <w:sz w:val="22"/>
                <w:szCs w:val="22"/>
              </w:rPr>
            </w:pPr>
            <w:r w:rsidRPr="00D618B7">
              <w:rPr>
                <w:color w:val="000000"/>
                <w:sz w:val="22"/>
                <w:szCs w:val="22"/>
              </w:rPr>
              <w:t>0.04</w:t>
            </w:r>
          </w:p>
        </w:tc>
        <w:tc>
          <w:tcPr>
            <w:tcW w:w="548" w:type="pct"/>
            <w:tcBorders>
              <w:top w:val="nil"/>
              <w:left w:val="nil"/>
              <w:bottom w:val="nil"/>
              <w:right w:val="nil"/>
            </w:tcBorders>
            <w:shd w:val="clear" w:color="000000" w:fill="FFFFFF"/>
            <w:noWrap/>
            <w:vAlign w:val="center"/>
            <w:hideMark/>
          </w:tcPr>
          <w:p w14:paraId="0D8720FF" w14:textId="77777777" w:rsidR="00B53316" w:rsidRPr="00D618B7" w:rsidRDefault="00B53316" w:rsidP="004B11B7">
            <w:pPr>
              <w:jc w:val="right"/>
              <w:rPr>
                <w:color w:val="000000"/>
                <w:sz w:val="22"/>
                <w:szCs w:val="22"/>
              </w:rPr>
            </w:pPr>
            <w:r w:rsidRPr="00D618B7">
              <w:rPr>
                <w:color w:val="000000"/>
                <w:sz w:val="22"/>
                <w:szCs w:val="22"/>
              </w:rPr>
              <w:t>0.29</w:t>
            </w:r>
          </w:p>
        </w:tc>
        <w:tc>
          <w:tcPr>
            <w:tcW w:w="881" w:type="pct"/>
            <w:tcBorders>
              <w:top w:val="nil"/>
              <w:left w:val="nil"/>
              <w:bottom w:val="nil"/>
              <w:right w:val="nil"/>
            </w:tcBorders>
            <w:shd w:val="clear" w:color="000000" w:fill="FFFFFF"/>
            <w:noWrap/>
            <w:vAlign w:val="center"/>
            <w:hideMark/>
          </w:tcPr>
          <w:p w14:paraId="14099461" w14:textId="77777777" w:rsidR="00B53316" w:rsidRPr="00D618B7" w:rsidRDefault="00B53316" w:rsidP="004B11B7">
            <w:pPr>
              <w:jc w:val="right"/>
              <w:rPr>
                <w:color w:val="000000"/>
                <w:sz w:val="22"/>
                <w:szCs w:val="22"/>
              </w:rPr>
            </w:pPr>
            <w:r w:rsidRPr="00D618B7">
              <w:rPr>
                <w:color w:val="000000"/>
                <w:sz w:val="22"/>
                <w:szCs w:val="22"/>
              </w:rPr>
              <w:t>0.13</w:t>
            </w:r>
          </w:p>
        </w:tc>
      </w:tr>
      <w:tr w:rsidR="003B5FE0" w:rsidRPr="00D618B7" w14:paraId="4B6769F8" w14:textId="77777777" w:rsidTr="003B5FE0">
        <w:trPr>
          <w:trHeight w:val="258"/>
        </w:trPr>
        <w:tc>
          <w:tcPr>
            <w:tcW w:w="713" w:type="pct"/>
            <w:tcBorders>
              <w:top w:val="nil"/>
              <w:left w:val="nil"/>
              <w:bottom w:val="nil"/>
              <w:right w:val="nil"/>
            </w:tcBorders>
            <w:shd w:val="clear" w:color="000000" w:fill="FFFFFF"/>
            <w:vAlign w:val="center"/>
            <w:hideMark/>
          </w:tcPr>
          <w:p w14:paraId="3C9B11AA" w14:textId="77777777" w:rsidR="00B53316" w:rsidRPr="00D618B7" w:rsidRDefault="00B53316" w:rsidP="004B11B7">
            <w:pPr>
              <w:jc w:val="right"/>
              <w:rPr>
                <w:color w:val="000000"/>
                <w:sz w:val="22"/>
                <w:szCs w:val="22"/>
              </w:rPr>
            </w:pPr>
            <w:r w:rsidRPr="00D618B7">
              <w:rPr>
                <w:color w:val="000000"/>
                <w:sz w:val="22"/>
                <w:szCs w:val="22"/>
              </w:rPr>
              <w:t>-3.00</w:t>
            </w:r>
          </w:p>
        </w:tc>
        <w:tc>
          <w:tcPr>
            <w:tcW w:w="536" w:type="pct"/>
            <w:tcBorders>
              <w:top w:val="nil"/>
              <w:left w:val="nil"/>
              <w:bottom w:val="nil"/>
              <w:right w:val="nil"/>
            </w:tcBorders>
            <w:shd w:val="clear" w:color="000000" w:fill="FFFFFF"/>
            <w:noWrap/>
            <w:vAlign w:val="center"/>
            <w:hideMark/>
          </w:tcPr>
          <w:p w14:paraId="240181F3" w14:textId="77777777" w:rsidR="00B53316" w:rsidRPr="00D618B7" w:rsidRDefault="00B53316" w:rsidP="004B11B7">
            <w:pPr>
              <w:jc w:val="right"/>
              <w:rPr>
                <w:color w:val="000000"/>
                <w:sz w:val="22"/>
                <w:szCs w:val="22"/>
              </w:rPr>
            </w:pPr>
            <w:r w:rsidRPr="00D618B7">
              <w:rPr>
                <w:color w:val="000000"/>
                <w:sz w:val="22"/>
                <w:szCs w:val="22"/>
              </w:rPr>
              <w:t>0.04</w:t>
            </w:r>
          </w:p>
        </w:tc>
        <w:tc>
          <w:tcPr>
            <w:tcW w:w="892" w:type="pct"/>
            <w:tcBorders>
              <w:top w:val="nil"/>
              <w:left w:val="nil"/>
              <w:bottom w:val="nil"/>
              <w:right w:val="nil"/>
            </w:tcBorders>
            <w:shd w:val="clear" w:color="000000" w:fill="FFFFFF"/>
            <w:noWrap/>
            <w:vAlign w:val="center"/>
            <w:hideMark/>
          </w:tcPr>
          <w:p w14:paraId="68E2FCED" w14:textId="77777777" w:rsidR="00B53316" w:rsidRPr="00D618B7" w:rsidRDefault="00B53316" w:rsidP="004B11B7">
            <w:pPr>
              <w:jc w:val="right"/>
              <w:rPr>
                <w:color w:val="000000"/>
                <w:sz w:val="22"/>
                <w:szCs w:val="22"/>
              </w:rPr>
            </w:pPr>
            <w:r w:rsidRPr="00D618B7">
              <w:rPr>
                <w:color w:val="000000"/>
                <w:sz w:val="22"/>
                <w:szCs w:val="22"/>
              </w:rPr>
              <w:t>0.07</w:t>
            </w:r>
          </w:p>
        </w:tc>
        <w:tc>
          <w:tcPr>
            <w:tcW w:w="536" w:type="pct"/>
            <w:tcBorders>
              <w:top w:val="nil"/>
              <w:left w:val="nil"/>
              <w:bottom w:val="nil"/>
              <w:right w:val="nil"/>
            </w:tcBorders>
            <w:shd w:val="clear" w:color="000000" w:fill="FFFFFF"/>
            <w:noWrap/>
            <w:vAlign w:val="center"/>
            <w:hideMark/>
          </w:tcPr>
          <w:p w14:paraId="670DEC08" w14:textId="77777777" w:rsidR="00B53316" w:rsidRPr="00D618B7" w:rsidRDefault="00B53316" w:rsidP="004B11B7">
            <w:pPr>
              <w:jc w:val="right"/>
              <w:rPr>
                <w:color w:val="000000"/>
                <w:sz w:val="22"/>
                <w:szCs w:val="22"/>
              </w:rPr>
            </w:pPr>
            <w:r w:rsidRPr="00D618B7">
              <w:rPr>
                <w:color w:val="000000"/>
                <w:sz w:val="22"/>
                <w:szCs w:val="22"/>
              </w:rPr>
              <w:t>0.15</w:t>
            </w:r>
          </w:p>
        </w:tc>
        <w:tc>
          <w:tcPr>
            <w:tcW w:w="892" w:type="pct"/>
            <w:tcBorders>
              <w:top w:val="nil"/>
              <w:left w:val="nil"/>
              <w:bottom w:val="nil"/>
              <w:right w:val="nil"/>
            </w:tcBorders>
            <w:shd w:val="clear" w:color="000000" w:fill="FFFFFF"/>
            <w:noWrap/>
            <w:vAlign w:val="center"/>
            <w:hideMark/>
          </w:tcPr>
          <w:p w14:paraId="1C24EA3E" w14:textId="77777777" w:rsidR="00B53316" w:rsidRPr="00D618B7" w:rsidRDefault="00B53316" w:rsidP="004B11B7">
            <w:pPr>
              <w:jc w:val="right"/>
              <w:rPr>
                <w:color w:val="000000"/>
                <w:sz w:val="22"/>
                <w:szCs w:val="22"/>
              </w:rPr>
            </w:pPr>
            <w:r w:rsidRPr="00D618B7">
              <w:rPr>
                <w:color w:val="000000"/>
                <w:sz w:val="22"/>
                <w:szCs w:val="22"/>
              </w:rPr>
              <w:t>0.06</w:t>
            </w:r>
          </w:p>
        </w:tc>
        <w:tc>
          <w:tcPr>
            <w:tcW w:w="548" w:type="pct"/>
            <w:tcBorders>
              <w:top w:val="nil"/>
              <w:left w:val="nil"/>
              <w:bottom w:val="nil"/>
              <w:right w:val="nil"/>
            </w:tcBorders>
            <w:shd w:val="clear" w:color="000000" w:fill="FFFFFF"/>
            <w:noWrap/>
            <w:vAlign w:val="center"/>
            <w:hideMark/>
          </w:tcPr>
          <w:p w14:paraId="4F3AFF40" w14:textId="77777777" w:rsidR="00B53316" w:rsidRPr="00D618B7" w:rsidRDefault="00B53316" w:rsidP="004B11B7">
            <w:pPr>
              <w:jc w:val="right"/>
              <w:rPr>
                <w:color w:val="000000"/>
                <w:sz w:val="22"/>
                <w:szCs w:val="22"/>
              </w:rPr>
            </w:pPr>
            <w:r w:rsidRPr="00D618B7">
              <w:rPr>
                <w:color w:val="000000"/>
                <w:sz w:val="22"/>
                <w:szCs w:val="22"/>
              </w:rPr>
              <w:t>0.63</w:t>
            </w:r>
          </w:p>
        </w:tc>
        <w:tc>
          <w:tcPr>
            <w:tcW w:w="881" w:type="pct"/>
            <w:tcBorders>
              <w:top w:val="nil"/>
              <w:left w:val="nil"/>
              <w:bottom w:val="nil"/>
              <w:right w:val="nil"/>
            </w:tcBorders>
            <w:shd w:val="clear" w:color="000000" w:fill="FFFFFF"/>
            <w:noWrap/>
            <w:vAlign w:val="center"/>
            <w:hideMark/>
          </w:tcPr>
          <w:p w14:paraId="255F12F8" w14:textId="77777777" w:rsidR="00B53316" w:rsidRPr="00D618B7" w:rsidRDefault="00B53316" w:rsidP="004B11B7">
            <w:pPr>
              <w:jc w:val="right"/>
              <w:rPr>
                <w:color w:val="000000"/>
                <w:sz w:val="22"/>
                <w:szCs w:val="22"/>
              </w:rPr>
            </w:pPr>
            <w:r w:rsidRPr="00D618B7">
              <w:rPr>
                <w:color w:val="000000"/>
                <w:sz w:val="22"/>
                <w:szCs w:val="22"/>
              </w:rPr>
              <w:t>0.24</w:t>
            </w:r>
          </w:p>
        </w:tc>
      </w:tr>
      <w:tr w:rsidR="003B5FE0" w:rsidRPr="00D618B7" w14:paraId="54D4D0C6" w14:textId="77777777" w:rsidTr="003B5FE0">
        <w:trPr>
          <w:trHeight w:val="258"/>
        </w:trPr>
        <w:tc>
          <w:tcPr>
            <w:tcW w:w="713" w:type="pct"/>
            <w:tcBorders>
              <w:top w:val="nil"/>
              <w:left w:val="nil"/>
              <w:bottom w:val="nil"/>
              <w:right w:val="nil"/>
            </w:tcBorders>
            <w:shd w:val="clear" w:color="000000" w:fill="FFFFFF"/>
            <w:vAlign w:val="center"/>
            <w:hideMark/>
          </w:tcPr>
          <w:p w14:paraId="59591992" w14:textId="77777777" w:rsidR="00B53316" w:rsidRPr="00D618B7" w:rsidRDefault="00B53316" w:rsidP="004B11B7">
            <w:pPr>
              <w:jc w:val="right"/>
              <w:rPr>
                <w:color w:val="000000"/>
                <w:sz w:val="22"/>
                <w:szCs w:val="22"/>
              </w:rPr>
            </w:pPr>
            <w:r w:rsidRPr="00D618B7">
              <w:rPr>
                <w:color w:val="000000"/>
                <w:sz w:val="22"/>
                <w:szCs w:val="22"/>
              </w:rPr>
              <w:t>-2.00</w:t>
            </w:r>
          </w:p>
        </w:tc>
        <w:tc>
          <w:tcPr>
            <w:tcW w:w="536" w:type="pct"/>
            <w:tcBorders>
              <w:top w:val="nil"/>
              <w:left w:val="nil"/>
              <w:bottom w:val="nil"/>
              <w:right w:val="nil"/>
            </w:tcBorders>
            <w:shd w:val="clear" w:color="000000" w:fill="FFFFFF"/>
            <w:noWrap/>
            <w:vAlign w:val="center"/>
            <w:hideMark/>
          </w:tcPr>
          <w:p w14:paraId="4A36E502" w14:textId="77777777" w:rsidR="00B53316" w:rsidRPr="00D618B7" w:rsidRDefault="00B53316" w:rsidP="004B11B7">
            <w:pPr>
              <w:jc w:val="right"/>
              <w:rPr>
                <w:color w:val="000000"/>
                <w:sz w:val="22"/>
                <w:szCs w:val="22"/>
              </w:rPr>
            </w:pPr>
            <w:r w:rsidRPr="00D618B7">
              <w:rPr>
                <w:color w:val="000000"/>
                <w:sz w:val="22"/>
                <w:szCs w:val="22"/>
              </w:rPr>
              <w:t>-0.03</w:t>
            </w:r>
          </w:p>
        </w:tc>
        <w:tc>
          <w:tcPr>
            <w:tcW w:w="892" w:type="pct"/>
            <w:tcBorders>
              <w:top w:val="nil"/>
              <w:left w:val="nil"/>
              <w:bottom w:val="nil"/>
              <w:right w:val="nil"/>
            </w:tcBorders>
            <w:shd w:val="clear" w:color="000000" w:fill="FFFFFF"/>
            <w:noWrap/>
            <w:vAlign w:val="center"/>
            <w:hideMark/>
          </w:tcPr>
          <w:p w14:paraId="36FC57F1" w14:textId="77777777" w:rsidR="00B53316" w:rsidRPr="00D618B7" w:rsidRDefault="00B53316" w:rsidP="004B11B7">
            <w:pPr>
              <w:jc w:val="right"/>
              <w:rPr>
                <w:color w:val="000000"/>
                <w:sz w:val="22"/>
                <w:szCs w:val="22"/>
              </w:rPr>
            </w:pPr>
            <w:r w:rsidRPr="00D618B7">
              <w:rPr>
                <w:color w:val="000000"/>
                <w:sz w:val="22"/>
                <w:szCs w:val="22"/>
              </w:rPr>
              <w:t>0.10</w:t>
            </w:r>
          </w:p>
        </w:tc>
        <w:tc>
          <w:tcPr>
            <w:tcW w:w="536" w:type="pct"/>
            <w:tcBorders>
              <w:top w:val="nil"/>
              <w:left w:val="nil"/>
              <w:bottom w:val="nil"/>
              <w:right w:val="nil"/>
            </w:tcBorders>
            <w:shd w:val="clear" w:color="000000" w:fill="FFFFFF"/>
            <w:noWrap/>
            <w:vAlign w:val="center"/>
            <w:hideMark/>
          </w:tcPr>
          <w:p w14:paraId="09C686B4" w14:textId="77777777" w:rsidR="00B53316" w:rsidRPr="00D618B7" w:rsidRDefault="00B53316" w:rsidP="004B11B7">
            <w:pPr>
              <w:jc w:val="right"/>
              <w:rPr>
                <w:color w:val="000000"/>
                <w:sz w:val="22"/>
                <w:szCs w:val="22"/>
              </w:rPr>
            </w:pPr>
            <w:r w:rsidRPr="00D618B7">
              <w:rPr>
                <w:color w:val="000000"/>
                <w:sz w:val="22"/>
                <w:szCs w:val="22"/>
              </w:rPr>
              <w:t>0.00</w:t>
            </w:r>
          </w:p>
        </w:tc>
        <w:tc>
          <w:tcPr>
            <w:tcW w:w="892" w:type="pct"/>
            <w:tcBorders>
              <w:top w:val="nil"/>
              <w:left w:val="nil"/>
              <w:bottom w:val="nil"/>
              <w:right w:val="nil"/>
            </w:tcBorders>
            <w:shd w:val="clear" w:color="000000" w:fill="FFFFFF"/>
            <w:noWrap/>
            <w:vAlign w:val="center"/>
            <w:hideMark/>
          </w:tcPr>
          <w:p w14:paraId="202A6C2D" w14:textId="77777777" w:rsidR="00B53316" w:rsidRPr="00D618B7" w:rsidRDefault="00B53316" w:rsidP="004B11B7">
            <w:pPr>
              <w:jc w:val="right"/>
              <w:rPr>
                <w:color w:val="000000"/>
                <w:sz w:val="22"/>
                <w:szCs w:val="22"/>
              </w:rPr>
            </w:pPr>
            <w:r w:rsidRPr="00D618B7">
              <w:rPr>
                <w:color w:val="000000"/>
                <w:sz w:val="22"/>
                <w:szCs w:val="22"/>
              </w:rPr>
              <w:t>0.07</w:t>
            </w:r>
          </w:p>
        </w:tc>
        <w:tc>
          <w:tcPr>
            <w:tcW w:w="548" w:type="pct"/>
            <w:tcBorders>
              <w:top w:val="nil"/>
              <w:left w:val="nil"/>
              <w:bottom w:val="nil"/>
              <w:right w:val="nil"/>
            </w:tcBorders>
            <w:shd w:val="clear" w:color="000000" w:fill="FFFFFF"/>
            <w:noWrap/>
            <w:vAlign w:val="center"/>
            <w:hideMark/>
          </w:tcPr>
          <w:p w14:paraId="1684CA73" w14:textId="77777777" w:rsidR="00B53316" w:rsidRPr="00D618B7" w:rsidRDefault="00B53316" w:rsidP="004B11B7">
            <w:pPr>
              <w:jc w:val="right"/>
              <w:rPr>
                <w:color w:val="000000"/>
                <w:sz w:val="22"/>
                <w:szCs w:val="22"/>
              </w:rPr>
            </w:pPr>
            <w:r w:rsidRPr="00D618B7">
              <w:rPr>
                <w:color w:val="000000"/>
                <w:sz w:val="22"/>
                <w:szCs w:val="22"/>
              </w:rPr>
              <w:t>1.04</w:t>
            </w:r>
          </w:p>
        </w:tc>
        <w:tc>
          <w:tcPr>
            <w:tcW w:w="881" w:type="pct"/>
            <w:tcBorders>
              <w:top w:val="nil"/>
              <w:left w:val="nil"/>
              <w:bottom w:val="nil"/>
              <w:right w:val="nil"/>
            </w:tcBorders>
            <w:shd w:val="clear" w:color="000000" w:fill="FFFFFF"/>
            <w:noWrap/>
            <w:vAlign w:val="center"/>
            <w:hideMark/>
          </w:tcPr>
          <w:p w14:paraId="7F5757EB" w14:textId="77777777" w:rsidR="00B53316" w:rsidRPr="00D618B7" w:rsidRDefault="00B53316" w:rsidP="004B11B7">
            <w:pPr>
              <w:jc w:val="right"/>
              <w:rPr>
                <w:color w:val="000000"/>
                <w:sz w:val="22"/>
                <w:szCs w:val="22"/>
              </w:rPr>
            </w:pPr>
            <w:r w:rsidRPr="00D618B7">
              <w:rPr>
                <w:color w:val="000000"/>
                <w:sz w:val="22"/>
                <w:szCs w:val="22"/>
              </w:rPr>
              <w:t>0.31</w:t>
            </w:r>
          </w:p>
        </w:tc>
      </w:tr>
      <w:tr w:rsidR="003B5FE0" w:rsidRPr="00D618B7" w14:paraId="5E045CA6" w14:textId="77777777" w:rsidTr="003B5FE0">
        <w:trPr>
          <w:trHeight w:val="258"/>
        </w:trPr>
        <w:tc>
          <w:tcPr>
            <w:tcW w:w="713" w:type="pct"/>
            <w:tcBorders>
              <w:top w:val="nil"/>
              <w:left w:val="nil"/>
              <w:bottom w:val="nil"/>
              <w:right w:val="nil"/>
            </w:tcBorders>
            <w:shd w:val="clear" w:color="000000" w:fill="FFFFFF"/>
            <w:vAlign w:val="center"/>
            <w:hideMark/>
          </w:tcPr>
          <w:p w14:paraId="035A2642" w14:textId="77777777" w:rsidR="00B53316" w:rsidRPr="00D618B7" w:rsidRDefault="00B53316" w:rsidP="004B11B7">
            <w:pPr>
              <w:jc w:val="right"/>
              <w:rPr>
                <w:color w:val="000000"/>
                <w:sz w:val="22"/>
                <w:szCs w:val="22"/>
              </w:rPr>
            </w:pPr>
            <w:r w:rsidRPr="00D618B7">
              <w:rPr>
                <w:color w:val="000000"/>
                <w:sz w:val="22"/>
                <w:szCs w:val="22"/>
              </w:rPr>
              <w:t>-1.00</w:t>
            </w:r>
          </w:p>
        </w:tc>
        <w:tc>
          <w:tcPr>
            <w:tcW w:w="536" w:type="pct"/>
            <w:tcBorders>
              <w:top w:val="nil"/>
              <w:left w:val="nil"/>
              <w:bottom w:val="nil"/>
              <w:right w:val="nil"/>
            </w:tcBorders>
            <w:shd w:val="clear" w:color="000000" w:fill="FFFFFF"/>
            <w:noWrap/>
            <w:vAlign w:val="center"/>
            <w:hideMark/>
          </w:tcPr>
          <w:p w14:paraId="347A5BCA" w14:textId="77777777" w:rsidR="00B53316" w:rsidRPr="00D618B7" w:rsidRDefault="00B53316" w:rsidP="004B11B7">
            <w:pPr>
              <w:jc w:val="right"/>
              <w:rPr>
                <w:color w:val="000000"/>
                <w:sz w:val="22"/>
                <w:szCs w:val="22"/>
              </w:rPr>
            </w:pPr>
            <w:r w:rsidRPr="00D618B7">
              <w:rPr>
                <w:color w:val="000000"/>
                <w:sz w:val="22"/>
                <w:szCs w:val="22"/>
              </w:rPr>
              <w:t>-0.11</w:t>
            </w:r>
          </w:p>
        </w:tc>
        <w:tc>
          <w:tcPr>
            <w:tcW w:w="892" w:type="pct"/>
            <w:tcBorders>
              <w:top w:val="nil"/>
              <w:left w:val="nil"/>
              <w:bottom w:val="nil"/>
              <w:right w:val="nil"/>
            </w:tcBorders>
            <w:shd w:val="clear" w:color="000000" w:fill="FFFFFF"/>
            <w:noWrap/>
            <w:vAlign w:val="center"/>
            <w:hideMark/>
          </w:tcPr>
          <w:p w14:paraId="5520157F" w14:textId="77777777" w:rsidR="00B53316" w:rsidRPr="00D618B7" w:rsidRDefault="00B53316" w:rsidP="004B11B7">
            <w:pPr>
              <w:jc w:val="right"/>
              <w:rPr>
                <w:color w:val="000000"/>
                <w:sz w:val="22"/>
                <w:szCs w:val="22"/>
              </w:rPr>
            </w:pPr>
            <w:r w:rsidRPr="00D618B7">
              <w:rPr>
                <w:color w:val="000000"/>
                <w:sz w:val="22"/>
                <w:szCs w:val="22"/>
              </w:rPr>
              <w:t>0.06</w:t>
            </w:r>
          </w:p>
        </w:tc>
        <w:tc>
          <w:tcPr>
            <w:tcW w:w="536" w:type="pct"/>
            <w:tcBorders>
              <w:top w:val="nil"/>
              <w:left w:val="nil"/>
              <w:bottom w:val="nil"/>
              <w:right w:val="nil"/>
            </w:tcBorders>
            <w:shd w:val="clear" w:color="000000" w:fill="FFFFFF"/>
            <w:noWrap/>
            <w:vAlign w:val="center"/>
            <w:hideMark/>
          </w:tcPr>
          <w:p w14:paraId="4AE57D0E" w14:textId="77777777" w:rsidR="00B53316" w:rsidRPr="00D618B7" w:rsidRDefault="00B53316" w:rsidP="004B11B7">
            <w:pPr>
              <w:jc w:val="right"/>
              <w:rPr>
                <w:color w:val="000000"/>
                <w:sz w:val="22"/>
                <w:szCs w:val="22"/>
              </w:rPr>
            </w:pPr>
            <w:r w:rsidRPr="00D618B7">
              <w:rPr>
                <w:color w:val="000000"/>
                <w:sz w:val="22"/>
                <w:szCs w:val="22"/>
              </w:rPr>
              <w:t>-0.16</w:t>
            </w:r>
          </w:p>
        </w:tc>
        <w:tc>
          <w:tcPr>
            <w:tcW w:w="892" w:type="pct"/>
            <w:tcBorders>
              <w:top w:val="nil"/>
              <w:left w:val="nil"/>
              <w:bottom w:val="nil"/>
              <w:right w:val="nil"/>
            </w:tcBorders>
            <w:shd w:val="clear" w:color="000000" w:fill="FFFFFF"/>
            <w:noWrap/>
            <w:vAlign w:val="center"/>
            <w:hideMark/>
          </w:tcPr>
          <w:p w14:paraId="60FB6CB5" w14:textId="77777777" w:rsidR="00B53316" w:rsidRPr="00D618B7" w:rsidRDefault="00B53316" w:rsidP="004B11B7">
            <w:pPr>
              <w:jc w:val="right"/>
              <w:rPr>
                <w:color w:val="000000"/>
                <w:sz w:val="22"/>
                <w:szCs w:val="22"/>
              </w:rPr>
            </w:pPr>
            <w:r w:rsidRPr="00D618B7">
              <w:rPr>
                <w:color w:val="000000"/>
                <w:sz w:val="22"/>
                <w:szCs w:val="22"/>
              </w:rPr>
              <w:t>0.07</w:t>
            </w:r>
          </w:p>
        </w:tc>
        <w:tc>
          <w:tcPr>
            <w:tcW w:w="548" w:type="pct"/>
            <w:tcBorders>
              <w:top w:val="nil"/>
              <w:left w:val="nil"/>
              <w:bottom w:val="nil"/>
              <w:right w:val="nil"/>
            </w:tcBorders>
            <w:shd w:val="clear" w:color="000000" w:fill="FFFFFF"/>
            <w:noWrap/>
            <w:vAlign w:val="center"/>
            <w:hideMark/>
          </w:tcPr>
          <w:p w14:paraId="288647CD" w14:textId="77777777" w:rsidR="00B53316" w:rsidRPr="00D618B7" w:rsidRDefault="00B53316" w:rsidP="004B11B7">
            <w:pPr>
              <w:jc w:val="right"/>
              <w:rPr>
                <w:color w:val="000000"/>
                <w:sz w:val="22"/>
                <w:szCs w:val="22"/>
              </w:rPr>
            </w:pPr>
            <w:r w:rsidRPr="00D618B7">
              <w:rPr>
                <w:color w:val="000000"/>
                <w:sz w:val="22"/>
                <w:szCs w:val="22"/>
              </w:rPr>
              <w:t>-0.08</w:t>
            </w:r>
          </w:p>
        </w:tc>
        <w:tc>
          <w:tcPr>
            <w:tcW w:w="881" w:type="pct"/>
            <w:tcBorders>
              <w:top w:val="nil"/>
              <w:left w:val="nil"/>
              <w:bottom w:val="nil"/>
              <w:right w:val="nil"/>
            </w:tcBorders>
            <w:shd w:val="clear" w:color="000000" w:fill="FFFFFF"/>
            <w:noWrap/>
            <w:vAlign w:val="center"/>
            <w:hideMark/>
          </w:tcPr>
          <w:p w14:paraId="427D5A77" w14:textId="77777777" w:rsidR="00B53316" w:rsidRPr="00D618B7" w:rsidRDefault="00B53316" w:rsidP="004B11B7">
            <w:pPr>
              <w:jc w:val="right"/>
              <w:rPr>
                <w:color w:val="000000"/>
                <w:sz w:val="22"/>
                <w:szCs w:val="22"/>
              </w:rPr>
            </w:pPr>
            <w:r w:rsidRPr="00D618B7">
              <w:rPr>
                <w:color w:val="000000"/>
                <w:sz w:val="22"/>
                <w:szCs w:val="22"/>
              </w:rPr>
              <w:t>0.39</w:t>
            </w:r>
          </w:p>
        </w:tc>
      </w:tr>
      <w:tr w:rsidR="003B5FE0" w:rsidRPr="00D618B7" w14:paraId="7ED5546E" w14:textId="77777777" w:rsidTr="003B5FE0">
        <w:trPr>
          <w:trHeight w:val="258"/>
        </w:trPr>
        <w:tc>
          <w:tcPr>
            <w:tcW w:w="713" w:type="pct"/>
            <w:tcBorders>
              <w:top w:val="nil"/>
              <w:left w:val="nil"/>
              <w:bottom w:val="nil"/>
              <w:right w:val="nil"/>
            </w:tcBorders>
            <w:shd w:val="clear" w:color="000000" w:fill="FFFFFF"/>
            <w:vAlign w:val="center"/>
            <w:hideMark/>
          </w:tcPr>
          <w:p w14:paraId="686328D7" w14:textId="77777777" w:rsidR="00B53316" w:rsidRPr="00D618B7" w:rsidRDefault="00B53316" w:rsidP="004B11B7">
            <w:pPr>
              <w:jc w:val="right"/>
              <w:rPr>
                <w:color w:val="000000"/>
                <w:sz w:val="22"/>
                <w:szCs w:val="22"/>
              </w:rPr>
            </w:pPr>
            <w:r w:rsidRPr="00D618B7">
              <w:rPr>
                <w:color w:val="000000"/>
                <w:sz w:val="22"/>
                <w:szCs w:val="22"/>
              </w:rPr>
              <w:t>0.00</w:t>
            </w:r>
          </w:p>
        </w:tc>
        <w:tc>
          <w:tcPr>
            <w:tcW w:w="536" w:type="pct"/>
            <w:tcBorders>
              <w:top w:val="nil"/>
              <w:left w:val="nil"/>
              <w:bottom w:val="nil"/>
              <w:right w:val="nil"/>
            </w:tcBorders>
            <w:shd w:val="clear" w:color="000000" w:fill="FFFFFF"/>
            <w:noWrap/>
            <w:vAlign w:val="center"/>
            <w:hideMark/>
          </w:tcPr>
          <w:p w14:paraId="3F22A675" w14:textId="77777777" w:rsidR="00B53316" w:rsidRPr="00D618B7" w:rsidRDefault="00B53316" w:rsidP="004B11B7">
            <w:pPr>
              <w:jc w:val="right"/>
              <w:rPr>
                <w:color w:val="000000"/>
                <w:sz w:val="22"/>
                <w:szCs w:val="22"/>
              </w:rPr>
            </w:pPr>
            <w:r w:rsidRPr="00D618B7">
              <w:rPr>
                <w:color w:val="000000"/>
                <w:sz w:val="22"/>
                <w:szCs w:val="22"/>
              </w:rPr>
              <w:t>0.42</w:t>
            </w:r>
          </w:p>
        </w:tc>
        <w:tc>
          <w:tcPr>
            <w:tcW w:w="892" w:type="pct"/>
            <w:tcBorders>
              <w:top w:val="nil"/>
              <w:left w:val="nil"/>
              <w:bottom w:val="nil"/>
              <w:right w:val="nil"/>
            </w:tcBorders>
            <w:shd w:val="clear" w:color="000000" w:fill="FFFFFF"/>
            <w:noWrap/>
            <w:vAlign w:val="center"/>
            <w:hideMark/>
          </w:tcPr>
          <w:p w14:paraId="2F58B4FD" w14:textId="77777777" w:rsidR="00B53316" w:rsidRPr="00D618B7" w:rsidRDefault="00B53316" w:rsidP="004B11B7">
            <w:pPr>
              <w:jc w:val="right"/>
              <w:rPr>
                <w:color w:val="000000"/>
                <w:sz w:val="22"/>
                <w:szCs w:val="22"/>
              </w:rPr>
            </w:pPr>
            <w:r w:rsidRPr="00D618B7">
              <w:rPr>
                <w:color w:val="000000"/>
                <w:sz w:val="22"/>
                <w:szCs w:val="22"/>
              </w:rPr>
              <w:t>0.24</w:t>
            </w:r>
          </w:p>
        </w:tc>
        <w:tc>
          <w:tcPr>
            <w:tcW w:w="536" w:type="pct"/>
            <w:tcBorders>
              <w:top w:val="nil"/>
              <w:left w:val="nil"/>
              <w:bottom w:val="nil"/>
              <w:right w:val="nil"/>
            </w:tcBorders>
            <w:shd w:val="clear" w:color="000000" w:fill="FFFFFF"/>
            <w:noWrap/>
            <w:vAlign w:val="center"/>
            <w:hideMark/>
          </w:tcPr>
          <w:p w14:paraId="7924299F" w14:textId="77777777" w:rsidR="00B53316" w:rsidRPr="00D618B7" w:rsidRDefault="00B53316" w:rsidP="004B11B7">
            <w:pPr>
              <w:jc w:val="right"/>
              <w:rPr>
                <w:color w:val="000000"/>
                <w:sz w:val="22"/>
                <w:szCs w:val="22"/>
              </w:rPr>
            </w:pPr>
            <w:r w:rsidRPr="00D618B7">
              <w:rPr>
                <w:color w:val="000000"/>
                <w:sz w:val="22"/>
                <w:szCs w:val="22"/>
              </w:rPr>
              <w:t>0.24</w:t>
            </w:r>
          </w:p>
        </w:tc>
        <w:tc>
          <w:tcPr>
            <w:tcW w:w="892" w:type="pct"/>
            <w:tcBorders>
              <w:top w:val="nil"/>
              <w:left w:val="nil"/>
              <w:bottom w:val="nil"/>
              <w:right w:val="nil"/>
            </w:tcBorders>
            <w:shd w:val="clear" w:color="000000" w:fill="FFFFFF"/>
            <w:noWrap/>
            <w:vAlign w:val="center"/>
            <w:hideMark/>
          </w:tcPr>
          <w:p w14:paraId="7B5D9F2F" w14:textId="77777777" w:rsidR="00B53316" w:rsidRPr="00D618B7" w:rsidRDefault="00B53316" w:rsidP="004B11B7">
            <w:pPr>
              <w:jc w:val="right"/>
              <w:rPr>
                <w:color w:val="000000"/>
                <w:sz w:val="22"/>
                <w:szCs w:val="22"/>
              </w:rPr>
            </w:pPr>
            <w:r w:rsidRPr="00D618B7">
              <w:rPr>
                <w:color w:val="000000"/>
                <w:sz w:val="22"/>
                <w:szCs w:val="22"/>
              </w:rPr>
              <w:t>0.06</w:t>
            </w:r>
          </w:p>
        </w:tc>
        <w:tc>
          <w:tcPr>
            <w:tcW w:w="548" w:type="pct"/>
            <w:tcBorders>
              <w:top w:val="nil"/>
              <w:left w:val="nil"/>
              <w:bottom w:val="nil"/>
              <w:right w:val="nil"/>
            </w:tcBorders>
            <w:shd w:val="clear" w:color="000000" w:fill="FFFFFF"/>
            <w:noWrap/>
            <w:vAlign w:val="center"/>
            <w:hideMark/>
          </w:tcPr>
          <w:p w14:paraId="51B0D9F7" w14:textId="77777777" w:rsidR="00B53316" w:rsidRPr="00D618B7" w:rsidRDefault="00B53316" w:rsidP="004B11B7">
            <w:pPr>
              <w:jc w:val="right"/>
              <w:rPr>
                <w:color w:val="000000"/>
                <w:sz w:val="22"/>
                <w:szCs w:val="22"/>
              </w:rPr>
            </w:pPr>
            <w:r w:rsidRPr="00D618B7">
              <w:rPr>
                <w:color w:val="000000"/>
                <w:sz w:val="22"/>
                <w:szCs w:val="22"/>
              </w:rPr>
              <w:t>1.87</w:t>
            </w:r>
          </w:p>
        </w:tc>
        <w:tc>
          <w:tcPr>
            <w:tcW w:w="881" w:type="pct"/>
            <w:tcBorders>
              <w:top w:val="nil"/>
              <w:left w:val="nil"/>
              <w:bottom w:val="nil"/>
              <w:right w:val="nil"/>
            </w:tcBorders>
            <w:shd w:val="clear" w:color="000000" w:fill="FFFFFF"/>
            <w:noWrap/>
            <w:vAlign w:val="center"/>
            <w:hideMark/>
          </w:tcPr>
          <w:p w14:paraId="08A6B75E" w14:textId="77777777" w:rsidR="00B53316" w:rsidRPr="00D618B7" w:rsidRDefault="00B53316" w:rsidP="004B11B7">
            <w:pPr>
              <w:jc w:val="right"/>
              <w:rPr>
                <w:color w:val="000000"/>
                <w:sz w:val="22"/>
                <w:szCs w:val="22"/>
              </w:rPr>
            </w:pPr>
            <w:r w:rsidRPr="00D618B7">
              <w:rPr>
                <w:color w:val="000000"/>
                <w:sz w:val="22"/>
                <w:szCs w:val="22"/>
              </w:rPr>
              <w:t>1.09</w:t>
            </w:r>
          </w:p>
        </w:tc>
      </w:tr>
      <w:tr w:rsidR="003B5FE0" w:rsidRPr="00D618B7" w14:paraId="6F58148B" w14:textId="77777777" w:rsidTr="003B5FE0">
        <w:trPr>
          <w:trHeight w:val="258"/>
        </w:trPr>
        <w:tc>
          <w:tcPr>
            <w:tcW w:w="713" w:type="pct"/>
            <w:tcBorders>
              <w:top w:val="nil"/>
              <w:left w:val="nil"/>
              <w:bottom w:val="nil"/>
              <w:right w:val="nil"/>
            </w:tcBorders>
            <w:shd w:val="clear" w:color="000000" w:fill="FFFFFF"/>
            <w:vAlign w:val="center"/>
            <w:hideMark/>
          </w:tcPr>
          <w:p w14:paraId="59150482" w14:textId="77777777" w:rsidR="00B53316" w:rsidRPr="00D618B7" w:rsidRDefault="00B53316" w:rsidP="004B11B7">
            <w:pPr>
              <w:jc w:val="right"/>
              <w:rPr>
                <w:color w:val="000000"/>
                <w:sz w:val="22"/>
                <w:szCs w:val="22"/>
              </w:rPr>
            </w:pPr>
            <w:r w:rsidRPr="00D618B7">
              <w:rPr>
                <w:color w:val="000000"/>
                <w:sz w:val="22"/>
                <w:szCs w:val="22"/>
              </w:rPr>
              <w:t>1.00</w:t>
            </w:r>
          </w:p>
        </w:tc>
        <w:tc>
          <w:tcPr>
            <w:tcW w:w="536" w:type="pct"/>
            <w:tcBorders>
              <w:top w:val="nil"/>
              <w:left w:val="nil"/>
              <w:bottom w:val="nil"/>
              <w:right w:val="nil"/>
            </w:tcBorders>
            <w:shd w:val="clear" w:color="000000" w:fill="FFFFFF"/>
            <w:noWrap/>
            <w:vAlign w:val="center"/>
            <w:hideMark/>
          </w:tcPr>
          <w:p w14:paraId="165AD582" w14:textId="77777777" w:rsidR="00B53316" w:rsidRPr="00D618B7" w:rsidRDefault="00B53316" w:rsidP="004B11B7">
            <w:pPr>
              <w:jc w:val="right"/>
              <w:rPr>
                <w:color w:val="000000"/>
                <w:sz w:val="22"/>
                <w:szCs w:val="22"/>
              </w:rPr>
            </w:pPr>
            <w:r w:rsidRPr="00D618B7">
              <w:rPr>
                <w:color w:val="000000"/>
                <w:sz w:val="22"/>
                <w:szCs w:val="22"/>
              </w:rPr>
              <w:t>-0.03</w:t>
            </w:r>
          </w:p>
        </w:tc>
        <w:tc>
          <w:tcPr>
            <w:tcW w:w="892" w:type="pct"/>
            <w:tcBorders>
              <w:top w:val="nil"/>
              <w:left w:val="nil"/>
              <w:bottom w:val="nil"/>
              <w:right w:val="nil"/>
            </w:tcBorders>
            <w:shd w:val="clear" w:color="000000" w:fill="FFFFFF"/>
            <w:noWrap/>
            <w:vAlign w:val="center"/>
            <w:hideMark/>
          </w:tcPr>
          <w:p w14:paraId="35BD8D61" w14:textId="77777777" w:rsidR="00B53316" w:rsidRPr="00D618B7" w:rsidRDefault="00B53316" w:rsidP="004B11B7">
            <w:pPr>
              <w:jc w:val="right"/>
              <w:rPr>
                <w:color w:val="000000"/>
                <w:sz w:val="22"/>
                <w:szCs w:val="22"/>
              </w:rPr>
            </w:pPr>
            <w:r w:rsidRPr="00D618B7">
              <w:rPr>
                <w:color w:val="000000"/>
                <w:sz w:val="22"/>
                <w:szCs w:val="22"/>
              </w:rPr>
              <w:t>0.01</w:t>
            </w:r>
          </w:p>
        </w:tc>
        <w:tc>
          <w:tcPr>
            <w:tcW w:w="536" w:type="pct"/>
            <w:tcBorders>
              <w:top w:val="nil"/>
              <w:left w:val="nil"/>
              <w:bottom w:val="nil"/>
              <w:right w:val="nil"/>
            </w:tcBorders>
            <w:shd w:val="clear" w:color="000000" w:fill="FFFFFF"/>
            <w:noWrap/>
            <w:vAlign w:val="center"/>
            <w:hideMark/>
          </w:tcPr>
          <w:p w14:paraId="43E5A212" w14:textId="77777777" w:rsidR="00B53316" w:rsidRPr="00D618B7" w:rsidRDefault="00B53316" w:rsidP="004B11B7">
            <w:pPr>
              <w:jc w:val="right"/>
              <w:rPr>
                <w:color w:val="000000"/>
                <w:sz w:val="22"/>
                <w:szCs w:val="22"/>
              </w:rPr>
            </w:pPr>
            <w:r w:rsidRPr="00D618B7">
              <w:rPr>
                <w:color w:val="000000"/>
                <w:sz w:val="22"/>
                <w:szCs w:val="22"/>
              </w:rPr>
              <w:t>-0.04</w:t>
            </w:r>
          </w:p>
        </w:tc>
        <w:tc>
          <w:tcPr>
            <w:tcW w:w="892" w:type="pct"/>
            <w:tcBorders>
              <w:top w:val="nil"/>
              <w:left w:val="nil"/>
              <w:bottom w:val="nil"/>
              <w:right w:val="nil"/>
            </w:tcBorders>
            <w:shd w:val="clear" w:color="000000" w:fill="FFFFFF"/>
            <w:noWrap/>
            <w:vAlign w:val="center"/>
            <w:hideMark/>
          </w:tcPr>
          <w:p w14:paraId="5B877297" w14:textId="77777777" w:rsidR="00B53316" w:rsidRPr="00D618B7" w:rsidRDefault="00B53316" w:rsidP="004B11B7">
            <w:pPr>
              <w:jc w:val="right"/>
              <w:rPr>
                <w:color w:val="000000"/>
                <w:sz w:val="22"/>
                <w:szCs w:val="22"/>
              </w:rPr>
            </w:pPr>
            <w:r w:rsidRPr="00D618B7">
              <w:rPr>
                <w:color w:val="000000"/>
                <w:sz w:val="22"/>
                <w:szCs w:val="22"/>
              </w:rPr>
              <w:t>0.04</w:t>
            </w:r>
          </w:p>
        </w:tc>
        <w:tc>
          <w:tcPr>
            <w:tcW w:w="548" w:type="pct"/>
            <w:tcBorders>
              <w:top w:val="nil"/>
              <w:left w:val="nil"/>
              <w:bottom w:val="nil"/>
              <w:right w:val="nil"/>
            </w:tcBorders>
            <w:shd w:val="clear" w:color="000000" w:fill="FFFFFF"/>
            <w:noWrap/>
            <w:vAlign w:val="center"/>
            <w:hideMark/>
          </w:tcPr>
          <w:p w14:paraId="7643F3D4" w14:textId="77777777" w:rsidR="00B53316" w:rsidRPr="00D618B7" w:rsidRDefault="00B53316" w:rsidP="004B11B7">
            <w:pPr>
              <w:jc w:val="right"/>
              <w:rPr>
                <w:color w:val="000000"/>
                <w:sz w:val="22"/>
                <w:szCs w:val="22"/>
              </w:rPr>
            </w:pPr>
            <w:r w:rsidRPr="00D618B7">
              <w:rPr>
                <w:color w:val="000000"/>
                <w:sz w:val="22"/>
                <w:szCs w:val="22"/>
              </w:rPr>
              <w:t>0.79</w:t>
            </w:r>
          </w:p>
        </w:tc>
        <w:tc>
          <w:tcPr>
            <w:tcW w:w="881" w:type="pct"/>
            <w:tcBorders>
              <w:top w:val="nil"/>
              <w:left w:val="nil"/>
              <w:bottom w:val="nil"/>
              <w:right w:val="nil"/>
            </w:tcBorders>
            <w:shd w:val="clear" w:color="000000" w:fill="FFFFFF"/>
            <w:noWrap/>
            <w:vAlign w:val="center"/>
            <w:hideMark/>
          </w:tcPr>
          <w:p w14:paraId="27EDF837" w14:textId="77777777" w:rsidR="00B53316" w:rsidRPr="00D618B7" w:rsidRDefault="00B53316" w:rsidP="004B11B7">
            <w:pPr>
              <w:jc w:val="right"/>
              <w:rPr>
                <w:color w:val="000000"/>
                <w:sz w:val="22"/>
                <w:szCs w:val="22"/>
              </w:rPr>
            </w:pPr>
            <w:r w:rsidRPr="00D618B7">
              <w:rPr>
                <w:color w:val="000000"/>
                <w:sz w:val="22"/>
                <w:szCs w:val="22"/>
              </w:rPr>
              <w:t>0.27</w:t>
            </w:r>
          </w:p>
        </w:tc>
      </w:tr>
      <w:tr w:rsidR="003B5FE0" w:rsidRPr="00D618B7" w14:paraId="403B19AC" w14:textId="77777777" w:rsidTr="003B5FE0">
        <w:trPr>
          <w:trHeight w:val="258"/>
        </w:trPr>
        <w:tc>
          <w:tcPr>
            <w:tcW w:w="713" w:type="pct"/>
            <w:tcBorders>
              <w:top w:val="nil"/>
              <w:left w:val="nil"/>
              <w:bottom w:val="nil"/>
              <w:right w:val="nil"/>
            </w:tcBorders>
            <w:shd w:val="clear" w:color="000000" w:fill="FFFFFF"/>
            <w:vAlign w:val="center"/>
            <w:hideMark/>
          </w:tcPr>
          <w:p w14:paraId="21190C0A" w14:textId="77777777" w:rsidR="00B53316" w:rsidRPr="00D618B7" w:rsidRDefault="00B53316" w:rsidP="004B11B7">
            <w:pPr>
              <w:jc w:val="right"/>
              <w:rPr>
                <w:color w:val="000000"/>
                <w:sz w:val="22"/>
                <w:szCs w:val="22"/>
              </w:rPr>
            </w:pPr>
            <w:r w:rsidRPr="00D618B7">
              <w:rPr>
                <w:color w:val="000000"/>
                <w:sz w:val="22"/>
                <w:szCs w:val="22"/>
              </w:rPr>
              <w:t>2.00</w:t>
            </w:r>
          </w:p>
        </w:tc>
        <w:tc>
          <w:tcPr>
            <w:tcW w:w="536" w:type="pct"/>
            <w:tcBorders>
              <w:top w:val="nil"/>
              <w:left w:val="nil"/>
              <w:bottom w:val="nil"/>
              <w:right w:val="nil"/>
            </w:tcBorders>
            <w:shd w:val="clear" w:color="000000" w:fill="FFFFFF"/>
            <w:noWrap/>
            <w:vAlign w:val="center"/>
            <w:hideMark/>
          </w:tcPr>
          <w:p w14:paraId="58EF92B4" w14:textId="77777777" w:rsidR="00B53316" w:rsidRPr="00D618B7" w:rsidRDefault="00B53316" w:rsidP="004B11B7">
            <w:pPr>
              <w:jc w:val="right"/>
              <w:rPr>
                <w:color w:val="000000"/>
                <w:sz w:val="22"/>
                <w:szCs w:val="22"/>
              </w:rPr>
            </w:pPr>
            <w:r w:rsidRPr="00D618B7">
              <w:rPr>
                <w:color w:val="000000"/>
                <w:sz w:val="22"/>
                <w:szCs w:val="22"/>
              </w:rPr>
              <w:t>0.03</w:t>
            </w:r>
          </w:p>
        </w:tc>
        <w:tc>
          <w:tcPr>
            <w:tcW w:w="892" w:type="pct"/>
            <w:tcBorders>
              <w:top w:val="nil"/>
              <w:left w:val="nil"/>
              <w:bottom w:val="nil"/>
              <w:right w:val="nil"/>
            </w:tcBorders>
            <w:shd w:val="clear" w:color="000000" w:fill="FFFFFF"/>
            <w:noWrap/>
            <w:vAlign w:val="center"/>
            <w:hideMark/>
          </w:tcPr>
          <w:p w14:paraId="79DBF0A2" w14:textId="77777777" w:rsidR="00B53316" w:rsidRPr="00D618B7" w:rsidRDefault="00B53316" w:rsidP="004B11B7">
            <w:pPr>
              <w:jc w:val="right"/>
              <w:rPr>
                <w:color w:val="000000"/>
                <w:sz w:val="22"/>
                <w:szCs w:val="22"/>
              </w:rPr>
            </w:pPr>
            <w:r w:rsidRPr="00D618B7">
              <w:rPr>
                <w:color w:val="000000"/>
                <w:sz w:val="22"/>
                <w:szCs w:val="22"/>
              </w:rPr>
              <w:t>0.05</w:t>
            </w:r>
          </w:p>
        </w:tc>
        <w:tc>
          <w:tcPr>
            <w:tcW w:w="536" w:type="pct"/>
            <w:tcBorders>
              <w:top w:val="nil"/>
              <w:left w:val="nil"/>
              <w:bottom w:val="nil"/>
              <w:right w:val="nil"/>
            </w:tcBorders>
            <w:shd w:val="clear" w:color="000000" w:fill="FFFFFF"/>
            <w:noWrap/>
            <w:vAlign w:val="center"/>
            <w:hideMark/>
          </w:tcPr>
          <w:p w14:paraId="05AB709D" w14:textId="77777777" w:rsidR="00B53316" w:rsidRPr="00D618B7" w:rsidRDefault="00B53316" w:rsidP="004B11B7">
            <w:pPr>
              <w:jc w:val="right"/>
              <w:rPr>
                <w:color w:val="000000"/>
                <w:sz w:val="22"/>
                <w:szCs w:val="22"/>
              </w:rPr>
            </w:pPr>
            <w:r w:rsidRPr="00D618B7">
              <w:rPr>
                <w:color w:val="000000"/>
                <w:sz w:val="22"/>
                <w:szCs w:val="22"/>
              </w:rPr>
              <w:t>-0.15</w:t>
            </w:r>
          </w:p>
        </w:tc>
        <w:tc>
          <w:tcPr>
            <w:tcW w:w="892" w:type="pct"/>
            <w:tcBorders>
              <w:top w:val="nil"/>
              <w:left w:val="nil"/>
              <w:bottom w:val="nil"/>
              <w:right w:val="nil"/>
            </w:tcBorders>
            <w:shd w:val="clear" w:color="000000" w:fill="FFFFFF"/>
            <w:noWrap/>
            <w:vAlign w:val="center"/>
            <w:hideMark/>
          </w:tcPr>
          <w:p w14:paraId="1D0BF0F5" w14:textId="77777777" w:rsidR="00B53316" w:rsidRPr="00D618B7" w:rsidRDefault="00B53316" w:rsidP="004B11B7">
            <w:pPr>
              <w:jc w:val="right"/>
              <w:rPr>
                <w:color w:val="000000"/>
                <w:sz w:val="22"/>
                <w:szCs w:val="22"/>
              </w:rPr>
            </w:pPr>
            <w:r w:rsidRPr="00D618B7">
              <w:rPr>
                <w:color w:val="000000"/>
                <w:sz w:val="22"/>
                <w:szCs w:val="22"/>
              </w:rPr>
              <w:t>0.04</w:t>
            </w:r>
          </w:p>
        </w:tc>
        <w:tc>
          <w:tcPr>
            <w:tcW w:w="548" w:type="pct"/>
            <w:tcBorders>
              <w:top w:val="nil"/>
              <w:left w:val="nil"/>
              <w:bottom w:val="nil"/>
              <w:right w:val="nil"/>
            </w:tcBorders>
            <w:shd w:val="clear" w:color="000000" w:fill="FFFFFF"/>
            <w:noWrap/>
            <w:vAlign w:val="center"/>
            <w:hideMark/>
          </w:tcPr>
          <w:p w14:paraId="6E27AA23" w14:textId="77777777" w:rsidR="00B53316" w:rsidRPr="00D618B7" w:rsidRDefault="00B53316" w:rsidP="004B11B7">
            <w:pPr>
              <w:jc w:val="right"/>
              <w:rPr>
                <w:color w:val="000000"/>
                <w:sz w:val="22"/>
                <w:szCs w:val="22"/>
              </w:rPr>
            </w:pPr>
            <w:r w:rsidRPr="00D618B7">
              <w:rPr>
                <w:color w:val="000000"/>
                <w:sz w:val="22"/>
                <w:szCs w:val="22"/>
              </w:rPr>
              <w:t>-0.06</w:t>
            </w:r>
          </w:p>
        </w:tc>
        <w:tc>
          <w:tcPr>
            <w:tcW w:w="881" w:type="pct"/>
            <w:tcBorders>
              <w:top w:val="nil"/>
              <w:left w:val="nil"/>
              <w:bottom w:val="nil"/>
              <w:right w:val="nil"/>
            </w:tcBorders>
            <w:shd w:val="clear" w:color="000000" w:fill="FFFFFF"/>
            <w:noWrap/>
            <w:vAlign w:val="center"/>
            <w:hideMark/>
          </w:tcPr>
          <w:p w14:paraId="02B6F755" w14:textId="77777777" w:rsidR="00B53316" w:rsidRPr="00D618B7" w:rsidRDefault="00B53316" w:rsidP="004B11B7">
            <w:pPr>
              <w:jc w:val="right"/>
              <w:rPr>
                <w:color w:val="000000"/>
                <w:sz w:val="22"/>
                <w:szCs w:val="22"/>
              </w:rPr>
            </w:pPr>
            <w:r w:rsidRPr="00D618B7">
              <w:rPr>
                <w:color w:val="000000"/>
                <w:sz w:val="22"/>
                <w:szCs w:val="22"/>
              </w:rPr>
              <w:t>0.24</w:t>
            </w:r>
          </w:p>
        </w:tc>
      </w:tr>
      <w:tr w:rsidR="003B5FE0" w:rsidRPr="00D618B7" w14:paraId="7BB767C8" w14:textId="77777777" w:rsidTr="003B5FE0">
        <w:trPr>
          <w:trHeight w:val="258"/>
        </w:trPr>
        <w:tc>
          <w:tcPr>
            <w:tcW w:w="713" w:type="pct"/>
            <w:tcBorders>
              <w:top w:val="nil"/>
              <w:left w:val="nil"/>
              <w:bottom w:val="nil"/>
              <w:right w:val="nil"/>
            </w:tcBorders>
            <w:shd w:val="clear" w:color="000000" w:fill="FFFFFF"/>
            <w:vAlign w:val="center"/>
            <w:hideMark/>
          </w:tcPr>
          <w:p w14:paraId="3654B241" w14:textId="77777777" w:rsidR="00B53316" w:rsidRPr="00D618B7" w:rsidRDefault="00B53316" w:rsidP="004B11B7">
            <w:pPr>
              <w:jc w:val="right"/>
              <w:rPr>
                <w:color w:val="000000"/>
                <w:sz w:val="22"/>
                <w:szCs w:val="22"/>
              </w:rPr>
            </w:pPr>
            <w:r w:rsidRPr="00D618B7">
              <w:rPr>
                <w:color w:val="000000"/>
                <w:sz w:val="22"/>
                <w:szCs w:val="22"/>
              </w:rPr>
              <w:t>3.00</w:t>
            </w:r>
          </w:p>
        </w:tc>
        <w:tc>
          <w:tcPr>
            <w:tcW w:w="536" w:type="pct"/>
            <w:tcBorders>
              <w:top w:val="nil"/>
              <w:left w:val="nil"/>
              <w:bottom w:val="nil"/>
              <w:right w:val="nil"/>
            </w:tcBorders>
            <w:shd w:val="clear" w:color="000000" w:fill="FFFFFF"/>
            <w:noWrap/>
            <w:vAlign w:val="center"/>
            <w:hideMark/>
          </w:tcPr>
          <w:p w14:paraId="6A473F21" w14:textId="77777777" w:rsidR="00B53316" w:rsidRPr="00D618B7" w:rsidRDefault="00B53316" w:rsidP="004B11B7">
            <w:pPr>
              <w:jc w:val="right"/>
              <w:rPr>
                <w:color w:val="000000"/>
                <w:sz w:val="22"/>
                <w:szCs w:val="22"/>
              </w:rPr>
            </w:pPr>
            <w:r w:rsidRPr="00D618B7">
              <w:rPr>
                <w:color w:val="000000"/>
                <w:sz w:val="22"/>
                <w:szCs w:val="22"/>
              </w:rPr>
              <w:t>0.00</w:t>
            </w:r>
          </w:p>
        </w:tc>
        <w:tc>
          <w:tcPr>
            <w:tcW w:w="892" w:type="pct"/>
            <w:tcBorders>
              <w:top w:val="nil"/>
              <w:left w:val="nil"/>
              <w:bottom w:val="nil"/>
              <w:right w:val="nil"/>
            </w:tcBorders>
            <w:shd w:val="clear" w:color="000000" w:fill="FFFFFF"/>
            <w:noWrap/>
            <w:vAlign w:val="center"/>
            <w:hideMark/>
          </w:tcPr>
          <w:p w14:paraId="4A4DB4D2" w14:textId="77777777" w:rsidR="00B53316" w:rsidRPr="00D618B7" w:rsidRDefault="00B53316" w:rsidP="004B11B7">
            <w:pPr>
              <w:jc w:val="right"/>
              <w:rPr>
                <w:color w:val="000000"/>
                <w:sz w:val="22"/>
                <w:szCs w:val="22"/>
              </w:rPr>
            </w:pPr>
            <w:r w:rsidRPr="00D618B7">
              <w:rPr>
                <w:color w:val="000000"/>
                <w:sz w:val="22"/>
                <w:szCs w:val="22"/>
              </w:rPr>
              <w:t>0.01</w:t>
            </w:r>
          </w:p>
        </w:tc>
        <w:tc>
          <w:tcPr>
            <w:tcW w:w="536" w:type="pct"/>
            <w:tcBorders>
              <w:top w:val="nil"/>
              <w:left w:val="nil"/>
              <w:bottom w:val="nil"/>
              <w:right w:val="nil"/>
            </w:tcBorders>
            <w:shd w:val="clear" w:color="000000" w:fill="FFFFFF"/>
            <w:noWrap/>
            <w:vAlign w:val="center"/>
            <w:hideMark/>
          </w:tcPr>
          <w:p w14:paraId="221EC258" w14:textId="77777777" w:rsidR="00B53316" w:rsidRPr="00D618B7" w:rsidRDefault="00B53316" w:rsidP="004B11B7">
            <w:pPr>
              <w:jc w:val="right"/>
              <w:rPr>
                <w:color w:val="000000"/>
                <w:sz w:val="22"/>
                <w:szCs w:val="22"/>
              </w:rPr>
            </w:pPr>
            <w:r w:rsidRPr="00D618B7">
              <w:rPr>
                <w:color w:val="000000"/>
                <w:sz w:val="22"/>
                <w:szCs w:val="22"/>
              </w:rPr>
              <w:t>0.18</w:t>
            </w:r>
          </w:p>
        </w:tc>
        <w:tc>
          <w:tcPr>
            <w:tcW w:w="892" w:type="pct"/>
            <w:tcBorders>
              <w:top w:val="nil"/>
              <w:left w:val="nil"/>
              <w:bottom w:val="nil"/>
              <w:right w:val="nil"/>
            </w:tcBorders>
            <w:shd w:val="clear" w:color="000000" w:fill="FFFFFF"/>
            <w:noWrap/>
            <w:vAlign w:val="center"/>
            <w:hideMark/>
          </w:tcPr>
          <w:p w14:paraId="11126C95" w14:textId="77777777" w:rsidR="00B53316" w:rsidRPr="00D618B7" w:rsidRDefault="00B53316" w:rsidP="004B11B7">
            <w:pPr>
              <w:jc w:val="right"/>
              <w:rPr>
                <w:color w:val="000000"/>
                <w:sz w:val="22"/>
                <w:szCs w:val="22"/>
              </w:rPr>
            </w:pPr>
            <w:r w:rsidRPr="00D618B7">
              <w:rPr>
                <w:color w:val="000000"/>
                <w:sz w:val="22"/>
                <w:szCs w:val="22"/>
              </w:rPr>
              <w:t>0.08</w:t>
            </w:r>
          </w:p>
        </w:tc>
        <w:tc>
          <w:tcPr>
            <w:tcW w:w="548" w:type="pct"/>
            <w:tcBorders>
              <w:top w:val="nil"/>
              <w:left w:val="nil"/>
              <w:bottom w:val="nil"/>
              <w:right w:val="nil"/>
            </w:tcBorders>
            <w:shd w:val="clear" w:color="000000" w:fill="FFFFFF"/>
            <w:noWrap/>
            <w:vAlign w:val="center"/>
            <w:hideMark/>
          </w:tcPr>
          <w:p w14:paraId="0ADC55F7" w14:textId="77777777" w:rsidR="00B53316" w:rsidRPr="00D618B7" w:rsidRDefault="00B53316" w:rsidP="004B11B7">
            <w:pPr>
              <w:jc w:val="right"/>
              <w:rPr>
                <w:color w:val="000000"/>
                <w:sz w:val="22"/>
                <w:szCs w:val="22"/>
              </w:rPr>
            </w:pPr>
            <w:r w:rsidRPr="00D618B7">
              <w:rPr>
                <w:color w:val="000000"/>
                <w:sz w:val="22"/>
                <w:szCs w:val="22"/>
              </w:rPr>
              <w:t>0.61</w:t>
            </w:r>
          </w:p>
        </w:tc>
        <w:tc>
          <w:tcPr>
            <w:tcW w:w="881" w:type="pct"/>
            <w:tcBorders>
              <w:top w:val="nil"/>
              <w:left w:val="nil"/>
              <w:bottom w:val="nil"/>
              <w:right w:val="nil"/>
            </w:tcBorders>
            <w:shd w:val="clear" w:color="000000" w:fill="FFFFFF"/>
            <w:noWrap/>
            <w:vAlign w:val="center"/>
            <w:hideMark/>
          </w:tcPr>
          <w:p w14:paraId="41DAA34C" w14:textId="77777777" w:rsidR="00B53316" w:rsidRPr="00D618B7" w:rsidRDefault="00B53316" w:rsidP="004B11B7">
            <w:pPr>
              <w:jc w:val="right"/>
              <w:rPr>
                <w:color w:val="000000"/>
                <w:sz w:val="22"/>
                <w:szCs w:val="22"/>
              </w:rPr>
            </w:pPr>
            <w:r w:rsidRPr="00D618B7">
              <w:rPr>
                <w:color w:val="000000"/>
                <w:sz w:val="22"/>
                <w:szCs w:val="22"/>
              </w:rPr>
              <w:t>0.21</w:t>
            </w:r>
          </w:p>
        </w:tc>
      </w:tr>
      <w:tr w:rsidR="003B5FE0" w:rsidRPr="00D618B7" w14:paraId="55681512" w14:textId="77777777" w:rsidTr="003B5FE0">
        <w:trPr>
          <w:trHeight w:val="258"/>
        </w:trPr>
        <w:tc>
          <w:tcPr>
            <w:tcW w:w="713" w:type="pct"/>
            <w:tcBorders>
              <w:top w:val="nil"/>
              <w:left w:val="nil"/>
              <w:bottom w:val="nil"/>
              <w:right w:val="nil"/>
            </w:tcBorders>
            <w:shd w:val="clear" w:color="000000" w:fill="FFFFFF"/>
            <w:vAlign w:val="center"/>
            <w:hideMark/>
          </w:tcPr>
          <w:p w14:paraId="4615674E" w14:textId="77777777" w:rsidR="00B53316" w:rsidRPr="00D618B7" w:rsidRDefault="00B53316" w:rsidP="004B11B7">
            <w:pPr>
              <w:jc w:val="right"/>
              <w:rPr>
                <w:color w:val="000000"/>
                <w:sz w:val="22"/>
                <w:szCs w:val="22"/>
              </w:rPr>
            </w:pPr>
            <w:r w:rsidRPr="00D618B7">
              <w:rPr>
                <w:color w:val="000000"/>
                <w:sz w:val="22"/>
                <w:szCs w:val="22"/>
              </w:rPr>
              <w:t>4.00</w:t>
            </w:r>
          </w:p>
        </w:tc>
        <w:tc>
          <w:tcPr>
            <w:tcW w:w="536" w:type="pct"/>
            <w:tcBorders>
              <w:top w:val="nil"/>
              <w:left w:val="nil"/>
              <w:bottom w:val="nil"/>
              <w:right w:val="nil"/>
            </w:tcBorders>
            <w:shd w:val="clear" w:color="000000" w:fill="FFFFFF"/>
            <w:noWrap/>
            <w:vAlign w:val="center"/>
            <w:hideMark/>
          </w:tcPr>
          <w:p w14:paraId="3E28FAB8" w14:textId="77777777" w:rsidR="00B53316" w:rsidRPr="00D618B7" w:rsidRDefault="00B53316" w:rsidP="004B11B7">
            <w:pPr>
              <w:jc w:val="right"/>
              <w:rPr>
                <w:color w:val="000000"/>
                <w:sz w:val="22"/>
                <w:szCs w:val="22"/>
              </w:rPr>
            </w:pPr>
            <w:r w:rsidRPr="00D618B7">
              <w:rPr>
                <w:color w:val="000000"/>
                <w:sz w:val="22"/>
                <w:szCs w:val="22"/>
              </w:rPr>
              <w:t>0.24</w:t>
            </w:r>
          </w:p>
        </w:tc>
        <w:tc>
          <w:tcPr>
            <w:tcW w:w="892" w:type="pct"/>
            <w:tcBorders>
              <w:top w:val="nil"/>
              <w:left w:val="nil"/>
              <w:bottom w:val="nil"/>
              <w:right w:val="nil"/>
            </w:tcBorders>
            <w:shd w:val="clear" w:color="000000" w:fill="FFFFFF"/>
            <w:noWrap/>
            <w:vAlign w:val="center"/>
            <w:hideMark/>
          </w:tcPr>
          <w:p w14:paraId="45274773" w14:textId="77777777" w:rsidR="00B53316" w:rsidRPr="00D618B7" w:rsidRDefault="00B53316" w:rsidP="004B11B7">
            <w:pPr>
              <w:jc w:val="right"/>
              <w:rPr>
                <w:color w:val="000000"/>
                <w:sz w:val="22"/>
                <w:szCs w:val="22"/>
              </w:rPr>
            </w:pPr>
            <w:r w:rsidRPr="00D618B7">
              <w:rPr>
                <w:color w:val="000000"/>
                <w:sz w:val="22"/>
                <w:szCs w:val="22"/>
              </w:rPr>
              <w:t>0.25</w:t>
            </w:r>
          </w:p>
        </w:tc>
        <w:tc>
          <w:tcPr>
            <w:tcW w:w="536" w:type="pct"/>
            <w:tcBorders>
              <w:top w:val="nil"/>
              <w:left w:val="nil"/>
              <w:bottom w:val="nil"/>
              <w:right w:val="nil"/>
            </w:tcBorders>
            <w:shd w:val="clear" w:color="000000" w:fill="FFFFFF"/>
            <w:noWrap/>
            <w:vAlign w:val="center"/>
            <w:hideMark/>
          </w:tcPr>
          <w:p w14:paraId="0EECE21E" w14:textId="77777777" w:rsidR="00B53316" w:rsidRPr="00D618B7" w:rsidRDefault="00B53316" w:rsidP="004B11B7">
            <w:pPr>
              <w:jc w:val="right"/>
              <w:rPr>
                <w:color w:val="000000"/>
                <w:sz w:val="22"/>
                <w:szCs w:val="22"/>
              </w:rPr>
            </w:pPr>
            <w:r w:rsidRPr="00D618B7">
              <w:rPr>
                <w:color w:val="000000"/>
                <w:sz w:val="22"/>
                <w:szCs w:val="22"/>
              </w:rPr>
              <w:t>-0.15</w:t>
            </w:r>
          </w:p>
        </w:tc>
        <w:tc>
          <w:tcPr>
            <w:tcW w:w="892" w:type="pct"/>
            <w:tcBorders>
              <w:top w:val="nil"/>
              <w:left w:val="nil"/>
              <w:bottom w:val="nil"/>
              <w:right w:val="nil"/>
            </w:tcBorders>
            <w:shd w:val="clear" w:color="000000" w:fill="FFFFFF"/>
            <w:noWrap/>
            <w:vAlign w:val="center"/>
            <w:hideMark/>
          </w:tcPr>
          <w:p w14:paraId="30AB5C7C" w14:textId="77777777" w:rsidR="00B53316" w:rsidRPr="00D618B7" w:rsidRDefault="00B53316" w:rsidP="004B11B7">
            <w:pPr>
              <w:jc w:val="right"/>
              <w:rPr>
                <w:color w:val="000000"/>
                <w:sz w:val="22"/>
                <w:szCs w:val="22"/>
              </w:rPr>
            </w:pPr>
            <w:r w:rsidRPr="00D618B7">
              <w:rPr>
                <w:color w:val="000000"/>
                <w:sz w:val="22"/>
                <w:szCs w:val="22"/>
              </w:rPr>
              <w:t>0.10</w:t>
            </w:r>
          </w:p>
        </w:tc>
        <w:tc>
          <w:tcPr>
            <w:tcW w:w="548" w:type="pct"/>
            <w:tcBorders>
              <w:top w:val="nil"/>
              <w:left w:val="nil"/>
              <w:bottom w:val="nil"/>
              <w:right w:val="nil"/>
            </w:tcBorders>
            <w:shd w:val="clear" w:color="000000" w:fill="FFFFFF"/>
            <w:noWrap/>
            <w:vAlign w:val="center"/>
            <w:hideMark/>
          </w:tcPr>
          <w:p w14:paraId="3907D4BE" w14:textId="77777777" w:rsidR="00B53316" w:rsidRPr="00D618B7" w:rsidRDefault="00B53316" w:rsidP="004B11B7">
            <w:pPr>
              <w:jc w:val="right"/>
              <w:rPr>
                <w:color w:val="000000"/>
                <w:sz w:val="22"/>
                <w:szCs w:val="22"/>
              </w:rPr>
            </w:pPr>
            <w:r w:rsidRPr="00D618B7">
              <w:rPr>
                <w:color w:val="000000"/>
                <w:sz w:val="22"/>
                <w:szCs w:val="22"/>
              </w:rPr>
              <w:t>0.57</w:t>
            </w:r>
          </w:p>
        </w:tc>
        <w:tc>
          <w:tcPr>
            <w:tcW w:w="881" w:type="pct"/>
            <w:tcBorders>
              <w:top w:val="nil"/>
              <w:left w:val="nil"/>
              <w:bottom w:val="nil"/>
              <w:right w:val="nil"/>
            </w:tcBorders>
            <w:shd w:val="clear" w:color="000000" w:fill="FFFFFF"/>
            <w:noWrap/>
            <w:vAlign w:val="center"/>
            <w:hideMark/>
          </w:tcPr>
          <w:p w14:paraId="7C7952BD" w14:textId="77777777" w:rsidR="00B53316" w:rsidRPr="00D618B7" w:rsidRDefault="00B53316" w:rsidP="004B11B7">
            <w:pPr>
              <w:jc w:val="right"/>
              <w:rPr>
                <w:color w:val="000000"/>
                <w:sz w:val="22"/>
                <w:szCs w:val="22"/>
              </w:rPr>
            </w:pPr>
            <w:r w:rsidRPr="00D618B7">
              <w:rPr>
                <w:color w:val="000000"/>
                <w:sz w:val="22"/>
                <w:szCs w:val="22"/>
              </w:rPr>
              <w:t>0.38</w:t>
            </w:r>
          </w:p>
        </w:tc>
      </w:tr>
      <w:tr w:rsidR="003B5FE0" w:rsidRPr="00D618B7" w14:paraId="2E06B570" w14:textId="77777777" w:rsidTr="003B5FE0">
        <w:trPr>
          <w:trHeight w:val="258"/>
        </w:trPr>
        <w:tc>
          <w:tcPr>
            <w:tcW w:w="713" w:type="pct"/>
            <w:tcBorders>
              <w:top w:val="nil"/>
              <w:left w:val="nil"/>
              <w:bottom w:val="single" w:sz="8" w:space="0" w:color="auto"/>
              <w:right w:val="nil"/>
            </w:tcBorders>
            <w:shd w:val="clear" w:color="000000" w:fill="FFFFFF"/>
            <w:vAlign w:val="center"/>
            <w:hideMark/>
          </w:tcPr>
          <w:p w14:paraId="14FD297C" w14:textId="77777777" w:rsidR="00B53316" w:rsidRPr="00D618B7" w:rsidRDefault="00B53316" w:rsidP="004B11B7">
            <w:pPr>
              <w:jc w:val="right"/>
              <w:rPr>
                <w:color w:val="000000"/>
                <w:sz w:val="22"/>
                <w:szCs w:val="22"/>
              </w:rPr>
            </w:pPr>
            <w:r w:rsidRPr="00D618B7">
              <w:rPr>
                <w:color w:val="000000"/>
                <w:sz w:val="22"/>
                <w:szCs w:val="22"/>
              </w:rPr>
              <w:t>5.00</w:t>
            </w:r>
          </w:p>
        </w:tc>
        <w:tc>
          <w:tcPr>
            <w:tcW w:w="536" w:type="pct"/>
            <w:tcBorders>
              <w:top w:val="nil"/>
              <w:left w:val="nil"/>
              <w:bottom w:val="single" w:sz="8" w:space="0" w:color="auto"/>
              <w:right w:val="nil"/>
            </w:tcBorders>
            <w:shd w:val="clear" w:color="000000" w:fill="FFFFFF"/>
            <w:noWrap/>
            <w:vAlign w:val="center"/>
            <w:hideMark/>
          </w:tcPr>
          <w:p w14:paraId="4F2D3AA2" w14:textId="77777777" w:rsidR="00B53316" w:rsidRPr="00D618B7" w:rsidRDefault="00B53316" w:rsidP="004B11B7">
            <w:pPr>
              <w:jc w:val="right"/>
              <w:rPr>
                <w:color w:val="000000"/>
                <w:sz w:val="22"/>
                <w:szCs w:val="22"/>
              </w:rPr>
            </w:pPr>
            <w:r w:rsidRPr="00D618B7">
              <w:rPr>
                <w:color w:val="000000"/>
                <w:sz w:val="22"/>
                <w:szCs w:val="22"/>
              </w:rPr>
              <w:t>0.26</w:t>
            </w:r>
          </w:p>
        </w:tc>
        <w:tc>
          <w:tcPr>
            <w:tcW w:w="892" w:type="pct"/>
            <w:tcBorders>
              <w:top w:val="nil"/>
              <w:left w:val="nil"/>
              <w:bottom w:val="single" w:sz="8" w:space="0" w:color="auto"/>
              <w:right w:val="nil"/>
            </w:tcBorders>
            <w:shd w:val="clear" w:color="000000" w:fill="FFFFFF"/>
            <w:noWrap/>
            <w:vAlign w:val="center"/>
            <w:hideMark/>
          </w:tcPr>
          <w:p w14:paraId="152F48B9" w14:textId="77777777" w:rsidR="00B53316" w:rsidRPr="00D618B7" w:rsidRDefault="00B53316" w:rsidP="004B11B7">
            <w:pPr>
              <w:jc w:val="right"/>
              <w:rPr>
                <w:color w:val="000000"/>
                <w:sz w:val="22"/>
                <w:szCs w:val="22"/>
              </w:rPr>
            </w:pPr>
            <w:r w:rsidRPr="00D618B7">
              <w:rPr>
                <w:color w:val="000000"/>
                <w:sz w:val="22"/>
                <w:szCs w:val="22"/>
              </w:rPr>
              <w:t>0.20</w:t>
            </w:r>
          </w:p>
        </w:tc>
        <w:tc>
          <w:tcPr>
            <w:tcW w:w="536" w:type="pct"/>
            <w:tcBorders>
              <w:top w:val="nil"/>
              <w:left w:val="nil"/>
              <w:bottom w:val="single" w:sz="8" w:space="0" w:color="auto"/>
              <w:right w:val="nil"/>
            </w:tcBorders>
            <w:shd w:val="clear" w:color="000000" w:fill="FFFFFF"/>
            <w:noWrap/>
            <w:vAlign w:val="center"/>
            <w:hideMark/>
          </w:tcPr>
          <w:p w14:paraId="52059BF3" w14:textId="77777777" w:rsidR="00B53316" w:rsidRPr="00D618B7" w:rsidRDefault="00B53316" w:rsidP="004B11B7">
            <w:pPr>
              <w:jc w:val="right"/>
              <w:rPr>
                <w:color w:val="000000"/>
                <w:sz w:val="22"/>
                <w:szCs w:val="22"/>
              </w:rPr>
            </w:pPr>
            <w:r w:rsidRPr="00D618B7">
              <w:rPr>
                <w:color w:val="000000"/>
                <w:sz w:val="22"/>
                <w:szCs w:val="22"/>
              </w:rPr>
              <w:t>-0.21</w:t>
            </w:r>
          </w:p>
        </w:tc>
        <w:tc>
          <w:tcPr>
            <w:tcW w:w="892" w:type="pct"/>
            <w:tcBorders>
              <w:top w:val="nil"/>
              <w:left w:val="nil"/>
              <w:bottom w:val="single" w:sz="8" w:space="0" w:color="auto"/>
              <w:right w:val="nil"/>
            </w:tcBorders>
            <w:shd w:val="clear" w:color="000000" w:fill="FFFFFF"/>
            <w:noWrap/>
            <w:vAlign w:val="center"/>
            <w:hideMark/>
          </w:tcPr>
          <w:p w14:paraId="3C3CA2B4" w14:textId="77777777" w:rsidR="00B53316" w:rsidRPr="00D618B7" w:rsidRDefault="00B53316" w:rsidP="004B11B7">
            <w:pPr>
              <w:jc w:val="right"/>
              <w:rPr>
                <w:color w:val="000000"/>
                <w:sz w:val="22"/>
                <w:szCs w:val="22"/>
              </w:rPr>
            </w:pPr>
            <w:r w:rsidRPr="00D618B7">
              <w:rPr>
                <w:color w:val="000000"/>
                <w:sz w:val="22"/>
                <w:szCs w:val="22"/>
              </w:rPr>
              <w:t>0.10</w:t>
            </w:r>
          </w:p>
        </w:tc>
        <w:tc>
          <w:tcPr>
            <w:tcW w:w="548" w:type="pct"/>
            <w:tcBorders>
              <w:top w:val="nil"/>
              <w:left w:val="nil"/>
              <w:bottom w:val="single" w:sz="8" w:space="0" w:color="auto"/>
              <w:right w:val="nil"/>
            </w:tcBorders>
            <w:shd w:val="clear" w:color="000000" w:fill="FFFFFF"/>
            <w:noWrap/>
            <w:vAlign w:val="center"/>
            <w:hideMark/>
          </w:tcPr>
          <w:p w14:paraId="7D3A9CAB" w14:textId="77777777" w:rsidR="00B53316" w:rsidRPr="00D618B7" w:rsidRDefault="00B53316" w:rsidP="004B11B7">
            <w:pPr>
              <w:jc w:val="right"/>
              <w:rPr>
                <w:color w:val="000000"/>
                <w:sz w:val="22"/>
                <w:szCs w:val="22"/>
              </w:rPr>
            </w:pPr>
            <w:r w:rsidRPr="00D618B7">
              <w:rPr>
                <w:color w:val="000000"/>
                <w:sz w:val="22"/>
                <w:szCs w:val="22"/>
              </w:rPr>
              <w:t>0.57</w:t>
            </w:r>
          </w:p>
        </w:tc>
        <w:tc>
          <w:tcPr>
            <w:tcW w:w="881" w:type="pct"/>
            <w:tcBorders>
              <w:top w:val="nil"/>
              <w:left w:val="nil"/>
              <w:bottom w:val="single" w:sz="8" w:space="0" w:color="auto"/>
              <w:right w:val="nil"/>
            </w:tcBorders>
            <w:shd w:val="clear" w:color="000000" w:fill="FFFFFF"/>
            <w:noWrap/>
            <w:vAlign w:val="center"/>
            <w:hideMark/>
          </w:tcPr>
          <w:p w14:paraId="4C993EB0" w14:textId="77777777" w:rsidR="00B53316" w:rsidRPr="00D618B7" w:rsidRDefault="00B53316" w:rsidP="004B11B7">
            <w:pPr>
              <w:jc w:val="right"/>
              <w:rPr>
                <w:color w:val="000000"/>
                <w:sz w:val="22"/>
                <w:szCs w:val="22"/>
              </w:rPr>
            </w:pPr>
            <w:r w:rsidRPr="00D618B7">
              <w:rPr>
                <w:color w:val="000000"/>
                <w:sz w:val="22"/>
                <w:szCs w:val="22"/>
              </w:rPr>
              <w:t>0.64</w:t>
            </w:r>
          </w:p>
        </w:tc>
      </w:tr>
    </w:tbl>
    <w:p w14:paraId="7B3AF635" w14:textId="77777777" w:rsidR="00B53316" w:rsidRPr="00D618B7" w:rsidRDefault="00B53316" w:rsidP="00B53316">
      <w:r w:rsidRPr="00D618B7">
        <w:rPr>
          <w:i/>
          <w:iCs/>
        </w:rPr>
        <w:t>Note</w:t>
      </w:r>
      <w:r w:rsidRPr="00D618B7">
        <w:t>: This table lists the estimated mean frequency and standard errors for face, hand, and mouth events for toy-out-of-reach, toy-moving-into-reach, and toy-in-reach for each week of observation around reach-onset for the late reach group.</w:t>
      </w:r>
    </w:p>
    <w:p w14:paraId="53947CD1" w14:textId="77777777" w:rsidR="00E7168B" w:rsidRPr="00D618B7" w:rsidRDefault="00E7168B" w:rsidP="00B53316"/>
    <w:p w14:paraId="4EC708B3" w14:textId="77777777" w:rsidR="00E7168B" w:rsidRPr="00D618B7" w:rsidRDefault="00E7168B" w:rsidP="00B53316"/>
    <w:p w14:paraId="472BE0C8" w14:textId="77777777" w:rsidR="00E7168B" w:rsidRPr="00D618B7" w:rsidRDefault="00E7168B" w:rsidP="00E7168B">
      <w:pPr>
        <w:rPr>
          <w:i/>
          <w:iCs/>
        </w:rPr>
      </w:pPr>
      <w:r w:rsidRPr="00D618B7">
        <w:rPr>
          <w:noProof/>
        </w:rPr>
        <w:lastRenderedPageBreak/>
        <w:drawing>
          <wp:inline distT="0" distB="0" distL="0" distR="0" wp14:anchorId="3D08A8A7" wp14:editId="2DD42800">
            <wp:extent cx="5943600" cy="3394710"/>
            <wp:effectExtent l="0" t="0" r="0" b="0"/>
            <wp:docPr id="1519796357" name="Chart 1">
              <a:extLst xmlns:a="http://schemas.openxmlformats.org/drawingml/2006/main">
                <a:ext uri="{FF2B5EF4-FFF2-40B4-BE49-F238E27FC236}">
                  <a16:creationId xmlns:a16="http://schemas.microsoft.com/office/drawing/2014/main" id="{22294B23-55B4-4E1F-81ED-33AC05E80F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D618B7">
        <w:rPr>
          <w:i/>
          <w:iCs/>
          <w:noProof/>
        </w:rPr>
        <w:drawing>
          <wp:inline distT="0" distB="0" distL="0" distR="0" wp14:anchorId="3BAF3AAA" wp14:editId="2718ED6A">
            <wp:extent cx="5943600" cy="3291840"/>
            <wp:effectExtent l="0" t="0" r="0" b="3810"/>
            <wp:docPr id="866296252" name="Chart 2">
              <a:extLst xmlns:a="http://schemas.openxmlformats.org/drawingml/2006/main">
                <a:ext uri="{FF2B5EF4-FFF2-40B4-BE49-F238E27FC236}">
                  <a16:creationId xmlns:a16="http://schemas.microsoft.com/office/drawing/2014/main" id="{9FE108A1-C71C-466C-B06A-3F10665CCE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EE01B85" w14:textId="77777777" w:rsidR="00F11AB1" w:rsidRPr="00D618B7" w:rsidRDefault="00F11AB1" w:rsidP="00F11AB1">
      <w:pPr>
        <w:pStyle w:val="Caption"/>
      </w:pPr>
      <w:bookmarkStart w:id="193" w:name="_Toc172716963"/>
      <w:r w:rsidRPr="00D618B7">
        <w:t xml:space="preserve">Figure </w:t>
      </w:r>
      <w:r>
        <w:fldChar w:fldCharType="begin"/>
      </w:r>
      <w:r>
        <w:instrText xml:space="preserve"> SEQ Figure \* ARABIC </w:instrText>
      </w:r>
      <w:r>
        <w:fldChar w:fldCharType="separate"/>
      </w:r>
      <w:r>
        <w:rPr>
          <w:noProof/>
        </w:rPr>
        <w:t>23</w:t>
      </w:r>
      <w:r>
        <w:rPr>
          <w:noProof/>
        </w:rPr>
        <w:fldChar w:fldCharType="end"/>
      </w:r>
      <w:r>
        <w:rPr>
          <w:noProof/>
        </w:rPr>
        <w:t>:</w:t>
      </w:r>
      <w:r w:rsidRPr="004A7672">
        <w:t xml:space="preserve"> </w:t>
      </w:r>
      <w:r>
        <w:t>Event rate</w:t>
      </w:r>
      <w:r w:rsidRPr="00BA36EF">
        <w:t xml:space="preserve"> by </w:t>
      </w:r>
      <w:r>
        <w:t>type and week by group</w:t>
      </w:r>
      <w:bookmarkEnd w:id="193"/>
    </w:p>
    <w:p w14:paraId="064DB1B9" w14:textId="77777777" w:rsidR="00F11AB1" w:rsidRDefault="00F11AB1" w:rsidP="00F11AB1"/>
    <w:p w14:paraId="568CB7C0" w14:textId="6F7212F2" w:rsidR="00F11AB1" w:rsidRPr="00D618B7" w:rsidRDefault="00F11AB1" w:rsidP="00F11AB1">
      <w:r w:rsidRPr="00D618B7">
        <w:t>Estimated Mean Rate of Event per Trial by Type and Week by Group</w:t>
      </w:r>
    </w:p>
    <w:p w14:paraId="1BE073B8" w14:textId="63288E7C" w:rsidR="00E7168B" w:rsidRPr="00D618B7" w:rsidRDefault="00E7168B" w:rsidP="00E7168B">
      <w:r w:rsidRPr="00D618B7">
        <w:rPr>
          <w:i/>
          <w:iCs/>
        </w:rPr>
        <w:t>Note</w:t>
      </w:r>
      <w:r w:rsidRPr="00D618B7">
        <w:t>. This figure illustrates the estimated mean rate of face, hand, and mouth events per trial for each week of observation around reach-onset by group. Error bars show standard error.</w:t>
      </w:r>
    </w:p>
    <w:p w14:paraId="79D1F22F" w14:textId="35DA146D" w:rsidR="00E7168B" w:rsidRPr="00D618B7" w:rsidRDefault="00E7168B" w:rsidP="007C5074">
      <w:pPr>
        <w:pStyle w:val="Caption"/>
      </w:pPr>
      <w:bookmarkStart w:id="194" w:name="_Toc172716880"/>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52</w:t>
      </w:r>
      <w:r w:rsidR="00000000">
        <w:rPr>
          <w:noProof/>
        </w:rPr>
        <w:fldChar w:fldCharType="end"/>
      </w:r>
      <w:r w:rsidR="00940E58">
        <w:rPr>
          <w:noProof/>
        </w:rPr>
        <w:t>:</w:t>
      </w:r>
      <w:r w:rsidR="00205741" w:rsidRPr="00205741">
        <w:t xml:space="preserve"> </w:t>
      </w:r>
      <w:r w:rsidR="00205741">
        <w:t>Event rate</w:t>
      </w:r>
      <w:r w:rsidR="00205741" w:rsidRPr="00BA36EF">
        <w:t xml:space="preserve"> by </w:t>
      </w:r>
      <w:r w:rsidR="00205741">
        <w:t>group</w:t>
      </w:r>
      <w:bookmarkEnd w:id="194"/>
    </w:p>
    <w:p w14:paraId="0644FA4D" w14:textId="77777777" w:rsidR="00E7168B" w:rsidRPr="00D618B7" w:rsidRDefault="00E7168B" w:rsidP="00E7168B">
      <w:r w:rsidRPr="00D618B7">
        <w:t>Estimated Mean Rate of Events per Trial by Group</w:t>
      </w:r>
    </w:p>
    <w:tbl>
      <w:tblPr>
        <w:tblW w:w="5000" w:type="pct"/>
        <w:tblLook w:val="04A0" w:firstRow="1" w:lastRow="0" w:firstColumn="1" w:lastColumn="0" w:noHBand="0" w:noVBand="1"/>
      </w:tblPr>
      <w:tblGrid>
        <w:gridCol w:w="4922"/>
        <w:gridCol w:w="1859"/>
        <w:gridCol w:w="1859"/>
      </w:tblGrid>
      <w:tr w:rsidR="00E7168B" w:rsidRPr="00D618B7" w14:paraId="34611CCB" w14:textId="77777777" w:rsidTr="004B11B7">
        <w:trPr>
          <w:trHeight w:val="346"/>
        </w:trPr>
        <w:tc>
          <w:tcPr>
            <w:tcW w:w="2848" w:type="pct"/>
            <w:tcBorders>
              <w:top w:val="nil"/>
              <w:left w:val="nil"/>
              <w:bottom w:val="single" w:sz="8" w:space="0" w:color="auto"/>
              <w:right w:val="nil"/>
            </w:tcBorders>
            <w:shd w:val="clear" w:color="auto" w:fill="auto"/>
            <w:noWrap/>
            <w:vAlign w:val="bottom"/>
            <w:hideMark/>
          </w:tcPr>
          <w:p w14:paraId="1F430DF4" w14:textId="77777777" w:rsidR="00E7168B" w:rsidRPr="00D618B7" w:rsidRDefault="00E7168B"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6A7B0309" w14:textId="77777777" w:rsidR="00E7168B" w:rsidRPr="00D618B7" w:rsidRDefault="00E7168B"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0C304F5B" w14:textId="77777777" w:rsidR="00E7168B" w:rsidRPr="00D618B7" w:rsidRDefault="00E7168B" w:rsidP="004B11B7">
            <w:pPr>
              <w:rPr>
                <w:color w:val="000000"/>
              </w:rPr>
            </w:pPr>
            <w:r w:rsidRPr="00D618B7">
              <w:rPr>
                <w:color w:val="000000"/>
              </w:rPr>
              <w:t> </w:t>
            </w:r>
          </w:p>
        </w:tc>
      </w:tr>
      <w:tr w:rsidR="00E7168B" w:rsidRPr="00D618B7" w14:paraId="637B6C60" w14:textId="77777777" w:rsidTr="004B11B7">
        <w:trPr>
          <w:trHeight w:val="346"/>
        </w:trPr>
        <w:tc>
          <w:tcPr>
            <w:tcW w:w="2848" w:type="pct"/>
            <w:tcBorders>
              <w:top w:val="nil"/>
              <w:left w:val="nil"/>
              <w:bottom w:val="single" w:sz="8" w:space="0" w:color="auto"/>
              <w:right w:val="nil"/>
            </w:tcBorders>
            <w:shd w:val="clear" w:color="000000" w:fill="FFFFFF"/>
            <w:vAlign w:val="center"/>
            <w:hideMark/>
          </w:tcPr>
          <w:p w14:paraId="0C9A5D35" w14:textId="77777777" w:rsidR="00E7168B" w:rsidRPr="00D618B7" w:rsidRDefault="00E7168B" w:rsidP="004B11B7">
            <w:pPr>
              <w:rPr>
                <w:color w:val="000000"/>
              </w:rPr>
            </w:pPr>
            <w:r w:rsidRPr="00D618B7">
              <w:rPr>
                <w:color w:val="000000"/>
              </w:rPr>
              <w:t>Week</w:t>
            </w:r>
          </w:p>
        </w:tc>
        <w:tc>
          <w:tcPr>
            <w:tcW w:w="1076" w:type="pct"/>
            <w:tcBorders>
              <w:top w:val="nil"/>
              <w:left w:val="nil"/>
              <w:bottom w:val="single" w:sz="8" w:space="0" w:color="auto"/>
              <w:right w:val="nil"/>
            </w:tcBorders>
            <w:shd w:val="clear" w:color="000000" w:fill="FFFFFF"/>
            <w:noWrap/>
            <w:vAlign w:val="center"/>
            <w:hideMark/>
          </w:tcPr>
          <w:p w14:paraId="18F67C58" w14:textId="77777777" w:rsidR="00E7168B" w:rsidRPr="00D618B7" w:rsidRDefault="00E7168B" w:rsidP="004B11B7">
            <w:pPr>
              <w:jc w:val="right"/>
              <w:rPr>
                <w:color w:val="000000"/>
              </w:rPr>
            </w:pPr>
            <w:r w:rsidRPr="00D618B7">
              <w:rPr>
                <w:color w:val="000000"/>
              </w:rPr>
              <w:t>Mean</w:t>
            </w:r>
          </w:p>
        </w:tc>
        <w:tc>
          <w:tcPr>
            <w:tcW w:w="1076" w:type="pct"/>
            <w:tcBorders>
              <w:top w:val="nil"/>
              <w:left w:val="nil"/>
              <w:bottom w:val="single" w:sz="8" w:space="0" w:color="auto"/>
              <w:right w:val="nil"/>
            </w:tcBorders>
            <w:shd w:val="clear" w:color="000000" w:fill="FFFFFF"/>
            <w:noWrap/>
            <w:vAlign w:val="center"/>
            <w:hideMark/>
          </w:tcPr>
          <w:p w14:paraId="430CF763" w14:textId="77777777" w:rsidR="00E7168B" w:rsidRPr="00D618B7" w:rsidRDefault="00E7168B" w:rsidP="004B11B7">
            <w:pPr>
              <w:jc w:val="right"/>
              <w:rPr>
                <w:color w:val="000000"/>
              </w:rPr>
            </w:pPr>
            <w:r w:rsidRPr="00D618B7">
              <w:rPr>
                <w:color w:val="000000"/>
              </w:rPr>
              <w:t>Std. Error</w:t>
            </w:r>
          </w:p>
        </w:tc>
      </w:tr>
      <w:tr w:rsidR="00E7168B" w:rsidRPr="00D618B7" w14:paraId="1C010DA1" w14:textId="77777777" w:rsidTr="004B11B7">
        <w:trPr>
          <w:trHeight w:val="346"/>
        </w:trPr>
        <w:tc>
          <w:tcPr>
            <w:tcW w:w="2848" w:type="pct"/>
            <w:tcBorders>
              <w:top w:val="nil"/>
              <w:left w:val="nil"/>
              <w:bottom w:val="nil"/>
              <w:right w:val="nil"/>
            </w:tcBorders>
            <w:shd w:val="clear" w:color="000000" w:fill="FFFFFF"/>
            <w:vAlign w:val="center"/>
            <w:hideMark/>
          </w:tcPr>
          <w:p w14:paraId="10F98FCC" w14:textId="77777777" w:rsidR="00E7168B" w:rsidRPr="00D618B7" w:rsidRDefault="00E7168B" w:rsidP="004B11B7">
            <w:pPr>
              <w:rPr>
                <w:color w:val="000000"/>
              </w:rPr>
            </w:pPr>
            <w:r w:rsidRPr="00D618B7">
              <w:rPr>
                <w:color w:val="000000"/>
              </w:rPr>
              <w:t>Early Reach Group</w:t>
            </w:r>
          </w:p>
        </w:tc>
        <w:tc>
          <w:tcPr>
            <w:tcW w:w="1076" w:type="pct"/>
            <w:tcBorders>
              <w:top w:val="nil"/>
              <w:left w:val="nil"/>
              <w:bottom w:val="nil"/>
              <w:right w:val="nil"/>
            </w:tcBorders>
            <w:shd w:val="clear" w:color="000000" w:fill="FFFFFF"/>
            <w:noWrap/>
            <w:vAlign w:val="center"/>
            <w:hideMark/>
          </w:tcPr>
          <w:p w14:paraId="510E2E52" w14:textId="77777777" w:rsidR="00E7168B" w:rsidRPr="00D618B7" w:rsidRDefault="00E7168B" w:rsidP="004B11B7">
            <w:pPr>
              <w:jc w:val="right"/>
              <w:rPr>
                <w:color w:val="000000"/>
              </w:rPr>
            </w:pPr>
            <w:r w:rsidRPr="00D618B7">
              <w:rPr>
                <w:color w:val="000000"/>
              </w:rPr>
              <w:t>0.0043</w:t>
            </w:r>
          </w:p>
        </w:tc>
        <w:tc>
          <w:tcPr>
            <w:tcW w:w="1076" w:type="pct"/>
            <w:tcBorders>
              <w:top w:val="nil"/>
              <w:left w:val="nil"/>
              <w:bottom w:val="nil"/>
              <w:right w:val="nil"/>
            </w:tcBorders>
            <w:shd w:val="clear" w:color="000000" w:fill="FFFFFF"/>
            <w:noWrap/>
            <w:vAlign w:val="center"/>
            <w:hideMark/>
          </w:tcPr>
          <w:p w14:paraId="2813D5E2" w14:textId="77777777" w:rsidR="00E7168B" w:rsidRPr="00D618B7" w:rsidRDefault="00E7168B" w:rsidP="004B11B7">
            <w:pPr>
              <w:jc w:val="right"/>
              <w:rPr>
                <w:color w:val="000000"/>
              </w:rPr>
            </w:pPr>
            <w:r w:rsidRPr="00D618B7">
              <w:rPr>
                <w:color w:val="000000"/>
              </w:rPr>
              <w:t>0.0003</w:t>
            </w:r>
          </w:p>
        </w:tc>
      </w:tr>
      <w:tr w:rsidR="00E7168B" w:rsidRPr="00D618B7" w14:paraId="3409597A" w14:textId="77777777" w:rsidTr="004B11B7">
        <w:trPr>
          <w:trHeight w:val="346"/>
        </w:trPr>
        <w:tc>
          <w:tcPr>
            <w:tcW w:w="2848" w:type="pct"/>
            <w:tcBorders>
              <w:top w:val="nil"/>
              <w:left w:val="nil"/>
              <w:bottom w:val="single" w:sz="8" w:space="0" w:color="auto"/>
              <w:right w:val="nil"/>
            </w:tcBorders>
            <w:shd w:val="clear" w:color="000000" w:fill="FFFFFF"/>
            <w:vAlign w:val="center"/>
            <w:hideMark/>
          </w:tcPr>
          <w:p w14:paraId="6F749AC0" w14:textId="77777777" w:rsidR="00E7168B" w:rsidRPr="00D618B7" w:rsidRDefault="00E7168B" w:rsidP="004B11B7">
            <w:pPr>
              <w:rPr>
                <w:color w:val="000000"/>
              </w:rPr>
            </w:pPr>
            <w:r w:rsidRPr="00D618B7">
              <w:rPr>
                <w:color w:val="000000"/>
              </w:rPr>
              <w:t>Late Reach Group</w:t>
            </w:r>
          </w:p>
        </w:tc>
        <w:tc>
          <w:tcPr>
            <w:tcW w:w="1076" w:type="pct"/>
            <w:tcBorders>
              <w:top w:val="nil"/>
              <w:left w:val="nil"/>
              <w:bottom w:val="single" w:sz="8" w:space="0" w:color="auto"/>
              <w:right w:val="nil"/>
            </w:tcBorders>
            <w:shd w:val="clear" w:color="000000" w:fill="FFFFFF"/>
            <w:noWrap/>
            <w:vAlign w:val="center"/>
            <w:hideMark/>
          </w:tcPr>
          <w:p w14:paraId="6761999B" w14:textId="77777777" w:rsidR="00E7168B" w:rsidRPr="00D618B7" w:rsidRDefault="00E7168B" w:rsidP="004B11B7">
            <w:pPr>
              <w:jc w:val="right"/>
              <w:rPr>
                <w:color w:val="000000"/>
              </w:rPr>
            </w:pPr>
            <w:r w:rsidRPr="00D618B7">
              <w:rPr>
                <w:color w:val="000000"/>
              </w:rPr>
              <w:t>0.0023</w:t>
            </w:r>
          </w:p>
        </w:tc>
        <w:tc>
          <w:tcPr>
            <w:tcW w:w="1076" w:type="pct"/>
            <w:tcBorders>
              <w:top w:val="nil"/>
              <w:left w:val="nil"/>
              <w:bottom w:val="single" w:sz="8" w:space="0" w:color="auto"/>
              <w:right w:val="nil"/>
            </w:tcBorders>
            <w:shd w:val="clear" w:color="000000" w:fill="FFFFFF"/>
            <w:noWrap/>
            <w:vAlign w:val="center"/>
            <w:hideMark/>
          </w:tcPr>
          <w:p w14:paraId="264EB1D7" w14:textId="77777777" w:rsidR="00E7168B" w:rsidRPr="00D618B7" w:rsidRDefault="00E7168B" w:rsidP="004B11B7">
            <w:pPr>
              <w:jc w:val="right"/>
              <w:rPr>
                <w:color w:val="000000"/>
              </w:rPr>
            </w:pPr>
            <w:r w:rsidRPr="00D618B7">
              <w:rPr>
                <w:color w:val="000000"/>
              </w:rPr>
              <w:t>0.0003</w:t>
            </w:r>
          </w:p>
        </w:tc>
      </w:tr>
    </w:tbl>
    <w:p w14:paraId="65BA6506" w14:textId="77777777" w:rsidR="00E7168B" w:rsidRPr="00D618B7" w:rsidRDefault="00E7168B" w:rsidP="00E7168B">
      <w:pPr>
        <w:rPr>
          <w:i/>
          <w:iCs/>
        </w:rPr>
      </w:pPr>
    </w:p>
    <w:p w14:paraId="3AC290DD" w14:textId="77777777" w:rsidR="00E7168B" w:rsidRPr="00D618B7" w:rsidRDefault="00E7168B" w:rsidP="00E7168B">
      <w:r w:rsidRPr="00D618B7">
        <w:rPr>
          <w:i/>
          <w:iCs/>
        </w:rPr>
        <w:t>Note</w:t>
      </w:r>
      <w:r w:rsidRPr="00D618B7">
        <w:t>: This table lists the estimated mean Rate and standard errors for the early and late groups.</w:t>
      </w:r>
    </w:p>
    <w:p w14:paraId="3CBE7E32" w14:textId="77777777" w:rsidR="00E7168B" w:rsidRPr="00D618B7" w:rsidRDefault="00E7168B"/>
    <w:p w14:paraId="6BB0751D" w14:textId="4F1E076F" w:rsidR="00E7168B" w:rsidRPr="00D618B7" w:rsidRDefault="00E7168B" w:rsidP="007C5074">
      <w:pPr>
        <w:pStyle w:val="Caption"/>
      </w:pPr>
      <w:bookmarkStart w:id="195" w:name="_Toc172716881"/>
      <w:r w:rsidRPr="00D618B7">
        <w:t xml:space="preserve">Table </w:t>
      </w:r>
      <w:r w:rsidR="00000000">
        <w:fldChar w:fldCharType="begin"/>
      </w:r>
      <w:r w:rsidR="00000000">
        <w:instrText xml:space="preserve"> SEQ Table \* ARABIC </w:instrText>
      </w:r>
      <w:r w:rsidR="00000000">
        <w:fldChar w:fldCharType="separate"/>
      </w:r>
      <w:r w:rsidR="000C6E43">
        <w:rPr>
          <w:noProof/>
        </w:rPr>
        <w:t>53</w:t>
      </w:r>
      <w:r w:rsidR="00000000">
        <w:rPr>
          <w:noProof/>
        </w:rPr>
        <w:fldChar w:fldCharType="end"/>
      </w:r>
      <w:r w:rsidR="00940E58">
        <w:rPr>
          <w:noProof/>
        </w:rPr>
        <w:t>:</w:t>
      </w:r>
      <w:r w:rsidR="00205741" w:rsidRPr="00205741">
        <w:t xml:space="preserve"> </w:t>
      </w:r>
      <w:r w:rsidR="00205741">
        <w:t>Event rate</w:t>
      </w:r>
      <w:r w:rsidR="00205741" w:rsidRPr="00BA36EF">
        <w:t xml:space="preserve"> by </w:t>
      </w:r>
      <w:r w:rsidR="00205741">
        <w:t>week by group</w:t>
      </w:r>
      <w:bookmarkEnd w:id="195"/>
    </w:p>
    <w:p w14:paraId="69937DCC" w14:textId="0C8BD67F" w:rsidR="00E7168B" w:rsidRPr="00D618B7" w:rsidRDefault="00E7168B" w:rsidP="00E7168B">
      <w:r w:rsidRPr="00D618B7">
        <w:t>Estimated Mean Rate of Events per Trial by Week and Group</w:t>
      </w:r>
    </w:p>
    <w:tbl>
      <w:tblPr>
        <w:tblW w:w="5000" w:type="pct"/>
        <w:tblLook w:val="04A0" w:firstRow="1" w:lastRow="0" w:firstColumn="1" w:lastColumn="0" w:noHBand="0" w:noVBand="1"/>
      </w:tblPr>
      <w:tblGrid>
        <w:gridCol w:w="3440"/>
        <w:gridCol w:w="1300"/>
        <w:gridCol w:w="1302"/>
        <w:gridCol w:w="1299"/>
        <w:gridCol w:w="1299"/>
      </w:tblGrid>
      <w:tr w:rsidR="00E7168B" w:rsidRPr="00D618B7" w14:paraId="0158E025" w14:textId="77777777" w:rsidTr="004B11B7">
        <w:trPr>
          <w:trHeight w:val="284"/>
        </w:trPr>
        <w:tc>
          <w:tcPr>
            <w:tcW w:w="1990" w:type="pct"/>
            <w:tcBorders>
              <w:top w:val="nil"/>
              <w:left w:val="nil"/>
              <w:bottom w:val="single" w:sz="8" w:space="0" w:color="auto"/>
              <w:right w:val="nil"/>
            </w:tcBorders>
            <w:shd w:val="clear" w:color="auto" w:fill="auto"/>
            <w:noWrap/>
            <w:vAlign w:val="bottom"/>
            <w:hideMark/>
          </w:tcPr>
          <w:p w14:paraId="5A4DE189" w14:textId="77777777" w:rsidR="00E7168B" w:rsidRPr="00D618B7" w:rsidRDefault="00E7168B" w:rsidP="004B11B7">
            <w:pPr>
              <w:rPr>
                <w:color w:val="000000"/>
              </w:rPr>
            </w:pPr>
            <w:r w:rsidRPr="00D618B7">
              <w:rPr>
                <w:color w:val="000000"/>
              </w:rPr>
              <w:t> </w:t>
            </w:r>
          </w:p>
        </w:tc>
        <w:tc>
          <w:tcPr>
            <w:tcW w:w="752" w:type="pct"/>
            <w:tcBorders>
              <w:top w:val="nil"/>
              <w:left w:val="nil"/>
              <w:bottom w:val="single" w:sz="8" w:space="0" w:color="auto"/>
              <w:right w:val="nil"/>
            </w:tcBorders>
            <w:shd w:val="clear" w:color="auto" w:fill="auto"/>
            <w:noWrap/>
            <w:vAlign w:val="bottom"/>
            <w:hideMark/>
          </w:tcPr>
          <w:p w14:paraId="78D22A38" w14:textId="77777777" w:rsidR="00E7168B" w:rsidRPr="00D618B7" w:rsidRDefault="00E7168B" w:rsidP="004B11B7">
            <w:pPr>
              <w:rPr>
                <w:color w:val="000000"/>
              </w:rPr>
            </w:pPr>
            <w:r w:rsidRPr="00D618B7">
              <w:rPr>
                <w:color w:val="000000"/>
              </w:rPr>
              <w:t> </w:t>
            </w:r>
          </w:p>
        </w:tc>
        <w:tc>
          <w:tcPr>
            <w:tcW w:w="753" w:type="pct"/>
            <w:tcBorders>
              <w:top w:val="nil"/>
              <w:left w:val="nil"/>
              <w:bottom w:val="single" w:sz="8" w:space="0" w:color="auto"/>
              <w:right w:val="nil"/>
            </w:tcBorders>
            <w:shd w:val="clear" w:color="auto" w:fill="auto"/>
            <w:noWrap/>
            <w:vAlign w:val="bottom"/>
            <w:hideMark/>
          </w:tcPr>
          <w:p w14:paraId="31AAA44D" w14:textId="77777777" w:rsidR="00E7168B" w:rsidRPr="00D618B7" w:rsidRDefault="00E7168B" w:rsidP="004B11B7">
            <w:pPr>
              <w:rPr>
                <w:color w:val="000000"/>
              </w:rPr>
            </w:pPr>
            <w:r w:rsidRPr="00D618B7">
              <w:rPr>
                <w:color w:val="000000"/>
              </w:rPr>
              <w:t> </w:t>
            </w:r>
          </w:p>
        </w:tc>
        <w:tc>
          <w:tcPr>
            <w:tcW w:w="752" w:type="pct"/>
            <w:tcBorders>
              <w:top w:val="nil"/>
              <w:left w:val="nil"/>
              <w:bottom w:val="single" w:sz="8" w:space="0" w:color="auto"/>
              <w:right w:val="nil"/>
            </w:tcBorders>
            <w:shd w:val="clear" w:color="auto" w:fill="auto"/>
            <w:noWrap/>
            <w:vAlign w:val="bottom"/>
            <w:hideMark/>
          </w:tcPr>
          <w:p w14:paraId="7A6DDE7C" w14:textId="77777777" w:rsidR="00E7168B" w:rsidRPr="00D618B7" w:rsidRDefault="00E7168B" w:rsidP="004B11B7">
            <w:pPr>
              <w:rPr>
                <w:color w:val="000000"/>
              </w:rPr>
            </w:pPr>
            <w:r w:rsidRPr="00D618B7">
              <w:rPr>
                <w:color w:val="000000"/>
              </w:rPr>
              <w:t> </w:t>
            </w:r>
          </w:p>
        </w:tc>
        <w:tc>
          <w:tcPr>
            <w:tcW w:w="752" w:type="pct"/>
            <w:tcBorders>
              <w:top w:val="nil"/>
              <w:left w:val="nil"/>
              <w:bottom w:val="single" w:sz="8" w:space="0" w:color="auto"/>
              <w:right w:val="nil"/>
            </w:tcBorders>
            <w:shd w:val="clear" w:color="auto" w:fill="auto"/>
            <w:noWrap/>
            <w:vAlign w:val="bottom"/>
            <w:hideMark/>
          </w:tcPr>
          <w:p w14:paraId="63FD23F2" w14:textId="77777777" w:rsidR="00E7168B" w:rsidRPr="00D618B7" w:rsidRDefault="00E7168B" w:rsidP="004B11B7">
            <w:pPr>
              <w:rPr>
                <w:color w:val="000000"/>
              </w:rPr>
            </w:pPr>
            <w:r w:rsidRPr="00D618B7">
              <w:rPr>
                <w:color w:val="000000"/>
              </w:rPr>
              <w:t> </w:t>
            </w:r>
          </w:p>
        </w:tc>
      </w:tr>
      <w:tr w:rsidR="00E7168B" w:rsidRPr="00D618B7" w14:paraId="794B53A3" w14:textId="77777777" w:rsidTr="004B11B7">
        <w:trPr>
          <w:trHeight w:val="284"/>
        </w:trPr>
        <w:tc>
          <w:tcPr>
            <w:tcW w:w="1990" w:type="pct"/>
            <w:tcBorders>
              <w:top w:val="nil"/>
              <w:left w:val="nil"/>
              <w:bottom w:val="nil"/>
              <w:right w:val="nil"/>
            </w:tcBorders>
            <w:shd w:val="clear" w:color="000000" w:fill="FFFFFF"/>
            <w:vAlign w:val="center"/>
            <w:hideMark/>
          </w:tcPr>
          <w:p w14:paraId="499BAE21" w14:textId="77777777" w:rsidR="00E7168B" w:rsidRPr="00D618B7" w:rsidRDefault="00E7168B" w:rsidP="004B11B7">
            <w:pPr>
              <w:rPr>
                <w:color w:val="000000"/>
              </w:rPr>
            </w:pPr>
            <w:r w:rsidRPr="00D618B7">
              <w:rPr>
                <w:color w:val="000000"/>
              </w:rPr>
              <w:t>Week</w:t>
            </w:r>
          </w:p>
        </w:tc>
        <w:tc>
          <w:tcPr>
            <w:tcW w:w="1505" w:type="pct"/>
            <w:gridSpan w:val="2"/>
            <w:tcBorders>
              <w:top w:val="nil"/>
              <w:left w:val="nil"/>
              <w:bottom w:val="single" w:sz="8" w:space="0" w:color="auto"/>
              <w:right w:val="nil"/>
            </w:tcBorders>
            <w:shd w:val="clear" w:color="000000" w:fill="FFFFFF"/>
            <w:vAlign w:val="center"/>
            <w:hideMark/>
          </w:tcPr>
          <w:p w14:paraId="7473F4CA" w14:textId="77777777" w:rsidR="00E7168B" w:rsidRPr="00D618B7" w:rsidRDefault="00E7168B" w:rsidP="004B11B7">
            <w:pPr>
              <w:jc w:val="center"/>
              <w:rPr>
                <w:color w:val="000000"/>
              </w:rPr>
            </w:pPr>
            <w:r w:rsidRPr="00D618B7">
              <w:rPr>
                <w:color w:val="000000"/>
              </w:rPr>
              <w:t>Early Reach Group</w:t>
            </w:r>
          </w:p>
        </w:tc>
        <w:tc>
          <w:tcPr>
            <w:tcW w:w="1504" w:type="pct"/>
            <w:gridSpan w:val="2"/>
            <w:tcBorders>
              <w:top w:val="nil"/>
              <w:left w:val="nil"/>
              <w:bottom w:val="single" w:sz="8" w:space="0" w:color="auto"/>
              <w:right w:val="nil"/>
            </w:tcBorders>
            <w:shd w:val="clear" w:color="000000" w:fill="FFFFFF"/>
            <w:vAlign w:val="center"/>
            <w:hideMark/>
          </w:tcPr>
          <w:p w14:paraId="1F82D5A8" w14:textId="77777777" w:rsidR="00E7168B" w:rsidRPr="00D618B7" w:rsidRDefault="00E7168B" w:rsidP="004B11B7">
            <w:pPr>
              <w:jc w:val="center"/>
              <w:rPr>
                <w:color w:val="000000"/>
              </w:rPr>
            </w:pPr>
            <w:r w:rsidRPr="00D618B7">
              <w:rPr>
                <w:color w:val="000000"/>
              </w:rPr>
              <w:t>Late Reach Group</w:t>
            </w:r>
          </w:p>
        </w:tc>
      </w:tr>
      <w:tr w:rsidR="00E7168B" w:rsidRPr="00D618B7" w14:paraId="238DB352" w14:textId="77777777" w:rsidTr="004B11B7">
        <w:trPr>
          <w:trHeight w:val="284"/>
        </w:trPr>
        <w:tc>
          <w:tcPr>
            <w:tcW w:w="1990" w:type="pct"/>
            <w:tcBorders>
              <w:top w:val="nil"/>
              <w:left w:val="nil"/>
              <w:bottom w:val="single" w:sz="8" w:space="0" w:color="auto"/>
              <w:right w:val="nil"/>
            </w:tcBorders>
            <w:shd w:val="clear" w:color="000000" w:fill="FFFFFF"/>
            <w:noWrap/>
            <w:vAlign w:val="bottom"/>
            <w:hideMark/>
          </w:tcPr>
          <w:p w14:paraId="59D48A9A" w14:textId="77777777" w:rsidR="00E7168B" w:rsidRPr="00D618B7" w:rsidRDefault="00E7168B" w:rsidP="004B11B7">
            <w:pPr>
              <w:rPr>
                <w:color w:val="000000"/>
              </w:rPr>
            </w:pPr>
            <w:r w:rsidRPr="00D618B7">
              <w:rPr>
                <w:color w:val="000000"/>
              </w:rPr>
              <w:t> </w:t>
            </w:r>
          </w:p>
        </w:tc>
        <w:tc>
          <w:tcPr>
            <w:tcW w:w="752" w:type="pct"/>
            <w:tcBorders>
              <w:top w:val="nil"/>
              <w:left w:val="nil"/>
              <w:bottom w:val="single" w:sz="8" w:space="0" w:color="auto"/>
              <w:right w:val="nil"/>
            </w:tcBorders>
            <w:shd w:val="clear" w:color="000000" w:fill="FFFFFF"/>
            <w:noWrap/>
            <w:vAlign w:val="center"/>
            <w:hideMark/>
          </w:tcPr>
          <w:p w14:paraId="49D60F7C" w14:textId="77777777" w:rsidR="00E7168B" w:rsidRPr="00D618B7" w:rsidRDefault="00E7168B" w:rsidP="004B11B7">
            <w:pPr>
              <w:jc w:val="right"/>
              <w:rPr>
                <w:color w:val="000000"/>
              </w:rPr>
            </w:pPr>
            <w:r w:rsidRPr="00D618B7">
              <w:rPr>
                <w:color w:val="000000"/>
              </w:rPr>
              <w:t>Mean</w:t>
            </w:r>
          </w:p>
        </w:tc>
        <w:tc>
          <w:tcPr>
            <w:tcW w:w="753" w:type="pct"/>
            <w:tcBorders>
              <w:top w:val="nil"/>
              <w:left w:val="nil"/>
              <w:bottom w:val="single" w:sz="8" w:space="0" w:color="auto"/>
              <w:right w:val="nil"/>
            </w:tcBorders>
            <w:shd w:val="clear" w:color="000000" w:fill="FFFFFF"/>
            <w:noWrap/>
            <w:vAlign w:val="center"/>
            <w:hideMark/>
          </w:tcPr>
          <w:p w14:paraId="341CE436" w14:textId="77777777" w:rsidR="00E7168B" w:rsidRPr="00D618B7" w:rsidRDefault="00E7168B" w:rsidP="004B11B7">
            <w:pPr>
              <w:jc w:val="right"/>
              <w:rPr>
                <w:color w:val="000000"/>
              </w:rPr>
            </w:pPr>
            <w:r w:rsidRPr="00D618B7">
              <w:rPr>
                <w:color w:val="000000"/>
              </w:rPr>
              <w:t>Std. Error</w:t>
            </w:r>
          </w:p>
        </w:tc>
        <w:tc>
          <w:tcPr>
            <w:tcW w:w="752" w:type="pct"/>
            <w:tcBorders>
              <w:top w:val="nil"/>
              <w:left w:val="nil"/>
              <w:bottom w:val="single" w:sz="8" w:space="0" w:color="auto"/>
              <w:right w:val="nil"/>
            </w:tcBorders>
            <w:shd w:val="clear" w:color="000000" w:fill="FFFFFF"/>
            <w:noWrap/>
            <w:vAlign w:val="center"/>
            <w:hideMark/>
          </w:tcPr>
          <w:p w14:paraId="536BAF20" w14:textId="77777777" w:rsidR="00E7168B" w:rsidRPr="00D618B7" w:rsidRDefault="00E7168B" w:rsidP="004B11B7">
            <w:pPr>
              <w:jc w:val="right"/>
              <w:rPr>
                <w:color w:val="000000"/>
              </w:rPr>
            </w:pPr>
            <w:r w:rsidRPr="00D618B7">
              <w:rPr>
                <w:color w:val="000000"/>
              </w:rPr>
              <w:t>Mean</w:t>
            </w:r>
          </w:p>
        </w:tc>
        <w:tc>
          <w:tcPr>
            <w:tcW w:w="752" w:type="pct"/>
            <w:tcBorders>
              <w:top w:val="nil"/>
              <w:left w:val="nil"/>
              <w:bottom w:val="single" w:sz="8" w:space="0" w:color="auto"/>
              <w:right w:val="nil"/>
            </w:tcBorders>
            <w:shd w:val="clear" w:color="000000" w:fill="FFFFFF"/>
            <w:noWrap/>
            <w:vAlign w:val="center"/>
            <w:hideMark/>
          </w:tcPr>
          <w:p w14:paraId="652A51B7" w14:textId="77777777" w:rsidR="00E7168B" w:rsidRPr="00D618B7" w:rsidRDefault="00E7168B" w:rsidP="004B11B7">
            <w:pPr>
              <w:jc w:val="right"/>
              <w:rPr>
                <w:color w:val="000000"/>
              </w:rPr>
            </w:pPr>
            <w:r w:rsidRPr="00D618B7">
              <w:rPr>
                <w:color w:val="000000"/>
              </w:rPr>
              <w:t>Std. Error</w:t>
            </w:r>
          </w:p>
        </w:tc>
      </w:tr>
      <w:tr w:rsidR="00E7168B" w:rsidRPr="00D618B7" w14:paraId="47F62B67" w14:textId="77777777" w:rsidTr="004B11B7">
        <w:trPr>
          <w:trHeight w:val="284"/>
        </w:trPr>
        <w:tc>
          <w:tcPr>
            <w:tcW w:w="1990" w:type="pct"/>
            <w:tcBorders>
              <w:top w:val="nil"/>
              <w:left w:val="nil"/>
              <w:bottom w:val="nil"/>
              <w:right w:val="nil"/>
            </w:tcBorders>
            <w:shd w:val="clear" w:color="000000" w:fill="FFFFFF"/>
            <w:vAlign w:val="center"/>
            <w:hideMark/>
          </w:tcPr>
          <w:p w14:paraId="0E252277" w14:textId="77777777" w:rsidR="00E7168B" w:rsidRPr="00D618B7" w:rsidRDefault="00E7168B" w:rsidP="004B11B7">
            <w:pPr>
              <w:jc w:val="center"/>
              <w:rPr>
                <w:color w:val="000000"/>
              </w:rPr>
            </w:pPr>
            <w:r w:rsidRPr="00D618B7">
              <w:rPr>
                <w:color w:val="000000"/>
              </w:rPr>
              <w:t>-5</w:t>
            </w:r>
          </w:p>
        </w:tc>
        <w:tc>
          <w:tcPr>
            <w:tcW w:w="752" w:type="pct"/>
            <w:tcBorders>
              <w:top w:val="nil"/>
              <w:left w:val="nil"/>
              <w:bottom w:val="nil"/>
              <w:right w:val="nil"/>
            </w:tcBorders>
            <w:shd w:val="clear" w:color="000000" w:fill="FFFFFF"/>
            <w:noWrap/>
            <w:vAlign w:val="center"/>
            <w:hideMark/>
          </w:tcPr>
          <w:p w14:paraId="41A7E242" w14:textId="77777777" w:rsidR="00E7168B" w:rsidRPr="00D618B7" w:rsidRDefault="00E7168B" w:rsidP="004B11B7">
            <w:pPr>
              <w:jc w:val="right"/>
              <w:rPr>
                <w:color w:val="000000"/>
              </w:rPr>
            </w:pPr>
            <w:r w:rsidRPr="00D618B7">
              <w:rPr>
                <w:color w:val="000000"/>
              </w:rPr>
              <w:t>0.0103</w:t>
            </w:r>
          </w:p>
        </w:tc>
        <w:tc>
          <w:tcPr>
            <w:tcW w:w="753" w:type="pct"/>
            <w:tcBorders>
              <w:top w:val="nil"/>
              <w:left w:val="nil"/>
              <w:bottom w:val="nil"/>
              <w:right w:val="nil"/>
            </w:tcBorders>
            <w:shd w:val="clear" w:color="000000" w:fill="FFFFFF"/>
            <w:noWrap/>
            <w:vAlign w:val="center"/>
            <w:hideMark/>
          </w:tcPr>
          <w:p w14:paraId="609FCC33" w14:textId="77777777" w:rsidR="00E7168B" w:rsidRPr="00D618B7" w:rsidRDefault="00E7168B" w:rsidP="004B11B7">
            <w:pPr>
              <w:jc w:val="right"/>
              <w:rPr>
                <w:color w:val="000000"/>
              </w:rPr>
            </w:pPr>
            <w:r w:rsidRPr="00D618B7">
              <w:rPr>
                <w:color w:val="000000"/>
              </w:rPr>
              <w:t>0.0007</w:t>
            </w:r>
          </w:p>
        </w:tc>
        <w:tc>
          <w:tcPr>
            <w:tcW w:w="752" w:type="pct"/>
            <w:tcBorders>
              <w:top w:val="nil"/>
              <w:left w:val="nil"/>
              <w:bottom w:val="nil"/>
              <w:right w:val="nil"/>
            </w:tcBorders>
            <w:shd w:val="clear" w:color="000000" w:fill="FFFFFF"/>
            <w:noWrap/>
            <w:vAlign w:val="center"/>
            <w:hideMark/>
          </w:tcPr>
          <w:p w14:paraId="6D69B2A4" w14:textId="77777777" w:rsidR="00E7168B" w:rsidRPr="00D618B7" w:rsidRDefault="00E7168B" w:rsidP="004B11B7">
            <w:pPr>
              <w:jc w:val="right"/>
              <w:rPr>
                <w:color w:val="000000"/>
              </w:rPr>
            </w:pPr>
            <w:r w:rsidRPr="00D618B7">
              <w:rPr>
                <w:color w:val="000000"/>
              </w:rPr>
              <w:t>0.0007</w:t>
            </w:r>
          </w:p>
        </w:tc>
        <w:tc>
          <w:tcPr>
            <w:tcW w:w="752" w:type="pct"/>
            <w:tcBorders>
              <w:top w:val="nil"/>
              <w:left w:val="nil"/>
              <w:bottom w:val="nil"/>
              <w:right w:val="nil"/>
            </w:tcBorders>
            <w:shd w:val="clear" w:color="000000" w:fill="FFFFFF"/>
            <w:noWrap/>
            <w:vAlign w:val="center"/>
            <w:hideMark/>
          </w:tcPr>
          <w:p w14:paraId="0AF72FEC" w14:textId="77777777" w:rsidR="00E7168B" w:rsidRPr="00D618B7" w:rsidRDefault="00E7168B" w:rsidP="004B11B7">
            <w:pPr>
              <w:jc w:val="right"/>
              <w:rPr>
                <w:color w:val="000000"/>
              </w:rPr>
            </w:pPr>
            <w:r w:rsidRPr="00D618B7">
              <w:rPr>
                <w:color w:val="000000"/>
              </w:rPr>
              <w:t>0.0002</w:t>
            </w:r>
          </w:p>
        </w:tc>
      </w:tr>
      <w:tr w:rsidR="00E7168B" w:rsidRPr="00D618B7" w14:paraId="301E8059" w14:textId="77777777" w:rsidTr="004B11B7">
        <w:trPr>
          <w:trHeight w:val="284"/>
        </w:trPr>
        <w:tc>
          <w:tcPr>
            <w:tcW w:w="1990" w:type="pct"/>
            <w:tcBorders>
              <w:top w:val="nil"/>
              <w:left w:val="nil"/>
              <w:bottom w:val="nil"/>
              <w:right w:val="nil"/>
            </w:tcBorders>
            <w:shd w:val="clear" w:color="000000" w:fill="FFFFFF"/>
            <w:vAlign w:val="center"/>
            <w:hideMark/>
          </w:tcPr>
          <w:p w14:paraId="49EBF0E0" w14:textId="77777777" w:rsidR="00E7168B" w:rsidRPr="00D618B7" w:rsidRDefault="00E7168B" w:rsidP="004B11B7">
            <w:pPr>
              <w:jc w:val="center"/>
              <w:rPr>
                <w:color w:val="000000"/>
              </w:rPr>
            </w:pPr>
            <w:r w:rsidRPr="00D618B7">
              <w:rPr>
                <w:color w:val="000000"/>
              </w:rPr>
              <w:t>-4</w:t>
            </w:r>
          </w:p>
        </w:tc>
        <w:tc>
          <w:tcPr>
            <w:tcW w:w="752" w:type="pct"/>
            <w:tcBorders>
              <w:top w:val="nil"/>
              <w:left w:val="nil"/>
              <w:bottom w:val="nil"/>
              <w:right w:val="nil"/>
            </w:tcBorders>
            <w:shd w:val="clear" w:color="000000" w:fill="FFFFFF"/>
            <w:noWrap/>
            <w:vAlign w:val="center"/>
            <w:hideMark/>
          </w:tcPr>
          <w:p w14:paraId="7B848EC6" w14:textId="77777777" w:rsidR="00E7168B" w:rsidRPr="00D618B7" w:rsidRDefault="00E7168B" w:rsidP="004B11B7">
            <w:pPr>
              <w:jc w:val="right"/>
              <w:rPr>
                <w:color w:val="000000"/>
              </w:rPr>
            </w:pPr>
            <w:r w:rsidRPr="00D618B7">
              <w:rPr>
                <w:color w:val="000000"/>
              </w:rPr>
              <w:t>0.0007</w:t>
            </w:r>
          </w:p>
        </w:tc>
        <w:tc>
          <w:tcPr>
            <w:tcW w:w="753" w:type="pct"/>
            <w:tcBorders>
              <w:top w:val="nil"/>
              <w:left w:val="nil"/>
              <w:bottom w:val="nil"/>
              <w:right w:val="nil"/>
            </w:tcBorders>
            <w:shd w:val="clear" w:color="000000" w:fill="FFFFFF"/>
            <w:noWrap/>
            <w:vAlign w:val="center"/>
            <w:hideMark/>
          </w:tcPr>
          <w:p w14:paraId="2766341F" w14:textId="77777777" w:rsidR="00E7168B" w:rsidRPr="00D618B7" w:rsidRDefault="00E7168B" w:rsidP="004B11B7">
            <w:pPr>
              <w:jc w:val="right"/>
              <w:rPr>
                <w:color w:val="000000"/>
              </w:rPr>
            </w:pPr>
            <w:r w:rsidRPr="00D618B7">
              <w:rPr>
                <w:color w:val="000000"/>
              </w:rPr>
              <w:t>0.0010</w:t>
            </w:r>
          </w:p>
        </w:tc>
        <w:tc>
          <w:tcPr>
            <w:tcW w:w="752" w:type="pct"/>
            <w:tcBorders>
              <w:top w:val="nil"/>
              <w:left w:val="nil"/>
              <w:bottom w:val="nil"/>
              <w:right w:val="nil"/>
            </w:tcBorders>
            <w:shd w:val="clear" w:color="000000" w:fill="FFFFFF"/>
            <w:noWrap/>
            <w:vAlign w:val="center"/>
            <w:hideMark/>
          </w:tcPr>
          <w:p w14:paraId="16EA5C36" w14:textId="77777777" w:rsidR="00E7168B" w:rsidRPr="00D618B7" w:rsidRDefault="00E7168B" w:rsidP="004B11B7">
            <w:pPr>
              <w:jc w:val="right"/>
              <w:rPr>
                <w:color w:val="000000"/>
              </w:rPr>
            </w:pPr>
            <w:r w:rsidRPr="00D618B7">
              <w:rPr>
                <w:color w:val="000000"/>
              </w:rPr>
              <w:t>-0.0004</w:t>
            </w:r>
          </w:p>
        </w:tc>
        <w:tc>
          <w:tcPr>
            <w:tcW w:w="752" w:type="pct"/>
            <w:tcBorders>
              <w:top w:val="nil"/>
              <w:left w:val="nil"/>
              <w:bottom w:val="nil"/>
              <w:right w:val="nil"/>
            </w:tcBorders>
            <w:shd w:val="clear" w:color="000000" w:fill="FFFFFF"/>
            <w:noWrap/>
            <w:vAlign w:val="center"/>
            <w:hideMark/>
          </w:tcPr>
          <w:p w14:paraId="37E03A04" w14:textId="77777777" w:rsidR="00E7168B" w:rsidRPr="00D618B7" w:rsidRDefault="00E7168B" w:rsidP="004B11B7">
            <w:pPr>
              <w:jc w:val="right"/>
              <w:rPr>
                <w:color w:val="000000"/>
              </w:rPr>
            </w:pPr>
            <w:r w:rsidRPr="00D618B7">
              <w:rPr>
                <w:color w:val="000000"/>
              </w:rPr>
              <w:t>0.0006</w:t>
            </w:r>
          </w:p>
        </w:tc>
      </w:tr>
      <w:tr w:rsidR="00E7168B" w:rsidRPr="00D618B7" w14:paraId="73B8725F" w14:textId="77777777" w:rsidTr="004B11B7">
        <w:trPr>
          <w:trHeight w:val="284"/>
        </w:trPr>
        <w:tc>
          <w:tcPr>
            <w:tcW w:w="1990" w:type="pct"/>
            <w:tcBorders>
              <w:top w:val="nil"/>
              <w:left w:val="nil"/>
              <w:bottom w:val="nil"/>
              <w:right w:val="nil"/>
            </w:tcBorders>
            <w:shd w:val="clear" w:color="000000" w:fill="FFFFFF"/>
            <w:vAlign w:val="center"/>
            <w:hideMark/>
          </w:tcPr>
          <w:p w14:paraId="1D2EA875" w14:textId="77777777" w:rsidR="00E7168B" w:rsidRPr="00D618B7" w:rsidRDefault="00E7168B" w:rsidP="004B11B7">
            <w:pPr>
              <w:jc w:val="center"/>
              <w:rPr>
                <w:color w:val="000000"/>
              </w:rPr>
            </w:pPr>
            <w:r w:rsidRPr="00D618B7">
              <w:rPr>
                <w:color w:val="000000"/>
              </w:rPr>
              <w:t>-3</w:t>
            </w:r>
          </w:p>
        </w:tc>
        <w:tc>
          <w:tcPr>
            <w:tcW w:w="752" w:type="pct"/>
            <w:tcBorders>
              <w:top w:val="nil"/>
              <w:left w:val="nil"/>
              <w:bottom w:val="nil"/>
              <w:right w:val="nil"/>
            </w:tcBorders>
            <w:shd w:val="clear" w:color="000000" w:fill="FFFFFF"/>
            <w:noWrap/>
            <w:vAlign w:val="center"/>
            <w:hideMark/>
          </w:tcPr>
          <w:p w14:paraId="220146FB" w14:textId="77777777" w:rsidR="00E7168B" w:rsidRPr="00D618B7" w:rsidRDefault="00E7168B" w:rsidP="004B11B7">
            <w:pPr>
              <w:jc w:val="right"/>
              <w:rPr>
                <w:color w:val="000000"/>
              </w:rPr>
            </w:pPr>
            <w:r w:rsidRPr="00D618B7">
              <w:rPr>
                <w:color w:val="000000"/>
              </w:rPr>
              <w:t>0.0058</w:t>
            </w:r>
          </w:p>
        </w:tc>
        <w:tc>
          <w:tcPr>
            <w:tcW w:w="753" w:type="pct"/>
            <w:tcBorders>
              <w:top w:val="nil"/>
              <w:left w:val="nil"/>
              <w:bottom w:val="nil"/>
              <w:right w:val="nil"/>
            </w:tcBorders>
            <w:shd w:val="clear" w:color="000000" w:fill="FFFFFF"/>
            <w:noWrap/>
            <w:vAlign w:val="center"/>
            <w:hideMark/>
          </w:tcPr>
          <w:p w14:paraId="260CC0AF" w14:textId="77777777" w:rsidR="00E7168B" w:rsidRPr="00D618B7" w:rsidRDefault="00E7168B" w:rsidP="004B11B7">
            <w:pPr>
              <w:jc w:val="right"/>
              <w:rPr>
                <w:color w:val="000000"/>
              </w:rPr>
            </w:pPr>
            <w:r w:rsidRPr="00D618B7">
              <w:rPr>
                <w:color w:val="000000"/>
              </w:rPr>
              <w:t>0.0016</w:t>
            </w:r>
          </w:p>
        </w:tc>
        <w:tc>
          <w:tcPr>
            <w:tcW w:w="752" w:type="pct"/>
            <w:tcBorders>
              <w:top w:val="nil"/>
              <w:left w:val="nil"/>
              <w:bottom w:val="nil"/>
              <w:right w:val="nil"/>
            </w:tcBorders>
            <w:shd w:val="clear" w:color="000000" w:fill="FFFFFF"/>
            <w:noWrap/>
            <w:vAlign w:val="center"/>
            <w:hideMark/>
          </w:tcPr>
          <w:p w14:paraId="5248C793" w14:textId="77777777" w:rsidR="00E7168B" w:rsidRPr="00D618B7" w:rsidRDefault="00E7168B" w:rsidP="004B11B7">
            <w:pPr>
              <w:jc w:val="right"/>
              <w:rPr>
                <w:color w:val="000000"/>
              </w:rPr>
            </w:pPr>
            <w:r w:rsidRPr="00D618B7">
              <w:rPr>
                <w:color w:val="000000"/>
              </w:rPr>
              <w:t>-0.0003</w:t>
            </w:r>
          </w:p>
        </w:tc>
        <w:tc>
          <w:tcPr>
            <w:tcW w:w="752" w:type="pct"/>
            <w:tcBorders>
              <w:top w:val="nil"/>
              <w:left w:val="nil"/>
              <w:bottom w:val="nil"/>
              <w:right w:val="nil"/>
            </w:tcBorders>
            <w:shd w:val="clear" w:color="000000" w:fill="FFFFFF"/>
            <w:noWrap/>
            <w:vAlign w:val="center"/>
            <w:hideMark/>
          </w:tcPr>
          <w:p w14:paraId="4D1D2F9D" w14:textId="77777777" w:rsidR="00E7168B" w:rsidRPr="00D618B7" w:rsidRDefault="00E7168B" w:rsidP="004B11B7">
            <w:pPr>
              <w:jc w:val="right"/>
              <w:rPr>
                <w:color w:val="000000"/>
              </w:rPr>
            </w:pPr>
            <w:r w:rsidRPr="00D618B7">
              <w:rPr>
                <w:color w:val="000000"/>
              </w:rPr>
              <w:t>0.0003</w:t>
            </w:r>
          </w:p>
        </w:tc>
      </w:tr>
      <w:tr w:rsidR="00E7168B" w:rsidRPr="00D618B7" w14:paraId="7A01E4A3" w14:textId="77777777" w:rsidTr="004B11B7">
        <w:trPr>
          <w:trHeight w:val="284"/>
        </w:trPr>
        <w:tc>
          <w:tcPr>
            <w:tcW w:w="1990" w:type="pct"/>
            <w:tcBorders>
              <w:top w:val="nil"/>
              <w:left w:val="nil"/>
              <w:bottom w:val="nil"/>
              <w:right w:val="nil"/>
            </w:tcBorders>
            <w:shd w:val="clear" w:color="000000" w:fill="FFFFFF"/>
            <w:vAlign w:val="center"/>
            <w:hideMark/>
          </w:tcPr>
          <w:p w14:paraId="0608ACA3" w14:textId="77777777" w:rsidR="00E7168B" w:rsidRPr="00D618B7" w:rsidRDefault="00E7168B" w:rsidP="004B11B7">
            <w:pPr>
              <w:jc w:val="center"/>
              <w:rPr>
                <w:color w:val="000000"/>
              </w:rPr>
            </w:pPr>
            <w:r w:rsidRPr="00D618B7">
              <w:rPr>
                <w:color w:val="000000"/>
              </w:rPr>
              <w:t>-2</w:t>
            </w:r>
          </w:p>
        </w:tc>
        <w:tc>
          <w:tcPr>
            <w:tcW w:w="752" w:type="pct"/>
            <w:tcBorders>
              <w:top w:val="nil"/>
              <w:left w:val="nil"/>
              <w:bottom w:val="nil"/>
              <w:right w:val="nil"/>
            </w:tcBorders>
            <w:shd w:val="clear" w:color="000000" w:fill="FFFFFF"/>
            <w:noWrap/>
            <w:vAlign w:val="center"/>
            <w:hideMark/>
          </w:tcPr>
          <w:p w14:paraId="15D3A217" w14:textId="77777777" w:rsidR="00E7168B" w:rsidRPr="00D618B7" w:rsidRDefault="00E7168B" w:rsidP="004B11B7">
            <w:pPr>
              <w:jc w:val="right"/>
              <w:rPr>
                <w:color w:val="000000"/>
              </w:rPr>
            </w:pPr>
            <w:r w:rsidRPr="00D618B7">
              <w:rPr>
                <w:color w:val="000000"/>
              </w:rPr>
              <w:t>0.0048</w:t>
            </w:r>
          </w:p>
        </w:tc>
        <w:tc>
          <w:tcPr>
            <w:tcW w:w="753" w:type="pct"/>
            <w:tcBorders>
              <w:top w:val="nil"/>
              <w:left w:val="nil"/>
              <w:bottom w:val="nil"/>
              <w:right w:val="nil"/>
            </w:tcBorders>
            <w:shd w:val="clear" w:color="000000" w:fill="FFFFFF"/>
            <w:noWrap/>
            <w:vAlign w:val="center"/>
            <w:hideMark/>
          </w:tcPr>
          <w:p w14:paraId="72FDFAA9" w14:textId="77777777" w:rsidR="00E7168B" w:rsidRPr="00D618B7" w:rsidRDefault="00E7168B" w:rsidP="004B11B7">
            <w:pPr>
              <w:jc w:val="right"/>
              <w:rPr>
                <w:color w:val="000000"/>
              </w:rPr>
            </w:pPr>
            <w:r w:rsidRPr="00D618B7">
              <w:rPr>
                <w:color w:val="000000"/>
              </w:rPr>
              <w:t>0.0011</w:t>
            </w:r>
          </w:p>
        </w:tc>
        <w:tc>
          <w:tcPr>
            <w:tcW w:w="752" w:type="pct"/>
            <w:tcBorders>
              <w:top w:val="nil"/>
              <w:left w:val="nil"/>
              <w:bottom w:val="nil"/>
              <w:right w:val="nil"/>
            </w:tcBorders>
            <w:shd w:val="clear" w:color="000000" w:fill="FFFFFF"/>
            <w:noWrap/>
            <w:vAlign w:val="center"/>
            <w:hideMark/>
          </w:tcPr>
          <w:p w14:paraId="148608FA" w14:textId="77777777" w:rsidR="00E7168B" w:rsidRPr="00D618B7" w:rsidRDefault="00E7168B" w:rsidP="004B11B7">
            <w:pPr>
              <w:jc w:val="right"/>
              <w:rPr>
                <w:color w:val="000000"/>
              </w:rPr>
            </w:pPr>
            <w:r w:rsidRPr="00D618B7">
              <w:rPr>
                <w:color w:val="000000"/>
              </w:rPr>
              <w:t>0.0002</w:t>
            </w:r>
          </w:p>
        </w:tc>
        <w:tc>
          <w:tcPr>
            <w:tcW w:w="752" w:type="pct"/>
            <w:tcBorders>
              <w:top w:val="nil"/>
              <w:left w:val="nil"/>
              <w:bottom w:val="nil"/>
              <w:right w:val="nil"/>
            </w:tcBorders>
            <w:shd w:val="clear" w:color="000000" w:fill="FFFFFF"/>
            <w:noWrap/>
            <w:vAlign w:val="center"/>
            <w:hideMark/>
          </w:tcPr>
          <w:p w14:paraId="751321BA" w14:textId="77777777" w:rsidR="00E7168B" w:rsidRPr="00D618B7" w:rsidRDefault="00E7168B" w:rsidP="004B11B7">
            <w:pPr>
              <w:jc w:val="right"/>
              <w:rPr>
                <w:color w:val="000000"/>
              </w:rPr>
            </w:pPr>
            <w:r w:rsidRPr="00D618B7">
              <w:rPr>
                <w:color w:val="000000"/>
              </w:rPr>
              <w:t>0.0003</w:t>
            </w:r>
          </w:p>
        </w:tc>
      </w:tr>
      <w:tr w:rsidR="00E7168B" w:rsidRPr="00D618B7" w14:paraId="16641F2C" w14:textId="77777777" w:rsidTr="004B11B7">
        <w:trPr>
          <w:trHeight w:val="284"/>
        </w:trPr>
        <w:tc>
          <w:tcPr>
            <w:tcW w:w="1990" w:type="pct"/>
            <w:tcBorders>
              <w:top w:val="nil"/>
              <w:left w:val="nil"/>
              <w:bottom w:val="nil"/>
              <w:right w:val="nil"/>
            </w:tcBorders>
            <w:shd w:val="clear" w:color="000000" w:fill="FFFFFF"/>
            <w:vAlign w:val="center"/>
            <w:hideMark/>
          </w:tcPr>
          <w:p w14:paraId="35AD3C06" w14:textId="77777777" w:rsidR="00E7168B" w:rsidRPr="00D618B7" w:rsidRDefault="00E7168B" w:rsidP="004B11B7">
            <w:pPr>
              <w:jc w:val="center"/>
              <w:rPr>
                <w:color w:val="000000"/>
              </w:rPr>
            </w:pPr>
            <w:r w:rsidRPr="00D618B7">
              <w:rPr>
                <w:color w:val="000000"/>
              </w:rPr>
              <w:t>-1</w:t>
            </w:r>
          </w:p>
        </w:tc>
        <w:tc>
          <w:tcPr>
            <w:tcW w:w="752" w:type="pct"/>
            <w:tcBorders>
              <w:top w:val="nil"/>
              <w:left w:val="nil"/>
              <w:bottom w:val="nil"/>
              <w:right w:val="nil"/>
            </w:tcBorders>
            <w:shd w:val="clear" w:color="000000" w:fill="FFFFFF"/>
            <w:noWrap/>
            <w:vAlign w:val="center"/>
            <w:hideMark/>
          </w:tcPr>
          <w:p w14:paraId="51E480EE" w14:textId="77777777" w:rsidR="00E7168B" w:rsidRPr="00D618B7" w:rsidRDefault="00E7168B" w:rsidP="004B11B7">
            <w:pPr>
              <w:jc w:val="right"/>
              <w:rPr>
                <w:color w:val="000000"/>
              </w:rPr>
            </w:pPr>
            <w:r w:rsidRPr="00D618B7">
              <w:rPr>
                <w:color w:val="000000"/>
              </w:rPr>
              <w:t>0.0069</w:t>
            </w:r>
          </w:p>
        </w:tc>
        <w:tc>
          <w:tcPr>
            <w:tcW w:w="753" w:type="pct"/>
            <w:tcBorders>
              <w:top w:val="nil"/>
              <w:left w:val="nil"/>
              <w:bottom w:val="nil"/>
              <w:right w:val="nil"/>
            </w:tcBorders>
            <w:shd w:val="clear" w:color="000000" w:fill="FFFFFF"/>
            <w:noWrap/>
            <w:vAlign w:val="center"/>
            <w:hideMark/>
          </w:tcPr>
          <w:p w14:paraId="463300A1" w14:textId="77777777" w:rsidR="00E7168B" w:rsidRPr="00D618B7" w:rsidRDefault="00E7168B" w:rsidP="004B11B7">
            <w:pPr>
              <w:jc w:val="right"/>
              <w:rPr>
                <w:color w:val="000000"/>
              </w:rPr>
            </w:pPr>
            <w:r w:rsidRPr="00D618B7">
              <w:rPr>
                <w:color w:val="000000"/>
              </w:rPr>
              <w:t>0.0010</w:t>
            </w:r>
          </w:p>
        </w:tc>
        <w:tc>
          <w:tcPr>
            <w:tcW w:w="752" w:type="pct"/>
            <w:tcBorders>
              <w:top w:val="nil"/>
              <w:left w:val="nil"/>
              <w:bottom w:val="nil"/>
              <w:right w:val="nil"/>
            </w:tcBorders>
            <w:shd w:val="clear" w:color="000000" w:fill="FFFFFF"/>
            <w:noWrap/>
            <w:vAlign w:val="center"/>
            <w:hideMark/>
          </w:tcPr>
          <w:p w14:paraId="2DABF5FC" w14:textId="77777777" w:rsidR="00E7168B" w:rsidRPr="00D618B7" w:rsidRDefault="00E7168B" w:rsidP="004B11B7">
            <w:pPr>
              <w:jc w:val="right"/>
              <w:rPr>
                <w:color w:val="000000"/>
              </w:rPr>
            </w:pPr>
            <w:r w:rsidRPr="00D618B7">
              <w:rPr>
                <w:color w:val="000000"/>
              </w:rPr>
              <w:t>0.0024</w:t>
            </w:r>
          </w:p>
        </w:tc>
        <w:tc>
          <w:tcPr>
            <w:tcW w:w="752" w:type="pct"/>
            <w:tcBorders>
              <w:top w:val="nil"/>
              <w:left w:val="nil"/>
              <w:bottom w:val="nil"/>
              <w:right w:val="nil"/>
            </w:tcBorders>
            <w:shd w:val="clear" w:color="000000" w:fill="FFFFFF"/>
            <w:noWrap/>
            <w:vAlign w:val="center"/>
            <w:hideMark/>
          </w:tcPr>
          <w:p w14:paraId="390881B0" w14:textId="77777777" w:rsidR="00E7168B" w:rsidRPr="00D618B7" w:rsidRDefault="00E7168B" w:rsidP="004B11B7">
            <w:pPr>
              <w:jc w:val="right"/>
              <w:rPr>
                <w:color w:val="000000"/>
              </w:rPr>
            </w:pPr>
            <w:r w:rsidRPr="00D618B7">
              <w:rPr>
                <w:color w:val="000000"/>
              </w:rPr>
              <w:t>0.0013</w:t>
            </w:r>
          </w:p>
        </w:tc>
      </w:tr>
      <w:tr w:rsidR="00E7168B" w:rsidRPr="00D618B7" w14:paraId="70921A0E" w14:textId="77777777" w:rsidTr="004B11B7">
        <w:trPr>
          <w:trHeight w:val="284"/>
        </w:trPr>
        <w:tc>
          <w:tcPr>
            <w:tcW w:w="1990" w:type="pct"/>
            <w:tcBorders>
              <w:top w:val="nil"/>
              <w:left w:val="nil"/>
              <w:bottom w:val="nil"/>
              <w:right w:val="nil"/>
            </w:tcBorders>
            <w:shd w:val="clear" w:color="000000" w:fill="FFFFFF"/>
            <w:vAlign w:val="center"/>
            <w:hideMark/>
          </w:tcPr>
          <w:p w14:paraId="1A0C937C" w14:textId="77777777" w:rsidR="00E7168B" w:rsidRPr="00D618B7" w:rsidRDefault="00E7168B" w:rsidP="004B11B7">
            <w:pPr>
              <w:jc w:val="center"/>
              <w:rPr>
                <w:color w:val="000000"/>
              </w:rPr>
            </w:pPr>
            <w:r w:rsidRPr="00D618B7">
              <w:rPr>
                <w:color w:val="000000"/>
              </w:rPr>
              <w:t>0</w:t>
            </w:r>
          </w:p>
        </w:tc>
        <w:tc>
          <w:tcPr>
            <w:tcW w:w="752" w:type="pct"/>
            <w:tcBorders>
              <w:top w:val="nil"/>
              <w:left w:val="nil"/>
              <w:bottom w:val="nil"/>
              <w:right w:val="nil"/>
            </w:tcBorders>
            <w:shd w:val="clear" w:color="000000" w:fill="FFFFFF"/>
            <w:noWrap/>
            <w:vAlign w:val="center"/>
            <w:hideMark/>
          </w:tcPr>
          <w:p w14:paraId="6F82ADDF" w14:textId="77777777" w:rsidR="00E7168B" w:rsidRPr="00D618B7" w:rsidRDefault="00E7168B" w:rsidP="004B11B7">
            <w:pPr>
              <w:jc w:val="right"/>
              <w:rPr>
                <w:color w:val="000000"/>
              </w:rPr>
            </w:pPr>
            <w:r w:rsidRPr="00D618B7">
              <w:rPr>
                <w:color w:val="000000"/>
              </w:rPr>
              <w:t>0.0052</w:t>
            </w:r>
          </w:p>
        </w:tc>
        <w:tc>
          <w:tcPr>
            <w:tcW w:w="753" w:type="pct"/>
            <w:tcBorders>
              <w:top w:val="nil"/>
              <w:left w:val="nil"/>
              <w:bottom w:val="nil"/>
              <w:right w:val="nil"/>
            </w:tcBorders>
            <w:shd w:val="clear" w:color="000000" w:fill="FFFFFF"/>
            <w:noWrap/>
            <w:vAlign w:val="center"/>
            <w:hideMark/>
          </w:tcPr>
          <w:p w14:paraId="03553C33" w14:textId="77777777" w:rsidR="00E7168B" w:rsidRPr="00D618B7" w:rsidRDefault="00E7168B" w:rsidP="004B11B7">
            <w:pPr>
              <w:jc w:val="right"/>
              <w:rPr>
                <w:color w:val="000000"/>
              </w:rPr>
            </w:pPr>
            <w:r w:rsidRPr="00D618B7">
              <w:rPr>
                <w:color w:val="000000"/>
              </w:rPr>
              <w:t>0.0023</w:t>
            </w:r>
          </w:p>
        </w:tc>
        <w:tc>
          <w:tcPr>
            <w:tcW w:w="752" w:type="pct"/>
            <w:tcBorders>
              <w:top w:val="nil"/>
              <w:left w:val="nil"/>
              <w:bottom w:val="nil"/>
              <w:right w:val="nil"/>
            </w:tcBorders>
            <w:shd w:val="clear" w:color="000000" w:fill="FFFFFF"/>
            <w:noWrap/>
            <w:vAlign w:val="center"/>
            <w:hideMark/>
          </w:tcPr>
          <w:p w14:paraId="77F3317D" w14:textId="77777777" w:rsidR="00E7168B" w:rsidRPr="00D618B7" w:rsidRDefault="00E7168B" w:rsidP="004B11B7">
            <w:pPr>
              <w:jc w:val="right"/>
              <w:rPr>
                <w:color w:val="000000"/>
              </w:rPr>
            </w:pPr>
            <w:r w:rsidRPr="00D618B7">
              <w:rPr>
                <w:color w:val="000000"/>
              </w:rPr>
              <w:t>0.0033</w:t>
            </w:r>
          </w:p>
        </w:tc>
        <w:tc>
          <w:tcPr>
            <w:tcW w:w="752" w:type="pct"/>
            <w:tcBorders>
              <w:top w:val="nil"/>
              <w:left w:val="nil"/>
              <w:bottom w:val="nil"/>
              <w:right w:val="nil"/>
            </w:tcBorders>
            <w:shd w:val="clear" w:color="000000" w:fill="FFFFFF"/>
            <w:noWrap/>
            <w:vAlign w:val="center"/>
            <w:hideMark/>
          </w:tcPr>
          <w:p w14:paraId="47BE74C2" w14:textId="77777777" w:rsidR="00E7168B" w:rsidRPr="00D618B7" w:rsidRDefault="00E7168B" w:rsidP="004B11B7">
            <w:pPr>
              <w:jc w:val="right"/>
              <w:rPr>
                <w:color w:val="000000"/>
              </w:rPr>
            </w:pPr>
            <w:r w:rsidRPr="00D618B7">
              <w:rPr>
                <w:color w:val="000000"/>
              </w:rPr>
              <w:t>0.0019</w:t>
            </w:r>
          </w:p>
        </w:tc>
      </w:tr>
      <w:tr w:rsidR="00E7168B" w:rsidRPr="00D618B7" w14:paraId="5DF7043C" w14:textId="77777777" w:rsidTr="004B11B7">
        <w:trPr>
          <w:trHeight w:val="284"/>
        </w:trPr>
        <w:tc>
          <w:tcPr>
            <w:tcW w:w="1990" w:type="pct"/>
            <w:tcBorders>
              <w:top w:val="nil"/>
              <w:left w:val="nil"/>
              <w:bottom w:val="nil"/>
              <w:right w:val="nil"/>
            </w:tcBorders>
            <w:shd w:val="clear" w:color="000000" w:fill="FFFFFF"/>
            <w:vAlign w:val="center"/>
            <w:hideMark/>
          </w:tcPr>
          <w:p w14:paraId="2FFE7449" w14:textId="77777777" w:rsidR="00E7168B" w:rsidRPr="00D618B7" w:rsidRDefault="00E7168B" w:rsidP="004B11B7">
            <w:pPr>
              <w:jc w:val="center"/>
              <w:rPr>
                <w:color w:val="000000"/>
              </w:rPr>
            </w:pPr>
            <w:r w:rsidRPr="00D618B7">
              <w:rPr>
                <w:color w:val="000000"/>
              </w:rPr>
              <w:t>1</w:t>
            </w:r>
          </w:p>
        </w:tc>
        <w:tc>
          <w:tcPr>
            <w:tcW w:w="752" w:type="pct"/>
            <w:tcBorders>
              <w:top w:val="nil"/>
              <w:left w:val="nil"/>
              <w:bottom w:val="nil"/>
              <w:right w:val="nil"/>
            </w:tcBorders>
            <w:shd w:val="clear" w:color="000000" w:fill="FFFFFF"/>
            <w:noWrap/>
            <w:vAlign w:val="center"/>
            <w:hideMark/>
          </w:tcPr>
          <w:p w14:paraId="4FBFEF42" w14:textId="77777777" w:rsidR="00E7168B" w:rsidRPr="00D618B7" w:rsidRDefault="00E7168B" w:rsidP="004B11B7">
            <w:pPr>
              <w:jc w:val="right"/>
              <w:rPr>
                <w:color w:val="000000"/>
              </w:rPr>
            </w:pPr>
            <w:r w:rsidRPr="00D618B7">
              <w:rPr>
                <w:color w:val="000000"/>
              </w:rPr>
              <w:t>0.0085</w:t>
            </w:r>
          </w:p>
        </w:tc>
        <w:tc>
          <w:tcPr>
            <w:tcW w:w="753" w:type="pct"/>
            <w:tcBorders>
              <w:top w:val="nil"/>
              <w:left w:val="nil"/>
              <w:bottom w:val="nil"/>
              <w:right w:val="nil"/>
            </w:tcBorders>
            <w:shd w:val="clear" w:color="000000" w:fill="FFFFFF"/>
            <w:noWrap/>
            <w:vAlign w:val="center"/>
            <w:hideMark/>
          </w:tcPr>
          <w:p w14:paraId="114A8F8C" w14:textId="77777777" w:rsidR="00E7168B" w:rsidRPr="00D618B7" w:rsidRDefault="00E7168B" w:rsidP="004B11B7">
            <w:pPr>
              <w:jc w:val="right"/>
              <w:rPr>
                <w:color w:val="000000"/>
              </w:rPr>
            </w:pPr>
            <w:r w:rsidRPr="00D618B7">
              <w:rPr>
                <w:color w:val="000000"/>
              </w:rPr>
              <w:t>0.0019</w:t>
            </w:r>
          </w:p>
        </w:tc>
        <w:tc>
          <w:tcPr>
            <w:tcW w:w="752" w:type="pct"/>
            <w:tcBorders>
              <w:top w:val="nil"/>
              <w:left w:val="nil"/>
              <w:bottom w:val="nil"/>
              <w:right w:val="nil"/>
            </w:tcBorders>
            <w:shd w:val="clear" w:color="000000" w:fill="FFFFFF"/>
            <w:noWrap/>
            <w:vAlign w:val="center"/>
            <w:hideMark/>
          </w:tcPr>
          <w:p w14:paraId="747195CB" w14:textId="77777777" w:rsidR="00E7168B" w:rsidRPr="00D618B7" w:rsidRDefault="00E7168B" w:rsidP="004B11B7">
            <w:pPr>
              <w:jc w:val="right"/>
              <w:rPr>
                <w:color w:val="000000"/>
              </w:rPr>
            </w:pPr>
            <w:r w:rsidRPr="00D618B7">
              <w:rPr>
                <w:color w:val="000000"/>
              </w:rPr>
              <w:t>0.0023</w:t>
            </w:r>
          </w:p>
        </w:tc>
        <w:tc>
          <w:tcPr>
            <w:tcW w:w="752" w:type="pct"/>
            <w:tcBorders>
              <w:top w:val="nil"/>
              <w:left w:val="nil"/>
              <w:bottom w:val="nil"/>
              <w:right w:val="nil"/>
            </w:tcBorders>
            <w:shd w:val="clear" w:color="000000" w:fill="FFFFFF"/>
            <w:noWrap/>
            <w:vAlign w:val="center"/>
            <w:hideMark/>
          </w:tcPr>
          <w:p w14:paraId="448C85D5" w14:textId="77777777" w:rsidR="00E7168B" w:rsidRPr="00D618B7" w:rsidRDefault="00E7168B" w:rsidP="004B11B7">
            <w:pPr>
              <w:jc w:val="right"/>
              <w:rPr>
                <w:color w:val="000000"/>
              </w:rPr>
            </w:pPr>
            <w:r w:rsidRPr="00D618B7">
              <w:rPr>
                <w:color w:val="000000"/>
              </w:rPr>
              <w:t>0.0012</w:t>
            </w:r>
          </w:p>
        </w:tc>
      </w:tr>
      <w:tr w:rsidR="00E7168B" w:rsidRPr="00D618B7" w14:paraId="62A58EA5" w14:textId="77777777" w:rsidTr="004B11B7">
        <w:trPr>
          <w:trHeight w:val="284"/>
        </w:trPr>
        <w:tc>
          <w:tcPr>
            <w:tcW w:w="1990" w:type="pct"/>
            <w:tcBorders>
              <w:top w:val="nil"/>
              <w:left w:val="nil"/>
              <w:bottom w:val="nil"/>
              <w:right w:val="nil"/>
            </w:tcBorders>
            <w:shd w:val="clear" w:color="000000" w:fill="FFFFFF"/>
            <w:vAlign w:val="center"/>
            <w:hideMark/>
          </w:tcPr>
          <w:p w14:paraId="686A530D" w14:textId="77777777" w:rsidR="00E7168B" w:rsidRPr="00D618B7" w:rsidRDefault="00E7168B" w:rsidP="004B11B7">
            <w:pPr>
              <w:jc w:val="center"/>
              <w:rPr>
                <w:color w:val="000000"/>
              </w:rPr>
            </w:pPr>
            <w:r w:rsidRPr="00D618B7">
              <w:rPr>
                <w:color w:val="000000"/>
              </w:rPr>
              <w:t>2</w:t>
            </w:r>
          </w:p>
        </w:tc>
        <w:tc>
          <w:tcPr>
            <w:tcW w:w="752" w:type="pct"/>
            <w:tcBorders>
              <w:top w:val="nil"/>
              <w:left w:val="nil"/>
              <w:bottom w:val="nil"/>
              <w:right w:val="nil"/>
            </w:tcBorders>
            <w:shd w:val="clear" w:color="000000" w:fill="FFFFFF"/>
            <w:noWrap/>
            <w:vAlign w:val="center"/>
            <w:hideMark/>
          </w:tcPr>
          <w:p w14:paraId="52011115" w14:textId="77777777" w:rsidR="00E7168B" w:rsidRPr="00D618B7" w:rsidRDefault="00E7168B" w:rsidP="004B11B7">
            <w:pPr>
              <w:jc w:val="right"/>
              <w:rPr>
                <w:color w:val="000000"/>
              </w:rPr>
            </w:pPr>
            <w:r w:rsidRPr="00D618B7">
              <w:rPr>
                <w:color w:val="000000"/>
              </w:rPr>
              <w:t>0.0001</w:t>
            </w:r>
          </w:p>
        </w:tc>
        <w:tc>
          <w:tcPr>
            <w:tcW w:w="753" w:type="pct"/>
            <w:tcBorders>
              <w:top w:val="nil"/>
              <w:left w:val="nil"/>
              <w:bottom w:val="nil"/>
              <w:right w:val="nil"/>
            </w:tcBorders>
            <w:shd w:val="clear" w:color="000000" w:fill="FFFFFF"/>
            <w:noWrap/>
            <w:vAlign w:val="center"/>
            <w:hideMark/>
          </w:tcPr>
          <w:p w14:paraId="0DF93A09" w14:textId="77777777" w:rsidR="00E7168B" w:rsidRPr="00D618B7" w:rsidRDefault="00E7168B" w:rsidP="004B11B7">
            <w:pPr>
              <w:jc w:val="right"/>
              <w:rPr>
                <w:color w:val="000000"/>
              </w:rPr>
            </w:pPr>
            <w:r w:rsidRPr="00D618B7">
              <w:rPr>
                <w:color w:val="000000"/>
              </w:rPr>
              <w:t>0.0002</w:t>
            </w:r>
          </w:p>
        </w:tc>
        <w:tc>
          <w:tcPr>
            <w:tcW w:w="752" w:type="pct"/>
            <w:tcBorders>
              <w:top w:val="nil"/>
              <w:left w:val="nil"/>
              <w:bottom w:val="nil"/>
              <w:right w:val="nil"/>
            </w:tcBorders>
            <w:shd w:val="clear" w:color="000000" w:fill="FFFFFF"/>
            <w:noWrap/>
            <w:vAlign w:val="center"/>
            <w:hideMark/>
          </w:tcPr>
          <w:p w14:paraId="2D3411DC" w14:textId="77777777" w:rsidR="00E7168B" w:rsidRPr="00D618B7" w:rsidRDefault="00E7168B" w:rsidP="004B11B7">
            <w:pPr>
              <w:jc w:val="right"/>
              <w:rPr>
                <w:color w:val="000000"/>
              </w:rPr>
            </w:pPr>
            <w:r w:rsidRPr="00D618B7">
              <w:rPr>
                <w:color w:val="000000"/>
              </w:rPr>
              <w:t>0.0060</w:t>
            </w:r>
          </w:p>
        </w:tc>
        <w:tc>
          <w:tcPr>
            <w:tcW w:w="752" w:type="pct"/>
            <w:tcBorders>
              <w:top w:val="nil"/>
              <w:left w:val="nil"/>
              <w:bottom w:val="nil"/>
              <w:right w:val="nil"/>
            </w:tcBorders>
            <w:shd w:val="clear" w:color="000000" w:fill="FFFFFF"/>
            <w:noWrap/>
            <w:vAlign w:val="center"/>
            <w:hideMark/>
          </w:tcPr>
          <w:p w14:paraId="419DED4E" w14:textId="77777777" w:rsidR="00E7168B" w:rsidRPr="00D618B7" w:rsidRDefault="00E7168B" w:rsidP="004B11B7">
            <w:pPr>
              <w:jc w:val="right"/>
              <w:rPr>
                <w:color w:val="000000"/>
              </w:rPr>
            </w:pPr>
            <w:r w:rsidRPr="00D618B7">
              <w:rPr>
                <w:color w:val="000000"/>
              </w:rPr>
              <w:t>0.0014</w:t>
            </w:r>
          </w:p>
        </w:tc>
      </w:tr>
      <w:tr w:rsidR="00E7168B" w:rsidRPr="00D618B7" w14:paraId="48BFDD52" w14:textId="77777777" w:rsidTr="004B11B7">
        <w:trPr>
          <w:trHeight w:val="284"/>
        </w:trPr>
        <w:tc>
          <w:tcPr>
            <w:tcW w:w="1990" w:type="pct"/>
            <w:tcBorders>
              <w:top w:val="nil"/>
              <w:left w:val="nil"/>
              <w:bottom w:val="nil"/>
              <w:right w:val="nil"/>
            </w:tcBorders>
            <w:shd w:val="clear" w:color="000000" w:fill="FFFFFF"/>
            <w:vAlign w:val="center"/>
            <w:hideMark/>
          </w:tcPr>
          <w:p w14:paraId="045E2A75" w14:textId="77777777" w:rsidR="00E7168B" w:rsidRPr="00D618B7" w:rsidRDefault="00E7168B" w:rsidP="004B11B7">
            <w:pPr>
              <w:jc w:val="center"/>
              <w:rPr>
                <w:color w:val="000000"/>
              </w:rPr>
            </w:pPr>
            <w:r w:rsidRPr="00D618B7">
              <w:rPr>
                <w:color w:val="000000"/>
              </w:rPr>
              <w:t>3</w:t>
            </w:r>
          </w:p>
        </w:tc>
        <w:tc>
          <w:tcPr>
            <w:tcW w:w="752" w:type="pct"/>
            <w:tcBorders>
              <w:top w:val="nil"/>
              <w:left w:val="nil"/>
              <w:bottom w:val="nil"/>
              <w:right w:val="nil"/>
            </w:tcBorders>
            <w:shd w:val="clear" w:color="000000" w:fill="FFFFFF"/>
            <w:noWrap/>
            <w:vAlign w:val="center"/>
            <w:hideMark/>
          </w:tcPr>
          <w:p w14:paraId="2B8F8E2A" w14:textId="77777777" w:rsidR="00E7168B" w:rsidRPr="00D618B7" w:rsidRDefault="00E7168B" w:rsidP="004B11B7">
            <w:pPr>
              <w:jc w:val="right"/>
              <w:rPr>
                <w:color w:val="000000"/>
              </w:rPr>
            </w:pPr>
            <w:r w:rsidRPr="00D618B7">
              <w:rPr>
                <w:color w:val="000000"/>
              </w:rPr>
              <w:t>0.0016</w:t>
            </w:r>
          </w:p>
        </w:tc>
        <w:tc>
          <w:tcPr>
            <w:tcW w:w="753" w:type="pct"/>
            <w:tcBorders>
              <w:top w:val="nil"/>
              <w:left w:val="nil"/>
              <w:bottom w:val="nil"/>
              <w:right w:val="nil"/>
            </w:tcBorders>
            <w:shd w:val="clear" w:color="000000" w:fill="FFFFFF"/>
            <w:noWrap/>
            <w:vAlign w:val="center"/>
            <w:hideMark/>
          </w:tcPr>
          <w:p w14:paraId="3D4DBBEC" w14:textId="77777777" w:rsidR="00E7168B" w:rsidRPr="00D618B7" w:rsidRDefault="00E7168B" w:rsidP="004B11B7">
            <w:pPr>
              <w:jc w:val="right"/>
              <w:rPr>
                <w:color w:val="000000"/>
              </w:rPr>
            </w:pPr>
            <w:r w:rsidRPr="00D618B7">
              <w:rPr>
                <w:color w:val="000000"/>
              </w:rPr>
              <w:t>0.0010</w:t>
            </w:r>
          </w:p>
        </w:tc>
        <w:tc>
          <w:tcPr>
            <w:tcW w:w="752" w:type="pct"/>
            <w:tcBorders>
              <w:top w:val="nil"/>
              <w:left w:val="nil"/>
              <w:bottom w:val="nil"/>
              <w:right w:val="nil"/>
            </w:tcBorders>
            <w:shd w:val="clear" w:color="000000" w:fill="FFFFFF"/>
            <w:noWrap/>
            <w:vAlign w:val="center"/>
            <w:hideMark/>
          </w:tcPr>
          <w:p w14:paraId="6A2F1E54" w14:textId="77777777" w:rsidR="00E7168B" w:rsidRPr="00D618B7" w:rsidRDefault="00E7168B" w:rsidP="004B11B7">
            <w:pPr>
              <w:jc w:val="right"/>
              <w:rPr>
                <w:color w:val="000000"/>
              </w:rPr>
            </w:pPr>
            <w:r w:rsidRPr="00D618B7">
              <w:rPr>
                <w:color w:val="000000"/>
              </w:rPr>
              <w:t>0.0026</w:t>
            </w:r>
          </w:p>
        </w:tc>
        <w:tc>
          <w:tcPr>
            <w:tcW w:w="752" w:type="pct"/>
            <w:tcBorders>
              <w:top w:val="nil"/>
              <w:left w:val="nil"/>
              <w:bottom w:val="nil"/>
              <w:right w:val="nil"/>
            </w:tcBorders>
            <w:shd w:val="clear" w:color="000000" w:fill="FFFFFF"/>
            <w:noWrap/>
            <w:vAlign w:val="center"/>
            <w:hideMark/>
          </w:tcPr>
          <w:p w14:paraId="2CAB754D" w14:textId="77777777" w:rsidR="00E7168B" w:rsidRPr="00D618B7" w:rsidRDefault="00E7168B" w:rsidP="004B11B7">
            <w:pPr>
              <w:jc w:val="right"/>
              <w:rPr>
                <w:color w:val="000000"/>
              </w:rPr>
            </w:pPr>
            <w:r w:rsidRPr="00D618B7">
              <w:rPr>
                <w:color w:val="000000"/>
              </w:rPr>
              <w:t>0.0015</w:t>
            </w:r>
          </w:p>
        </w:tc>
      </w:tr>
      <w:tr w:rsidR="00E7168B" w:rsidRPr="00D618B7" w14:paraId="3C6E511D" w14:textId="77777777" w:rsidTr="004B11B7">
        <w:trPr>
          <w:trHeight w:val="284"/>
        </w:trPr>
        <w:tc>
          <w:tcPr>
            <w:tcW w:w="1990" w:type="pct"/>
            <w:tcBorders>
              <w:top w:val="nil"/>
              <w:left w:val="nil"/>
              <w:bottom w:val="nil"/>
              <w:right w:val="nil"/>
            </w:tcBorders>
            <w:shd w:val="clear" w:color="000000" w:fill="FFFFFF"/>
            <w:vAlign w:val="center"/>
            <w:hideMark/>
          </w:tcPr>
          <w:p w14:paraId="039A5E2C" w14:textId="77777777" w:rsidR="00E7168B" w:rsidRPr="00D618B7" w:rsidRDefault="00E7168B" w:rsidP="004B11B7">
            <w:pPr>
              <w:jc w:val="center"/>
              <w:rPr>
                <w:color w:val="000000"/>
              </w:rPr>
            </w:pPr>
            <w:r w:rsidRPr="00D618B7">
              <w:rPr>
                <w:color w:val="000000"/>
              </w:rPr>
              <w:t>4</w:t>
            </w:r>
          </w:p>
        </w:tc>
        <w:tc>
          <w:tcPr>
            <w:tcW w:w="752" w:type="pct"/>
            <w:tcBorders>
              <w:top w:val="nil"/>
              <w:left w:val="nil"/>
              <w:bottom w:val="nil"/>
              <w:right w:val="nil"/>
            </w:tcBorders>
            <w:shd w:val="clear" w:color="000000" w:fill="FFFFFF"/>
            <w:noWrap/>
            <w:vAlign w:val="center"/>
            <w:hideMark/>
          </w:tcPr>
          <w:p w14:paraId="541B671E" w14:textId="77777777" w:rsidR="00E7168B" w:rsidRPr="00D618B7" w:rsidRDefault="00E7168B" w:rsidP="004B11B7">
            <w:pPr>
              <w:jc w:val="right"/>
              <w:rPr>
                <w:color w:val="000000"/>
              </w:rPr>
            </w:pPr>
            <w:r w:rsidRPr="00D618B7">
              <w:rPr>
                <w:color w:val="000000"/>
              </w:rPr>
              <w:t>0.0032</w:t>
            </w:r>
          </w:p>
        </w:tc>
        <w:tc>
          <w:tcPr>
            <w:tcW w:w="753" w:type="pct"/>
            <w:tcBorders>
              <w:top w:val="nil"/>
              <w:left w:val="nil"/>
              <w:bottom w:val="nil"/>
              <w:right w:val="nil"/>
            </w:tcBorders>
            <w:shd w:val="clear" w:color="000000" w:fill="FFFFFF"/>
            <w:noWrap/>
            <w:vAlign w:val="center"/>
            <w:hideMark/>
          </w:tcPr>
          <w:p w14:paraId="3A4FDF63" w14:textId="77777777" w:rsidR="00E7168B" w:rsidRPr="00D618B7" w:rsidRDefault="00E7168B" w:rsidP="004B11B7">
            <w:pPr>
              <w:jc w:val="right"/>
              <w:rPr>
                <w:color w:val="000000"/>
              </w:rPr>
            </w:pPr>
            <w:r w:rsidRPr="00D618B7">
              <w:rPr>
                <w:color w:val="000000"/>
              </w:rPr>
              <w:t>0.0029</w:t>
            </w:r>
          </w:p>
        </w:tc>
        <w:tc>
          <w:tcPr>
            <w:tcW w:w="752" w:type="pct"/>
            <w:tcBorders>
              <w:top w:val="nil"/>
              <w:left w:val="nil"/>
              <w:bottom w:val="nil"/>
              <w:right w:val="nil"/>
            </w:tcBorders>
            <w:shd w:val="clear" w:color="000000" w:fill="FFFFFF"/>
            <w:noWrap/>
            <w:vAlign w:val="center"/>
            <w:hideMark/>
          </w:tcPr>
          <w:p w14:paraId="2539AB9D" w14:textId="77777777" w:rsidR="00E7168B" w:rsidRPr="00D618B7" w:rsidRDefault="00E7168B" w:rsidP="004B11B7">
            <w:pPr>
              <w:jc w:val="right"/>
              <w:rPr>
                <w:color w:val="000000"/>
              </w:rPr>
            </w:pPr>
            <w:r w:rsidRPr="00D618B7">
              <w:rPr>
                <w:color w:val="000000"/>
              </w:rPr>
              <w:t>0.0054</w:t>
            </w:r>
          </w:p>
        </w:tc>
        <w:tc>
          <w:tcPr>
            <w:tcW w:w="752" w:type="pct"/>
            <w:tcBorders>
              <w:top w:val="nil"/>
              <w:left w:val="nil"/>
              <w:bottom w:val="nil"/>
              <w:right w:val="nil"/>
            </w:tcBorders>
            <w:shd w:val="clear" w:color="000000" w:fill="FFFFFF"/>
            <w:noWrap/>
            <w:vAlign w:val="center"/>
            <w:hideMark/>
          </w:tcPr>
          <w:p w14:paraId="307966ED" w14:textId="77777777" w:rsidR="00E7168B" w:rsidRPr="00D618B7" w:rsidRDefault="00E7168B" w:rsidP="004B11B7">
            <w:pPr>
              <w:jc w:val="right"/>
              <w:rPr>
                <w:color w:val="000000"/>
              </w:rPr>
            </w:pPr>
            <w:r w:rsidRPr="00D618B7">
              <w:rPr>
                <w:color w:val="000000"/>
              </w:rPr>
              <w:t>0.0006</w:t>
            </w:r>
          </w:p>
        </w:tc>
      </w:tr>
      <w:tr w:rsidR="00E7168B" w:rsidRPr="00D618B7" w14:paraId="02462B98" w14:textId="77777777" w:rsidTr="004B11B7">
        <w:trPr>
          <w:trHeight w:val="284"/>
        </w:trPr>
        <w:tc>
          <w:tcPr>
            <w:tcW w:w="1990" w:type="pct"/>
            <w:tcBorders>
              <w:top w:val="nil"/>
              <w:left w:val="nil"/>
              <w:bottom w:val="single" w:sz="8" w:space="0" w:color="auto"/>
              <w:right w:val="nil"/>
            </w:tcBorders>
            <w:shd w:val="clear" w:color="000000" w:fill="FFFFFF"/>
            <w:vAlign w:val="center"/>
            <w:hideMark/>
          </w:tcPr>
          <w:p w14:paraId="6F2A9628" w14:textId="77777777" w:rsidR="00E7168B" w:rsidRPr="00D618B7" w:rsidRDefault="00E7168B" w:rsidP="004B11B7">
            <w:pPr>
              <w:jc w:val="center"/>
              <w:rPr>
                <w:color w:val="000000"/>
              </w:rPr>
            </w:pPr>
            <w:r w:rsidRPr="00D618B7">
              <w:rPr>
                <w:color w:val="000000"/>
              </w:rPr>
              <w:t>5</w:t>
            </w:r>
          </w:p>
        </w:tc>
        <w:tc>
          <w:tcPr>
            <w:tcW w:w="752" w:type="pct"/>
            <w:tcBorders>
              <w:top w:val="nil"/>
              <w:left w:val="nil"/>
              <w:bottom w:val="single" w:sz="8" w:space="0" w:color="auto"/>
              <w:right w:val="nil"/>
            </w:tcBorders>
            <w:shd w:val="clear" w:color="000000" w:fill="FFFFFF"/>
            <w:noWrap/>
            <w:vAlign w:val="center"/>
            <w:hideMark/>
          </w:tcPr>
          <w:p w14:paraId="4FCF6774" w14:textId="77777777" w:rsidR="00E7168B" w:rsidRPr="00D618B7" w:rsidRDefault="00E7168B" w:rsidP="004B11B7">
            <w:pPr>
              <w:jc w:val="right"/>
              <w:rPr>
                <w:color w:val="000000"/>
              </w:rPr>
            </w:pPr>
            <w:r w:rsidRPr="00D618B7">
              <w:rPr>
                <w:color w:val="000000"/>
              </w:rPr>
              <w:t>0.0004</w:t>
            </w:r>
          </w:p>
        </w:tc>
        <w:tc>
          <w:tcPr>
            <w:tcW w:w="753" w:type="pct"/>
            <w:tcBorders>
              <w:top w:val="nil"/>
              <w:left w:val="nil"/>
              <w:bottom w:val="single" w:sz="8" w:space="0" w:color="auto"/>
              <w:right w:val="nil"/>
            </w:tcBorders>
            <w:shd w:val="clear" w:color="000000" w:fill="FFFFFF"/>
            <w:noWrap/>
            <w:vAlign w:val="center"/>
            <w:hideMark/>
          </w:tcPr>
          <w:p w14:paraId="62C0AEC5" w14:textId="77777777" w:rsidR="00E7168B" w:rsidRPr="00D618B7" w:rsidRDefault="00E7168B" w:rsidP="004B11B7">
            <w:pPr>
              <w:jc w:val="right"/>
              <w:rPr>
                <w:color w:val="000000"/>
              </w:rPr>
            </w:pPr>
            <w:r w:rsidRPr="00D618B7">
              <w:rPr>
                <w:color w:val="000000"/>
              </w:rPr>
              <w:t>0.0009</w:t>
            </w:r>
          </w:p>
        </w:tc>
        <w:tc>
          <w:tcPr>
            <w:tcW w:w="752" w:type="pct"/>
            <w:tcBorders>
              <w:top w:val="nil"/>
              <w:left w:val="nil"/>
              <w:bottom w:val="single" w:sz="8" w:space="0" w:color="auto"/>
              <w:right w:val="nil"/>
            </w:tcBorders>
            <w:shd w:val="clear" w:color="000000" w:fill="FFFFFF"/>
            <w:noWrap/>
            <w:vAlign w:val="center"/>
            <w:hideMark/>
          </w:tcPr>
          <w:p w14:paraId="14FDAF69" w14:textId="77777777" w:rsidR="00E7168B" w:rsidRPr="00D618B7" w:rsidRDefault="00E7168B" w:rsidP="004B11B7">
            <w:pPr>
              <w:jc w:val="right"/>
              <w:rPr>
                <w:color w:val="000000"/>
              </w:rPr>
            </w:pPr>
            <w:r w:rsidRPr="00D618B7">
              <w:rPr>
                <w:color w:val="000000"/>
              </w:rPr>
              <w:t>0.0032</w:t>
            </w:r>
          </w:p>
        </w:tc>
        <w:tc>
          <w:tcPr>
            <w:tcW w:w="752" w:type="pct"/>
            <w:tcBorders>
              <w:top w:val="nil"/>
              <w:left w:val="nil"/>
              <w:bottom w:val="single" w:sz="8" w:space="0" w:color="auto"/>
              <w:right w:val="nil"/>
            </w:tcBorders>
            <w:shd w:val="clear" w:color="000000" w:fill="FFFFFF"/>
            <w:noWrap/>
            <w:vAlign w:val="center"/>
            <w:hideMark/>
          </w:tcPr>
          <w:p w14:paraId="633EFB93" w14:textId="77777777" w:rsidR="00E7168B" w:rsidRPr="00D618B7" w:rsidRDefault="00E7168B" w:rsidP="004B11B7">
            <w:pPr>
              <w:jc w:val="right"/>
              <w:rPr>
                <w:color w:val="000000"/>
              </w:rPr>
            </w:pPr>
            <w:r w:rsidRPr="00D618B7">
              <w:rPr>
                <w:color w:val="000000"/>
              </w:rPr>
              <w:t>0.0001</w:t>
            </w:r>
          </w:p>
        </w:tc>
      </w:tr>
    </w:tbl>
    <w:p w14:paraId="59031CFD" w14:textId="77777777" w:rsidR="00E7168B" w:rsidRPr="00D618B7" w:rsidRDefault="00E7168B" w:rsidP="00E7168B">
      <w:pPr>
        <w:rPr>
          <w:b/>
          <w:bCs/>
        </w:rPr>
      </w:pPr>
    </w:p>
    <w:p w14:paraId="677C0DA5" w14:textId="65E83C26" w:rsidR="00E7168B" w:rsidRPr="00D618B7" w:rsidRDefault="00E7168B" w:rsidP="00E7168B">
      <w:r w:rsidRPr="00D618B7">
        <w:rPr>
          <w:i/>
          <w:iCs/>
        </w:rPr>
        <w:t>Note</w:t>
      </w:r>
      <w:r w:rsidRPr="00D618B7">
        <w:t>: This table lists the estimated mean Rate and standard errors for each week of observation around reach-onset for each group.</w:t>
      </w:r>
    </w:p>
    <w:p w14:paraId="19586941" w14:textId="77777777" w:rsidR="00E7168B" w:rsidRPr="00D618B7" w:rsidRDefault="00E7168B">
      <w:r w:rsidRPr="00D618B7">
        <w:br w:type="page"/>
      </w:r>
    </w:p>
    <w:p w14:paraId="4CA462BB" w14:textId="2E1519F1" w:rsidR="00E7168B" w:rsidRPr="00D618B7" w:rsidRDefault="00E7168B" w:rsidP="007C5074">
      <w:pPr>
        <w:pStyle w:val="Caption"/>
      </w:pPr>
      <w:bookmarkStart w:id="196" w:name="_Toc172716882"/>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54</w:t>
      </w:r>
      <w:r w:rsidR="00000000">
        <w:rPr>
          <w:noProof/>
        </w:rPr>
        <w:fldChar w:fldCharType="end"/>
      </w:r>
      <w:r w:rsidR="00940E58">
        <w:rPr>
          <w:noProof/>
        </w:rPr>
        <w:t>:</w:t>
      </w:r>
      <w:r w:rsidR="00205741" w:rsidRPr="00205741">
        <w:t xml:space="preserve"> </w:t>
      </w:r>
      <w:r w:rsidR="00205741">
        <w:t>Event rate</w:t>
      </w:r>
      <w:r w:rsidR="00205741" w:rsidRPr="00BA36EF">
        <w:t xml:space="preserve"> by </w:t>
      </w:r>
      <w:r w:rsidR="00205741">
        <w:t>type by group</w:t>
      </w:r>
      <w:bookmarkEnd w:id="196"/>
    </w:p>
    <w:p w14:paraId="1BA04F4F" w14:textId="6FCAA838" w:rsidR="00E7168B" w:rsidRPr="00D618B7" w:rsidRDefault="00E7168B" w:rsidP="00E7168B">
      <w:r w:rsidRPr="00D618B7">
        <w:t>Estimated Mean Rate of Events per Trial by Type and Group</w:t>
      </w:r>
    </w:p>
    <w:tbl>
      <w:tblPr>
        <w:tblW w:w="5000" w:type="pct"/>
        <w:tblLook w:val="04A0" w:firstRow="1" w:lastRow="0" w:firstColumn="1" w:lastColumn="0" w:noHBand="0" w:noVBand="1"/>
      </w:tblPr>
      <w:tblGrid>
        <w:gridCol w:w="3000"/>
        <w:gridCol w:w="1379"/>
        <w:gridCol w:w="1237"/>
        <w:gridCol w:w="276"/>
        <w:gridCol w:w="96"/>
        <w:gridCol w:w="1078"/>
        <w:gridCol w:w="1574"/>
      </w:tblGrid>
      <w:tr w:rsidR="00E7168B" w:rsidRPr="00D618B7" w14:paraId="612F4336" w14:textId="77777777" w:rsidTr="004B11B7">
        <w:trPr>
          <w:trHeight w:val="343"/>
        </w:trPr>
        <w:tc>
          <w:tcPr>
            <w:tcW w:w="1739" w:type="pct"/>
            <w:tcBorders>
              <w:top w:val="nil"/>
              <w:left w:val="nil"/>
              <w:bottom w:val="single" w:sz="8" w:space="0" w:color="auto"/>
              <w:right w:val="nil"/>
            </w:tcBorders>
            <w:shd w:val="clear" w:color="auto" w:fill="auto"/>
            <w:noWrap/>
            <w:vAlign w:val="bottom"/>
            <w:hideMark/>
          </w:tcPr>
          <w:p w14:paraId="700F578C" w14:textId="77777777" w:rsidR="00E7168B" w:rsidRPr="00D618B7" w:rsidRDefault="00E7168B" w:rsidP="004B11B7">
            <w:pPr>
              <w:rPr>
                <w:color w:val="000000"/>
              </w:rPr>
            </w:pPr>
          </w:p>
        </w:tc>
        <w:tc>
          <w:tcPr>
            <w:tcW w:w="1519" w:type="pct"/>
            <w:gridSpan w:val="2"/>
            <w:tcBorders>
              <w:top w:val="nil"/>
              <w:left w:val="nil"/>
              <w:bottom w:val="single" w:sz="8" w:space="0" w:color="auto"/>
              <w:right w:val="nil"/>
            </w:tcBorders>
            <w:shd w:val="clear" w:color="auto" w:fill="auto"/>
            <w:noWrap/>
            <w:vAlign w:val="bottom"/>
            <w:hideMark/>
          </w:tcPr>
          <w:p w14:paraId="179E8B80" w14:textId="77777777" w:rsidR="00E7168B" w:rsidRPr="00D618B7" w:rsidRDefault="00E7168B" w:rsidP="004B11B7">
            <w:pPr>
              <w:rPr>
                <w:color w:val="000000"/>
              </w:rPr>
            </w:pPr>
            <w:r w:rsidRPr="00D618B7">
              <w:rPr>
                <w:color w:val="000000"/>
              </w:rPr>
              <w:t> </w:t>
            </w:r>
          </w:p>
        </w:tc>
        <w:tc>
          <w:tcPr>
            <w:tcW w:w="145" w:type="pct"/>
            <w:tcBorders>
              <w:top w:val="nil"/>
              <w:left w:val="nil"/>
              <w:bottom w:val="single" w:sz="8" w:space="0" w:color="auto"/>
              <w:right w:val="nil"/>
            </w:tcBorders>
            <w:shd w:val="clear" w:color="auto" w:fill="auto"/>
            <w:noWrap/>
            <w:vAlign w:val="bottom"/>
            <w:hideMark/>
          </w:tcPr>
          <w:p w14:paraId="385A67DF" w14:textId="77777777" w:rsidR="00E7168B" w:rsidRPr="00D618B7" w:rsidRDefault="00E7168B" w:rsidP="004B11B7">
            <w:pPr>
              <w:rPr>
                <w:color w:val="000000"/>
              </w:rPr>
            </w:pPr>
            <w:r w:rsidRPr="00D618B7">
              <w:rPr>
                <w:color w:val="000000"/>
              </w:rPr>
              <w:t> </w:t>
            </w:r>
          </w:p>
        </w:tc>
        <w:tc>
          <w:tcPr>
            <w:tcW w:w="684" w:type="pct"/>
            <w:gridSpan w:val="2"/>
            <w:tcBorders>
              <w:top w:val="nil"/>
              <w:left w:val="nil"/>
              <w:bottom w:val="single" w:sz="8" w:space="0" w:color="auto"/>
              <w:right w:val="nil"/>
            </w:tcBorders>
            <w:shd w:val="clear" w:color="auto" w:fill="auto"/>
            <w:noWrap/>
            <w:vAlign w:val="bottom"/>
            <w:hideMark/>
          </w:tcPr>
          <w:p w14:paraId="7F4F9C97" w14:textId="77777777" w:rsidR="00E7168B" w:rsidRPr="00D618B7" w:rsidRDefault="00E7168B" w:rsidP="004B11B7">
            <w:pPr>
              <w:rPr>
                <w:color w:val="000000"/>
              </w:rPr>
            </w:pPr>
            <w:r w:rsidRPr="00D618B7">
              <w:rPr>
                <w:color w:val="000000"/>
              </w:rPr>
              <w:t> </w:t>
            </w:r>
          </w:p>
        </w:tc>
        <w:tc>
          <w:tcPr>
            <w:tcW w:w="913" w:type="pct"/>
            <w:tcBorders>
              <w:top w:val="nil"/>
              <w:left w:val="nil"/>
              <w:bottom w:val="single" w:sz="8" w:space="0" w:color="auto"/>
              <w:right w:val="nil"/>
            </w:tcBorders>
            <w:shd w:val="clear" w:color="auto" w:fill="auto"/>
            <w:noWrap/>
            <w:vAlign w:val="bottom"/>
            <w:hideMark/>
          </w:tcPr>
          <w:p w14:paraId="2C37511B" w14:textId="77777777" w:rsidR="00E7168B" w:rsidRPr="00D618B7" w:rsidRDefault="00E7168B" w:rsidP="004B11B7">
            <w:pPr>
              <w:rPr>
                <w:color w:val="000000"/>
              </w:rPr>
            </w:pPr>
            <w:r w:rsidRPr="00D618B7">
              <w:rPr>
                <w:color w:val="000000"/>
              </w:rPr>
              <w:t> </w:t>
            </w:r>
          </w:p>
        </w:tc>
      </w:tr>
      <w:tr w:rsidR="00E7168B" w:rsidRPr="00D618B7" w14:paraId="648D2414" w14:textId="77777777" w:rsidTr="004B11B7">
        <w:trPr>
          <w:trHeight w:val="343"/>
        </w:trPr>
        <w:tc>
          <w:tcPr>
            <w:tcW w:w="1739" w:type="pct"/>
            <w:tcBorders>
              <w:top w:val="nil"/>
              <w:left w:val="nil"/>
              <w:bottom w:val="nil"/>
              <w:right w:val="nil"/>
            </w:tcBorders>
            <w:shd w:val="clear" w:color="000000" w:fill="FFFFFF"/>
            <w:vAlign w:val="center"/>
            <w:hideMark/>
          </w:tcPr>
          <w:p w14:paraId="6D32569D" w14:textId="77777777" w:rsidR="00E7168B" w:rsidRPr="00D618B7" w:rsidRDefault="00E7168B" w:rsidP="004B11B7">
            <w:pPr>
              <w:rPr>
                <w:color w:val="000000"/>
              </w:rPr>
            </w:pPr>
            <w:r w:rsidRPr="00D618B7">
              <w:rPr>
                <w:color w:val="000000"/>
              </w:rPr>
              <w:t>Week</w:t>
            </w:r>
          </w:p>
        </w:tc>
        <w:tc>
          <w:tcPr>
            <w:tcW w:w="1722" w:type="pct"/>
            <w:gridSpan w:val="4"/>
            <w:tcBorders>
              <w:top w:val="nil"/>
              <w:left w:val="nil"/>
              <w:bottom w:val="single" w:sz="8" w:space="0" w:color="auto"/>
              <w:right w:val="nil"/>
            </w:tcBorders>
            <w:shd w:val="clear" w:color="000000" w:fill="FFFFFF"/>
            <w:vAlign w:val="center"/>
            <w:hideMark/>
          </w:tcPr>
          <w:p w14:paraId="3F31C9BC" w14:textId="77777777" w:rsidR="00E7168B" w:rsidRPr="00D618B7" w:rsidRDefault="00E7168B" w:rsidP="004B11B7">
            <w:pPr>
              <w:jc w:val="center"/>
              <w:rPr>
                <w:color w:val="000000"/>
              </w:rPr>
            </w:pPr>
            <w:r w:rsidRPr="00D618B7">
              <w:rPr>
                <w:color w:val="000000"/>
              </w:rPr>
              <w:t>Early Reach Group</w:t>
            </w:r>
          </w:p>
        </w:tc>
        <w:tc>
          <w:tcPr>
            <w:tcW w:w="1539" w:type="pct"/>
            <w:gridSpan w:val="2"/>
            <w:tcBorders>
              <w:top w:val="nil"/>
              <w:left w:val="nil"/>
              <w:bottom w:val="single" w:sz="8" w:space="0" w:color="auto"/>
              <w:right w:val="nil"/>
            </w:tcBorders>
            <w:shd w:val="clear" w:color="000000" w:fill="FFFFFF"/>
            <w:vAlign w:val="center"/>
            <w:hideMark/>
          </w:tcPr>
          <w:p w14:paraId="7414FF25" w14:textId="77777777" w:rsidR="00E7168B" w:rsidRPr="00D618B7" w:rsidRDefault="00E7168B" w:rsidP="004B11B7">
            <w:pPr>
              <w:jc w:val="center"/>
              <w:rPr>
                <w:color w:val="000000"/>
              </w:rPr>
            </w:pPr>
            <w:r w:rsidRPr="00D618B7">
              <w:rPr>
                <w:color w:val="000000"/>
              </w:rPr>
              <w:t>Late Reach Group</w:t>
            </w:r>
          </w:p>
        </w:tc>
      </w:tr>
      <w:tr w:rsidR="00E7168B" w:rsidRPr="00D618B7" w14:paraId="319A5665" w14:textId="77777777" w:rsidTr="004B11B7">
        <w:trPr>
          <w:trHeight w:val="343"/>
        </w:trPr>
        <w:tc>
          <w:tcPr>
            <w:tcW w:w="1739" w:type="pct"/>
            <w:tcBorders>
              <w:top w:val="nil"/>
              <w:left w:val="nil"/>
              <w:bottom w:val="single" w:sz="8" w:space="0" w:color="auto"/>
              <w:right w:val="nil"/>
            </w:tcBorders>
            <w:shd w:val="clear" w:color="000000" w:fill="FFFFFF"/>
            <w:noWrap/>
            <w:vAlign w:val="bottom"/>
            <w:hideMark/>
          </w:tcPr>
          <w:p w14:paraId="15ADF400" w14:textId="77777777" w:rsidR="00E7168B" w:rsidRPr="00D618B7" w:rsidRDefault="00E7168B" w:rsidP="004B11B7">
            <w:pPr>
              <w:rPr>
                <w:color w:val="000000"/>
              </w:rPr>
            </w:pPr>
            <w:r w:rsidRPr="00D618B7">
              <w:rPr>
                <w:color w:val="000000"/>
              </w:rPr>
              <w:t> </w:t>
            </w:r>
          </w:p>
        </w:tc>
        <w:tc>
          <w:tcPr>
            <w:tcW w:w="801" w:type="pct"/>
            <w:tcBorders>
              <w:top w:val="nil"/>
              <w:left w:val="nil"/>
              <w:bottom w:val="single" w:sz="8" w:space="0" w:color="auto"/>
              <w:right w:val="nil"/>
            </w:tcBorders>
            <w:shd w:val="clear" w:color="000000" w:fill="FFFFFF"/>
            <w:noWrap/>
            <w:vAlign w:val="center"/>
            <w:hideMark/>
          </w:tcPr>
          <w:p w14:paraId="4D766A95" w14:textId="77777777" w:rsidR="00E7168B" w:rsidRPr="00D618B7" w:rsidRDefault="00E7168B" w:rsidP="004B11B7">
            <w:pPr>
              <w:jc w:val="right"/>
              <w:rPr>
                <w:color w:val="000000"/>
              </w:rPr>
            </w:pPr>
            <w:r w:rsidRPr="00D618B7">
              <w:rPr>
                <w:color w:val="000000"/>
              </w:rPr>
              <w:t>Mean</w:t>
            </w:r>
          </w:p>
        </w:tc>
        <w:tc>
          <w:tcPr>
            <w:tcW w:w="921" w:type="pct"/>
            <w:gridSpan w:val="3"/>
            <w:tcBorders>
              <w:top w:val="nil"/>
              <w:left w:val="nil"/>
              <w:bottom w:val="single" w:sz="8" w:space="0" w:color="auto"/>
              <w:right w:val="nil"/>
            </w:tcBorders>
            <w:shd w:val="clear" w:color="000000" w:fill="FFFFFF"/>
            <w:noWrap/>
            <w:vAlign w:val="center"/>
            <w:hideMark/>
          </w:tcPr>
          <w:p w14:paraId="52E3B403" w14:textId="77777777" w:rsidR="00E7168B" w:rsidRPr="00D618B7" w:rsidRDefault="00E7168B" w:rsidP="004B11B7">
            <w:pPr>
              <w:jc w:val="right"/>
              <w:rPr>
                <w:color w:val="000000"/>
              </w:rPr>
            </w:pPr>
            <w:r w:rsidRPr="00D618B7">
              <w:rPr>
                <w:color w:val="000000"/>
              </w:rPr>
              <w:t>Std. Error</w:t>
            </w:r>
          </w:p>
        </w:tc>
        <w:tc>
          <w:tcPr>
            <w:tcW w:w="626" w:type="pct"/>
            <w:tcBorders>
              <w:top w:val="nil"/>
              <w:left w:val="nil"/>
              <w:bottom w:val="single" w:sz="8" w:space="0" w:color="auto"/>
              <w:right w:val="nil"/>
            </w:tcBorders>
            <w:shd w:val="clear" w:color="000000" w:fill="FFFFFF"/>
            <w:noWrap/>
            <w:vAlign w:val="center"/>
            <w:hideMark/>
          </w:tcPr>
          <w:p w14:paraId="047DC7C9" w14:textId="77777777" w:rsidR="00E7168B" w:rsidRPr="00D618B7" w:rsidRDefault="00E7168B" w:rsidP="004B11B7">
            <w:pPr>
              <w:jc w:val="right"/>
              <w:rPr>
                <w:color w:val="000000"/>
              </w:rPr>
            </w:pPr>
            <w:r w:rsidRPr="00D618B7">
              <w:rPr>
                <w:color w:val="000000"/>
              </w:rPr>
              <w:t>Mean</w:t>
            </w:r>
          </w:p>
        </w:tc>
        <w:tc>
          <w:tcPr>
            <w:tcW w:w="913" w:type="pct"/>
            <w:tcBorders>
              <w:top w:val="nil"/>
              <w:left w:val="nil"/>
              <w:bottom w:val="single" w:sz="8" w:space="0" w:color="auto"/>
              <w:right w:val="nil"/>
            </w:tcBorders>
            <w:shd w:val="clear" w:color="000000" w:fill="FFFFFF"/>
            <w:noWrap/>
            <w:vAlign w:val="center"/>
            <w:hideMark/>
          </w:tcPr>
          <w:p w14:paraId="686624B0" w14:textId="77777777" w:rsidR="00E7168B" w:rsidRPr="00D618B7" w:rsidRDefault="00E7168B" w:rsidP="004B11B7">
            <w:pPr>
              <w:jc w:val="right"/>
              <w:rPr>
                <w:color w:val="000000"/>
              </w:rPr>
            </w:pPr>
            <w:r w:rsidRPr="00D618B7">
              <w:rPr>
                <w:color w:val="000000"/>
              </w:rPr>
              <w:t>Std. Error</w:t>
            </w:r>
          </w:p>
        </w:tc>
      </w:tr>
      <w:tr w:rsidR="00E7168B" w:rsidRPr="00D618B7" w14:paraId="29CBA285" w14:textId="77777777" w:rsidTr="004B11B7">
        <w:trPr>
          <w:trHeight w:val="343"/>
        </w:trPr>
        <w:tc>
          <w:tcPr>
            <w:tcW w:w="1739" w:type="pct"/>
            <w:tcBorders>
              <w:top w:val="nil"/>
              <w:left w:val="nil"/>
              <w:bottom w:val="nil"/>
              <w:right w:val="nil"/>
            </w:tcBorders>
            <w:shd w:val="clear" w:color="000000" w:fill="FFFFFF"/>
            <w:vAlign w:val="center"/>
            <w:hideMark/>
          </w:tcPr>
          <w:p w14:paraId="08F12E19" w14:textId="77777777" w:rsidR="00E7168B" w:rsidRPr="00D618B7" w:rsidRDefault="00E7168B" w:rsidP="004B11B7">
            <w:pPr>
              <w:rPr>
                <w:color w:val="000000"/>
              </w:rPr>
            </w:pPr>
            <w:r w:rsidRPr="00D618B7">
              <w:rPr>
                <w:color w:val="000000"/>
              </w:rPr>
              <w:t>Face</w:t>
            </w:r>
          </w:p>
        </w:tc>
        <w:tc>
          <w:tcPr>
            <w:tcW w:w="801" w:type="pct"/>
            <w:tcBorders>
              <w:top w:val="nil"/>
              <w:left w:val="nil"/>
              <w:bottom w:val="nil"/>
              <w:right w:val="nil"/>
            </w:tcBorders>
            <w:shd w:val="clear" w:color="000000" w:fill="FFFFFF"/>
            <w:noWrap/>
            <w:vAlign w:val="center"/>
            <w:hideMark/>
          </w:tcPr>
          <w:p w14:paraId="27821A8C" w14:textId="77777777" w:rsidR="00E7168B" w:rsidRPr="00D618B7" w:rsidRDefault="00E7168B" w:rsidP="004B11B7">
            <w:pPr>
              <w:jc w:val="right"/>
              <w:rPr>
                <w:color w:val="000000"/>
              </w:rPr>
            </w:pPr>
            <w:r w:rsidRPr="00D618B7">
              <w:rPr>
                <w:color w:val="000000"/>
              </w:rPr>
              <w:t>0.0036</w:t>
            </w:r>
          </w:p>
        </w:tc>
        <w:tc>
          <w:tcPr>
            <w:tcW w:w="921" w:type="pct"/>
            <w:gridSpan w:val="3"/>
            <w:tcBorders>
              <w:top w:val="nil"/>
              <w:left w:val="nil"/>
              <w:bottom w:val="nil"/>
              <w:right w:val="nil"/>
            </w:tcBorders>
            <w:shd w:val="clear" w:color="000000" w:fill="FFFFFF"/>
            <w:noWrap/>
            <w:vAlign w:val="center"/>
            <w:hideMark/>
          </w:tcPr>
          <w:p w14:paraId="45413FCE" w14:textId="77777777" w:rsidR="00E7168B" w:rsidRPr="00D618B7" w:rsidRDefault="00E7168B" w:rsidP="004B11B7">
            <w:pPr>
              <w:jc w:val="right"/>
              <w:rPr>
                <w:color w:val="000000"/>
              </w:rPr>
            </w:pPr>
            <w:r w:rsidRPr="00D618B7">
              <w:rPr>
                <w:color w:val="000000"/>
              </w:rPr>
              <w:t>0.0005</w:t>
            </w:r>
          </w:p>
        </w:tc>
        <w:tc>
          <w:tcPr>
            <w:tcW w:w="626" w:type="pct"/>
            <w:tcBorders>
              <w:top w:val="nil"/>
              <w:left w:val="nil"/>
              <w:bottom w:val="nil"/>
              <w:right w:val="nil"/>
            </w:tcBorders>
            <w:shd w:val="clear" w:color="000000" w:fill="FFFFFF"/>
            <w:noWrap/>
            <w:vAlign w:val="center"/>
            <w:hideMark/>
          </w:tcPr>
          <w:p w14:paraId="73399E98" w14:textId="77777777" w:rsidR="00E7168B" w:rsidRPr="00D618B7" w:rsidRDefault="00E7168B" w:rsidP="004B11B7">
            <w:pPr>
              <w:jc w:val="right"/>
              <w:rPr>
                <w:color w:val="000000"/>
              </w:rPr>
            </w:pPr>
            <w:r w:rsidRPr="00D618B7">
              <w:rPr>
                <w:color w:val="000000"/>
              </w:rPr>
              <w:t>0.0008</w:t>
            </w:r>
          </w:p>
        </w:tc>
        <w:tc>
          <w:tcPr>
            <w:tcW w:w="913" w:type="pct"/>
            <w:tcBorders>
              <w:top w:val="nil"/>
              <w:left w:val="nil"/>
              <w:bottom w:val="nil"/>
              <w:right w:val="nil"/>
            </w:tcBorders>
            <w:shd w:val="clear" w:color="000000" w:fill="FFFFFF"/>
            <w:noWrap/>
            <w:vAlign w:val="center"/>
            <w:hideMark/>
          </w:tcPr>
          <w:p w14:paraId="0486287B" w14:textId="77777777" w:rsidR="00E7168B" w:rsidRPr="00D618B7" w:rsidRDefault="00E7168B" w:rsidP="004B11B7">
            <w:pPr>
              <w:jc w:val="right"/>
              <w:rPr>
                <w:color w:val="000000"/>
              </w:rPr>
            </w:pPr>
            <w:r w:rsidRPr="00D618B7">
              <w:rPr>
                <w:color w:val="000000"/>
              </w:rPr>
              <w:t>0.0003</w:t>
            </w:r>
          </w:p>
        </w:tc>
      </w:tr>
      <w:tr w:rsidR="00E7168B" w:rsidRPr="00D618B7" w14:paraId="4400667F" w14:textId="77777777" w:rsidTr="004B11B7">
        <w:trPr>
          <w:trHeight w:val="343"/>
        </w:trPr>
        <w:tc>
          <w:tcPr>
            <w:tcW w:w="1739" w:type="pct"/>
            <w:tcBorders>
              <w:top w:val="nil"/>
              <w:left w:val="nil"/>
              <w:bottom w:val="nil"/>
              <w:right w:val="nil"/>
            </w:tcBorders>
            <w:shd w:val="clear" w:color="000000" w:fill="FFFFFF"/>
            <w:vAlign w:val="center"/>
            <w:hideMark/>
          </w:tcPr>
          <w:p w14:paraId="042685C3" w14:textId="77777777" w:rsidR="00E7168B" w:rsidRPr="00D618B7" w:rsidRDefault="00E7168B" w:rsidP="004B11B7">
            <w:pPr>
              <w:rPr>
                <w:color w:val="000000"/>
              </w:rPr>
            </w:pPr>
            <w:r w:rsidRPr="00D618B7">
              <w:rPr>
                <w:color w:val="000000"/>
              </w:rPr>
              <w:t>Hand</w:t>
            </w:r>
          </w:p>
        </w:tc>
        <w:tc>
          <w:tcPr>
            <w:tcW w:w="801" w:type="pct"/>
            <w:tcBorders>
              <w:top w:val="nil"/>
              <w:left w:val="nil"/>
              <w:bottom w:val="nil"/>
              <w:right w:val="nil"/>
            </w:tcBorders>
            <w:shd w:val="clear" w:color="000000" w:fill="FFFFFF"/>
            <w:noWrap/>
            <w:vAlign w:val="center"/>
            <w:hideMark/>
          </w:tcPr>
          <w:p w14:paraId="54E63B37" w14:textId="77777777" w:rsidR="00E7168B" w:rsidRPr="00D618B7" w:rsidRDefault="00E7168B" w:rsidP="004B11B7">
            <w:pPr>
              <w:jc w:val="right"/>
              <w:rPr>
                <w:color w:val="000000"/>
              </w:rPr>
            </w:pPr>
            <w:r w:rsidRPr="00D618B7">
              <w:rPr>
                <w:color w:val="000000"/>
              </w:rPr>
              <w:t>0.0011</w:t>
            </w:r>
          </w:p>
        </w:tc>
        <w:tc>
          <w:tcPr>
            <w:tcW w:w="921" w:type="pct"/>
            <w:gridSpan w:val="3"/>
            <w:tcBorders>
              <w:top w:val="nil"/>
              <w:left w:val="nil"/>
              <w:bottom w:val="nil"/>
              <w:right w:val="nil"/>
            </w:tcBorders>
            <w:shd w:val="clear" w:color="000000" w:fill="FFFFFF"/>
            <w:noWrap/>
            <w:vAlign w:val="center"/>
            <w:hideMark/>
          </w:tcPr>
          <w:p w14:paraId="1F7AA1B9" w14:textId="77777777" w:rsidR="00E7168B" w:rsidRPr="00D618B7" w:rsidRDefault="00E7168B" w:rsidP="004B11B7">
            <w:pPr>
              <w:jc w:val="right"/>
              <w:rPr>
                <w:color w:val="000000"/>
              </w:rPr>
            </w:pPr>
            <w:r w:rsidRPr="00D618B7">
              <w:rPr>
                <w:color w:val="000000"/>
              </w:rPr>
              <w:t>0.0003</w:t>
            </w:r>
          </w:p>
        </w:tc>
        <w:tc>
          <w:tcPr>
            <w:tcW w:w="626" w:type="pct"/>
            <w:tcBorders>
              <w:top w:val="nil"/>
              <w:left w:val="nil"/>
              <w:bottom w:val="nil"/>
              <w:right w:val="nil"/>
            </w:tcBorders>
            <w:shd w:val="clear" w:color="000000" w:fill="FFFFFF"/>
            <w:noWrap/>
            <w:vAlign w:val="center"/>
            <w:hideMark/>
          </w:tcPr>
          <w:p w14:paraId="3E9AE989" w14:textId="77777777" w:rsidR="00E7168B" w:rsidRPr="00D618B7" w:rsidRDefault="00E7168B" w:rsidP="004B11B7">
            <w:pPr>
              <w:jc w:val="right"/>
              <w:rPr>
                <w:color w:val="000000"/>
              </w:rPr>
            </w:pPr>
            <w:r w:rsidRPr="00D618B7">
              <w:rPr>
                <w:color w:val="000000"/>
              </w:rPr>
              <w:t>0.0003</w:t>
            </w:r>
          </w:p>
        </w:tc>
        <w:tc>
          <w:tcPr>
            <w:tcW w:w="913" w:type="pct"/>
            <w:tcBorders>
              <w:top w:val="nil"/>
              <w:left w:val="nil"/>
              <w:bottom w:val="nil"/>
              <w:right w:val="nil"/>
            </w:tcBorders>
            <w:shd w:val="clear" w:color="000000" w:fill="FFFFFF"/>
            <w:noWrap/>
            <w:vAlign w:val="center"/>
            <w:hideMark/>
          </w:tcPr>
          <w:p w14:paraId="57FDF081" w14:textId="77777777" w:rsidR="00E7168B" w:rsidRPr="00D618B7" w:rsidRDefault="00E7168B" w:rsidP="004B11B7">
            <w:pPr>
              <w:jc w:val="right"/>
              <w:rPr>
                <w:color w:val="000000"/>
              </w:rPr>
            </w:pPr>
            <w:r w:rsidRPr="00D618B7">
              <w:rPr>
                <w:color w:val="000000"/>
              </w:rPr>
              <w:t>0.0003</w:t>
            </w:r>
          </w:p>
        </w:tc>
      </w:tr>
      <w:tr w:rsidR="00E7168B" w:rsidRPr="00D618B7" w14:paraId="40C097E3" w14:textId="77777777" w:rsidTr="004B11B7">
        <w:trPr>
          <w:trHeight w:val="343"/>
        </w:trPr>
        <w:tc>
          <w:tcPr>
            <w:tcW w:w="1739" w:type="pct"/>
            <w:tcBorders>
              <w:top w:val="nil"/>
              <w:left w:val="nil"/>
              <w:bottom w:val="single" w:sz="8" w:space="0" w:color="auto"/>
              <w:right w:val="nil"/>
            </w:tcBorders>
            <w:shd w:val="clear" w:color="000000" w:fill="FFFFFF"/>
            <w:vAlign w:val="center"/>
            <w:hideMark/>
          </w:tcPr>
          <w:p w14:paraId="5E68E39C" w14:textId="77777777" w:rsidR="00E7168B" w:rsidRPr="00D618B7" w:rsidRDefault="00E7168B" w:rsidP="004B11B7">
            <w:pPr>
              <w:rPr>
                <w:color w:val="000000"/>
              </w:rPr>
            </w:pPr>
            <w:r w:rsidRPr="00D618B7">
              <w:rPr>
                <w:color w:val="000000"/>
              </w:rPr>
              <w:t>Mouth</w:t>
            </w:r>
          </w:p>
        </w:tc>
        <w:tc>
          <w:tcPr>
            <w:tcW w:w="801" w:type="pct"/>
            <w:tcBorders>
              <w:top w:val="nil"/>
              <w:left w:val="nil"/>
              <w:bottom w:val="single" w:sz="8" w:space="0" w:color="auto"/>
              <w:right w:val="nil"/>
            </w:tcBorders>
            <w:shd w:val="clear" w:color="000000" w:fill="FFFFFF"/>
            <w:noWrap/>
            <w:vAlign w:val="center"/>
            <w:hideMark/>
          </w:tcPr>
          <w:p w14:paraId="78F0D0D4" w14:textId="77777777" w:rsidR="00E7168B" w:rsidRPr="00D618B7" w:rsidRDefault="00E7168B" w:rsidP="004B11B7">
            <w:pPr>
              <w:jc w:val="right"/>
              <w:rPr>
                <w:color w:val="000000"/>
              </w:rPr>
            </w:pPr>
            <w:r w:rsidRPr="00D618B7">
              <w:rPr>
                <w:color w:val="000000"/>
              </w:rPr>
              <w:t>0.0083</w:t>
            </w:r>
          </w:p>
        </w:tc>
        <w:tc>
          <w:tcPr>
            <w:tcW w:w="921" w:type="pct"/>
            <w:gridSpan w:val="3"/>
            <w:tcBorders>
              <w:top w:val="nil"/>
              <w:left w:val="nil"/>
              <w:bottom w:val="single" w:sz="8" w:space="0" w:color="auto"/>
              <w:right w:val="nil"/>
            </w:tcBorders>
            <w:shd w:val="clear" w:color="000000" w:fill="FFFFFF"/>
            <w:noWrap/>
            <w:vAlign w:val="center"/>
            <w:hideMark/>
          </w:tcPr>
          <w:p w14:paraId="49884A34" w14:textId="77777777" w:rsidR="00E7168B" w:rsidRPr="00D618B7" w:rsidRDefault="00E7168B" w:rsidP="004B11B7">
            <w:pPr>
              <w:jc w:val="right"/>
              <w:rPr>
                <w:color w:val="000000"/>
              </w:rPr>
            </w:pPr>
            <w:r w:rsidRPr="00D618B7">
              <w:rPr>
                <w:color w:val="000000"/>
              </w:rPr>
              <w:t>0.0011</w:t>
            </w:r>
          </w:p>
        </w:tc>
        <w:tc>
          <w:tcPr>
            <w:tcW w:w="626" w:type="pct"/>
            <w:tcBorders>
              <w:top w:val="nil"/>
              <w:left w:val="nil"/>
              <w:bottom w:val="single" w:sz="8" w:space="0" w:color="auto"/>
              <w:right w:val="nil"/>
            </w:tcBorders>
            <w:shd w:val="clear" w:color="000000" w:fill="FFFFFF"/>
            <w:noWrap/>
            <w:vAlign w:val="center"/>
            <w:hideMark/>
          </w:tcPr>
          <w:p w14:paraId="0C938A08" w14:textId="77777777" w:rsidR="00E7168B" w:rsidRPr="00D618B7" w:rsidRDefault="00E7168B" w:rsidP="004B11B7">
            <w:pPr>
              <w:jc w:val="right"/>
              <w:rPr>
                <w:color w:val="000000"/>
              </w:rPr>
            </w:pPr>
            <w:r w:rsidRPr="00D618B7">
              <w:rPr>
                <w:color w:val="000000"/>
              </w:rPr>
              <w:t>0.0058</w:t>
            </w:r>
          </w:p>
        </w:tc>
        <w:tc>
          <w:tcPr>
            <w:tcW w:w="913" w:type="pct"/>
            <w:tcBorders>
              <w:top w:val="nil"/>
              <w:left w:val="nil"/>
              <w:bottom w:val="single" w:sz="8" w:space="0" w:color="auto"/>
              <w:right w:val="nil"/>
            </w:tcBorders>
            <w:shd w:val="clear" w:color="000000" w:fill="FFFFFF"/>
            <w:noWrap/>
            <w:vAlign w:val="center"/>
            <w:hideMark/>
          </w:tcPr>
          <w:p w14:paraId="1322FFEB" w14:textId="77777777" w:rsidR="00E7168B" w:rsidRPr="00D618B7" w:rsidRDefault="00E7168B" w:rsidP="004B11B7">
            <w:pPr>
              <w:jc w:val="right"/>
              <w:rPr>
                <w:color w:val="000000"/>
              </w:rPr>
            </w:pPr>
            <w:r w:rsidRPr="00D618B7">
              <w:rPr>
                <w:color w:val="000000"/>
              </w:rPr>
              <w:t>0.0006</w:t>
            </w:r>
          </w:p>
        </w:tc>
      </w:tr>
    </w:tbl>
    <w:p w14:paraId="378FBE2D" w14:textId="77777777" w:rsidR="00E7168B" w:rsidRPr="00D618B7" w:rsidRDefault="00E7168B" w:rsidP="00E7168B">
      <w:pPr>
        <w:rPr>
          <w:i/>
          <w:iCs/>
        </w:rPr>
      </w:pPr>
    </w:p>
    <w:p w14:paraId="207F8E9B" w14:textId="77777777" w:rsidR="00E7168B" w:rsidRPr="00D618B7" w:rsidRDefault="00E7168B" w:rsidP="00E7168B">
      <w:r w:rsidRPr="00D618B7">
        <w:rPr>
          <w:i/>
          <w:iCs/>
        </w:rPr>
        <w:t>Note</w:t>
      </w:r>
      <w:r w:rsidRPr="00D618B7">
        <w:t>: This table lists the estimated mean Rate and standard errors for face, hand, and mouth events by group.</w:t>
      </w:r>
    </w:p>
    <w:p w14:paraId="65E79A65" w14:textId="77777777" w:rsidR="00E7168B" w:rsidRPr="00D618B7" w:rsidRDefault="00E7168B" w:rsidP="00E7168B"/>
    <w:p w14:paraId="580F0F45" w14:textId="01D49C95" w:rsidR="00E7168B" w:rsidRPr="00D618B7" w:rsidRDefault="00E7168B" w:rsidP="007C5074">
      <w:pPr>
        <w:pStyle w:val="Caption"/>
      </w:pPr>
      <w:bookmarkStart w:id="197" w:name="_Toc172716883"/>
      <w:r w:rsidRPr="00D618B7">
        <w:t xml:space="preserve">Table </w:t>
      </w:r>
      <w:r w:rsidR="00000000">
        <w:fldChar w:fldCharType="begin"/>
      </w:r>
      <w:r w:rsidR="00000000">
        <w:instrText xml:space="preserve"> SEQ Table \* ARABIC </w:instrText>
      </w:r>
      <w:r w:rsidR="00000000">
        <w:fldChar w:fldCharType="separate"/>
      </w:r>
      <w:r w:rsidR="000C6E43">
        <w:rPr>
          <w:noProof/>
        </w:rPr>
        <w:t>55</w:t>
      </w:r>
      <w:r w:rsidR="00000000">
        <w:rPr>
          <w:noProof/>
        </w:rPr>
        <w:fldChar w:fldCharType="end"/>
      </w:r>
      <w:r w:rsidR="00940E58">
        <w:rPr>
          <w:noProof/>
        </w:rPr>
        <w:t>:</w:t>
      </w:r>
      <w:r w:rsidR="00205741" w:rsidRPr="00205741">
        <w:t xml:space="preserve"> </w:t>
      </w:r>
      <w:r w:rsidR="00205741">
        <w:t>Event rate</w:t>
      </w:r>
      <w:r w:rsidR="00205741" w:rsidRPr="00BA36EF">
        <w:t xml:space="preserve"> by </w:t>
      </w:r>
      <w:r w:rsidR="00205741">
        <w:t>proximity by group</w:t>
      </w:r>
      <w:bookmarkEnd w:id="197"/>
    </w:p>
    <w:p w14:paraId="2652C282" w14:textId="39499CBF" w:rsidR="00E7168B" w:rsidRPr="00D618B7" w:rsidRDefault="00E7168B" w:rsidP="00E7168B">
      <w:r w:rsidRPr="00D618B7">
        <w:t>Estimated Mean Rate of Events per Trial by Proximity and Group</w:t>
      </w:r>
    </w:p>
    <w:tbl>
      <w:tblPr>
        <w:tblW w:w="5000" w:type="pct"/>
        <w:tblLook w:val="04A0" w:firstRow="1" w:lastRow="0" w:firstColumn="1" w:lastColumn="0" w:noHBand="0" w:noVBand="1"/>
      </w:tblPr>
      <w:tblGrid>
        <w:gridCol w:w="3011"/>
        <w:gridCol w:w="1474"/>
        <w:gridCol w:w="1495"/>
        <w:gridCol w:w="1082"/>
        <w:gridCol w:w="1578"/>
      </w:tblGrid>
      <w:tr w:rsidR="00E7168B" w:rsidRPr="00D618B7" w14:paraId="146A24AE" w14:textId="77777777" w:rsidTr="004B11B7">
        <w:trPr>
          <w:trHeight w:val="322"/>
        </w:trPr>
        <w:tc>
          <w:tcPr>
            <w:tcW w:w="1743" w:type="pct"/>
            <w:tcBorders>
              <w:top w:val="nil"/>
              <w:left w:val="nil"/>
              <w:bottom w:val="single" w:sz="8" w:space="0" w:color="auto"/>
              <w:right w:val="nil"/>
            </w:tcBorders>
            <w:shd w:val="clear" w:color="auto" w:fill="auto"/>
            <w:noWrap/>
            <w:vAlign w:val="bottom"/>
            <w:hideMark/>
          </w:tcPr>
          <w:p w14:paraId="4FFCB4B1" w14:textId="77777777" w:rsidR="00E7168B" w:rsidRPr="00D618B7" w:rsidRDefault="00E7168B" w:rsidP="004B11B7">
            <w:pPr>
              <w:rPr>
                <w:color w:val="000000"/>
              </w:rPr>
            </w:pPr>
            <w:r w:rsidRPr="00D618B7">
              <w:rPr>
                <w:color w:val="000000"/>
              </w:rPr>
              <w:t> </w:t>
            </w:r>
          </w:p>
        </w:tc>
        <w:tc>
          <w:tcPr>
            <w:tcW w:w="853" w:type="pct"/>
            <w:tcBorders>
              <w:top w:val="nil"/>
              <w:left w:val="nil"/>
              <w:bottom w:val="single" w:sz="8" w:space="0" w:color="auto"/>
              <w:right w:val="nil"/>
            </w:tcBorders>
            <w:shd w:val="clear" w:color="auto" w:fill="auto"/>
            <w:noWrap/>
            <w:vAlign w:val="bottom"/>
            <w:hideMark/>
          </w:tcPr>
          <w:p w14:paraId="2CACBE5F" w14:textId="77777777" w:rsidR="00E7168B" w:rsidRPr="00D618B7" w:rsidRDefault="00E7168B" w:rsidP="004B11B7">
            <w:pPr>
              <w:rPr>
                <w:color w:val="000000"/>
              </w:rPr>
            </w:pPr>
            <w:r w:rsidRPr="00D618B7">
              <w:rPr>
                <w:color w:val="000000"/>
              </w:rPr>
              <w:t> </w:t>
            </w:r>
          </w:p>
        </w:tc>
        <w:tc>
          <w:tcPr>
            <w:tcW w:w="865" w:type="pct"/>
            <w:tcBorders>
              <w:top w:val="nil"/>
              <w:left w:val="nil"/>
              <w:bottom w:val="single" w:sz="8" w:space="0" w:color="auto"/>
              <w:right w:val="nil"/>
            </w:tcBorders>
            <w:shd w:val="clear" w:color="auto" w:fill="auto"/>
            <w:noWrap/>
            <w:vAlign w:val="bottom"/>
            <w:hideMark/>
          </w:tcPr>
          <w:p w14:paraId="7A1014B4" w14:textId="77777777" w:rsidR="00E7168B" w:rsidRPr="00D618B7" w:rsidRDefault="00E7168B" w:rsidP="004B11B7">
            <w:pPr>
              <w:rPr>
                <w:color w:val="000000"/>
              </w:rPr>
            </w:pPr>
            <w:r w:rsidRPr="00D618B7">
              <w:rPr>
                <w:color w:val="000000"/>
              </w:rPr>
              <w:t> </w:t>
            </w:r>
          </w:p>
        </w:tc>
        <w:tc>
          <w:tcPr>
            <w:tcW w:w="626" w:type="pct"/>
            <w:tcBorders>
              <w:top w:val="nil"/>
              <w:left w:val="nil"/>
              <w:bottom w:val="single" w:sz="8" w:space="0" w:color="auto"/>
              <w:right w:val="nil"/>
            </w:tcBorders>
            <w:shd w:val="clear" w:color="auto" w:fill="auto"/>
            <w:noWrap/>
            <w:vAlign w:val="bottom"/>
            <w:hideMark/>
          </w:tcPr>
          <w:p w14:paraId="55F7478F" w14:textId="77777777" w:rsidR="00E7168B" w:rsidRPr="00D618B7" w:rsidRDefault="00E7168B" w:rsidP="004B11B7">
            <w:pPr>
              <w:rPr>
                <w:color w:val="000000"/>
              </w:rPr>
            </w:pPr>
            <w:r w:rsidRPr="00D618B7">
              <w:rPr>
                <w:color w:val="000000"/>
              </w:rPr>
              <w:t> </w:t>
            </w:r>
          </w:p>
        </w:tc>
        <w:tc>
          <w:tcPr>
            <w:tcW w:w="913" w:type="pct"/>
            <w:tcBorders>
              <w:top w:val="nil"/>
              <w:left w:val="nil"/>
              <w:bottom w:val="single" w:sz="8" w:space="0" w:color="auto"/>
              <w:right w:val="nil"/>
            </w:tcBorders>
            <w:shd w:val="clear" w:color="auto" w:fill="auto"/>
            <w:noWrap/>
            <w:vAlign w:val="bottom"/>
            <w:hideMark/>
          </w:tcPr>
          <w:p w14:paraId="0A8110B2" w14:textId="77777777" w:rsidR="00E7168B" w:rsidRPr="00D618B7" w:rsidRDefault="00E7168B" w:rsidP="004B11B7">
            <w:pPr>
              <w:rPr>
                <w:color w:val="000000"/>
              </w:rPr>
            </w:pPr>
            <w:r w:rsidRPr="00D618B7">
              <w:rPr>
                <w:color w:val="000000"/>
              </w:rPr>
              <w:t> </w:t>
            </w:r>
          </w:p>
        </w:tc>
      </w:tr>
      <w:tr w:rsidR="00E7168B" w:rsidRPr="00D618B7" w14:paraId="04C360B6" w14:textId="77777777" w:rsidTr="004B11B7">
        <w:trPr>
          <w:trHeight w:val="322"/>
        </w:trPr>
        <w:tc>
          <w:tcPr>
            <w:tcW w:w="1743" w:type="pct"/>
            <w:tcBorders>
              <w:top w:val="nil"/>
              <w:left w:val="nil"/>
              <w:bottom w:val="nil"/>
              <w:right w:val="nil"/>
            </w:tcBorders>
            <w:shd w:val="clear" w:color="000000" w:fill="FFFFFF"/>
            <w:vAlign w:val="center"/>
            <w:hideMark/>
          </w:tcPr>
          <w:p w14:paraId="470DDA89" w14:textId="77777777" w:rsidR="00E7168B" w:rsidRPr="00D618B7" w:rsidRDefault="00E7168B" w:rsidP="004B11B7">
            <w:pPr>
              <w:rPr>
                <w:color w:val="000000"/>
              </w:rPr>
            </w:pPr>
            <w:r w:rsidRPr="00D618B7">
              <w:rPr>
                <w:color w:val="000000"/>
              </w:rPr>
              <w:t>Week</w:t>
            </w:r>
          </w:p>
        </w:tc>
        <w:tc>
          <w:tcPr>
            <w:tcW w:w="1718" w:type="pct"/>
            <w:gridSpan w:val="2"/>
            <w:tcBorders>
              <w:top w:val="nil"/>
              <w:left w:val="nil"/>
              <w:bottom w:val="single" w:sz="8" w:space="0" w:color="auto"/>
              <w:right w:val="nil"/>
            </w:tcBorders>
            <w:shd w:val="clear" w:color="000000" w:fill="FFFFFF"/>
            <w:vAlign w:val="center"/>
            <w:hideMark/>
          </w:tcPr>
          <w:p w14:paraId="7985A3DD" w14:textId="77777777" w:rsidR="00E7168B" w:rsidRPr="00D618B7" w:rsidRDefault="00E7168B" w:rsidP="004B11B7">
            <w:pPr>
              <w:jc w:val="center"/>
              <w:rPr>
                <w:color w:val="000000"/>
              </w:rPr>
            </w:pPr>
            <w:r w:rsidRPr="00D618B7">
              <w:rPr>
                <w:color w:val="000000"/>
              </w:rPr>
              <w:t>Early Reach Group</w:t>
            </w:r>
          </w:p>
        </w:tc>
        <w:tc>
          <w:tcPr>
            <w:tcW w:w="1539" w:type="pct"/>
            <w:gridSpan w:val="2"/>
            <w:tcBorders>
              <w:top w:val="nil"/>
              <w:left w:val="nil"/>
              <w:bottom w:val="single" w:sz="8" w:space="0" w:color="auto"/>
              <w:right w:val="nil"/>
            </w:tcBorders>
            <w:shd w:val="clear" w:color="000000" w:fill="FFFFFF"/>
            <w:vAlign w:val="center"/>
            <w:hideMark/>
          </w:tcPr>
          <w:p w14:paraId="16EC5D48" w14:textId="77777777" w:rsidR="00E7168B" w:rsidRPr="00D618B7" w:rsidRDefault="00E7168B" w:rsidP="004B11B7">
            <w:pPr>
              <w:jc w:val="center"/>
              <w:rPr>
                <w:color w:val="000000"/>
              </w:rPr>
            </w:pPr>
            <w:r w:rsidRPr="00D618B7">
              <w:rPr>
                <w:color w:val="000000"/>
              </w:rPr>
              <w:t>Late Reach Group</w:t>
            </w:r>
          </w:p>
        </w:tc>
      </w:tr>
      <w:tr w:rsidR="00E7168B" w:rsidRPr="00D618B7" w14:paraId="6A1A3C30" w14:textId="77777777" w:rsidTr="004B11B7">
        <w:trPr>
          <w:trHeight w:val="322"/>
        </w:trPr>
        <w:tc>
          <w:tcPr>
            <w:tcW w:w="1743" w:type="pct"/>
            <w:tcBorders>
              <w:top w:val="nil"/>
              <w:left w:val="nil"/>
              <w:bottom w:val="single" w:sz="8" w:space="0" w:color="auto"/>
              <w:right w:val="nil"/>
            </w:tcBorders>
            <w:shd w:val="clear" w:color="000000" w:fill="FFFFFF"/>
            <w:noWrap/>
            <w:vAlign w:val="bottom"/>
            <w:hideMark/>
          </w:tcPr>
          <w:p w14:paraId="5661D984" w14:textId="77777777" w:rsidR="00E7168B" w:rsidRPr="00D618B7" w:rsidRDefault="00E7168B" w:rsidP="004B11B7">
            <w:pPr>
              <w:rPr>
                <w:color w:val="000000"/>
              </w:rPr>
            </w:pPr>
            <w:r w:rsidRPr="00D618B7">
              <w:rPr>
                <w:color w:val="000000"/>
              </w:rPr>
              <w:t> </w:t>
            </w:r>
          </w:p>
        </w:tc>
        <w:tc>
          <w:tcPr>
            <w:tcW w:w="853" w:type="pct"/>
            <w:tcBorders>
              <w:top w:val="nil"/>
              <w:left w:val="nil"/>
              <w:bottom w:val="single" w:sz="8" w:space="0" w:color="auto"/>
              <w:right w:val="nil"/>
            </w:tcBorders>
            <w:shd w:val="clear" w:color="000000" w:fill="FFFFFF"/>
            <w:noWrap/>
            <w:vAlign w:val="center"/>
            <w:hideMark/>
          </w:tcPr>
          <w:p w14:paraId="02E28E06" w14:textId="77777777" w:rsidR="00E7168B" w:rsidRPr="00D618B7" w:rsidRDefault="00E7168B" w:rsidP="004B11B7">
            <w:pPr>
              <w:jc w:val="right"/>
              <w:rPr>
                <w:color w:val="000000"/>
              </w:rPr>
            </w:pPr>
            <w:r w:rsidRPr="00D618B7">
              <w:rPr>
                <w:color w:val="000000"/>
              </w:rPr>
              <w:t>Mean</w:t>
            </w:r>
          </w:p>
        </w:tc>
        <w:tc>
          <w:tcPr>
            <w:tcW w:w="865" w:type="pct"/>
            <w:tcBorders>
              <w:top w:val="nil"/>
              <w:left w:val="nil"/>
              <w:bottom w:val="single" w:sz="8" w:space="0" w:color="auto"/>
              <w:right w:val="nil"/>
            </w:tcBorders>
            <w:shd w:val="clear" w:color="000000" w:fill="FFFFFF"/>
            <w:noWrap/>
            <w:vAlign w:val="center"/>
            <w:hideMark/>
          </w:tcPr>
          <w:p w14:paraId="486F3354" w14:textId="77777777" w:rsidR="00E7168B" w:rsidRPr="00D618B7" w:rsidRDefault="00E7168B" w:rsidP="004B11B7">
            <w:pPr>
              <w:jc w:val="right"/>
              <w:rPr>
                <w:color w:val="000000"/>
              </w:rPr>
            </w:pPr>
            <w:r w:rsidRPr="00D618B7">
              <w:rPr>
                <w:color w:val="000000"/>
              </w:rPr>
              <w:t>Std. Error</w:t>
            </w:r>
          </w:p>
        </w:tc>
        <w:tc>
          <w:tcPr>
            <w:tcW w:w="626" w:type="pct"/>
            <w:tcBorders>
              <w:top w:val="nil"/>
              <w:left w:val="nil"/>
              <w:bottom w:val="single" w:sz="8" w:space="0" w:color="auto"/>
              <w:right w:val="nil"/>
            </w:tcBorders>
            <w:shd w:val="clear" w:color="000000" w:fill="FFFFFF"/>
            <w:noWrap/>
            <w:vAlign w:val="center"/>
            <w:hideMark/>
          </w:tcPr>
          <w:p w14:paraId="6D10EB5E" w14:textId="77777777" w:rsidR="00E7168B" w:rsidRPr="00D618B7" w:rsidRDefault="00E7168B" w:rsidP="004B11B7">
            <w:pPr>
              <w:jc w:val="right"/>
              <w:rPr>
                <w:color w:val="000000"/>
              </w:rPr>
            </w:pPr>
            <w:r w:rsidRPr="00D618B7">
              <w:rPr>
                <w:color w:val="000000"/>
              </w:rPr>
              <w:t>Mean</w:t>
            </w:r>
          </w:p>
        </w:tc>
        <w:tc>
          <w:tcPr>
            <w:tcW w:w="913" w:type="pct"/>
            <w:tcBorders>
              <w:top w:val="nil"/>
              <w:left w:val="nil"/>
              <w:bottom w:val="single" w:sz="8" w:space="0" w:color="auto"/>
              <w:right w:val="nil"/>
            </w:tcBorders>
            <w:shd w:val="clear" w:color="000000" w:fill="FFFFFF"/>
            <w:noWrap/>
            <w:vAlign w:val="center"/>
            <w:hideMark/>
          </w:tcPr>
          <w:p w14:paraId="3D225B6D" w14:textId="77777777" w:rsidR="00E7168B" w:rsidRPr="00D618B7" w:rsidRDefault="00E7168B" w:rsidP="004B11B7">
            <w:pPr>
              <w:jc w:val="right"/>
              <w:rPr>
                <w:color w:val="000000"/>
              </w:rPr>
            </w:pPr>
            <w:r w:rsidRPr="00D618B7">
              <w:rPr>
                <w:color w:val="000000"/>
              </w:rPr>
              <w:t>Std. Error</w:t>
            </w:r>
          </w:p>
        </w:tc>
      </w:tr>
      <w:tr w:rsidR="00E7168B" w:rsidRPr="00D618B7" w14:paraId="1EDF9C8D" w14:textId="77777777" w:rsidTr="004B11B7">
        <w:trPr>
          <w:trHeight w:val="322"/>
        </w:trPr>
        <w:tc>
          <w:tcPr>
            <w:tcW w:w="1743" w:type="pct"/>
            <w:tcBorders>
              <w:top w:val="nil"/>
              <w:left w:val="nil"/>
              <w:bottom w:val="nil"/>
              <w:right w:val="nil"/>
            </w:tcBorders>
            <w:shd w:val="clear" w:color="000000" w:fill="FFFFFF"/>
            <w:hideMark/>
          </w:tcPr>
          <w:p w14:paraId="0B83E43E" w14:textId="77777777" w:rsidR="00E7168B" w:rsidRPr="00D618B7" w:rsidRDefault="00E7168B" w:rsidP="004B11B7">
            <w:pPr>
              <w:rPr>
                <w:color w:val="000000"/>
              </w:rPr>
            </w:pPr>
            <w:r w:rsidRPr="00D618B7">
              <w:t>Toy-out-of-Reach</w:t>
            </w:r>
          </w:p>
        </w:tc>
        <w:tc>
          <w:tcPr>
            <w:tcW w:w="853" w:type="pct"/>
            <w:tcBorders>
              <w:top w:val="nil"/>
              <w:left w:val="nil"/>
              <w:bottom w:val="nil"/>
              <w:right w:val="nil"/>
            </w:tcBorders>
            <w:shd w:val="clear" w:color="000000" w:fill="FFFFFF"/>
            <w:noWrap/>
            <w:vAlign w:val="center"/>
            <w:hideMark/>
          </w:tcPr>
          <w:p w14:paraId="5DD7DA17" w14:textId="77777777" w:rsidR="00E7168B" w:rsidRPr="00D618B7" w:rsidRDefault="00E7168B" w:rsidP="004B11B7">
            <w:pPr>
              <w:jc w:val="right"/>
              <w:rPr>
                <w:color w:val="000000"/>
              </w:rPr>
            </w:pPr>
            <w:r w:rsidRPr="00D618B7">
              <w:rPr>
                <w:color w:val="000000"/>
              </w:rPr>
              <w:t>0.0101</w:t>
            </w:r>
          </w:p>
        </w:tc>
        <w:tc>
          <w:tcPr>
            <w:tcW w:w="865" w:type="pct"/>
            <w:tcBorders>
              <w:top w:val="nil"/>
              <w:left w:val="nil"/>
              <w:bottom w:val="nil"/>
              <w:right w:val="nil"/>
            </w:tcBorders>
            <w:shd w:val="clear" w:color="000000" w:fill="FFFFFF"/>
            <w:noWrap/>
            <w:vAlign w:val="center"/>
            <w:hideMark/>
          </w:tcPr>
          <w:p w14:paraId="3CD68DB5" w14:textId="77777777" w:rsidR="00E7168B" w:rsidRPr="00D618B7" w:rsidRDefault="00E7168B" w:rsidP="004B11B7">
            <w:pPr>
              <w:jc w:val="right"/>
              <w:rPr>
                <w:color w:val="000000"/>
              </w:rPr>
            </w:pPr>
            <w:r w:rsidRPr="00D618B7">
              <w:rPr>
                <w:color w:val="000000"/>
              </w:rPr>
              <w:t>0.0012</w:t>
            </w:r>
          </w:p>
        </w:tc>
        <w:tc>
          <w:tcPr>
            <w:tcW w:w="626" w:type="pct"/>
            <w:tcBorders>
              <w:top w:val="nil"/>
              <w:left w:val="nil"/>
              <w:bottom w:val="nil"/>
              <w:right w:val="nil"/>
            </w:tcBorders>
            <w:shd w:val="clear" w:color="000000" w:fill="FFFFFF"/>
            <w:noWrap/>
            <w:vAlign w:val="center"/>
            <w:hideMark/>
          </w:tcPr>
          <w:p w14:paraId="0E071B12" w14:textId="77777777" w:rsidR="00E7168B" w:rsidRPr="00D618B7" w:rsidRDefault="00E7168B" w:rsidP="004B11B7">
            <w:pPr>
              <w:jc w:val="right"/>
              <w:rPr>
                <w:color w:val="000000"/>
              </w:rPr>
            </w:pPr>
            <w:r w:rsidRPr="00D618B7">
              <w:rPr>
                <w:color w:val="000000"/>
              </w:rPr>
              <w:t>0.0063</w:t>
            </w:r>
          </w:p>
        </w:tc>
        <w:tc>
          <w:tcPr>
            <w:tcW w:w="913" w:type="pct"/>
            <w:tcBorders>
              <w:top w:val="nil"/>
              <w:left w:val="nil"/>
              <w:bottom w:val="nil"/>
              <w:right w:val="nil"/>
            </w:tcBorders>
            <w:shd w:val="clear" w:color="000000" w:fill="FFFFFF"/>
            <w:noWrap/>
            <w:vAlign w:val="center"/>
            <w:hideMark/>
          </w:tcPr>
          <w:p w14:paraId="41A62B80" w14:textId="77777777" w:rsidR="00E7168B" w:rsidRPr="00D618B7" w:rsidRDefault="00E7168B" w:rsidP="004B11B7">
            <w:pPr>
              <w:jc w:val="right"/>
              <w:rPr>
                <w:color w:val="000000"/>
              </w:rPr>
            </w:pPr>
            <w:r w:rsidRPr="00D618B7">
              <w:rPr>
                <w:color w:val="000000"/>
              </w:rPr>
              <w:t>0.0010</w:t>
            </w:r>
          </w:p>
        </w:tc>
      </w:tr>
      <w:tr w:rsidR="00E7168B" w:rsidRPr="00D618B7" w14:paraId="7027F97F" w14:textId="77777777" w:rsidTr="004B11B7">
        <w:trPr>
          <w:trHeight w:val="322"/>
        </w:trPr>
        <w:tc>
          <w:tcPr>
            <w:tcW w:w="1743" w:type="pct"/>
            <w:tcBorders>
              <w:top w:val="nil"/>
              <w:left w:val="nil"/>
              <w:bottom w:val="nil"/>
              <w:right w:val="nil"/>
            </w:tcBorders>
            <w:shd w:val="clear" w:color="000000" w:fill="FFFFFF"/>
            <w:hideMark/>
          </w:tcPr>
          <w:p w14:paraId="038598E7" w14:textId="77777777" w:rsidR="00E7168B" w:rsidRPr="00D618B7" w:rsidRDefault="00E7168B" w:rsidP="004B11B7">
            <w:pPr>
              <w:rPr>
                <w:color w:val="000000"/>
              </w:rPr>
            </w:pPr>
            <w:r w:rsidRPr="00D618B7">
              <w:t>Toy-Moving-into-Reach</w:t>
            </w:r>
          </w:p>
        </w:tc>
        <w:tc>
          <w:tcPr>
            <w:tcW w:w="853" w:type="pct"/>
            <w:tcBorders>
              <w:top w:val="nil"/>
              <w:left w:val="nil"/>
              <w:bottom w:val="nil"/>
              <w:right w:val="nil"/>
            </w:tcBorders>
            <w:shd w:val="clear" w:color="000000" w:fill="FFFFFF"/>
            <w:noWrap/>
            <w:vAlign w:val="center"/>
            <w:hideMark/>
          </w:tcPr>
          <w:p w14:paraId="37479AEE" w14:textId="77777777" w:rsidR="00E7168B" w:rsidRPr="00D618B7" w:rsidRDefault="00E7168B" w:rsidP="004B11B7">
            <w:pPr>
              <w:jc w:val="right"/>
              <w:rPr>
                <w:color w:val="000000"/>
              </w:rPr>
            </w:pPr>
            <w:r w:rsidRPr="00D618B7">
              <w:rPr>
                <w:color w:val="000000"/>
              </w:rPr>
              <w:t>0.0005</w:t>
            </w:r>
          </w:p>
        </w:tc>
        <w:tc>
          <w:tcPr>
            <w:tcW w:w="865" w:type="pct"/>
            <w:tcBorders>
              <w:top w:val="nil"/>
              <w:left w:val="nil"/>
              <w:bottom w:val="nil"/>
              <w:right w:val="nil"/>
            </w:tcBorders>
            <w:shd w:val="clear" w:color="000000" w:fill="FFFFFF"/>
            <w:noWrap/>
            <w:vAlign w:val="center"/>
            <w:hideMark/>
          </w:tcPr>
          <w:p w14:paraId="510F5B1A" w14:textId="77777777" w:rsidR="00E7168B" w:rsidRPr="00D618B7" w:rsidRDefault="00E7168B" w:rsidP="004B11B7">
            <w:pPr>
              <w:jc w:val="right"/>
              <w:rPr>
                <w:color w:val="000000"/>
              </w:rPr>
            </w:pPr>
            <w:r w:rsidRPr="00D618B7">
              <w:rPr>
                <w:color w:val="000000"/>
              </w:rPr>
              <w:t>0.0005</w:t>
            </w:r>
          </w:p>
        </w:tc>
        <w:tc>
          <w:tcPr>
            <w:tcW w:w="626" w:type="pct"/>
            <w:tcBorders>
              <w:top w:val="nil"/>
              <w:left w:val="nil"/>
              <w:bottom w:val="nil"/>
              <w:right w:val="nil"/>
            </w:tcBorders>
            <w:shd w:val="clear" w:color="000000" w:fill="FFFFFF"/>
            <w:noWrap/>
            <w:vAlign w:val="center"/>
            <w:hideMark/>
          </w:tcPr>
          <w:p w14:paraId="5526C897" w14:textId="77777777" w:rsidR="00E7168B" w:rsidRPr="00D618B7" w:rsidRDefault="00E7168B" w:rsidP="004B11B7">
            <w:pPr>
              <w:jc w:val="right"/>
              <w:rPr>
                <w:color w:val="000000"/>
              </w:rPr>
            </w:pPr>
            <w:r w:rsidRPr="00D618B7">
              <w:rPr>
                <w:color w:val="000000"/>
              </w:rPr>
              <w:t>0.0001</w:t>
            </w:r>
          </w:p>
        </w:tc>
        <w:tc>
          <w:tcPr>
            <w:tcW w:w="913" w:type="pct"/>
            <w:tcBorders>
              <w:top w:val="nil"/>
              <w:left w:val="nil"/>
              <w:bottom w:val="nil"/>
              <w:right w:val="nil"/>
            </w:tcBorders>
            <w:shd w:val="clear" w:color="000000" w:fill="FFFFFF"/>
            <w:noWrap/>
            <w:vAlign w:val="center"/>
            <w:hideMark/>
          </w:tcPr>
          <w:p w14:paraId="4BEA2205" w14:textId="77777777" w:rsidR="00E7168B" w:rsidRPr="00D618B7" w:rsidRDefault="00E7168B" w:rsidP="004B11B7">
            <w:pPr>
              <w:jc w:val="right"/>
              <w:rPr>
                <w:color w:val="000000"/>
              </w:rPr>
            </w:pPr>
            <w:r w:rsidRPr="00D618B7">
              <w:rPr>
                <w:color w:val="000000"/>
              </w:rPr>
              <w:t>0.0001</w:t>
            </w:r>
          </w:p>
        </w:tc>
      </w:tr>
      <w:tr w:rsidR="00E7168B" w:rsidRPr="00D618B7" w14:paraId="0C4FBF93" w14:textId="77777777" w:rsidTr="004B11B7">
        <w:trPr>
          <w:trHeight w:val="322"/>
        </w:trPr>
        <w:tc>
          <w:tcPr>
            <w:tcW w:w="1743" w:type="pct"/>
            <w:tcBorders>
              <w:top w:val="nil"/>
              <w:left w:val="nil"/>
              <w:bottom w:val="single" w:sz="8" w:space="0" w:color="auto"/>
              <w:right w:val="nil"/>
            </w:tcBorders>
            <w:shd w:val="clear" w:color="000000" w:fill="FFFFFF"/>
            <w:hideMark/>
          </w:tcPr>
          <w:p w14:paraId="489B7B9E" w14:textId="77777777" w:rsidR="00E7168B" w:rsidRPr="00D618B7" w:rsidRDefault="00E7168B" w:rsidP="004B11B7">
            <w:pPr>
              <w:rPr>
                <w:color w:val="000000"/>
              </w:rPr>
            </w:pPr>
            <w:r w:rsidRPr="00D618B7">
              <w:t>Toy-in-Reach</w:t>
            </w:r>
          </w:p>
        </w:tc>
        <w:tc>
          <w:tcPr>
            <w:tcW w:w="853" w:type="pct"/>
            <w:tcBorders>
              <w:top w:val="nil"/>
              <w:left w:val="nil"/>
              <w:bottom w:val="single" w:sz="8" w:space="0" w:color="auto"/>
              <w:right w:val="nil"/>
            </w:tcBorders>
            <w:shd w:val="clear" w:color="000000" w:fill="FFFFFF"/>
            <w:noWrap/>
            <w:vAlign w:val="center"/>
            <w:hideMark/>
          </w:tcPr>
          <w:p w14:paraId="0FE22741" w14:textId="77777777" w:rsidR="00E7168B" w:rsidRPr="00D618B7" w:rsidRDefault="00E7168B" w:rsidP="004B11B7">
            <w:pPr>
              <w:jc w:val="right"/>
              <w:rPr>
                <w:color w:val="000000"/>
              </w:rPr>
            </w:pPr>
            <w:r w:rsidRPr="00D618B7">
              <w:rPr>
                <w:color w:val="000000"/>
              </w:rPr>
              <w:t>0.0023</w:t>
            </w:r>
          </w:p>
        </w:tc>
        <w:tc>
          <w:tcPr>
            <w:tcW w:w="865" w:type="pct"/>
            <w:tcBorders>
              <w:top w:val="nil"/>
              <w:left w:val="nil"/>
              <w:bottom w:val="single" w:sz="8" w:space="0" w:color="auto"/>
              <w:right w:val="nil"/>
            </w:tcBorders>
            <w:shd w:val="clear" w:color="000000" w:fill="FFFFFF"/>
            <w:noWrap/>
            <w:vAlign w:val="center"/>
            <w:hideMark/>
          </w:tcPr>
          <w:p w14:paraId="7208ADB2" w14:textId="77777777" w:rsidR="00E7168B" w:rsidRPr="00D618B7" w:rsidRDefault="00E7168B" w:rsidP="004B11B7">
            <w:pPr>
              <w:jc w:val="right"/>
              <w:rPr>
                <w:color w:val="000000"/>
              </w:rPr>
            </w:pPr>
            <w:r w:rsidRPr="00D618B7">
              <w:rPr>
                <w:color w:val="000000"/>
              </w:rPr>
              <w:t>0.0004</w:t>
            </w:r>
          </w:p>
        </w:tc>
        <w:tc>
          <w:tcPr>
            <w:tcW w:w="626" w:type="pct"/>
            <w:tcBorders>
              <w:top w:val="nil"/>
              <w:left w:val="nil"/>
              <w:bottom w:val="single" w:sz="8" w:space="0" w:color="auto"/>
              <w:right w:val="nil"/>
            </w:tcBorders>
            <w:shd w:val="clear" w:color="000000" w:fill="FFFFFF"/>
            <w:noWrap/>
            <w:vAlign w:val="center"/>
            <w:hideMark/>
          </w:tcPr>
          <w:p w14:paraId="51FC71A3" w14:textId="77777777" w:rsidR="00E7168B" w:rsidRPr="00D618B7" w:rsidRDefault="00E7168B" w:rsidP="004B11B7">
            <w:pPr>
              <w:jc w:val="right"/>
              <w:rPr>
                <w:color w:val="000000"/>
              </w:rPr>
            </w:pPr>
            <w:r w:rsidRPr="00D618B7">
              <w:rPr>
                <w:color w:val="000000"/>
              </w:rPr>
              <w:t>0.0005</w:t>
            </w:r>
          </w:p>
        </w:tc>
        <w:tc>
          <w:tcPr>
            <w:tcW w:w="913" w:type="pct"/>
            <w:tcBorders>
              <w:top w:val="nil"/>
              <w:left w:val="nil"/>
              <w:bottom w:val="single" w:sz="8" w:space="0" w:color="auto"/>
              <w:right w:val="nil"/>
            </w:tcBorders>
            <w:shd w:val="clear" w:color="000000" w:fill="FFFFFF"/>
            <w:noWrap/>
            <w:vAlign w:val="center"/>
            <w:hideMark/>
          </w:tcPr>
          <w:p w14:paraId="5CA04A50" w14:textId="77777777" w:rsidR="00E7168B" w:rsidRPr="00D618B7" w:rsidRDefault="00E7168B" w:rsidP="004B11B7">
            <w:pPr>
              <w:jc w:val="right"/>
              <w:rPr>
                <w:color w:val="000000"/>
              </w:rPr>
            </w:pPr>
            <w:r w:rsidRPr="00D618B7">
              <w:rPr>
                <w:color w:val="000000"/>
              </w:rPr>
              <w:t>0.0004</w:t>
            </w:r>
          </w:p>
        </w:tc>
      </w:tr>
    </w:tbl>
    <w:p w14:paraId="6A751C14" w14:textId="77777777" w:rsidR="00E7168B" w:rsidRPr="00D618B7" w:rsidRDefault="00E7168B" w:rsidP="00E7168B">
      <w:pPr>
        <w:rPr>
          <w:i/>
          <w:iCs/>
        </w:rPr>
      </w:pPr>
    </w:p>
    <w:p w14:paraId="29C31584" w14:textId="77777777" w:rsidR="00E7168B" w:rsidRPr="00D618B7" w:rsidRDefault="00E7168B" w:rsidP="00E7168B">
      <w:r w:rsidRPr="00D618B7">
        <w:rPr>
          <w:i/>
          <w:iCs/>
        </w:rPr>
        <w:t>Note</w:t>
      </w:r>
      <w:r w:rsidRPr="00D618B7">
        <w:t>: This table lists the estimated mean Rate and standard errors for toy-out-of-reach, toy-moving-into-reach, and toy-in-reach events by group.</w:t>
      </w:r>
    </w:p>
    <w:p w14:paraId="666E8E14" w14:textId="4E431F56" w:rsidR="00F11AB1" w:rsidRDefault="00F11AB1" w:rsidP="00E7168B">
      <w:pPr>
        <w:rPr>
          <w:b/>
          <w:bCs/>
          <w:i/>
          <w:iCs/>
        </w:rPr>
      </w:pPr>
      <w:r w:rsidRPr="00D618B7">
        <w:rPr>
          <w:noProof/>
        </w:rPr>
        <w:lastRenderedPageBreak/>
        <w:drawing>
          <wp:anchor distT="0" distB="0" distL="114300" distR="114300" simplePos="0" relativeHeight="252075520" behindDoc="0" locked="0" layoutInCell="1" allowOverlap="1" wp14:anchorId="0EE6F759" wp14:editId="1AC0A694">
            <wp:simplePos x="0" y="0"/>
            <wp:positionH relativeFrom="column">
              <wp:posOffset>168910</wp:posOffset>
            </wp:positionH>
            <wp:positionV relativeFrom="paragraph">
              <wp:posOffset>0</wp:posOffset>
            </wp:positionV>
            <wp:extent cx="5452110" cy="6453505"/>
            <wp:effectExtent l="0" t="0" r="0" b="4445"/>
            <wp:wrapTopAndBottom/>
            <wp:docPr id="14798193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1938" name="Picture 1" descr="A screenshot of a graph&#10;&#10;Description automatically generated"/>
                    <pic:cNvPicPr/>
                  </pic:nvPicPr>
                  <pic:blipFill rotWithShape="1">
                    <a:blip r:embed="rId45">
                      <a:extLst>
                        <a:ext uri="{28A0092B-C50C-407E-A947-70E740481C1C}">
                          <a14:useLocalDpi xmlns:a14="http://schemas.microsoft.com/office/drawing/2010/main" val="0"/>
                        </a:ext>
                      </a:extLst>
                    </a:blip>
                    <a:srcRect l="1447" t="6331" b="-628"/>
                    <a:stretch/>
                  </pic:blipFill>
                  <pic:spPr bwMode="auto">
                    <a:xfrm>
                      <a:off x="0" y="0"/>
                      <a:ext cx="5452110" cy="6453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98" w:name="_Toc172716964"/>
      <w:r w:rsidRPr="00F11AB1">
        <w:rPr>
          <w:b/>
          <w:bCs/>
          <w:i/>
          <w:iCs/>
        </w:rPr>
        <w:t xml:space="preserve">Figure </w:t>
      </w:r>
      <w:r w:rsidRPr="00F11AB1">
        <w:rPr>
          <w:b/>
          <w:bCs/>
          <w:i/>
          <w:iCs/>
        </w:rPr>
        <w:fldChar w:fldCharType="begin"/>
      </w:r>
      <w:r w:rsidRPr="00F11AB1">
        <w:rPr>
          <w:b/>
          <w:bCs/>
          <w:i/>
          <w:iCs/>
        </w:rPr>
        <w:instrText xml:space="preserve"> SEQ Figure \* ARABIC </w:instrText>
      </w:r>
      <w:r w:rsidRPr="00F11AB1">
        <w:rPr>
          <w:b/>
          <w:bCs/>
          <w:i/>
          <w:iCs/>
        </w:rPr>
        <w:fldChar w:fldCharType="separate"/>
      </w:r>
      <w:r w:rsidRPr="00F11AB1">
        <w:rPr>
          <w:b/>
          <w:bCs/>
          <w:i/>
          <w:iCs/>
          <w:noProof/>
        </w:rPr>
        <w:t>24</w:t>
      </w:r>
      <w:r w:rsidRPr="00F11AB1">
        <w:rPr>
          <w:b/>
          <w:bCs/>
          <w:i/>
          <w:iCs/>
          <w:noProof/>
        </w:rPr>
        <w:fldChar w:fldCharType="end"/>
      </w:r>
      <w:r w:rsidRPr="00F11AB1">
        <w:rPr>
          <w:b/>
          <w:bCs/>
          <w:i/>
          <w:iCs/>
          <w:noProof/>
        </w:rPr>
        <w:t>:</w:t>
      </w:r>
      <w:r w:rsidRPr="00F11AB1">
        <w:rPr>
          <w:b/>
          <w:bCs/>
          <w:i/>
          <w:iCs/>
        </w:rPr>
        <w:t xml:space="preserve"> Event rate by type, proximity, and week by group</w:t>
      </w:r>
      <w:bookmarkEnd w:id="198"/>
    </w:p>
    <w:p w14:paraId="6758B3F0" w14:textId="77777777" w:rsidR="00F11AB1" w:rsidRDefault="00F11AB1" w:rsidP="00E7168B">
      <w:pPr>
        <w:rPr>
          <w:b/>
          <w:bCs/>
          <w:i/>
          <w:iCs/>
        </w:rPr>
      </w:pPr>
    </w:p>
    <w:p w14:paraId="2D4FA338" w14:textId="1D90A6D1" w:rsidR="00F11AB1" w:rsidRPr="00F11AB1" w:rsidRDefault="00F11AB1" w:rsidP="00E7168B">
      <w:r w:rsidRPr="00D618B7">
        <w:t>Estimated Mean Rate of Events per Trial by Type, Proximity, and Week</w:t>
      </w:r>
      <w:r>
        <w:t xml:space="preserve"> by Group.</w:t>
      </w:r>
    </w:p>
    <w:p w14:paraId="3DF22E4C" w14:textId="77777777" w:rsidR="00E7168B" w:rsidRPr="00D618B7" w:rsidRDefault="00E7168B" w:rsidP="00E7168B">
      <w:r w:rsidRPr="00D618B7">
        <w:rPr>
          <w:i/>
          <w:iCs/>
        </w:rPr>
        <w:t>Note</w:t>
      </w:r>
      <w:r w:rsidRPr="00D618B7">
        <w:t>. This figure illustrates the estimated mean rate per second of face, hand, and mouth events for each week of observation around reach-onset by group.</w:t>
      </w:r>
    </w:p>
    <w:p w14:paraId="59ACE8AB" w14:textId="00407D77" w:rsidR="00E7168B" w:rsidRPr="00D618B7" w:rsidRDefault="00E7168B" w:rsidP="00781BF0">
      <w:r w:rsidRPr="00D618B7">
        <w:br w:type="page"/>
      </w:r>
      <w:bookmarkStart w:id="199" w:name="_Toc172716884"/>
      <w:r w:rsidRPr="00940E58">
        <w:rPr>
          <w:b/>
          <w:bCs/>
          <w:i/>
          <w:iCs/>
        </w:rPr>
        <w:lastRenderedPageBreak/>
        <w:t xml:space="preserve">Table </w:t>
      </w:r>
      <w:r w:rsidRPr="00940E58">
        <w:rPr>
          <w:b/>
          <w:bCs/>
          <w:i/>
          <w:iCs/>
        </w:rPr>
        <w:fldChar w:fldCharType="begin"/>
      </w:r>
      <w:r w:rsidRPr="00940E58">
        <w:rPr>
          <w:b/>
          <w:bCs/>
          <w:i/>
          <w:iCs/>
        </w:rPr>
        <w:instrText xml:space="preserve"> SEQ Table \* ARABIC </w:instrText>
      </w:r>
      <w:r w:rsidRPr="00940E58">
        <w:rPr>
          <w:b/>
          <w:bCs/>
          <w:i/>
          <w:iCs/>
        </w:rPr>
        <w:fldChar w:fldCharType="separate"/>
      </w:r>
      <w:r w:rsidR="000C6E43" w:rsidRPr="00940E58">
        <w:rPr>
          <w:b/>
          <w:bCs/>
          <w:i/>
          <w:iCs/>
          <w:noProof/>
        </w:rPr>
        <w:t>56</w:t>
      </w:r>
      <w:r w:rsidRPr="00940E58">
        <w:rPr>
          <w:b/>
          <w:bCs/>
          <w:i/>
          <w:iCs/>
          <w:noProof/>
        </w:rPr>
        <w:fldChar w:fldCharType="end"/>
      </w:r>
      <w:r w:rsidR="00940E58">
        <w:rPr>
          <w:noProof/>
        </w:rPr>
        <w:t>:</w:t>
      </w:r>
      <w:r w:rsidR="00205741">
        <w:rPr>
          <w:noProof/>
        </w:rPr>
        <w:t xml:space="preserve"> </w:t>
      </w:r>
      <w:r w:rsidR="00205741" w:rsidRPr="00205741">
        <w:rPr>
          <w:b/>
          <w:bCs/>
          <w:i/>
          <w:iCs/>
        </w:rPr>
        <w:t>Event rate by type</w:t>
      </w:r>
      <w:r w:rsidR="00205741">
        <w:rPr>
          <w:b/>
          <w:bCs/>
          <w:i/>
          <w:iCs/>
        </w:rPr>
        <w:t xml:space="preserve"> </w:t>
      </w:r>
      <w:r w:rsidR="00205741" w:rsidRPr="00205741">
        <w:rPr>
          <w:b/>
          <w:bCs/>
          <w:i/>
          <w:iCs/>
        </w:rPr>
        <w:t>and week by group</w:t>
      </w:r>
      <w:bookmarkEnd w:id="199"/>
    </w:p>
    <w:p w14:paraId="688EC7E6" w14:textId="1956EB22" w:rsidR="00E7168B" w:rsidRPr="00D618B7" w:rsidRDefault="00E7168B" w:rsidP="00E7168B">
      <w:r w:rsidRPr="00D618B7">
        <w:t>Estimated Mean Rate of Events per Trial by Type and Week</w:t>
      </w:r>
      <w:r w:rsidR="00205741">
        <w:t xml:space="preserve"> by Group</w:t>
      </w:r>
    </w:p>
    <w:tbl>
      <w:tblPr>
        <w:tblW w:w="8788" w:type="dxa"/>
        <w:tblLook w:val="04A0" w:firstRow="1" w:lastRow="0" w:firstColumn="1" w:lastColumn="0" w:noHBand="0" w:noVBand="1"/>
      </w:tblPr>
      <w:tblGrid>
        <w:gridCol w:w="1248"/>
        <w:gridCol w:w="1080"/>
        <w:gridCol w:w="1418"/>
        <w:gridCol w:w="1138"/>
        <w:gridCol w:w="1358"/>
        <w:gridCol w:w="1225"/>
        <w:gridCol w:w="1321"/>
      </w:tblGrid>
      <w:tr w:rsidR="00E7168B" w:rsidRPr="00D618B7" w14:paraId="7759C60E" w14:textId="77777777" w:rsidTr="004B11B7">
        <w:trPr>
          <w:trHeight w:val="318"/>
        </w:trPr>
        <w:tc>
          <w:tcPr>
            <w:tcW w:w="1248" w:type="dxa"/>
            <w:tcBorders>
              <w:top w:val="nil"/>
              <w:left w:val="nil"/>
              <w:bottom w:val="nil"/>
              <w:right w:val="nil"/>
            </w:tcBorders>
            <w:shd w:val="clear" w:color="000000" w:fill="FFFFFF"/>
            <w:vAlign w:val="center"/>
            <w:hideMark/>
          </w:tcPr>
          <w:p w14:paraId="4897C30E" w14:textId="77777777" w:rsidR="00E7168B" w:rsidRPr="00D618B7" w:rsidRDefault="00E7168B" w:rsidP="004B11B7">
            <w:pPr>
              <w:rPr>
                <w:color w:val="000000"/>
              </w:rPr>
            </w:pPr>
            <w:r w:rsidRPr="00D618B7">
              <w:rPr>
                <w:color w:val="000000"/>
              </w:rPr>
              <w:t>Week</w:t>
            </w:r>
          </w:p>
        </w:tc>
        <w:tc>
          <w:tcPr>
            <w:tcW w:w="2498" w:type="dxa"/>
            <w:gridSpan w:val="2"/>
            <w:tcBorders>
              <w:top w:val="nil"/>
              <w:left w:val="nil"/>
              <w:bottom w:val="single" w:sz="8" w:space="0" w:color="auto"/>
              <w:right w:val="nil"/>
            </w:tcBorders>
            <w:shd w:val="clear" w:color="000000" w:fill="FFFFFF"/>
            <w:vAlign w:val="center"/>
            <w:hideMark/>
          </w:tcPr>
          <w:p w14:paraId="0122DDA3" w14:textId="77777777" w:rsidR="00E7168B" w:rsidRPr="00D618B7" w:rsidRDefault="00E7168B" w:rsidP="004B11B7">
            <w:pPr>
              <w:jc w:val="center"/>
              <w:rPr>
                <w:color w:val="000000"/>
              </w:rPr>
            </w:pPr>
            <w:r w:rsidRPr="00D618B7">
              <w:rPr>
                <w:color w:val="000000"/>
              </w:rPr>
              <w:t>Face</w:t>
            </w:r>
          </w:p>
        </w:tc>
        <w:tc>
          <w:tcPr>
            <w:tcW w:w="2496" w:type="dxa"/>
            <w:gridSpan w:val="2"/>
            <w:tcBorders>
              <w:top w:val="nil"/>
              <w:left w:val="nil"/>
              <w:bottom w:val="single" w:sz="8" w:space="0" w:color="auto"/>
              <w:right w:val="nil"/>
            </w:tcBorders>
            <w:shd w:val="clear" w:color="000000" w:fill="FFFFFF"/>
            <w:vAlign w:val="center"/>
            <w:hideMark/>
          </w:tcPr>
          <w:p w14:paraId="319D58C2" w14:textId="77777777" w:rsidR="00E7168B" w:rsidRPr="00D618B7" w:rsidRDefault="00E7168B" w:rsidP="004B11B7">
            <w:pPr>
              <w:jc w:val="center"/>
              <w:rPr>
                <w:color w:val="000000"/>
              </w:rPr>
            </w:pPr>
            <w:r w:rsidRPr="00D618B7">
              <w:rPr>
                <w:color w:val="000000"/>
              </w:rPr>
              <w:t>Hand</w:t>
            </w:r>
          </w:p>
        </w:tc>
        <w:tc>
          <w:tcPr>
            <w:tcW w:w="2546" w:type="dxa"/>
            <w:gridSpan w:val="2"/>
            <w:tcBorders>
              <w:top w:val="nil"/>
              <w:left w:val="nil"/>
              <w:bottom w:val="single" w:sz="8" w:space="0" w:color="auto"/>
              <w:right w:val="nil"/>
            </w:tcBorders>
            <w:shd w:val="clear" w:color="000000" w:fill="FFFFFF"/>
            <w:vAlign w:val="center"/>
            <w:hideMark/>
          </w:tcPr>
          <w:p w14:paraId="7C62DA33" w14:textId="77777777" w:rsidR="00E7168B" w:rsidRPr="00D618B7" w:rsidRDefault="00E7168B" w:rsidP="004B11B7">
            <w:pPr>
              <w:jc w:val="center"/>
              <w:rPr>
                <w:color w:val="000000"/>
              </w:rPr>
            </w:pPr>
            <w:r w:rsidRPr="00D618B7">
              <w:rPr>
                <w:color w:val="000000"/>
              </w:rPr>
              <w:t>Mouth</w:t>
            </w:r>
          </w:p>
        </w:tc>
      </w:tr>
      <w:tr w:rsidR="00E7168B" w:rsidRPr="00D618B7" w14:paraId="15AA218E" w14:textId="77777777" w:rsidTr="004B11B7">
        <w:trPr>
          <w:trHeight w:val="318"/>
        </w:trPr>
        <w:tc>
          <w:tcPr>
            <w:tcW w:w="1248" w:type="dxa"/>
            <w:tcBorders>
              <w:top w:val="nil"/>
              <w:left w:val="nil"/>
              <w:bottom w:val="single" w:sz="8" w:space="0" w:color="auto"/>
              <w:right w:val="nil"/>
            </w:tcBorders>
            <w:shd w:val="clear" w:color="000000" w:fill="FFFFFF"/>
            <w:noWrap/>
            <w:vAlign w:val="bottom"/>
            <w:hideMark/>
          </w:tcPr>
          <w:p w14:paraId="4A10027E" w14:textId="77777777" w:rsidR="00E7168B" w:rsidRPr="00D618B7" w:rsidRDefault="00E7168B" w:rsidP="004B11B7">
            <w:pPr>
              <w:rPr>
                <w:color w:val="000000"/>
              </w:rPr>
            </w:pPr>
            <w:r w:rsidRPr="00D618B7">
              <w:rPr>
                <w:color w:val="000000"/>
              </w:rPr>
              <w:t> </w:t>
            </w:r>
          </w:p>
        </w:tc>
        <w:tc>
          <w:tcPr>
            <w:tcW w:w="1080" w:type="dxa"/>
            <w:tcBorders>
              <w:top w:val="nil"/>
              <w:left w:val="nil"/>
              <w:bottom w:val="single" w:sz="8" w:space="0" w:color="auto"/>
              <w:right w:val="nil"/>
            </w:tcBorders>
            <w:shd w:val="clear" w:color="000000" w:fill="FFFFFF"/>
            <w:noWrap/>
            <w:vAlign w:val="center"/>
            <w:hideMark/>
          </w:tcPr>
          <w:p w14:paraId="633C7BE8" w14:textId="77777777" w:rsidR="00E7168B" w:rsidRPr="00D618B7" w:rsidRDefault="00E7168B" w:rsidP="004B11B7">
            <w:pPr>
              <w:jc w:val="right"/>
              <w:rPr>
                <w:color w:val="000000"/>
              </w:rPr>
            </w:pPr>
            <w:r w:rsidRPr="00D618B7">
              <w:rPr>
                <w:color w:val="000000"/>
              </w:rPr>
              <w:t>Mean</w:t>
            </w:r>
          </w:p>
        </w:tc>
        <w:tc>
          <w:tcPr>
            <w:tcW w:w="1418" w:type="dxa"/>
            <w:tcBorders>
              <w:top w:val="nil"/>
              <w:left w:val="nil"/>
              <w:bottom w:val="single" w:sz="8" w:space="0" w:color="auto"/>
              <w:right w:val="nil"/>
            </w:tcBorders>
            <w:shd w:val="clear" w:color="000000" w:fill="FFFFFF"/>
            <w:noWrap/>
            <w:vAlign w:val="center"/>
            <w:hideMark/>
          </w:tcPr>
          <w:p w14:paraId="226A4ED9" w14:textId="77777777" w:rsidR="00E7168B" w:rsidRPr="00D618B7" w:rsidRDefault="00E7168B" w:rsidP="004B11B7">
            <w:pPr>
              <w:jc w:val="right"/>
              <w:rPr>
                <w:color w:val="000000"/>
              </w:rPr>
            </w:pPr>
            <w:r w:rsidRPr="00D618B7">
              <w:rPr>
                <w:color w:val="000000"/>
              </w:rPr>
              <w:t>Std. Error</w:t>
            </w:r>
          </w:p>
        </w:tc>
        <w:tc>
          <w:tcPr>
            <w:tcW w:w="1138" w:type="dxa"/>
            <w:tcBorders>
              <w:top w:val="nil"/>
              <w:left w:val="nil"/>
              <w:bottom w:val="single" w:sz="8" w:space="0" w:color="auto"/>
              <w:right w:val="nil"/>
            </w:tcBorders>
            <w:shd w:val="clear" w:color="000000" w:fill="FFFFFF"/>
            <w:noWrap/>
            <w:vAlign w:val="center"/>
            <w:hideMark/>
          </w:tcPr>
          <w:p w14:paraId="635F8CF5" w14:textId="77777777" w:rsidR="00E7168B" w:rsidRPr="00D618B7" w:rsidRDefault="00E7168B" w:rsidP="004B11B7">
            <w:pPr>
              <w:jc w:val="right"/>
              <w:rPr>
                <w:color w:val="000000"/>
              </w:rPr>
            </w:pPr>
            <w:r w:rsidRPr="00D618B7">
              <w:rPr>
                <w:color w:val="000000"/>
              </w:rPr>
              <w:t>Mean</w:t>
            </w:r>
          </w:p>
        </w:tc>
        <w:tc>
          <w:tcPr>
            <w:tcW w:w="1358" w:type="dxa"/>
            <w:tcBorders>
              <w:top w:val="nil"/>
              <w:left w:val="nil"/>
              <w:bottom w:val="single" w:sz="8" w:space="0" w:color="auto"/>
              <w:right w:val="nil"/>
            </w:tcBorders>
            <w:shd w:val="clear" w:color="000000" w:fill="FFFFFF"/>
            <w:noWrap/>
            <w:vAlign w:val="center"/>
            <w:hideMark/>
          </w:tcPr>
          <w:p w14:paraId="63AF80B2" w14:textId="77777777" w:rsidR="00E7168B" w:rsidRPr="00D618B7" w:rsidRDefault="00E7168B" w:rsidP="004B11B7">
            <w:pPr>
              <w:jc w:val="right"/>
              <w:rPr>
                <w:color w:val="000000"/>
              </w:rPr>
            </w:pPr>
            <w:r w:rsidRPr="00D618B7">
              <w:rPr>
                <w:color w:val="000000"/>
              </w:rPr>
              <w:t>Std. Error</w:t>
            </w:r>
          </w:p>
        </w:tc>
        <w:tc>
          <w:tcPr>
            <w:tcW w:w="1225" w:type="dxa"/>
            <w:tcBorders>
              <w:top w:val="nil"/>
              <w:left w:val="nil"/>
              <w:bottom w:val="single" w:sz="8" w:space="0" w:color="auto"/>
              <w:right w:val="nil"/>
            </w:tcBorders>
            <w:shd w:val="clear" w:color="000000" w:fill="FFFFFF"/>
            <w:noWrap/>
            <w:vAlign w:val="center"/>
            <w:hideMark/>
          </w:tcPr>
          <w:p w14:paraId="5EE929DE" w14:textId="77777777" w:rsidR="00E7168B" w:rsidRPr="00D618B7" w:rsidRDefault="00E7168B" w:rsidP="004B11B7">
            <w:pPr>
              <w:jc w:val="right"/>
              <w:rPr>
                <w:color w:val="000000"/>
              </w:rPr>
            </w:pPr>
            <w:r w:rsidRPr="00D618B7">
              <w:rPr>
                <w:color w:val="000000"/>
              </w:rPr>
              <w:t>Mean</w:t>
            </w:r>
          </w:p>
        </w:tc>
        <w:tc>
          <w:tcPr>
            <w:tcW w:w="1321" w:type="dxa"/>
            <w:tcBorders>
              <w:top w:val="nil"/>
              <w:left w:val="nil"/>
              <w:bottom w:val="single" w:sz="8" w:space="0" w:color="auto"/>
              <w:right w:val="nil"/>
            </w:tcBorders>
            <w:shd w:val="clear" w:color="000000" w:fill="FFFFFF"/>
            <w:noWrap/>
            <w:vAlign w:val="center"/>
            <w:hideMark/>
          </w:tcPr>
          <w:p w14:paraId="31F8177F" w14:textId="77777777" w:rsidR="00E7168B" w:rsidRPr="00D618B7" w:rsidRDefault="00E7168B" w:rsidP="004B11B7">
            <w:pPr>
              <w:jc w:val="right"/>
              <w:rPr>
                <w:color w:val="000000"/>
              </w:rPr>
            </w:pPr>
            <w:r w:rsidRPr="00D618B7">
              <w:rPr>
                <w:color w:val="000000"/>
              </w:rPr>
              <w:t>Std. Error</w:t>
            </w:r>
          </w:p>
        </w:tc>
      </w:tr>
      <w:tr w:rsidR="00E7168B" w:rsidRPr="00D618B7" w14:paraId="05171246" w14:textId="77777777" w:rsidTr="004B11B7">
        <w:trPr>
          <w:trHeight w:val="303"/>
        </w:trPr>
        <w:tc>
          <w:tcPr>
            <w:tcW w:w="1248" w:type="dxa"/>
            <w:tcBorders>
              <w:top w:val="nil"/>
              <w:left w:val="nil"/>
              <w:bottom w:val="nil"/>
              <w:right w:val="nil"/>
            </w:tcBorders>
            <w:shd w:val="clear" w:color="000000" w:fill="FFFFFF"/>
            <w:noWrap/>
            <w:vAlign w:val="bottom"/>
            <w:hideMark/>
          </w:tcPr>
          <w:p w14:paraId="3AD603D3" w14:textId="77777777" w:rsidR="00E7168B" w:rsidRPr="00D618B7" w:rsidRDefault="00E7168B" w:rsidP="004B11B7">
            <w:pPr>
              <w:rPr>
                <w:color w:val="000000"/>
              </w:rPr>
            </w:pPr>
            <w:r w:rsidRPr="00D618B7">
              <w:rPr>
                <w:color w:val="000000"/>
              </w:rPr>
              <w:t> </w:t>
            </w:r>
          </w:p>
        </w:tc>
        <w:tc>
          <w:tcPr>
            <w:tcW w:w="7540" w:type="dxa"/>
            <w:gridSpan w:val="6"/>
            <w:tcBorders>
              <w:top w:val="single" w:sz="8" w:space="0" w:color="auto"/>
              <w:left w:val="nil"/>
              <w:bottom w:val="nil"/>
              <w:right w:val="nil"/>
            </w:tcBorders>
            <w:shd w:val="clear" w:color="000000" w:fill="FFFFFF"/>
            <w:noWrap/>
            <w:vAlign w:val="center"/>
            <w:hideMark/>
          </w:tcPr>
          <w:p w14:paraId="3F5D9B2E" w14:textId="77777777" w:rsidR="00E7168B" w:rsidRPr="00D618B7" w:rsidRDefault="00E7168B" w:rsidP="004B11B7">
            <w:pPr>
              <w:jc w:val="center"/>
              <w:rPr>
                <w:color w:val="000000"/>
              </w:rPr>
            </w:pPr>
            <w:r w:rsidRPr="00D618B7">
              <w:rPr>
                <w:color w:val="000000"/>
              </w:rPr>
              <w:t>Early Reach Group</w:t>
            </w:r>
          </w:p>
        </w:tc>
      </w:tr>
      <w:tr w:rsidR="00E7168B" w:rsidRPr="00D618B7" w14:paraId="5CDACF5D" w14:textId="77777777" w:rsidTr="004B11B7">
        <w:trPr>
          <w:trHeight w:val="303"/>
        </w:trPr>
        <w:tc>
          <w:tcPr>
            <w:tcW w:w="1248" w:type="dxa"/>
            <w:tcBorders>
              <w:top w:val="nil"/>
              <w:left w:val="nil"/>
              <w:bottom w:val="nil"/>
              <w:right w:val="nil"/>
            </w:tcBorders>
            <w:shd w:val="clear" w:color="000000" w:fill="FFFFFF"/>
            <w:vAlign w:val="center"/>
            <w:hideMark/>
          </w:tcPr>
          <w:p w14:paraId="6124C3BF" w14:textId="77777777" w:rsidR="00E7168B" w:rsidRPr="00D618B7" w:rsidRDefault="00E7168B" w:rsidP="004B11B7">
            <w:pPr>
              <w:jc w:val="right"/>
              <w:rPr>
                <w:color w:val="000000"/>
              </w:rPr>
            </w:pPr>
            <w:r w:rsidRPr="00D618B7">
              <w:rPr>
                <w:color w:val="000000"/>
              </w:rPr>
              <w:t>-5</w:t>
            </w:r>
          </w:p>
        </w:tc>
        <w:tc>
          <w:tcPr>
            <w:tcW w:w="1080" w:type="dxa"/>
            <w:tcBorders>
              <w:top w:val="nil"/>
              <w:left w:val="nil"/>
              <w:bottom w:val="nil"/>
              <w:right w:val="nil"/>
            </w:tcBorders>
            <w:shd w:val="clear" w:color="000000" w:fill="FFFFFF"/>
            <w:noWrap/>
            <w:vAlign w:val="bottom"/>
            <w:hideMark/>
          </w:tcPr>
          <w:p w14:paraId="5A7658B1" w14:textId="77777777" w:rsidR="00E7168B" w:rsidRPr="00D618B7" w:rsidRDefault="00E7168B" w:rsidP="004B11B7">
            <w:pPr>
              <w:jc w:val="right"/>
              <w:rPr>
                <w:color w:val="000000"/>
              </w:rPr>
            </w:pPr>
            <w:r w:rsidRPr="00D618B7">
              <w:rPr>
                <w:color w:val="000000"/>
              </w:rPr>
              <w:t>0.0254</w:t>
            </w:r>
          </w:p>
        </w:tc>
        <w:tc>
          <w:tcPr>
            <w:tcW w:w="1418" w:type="dxa"/>
            <w:tcBorders>
              <w:top w:val="nil"/>
              <w:left w:val="nil"/>
              <w:bottom w:val="nil"/>
              <w:right w:val="nil"/>
            </w:tcBorders>
            <w:shd w:val="clear" w:color="000000" w:fill="FFFFFF"/>
            <w:noWrap/>
            <w:vAlign w:val="bottom"/>
            <w:hideMark/>
          </w:tcPr>
          <w:p w14:paraId="09356422" w14:textId="77777777" w:rsidR="00E7168B" w:rsidRPr="00D618B7" w:rsidRDefault="00E7168B" w:rsidP="004B11B7">
            <w:pPr>
              <w:jc w:val="right"/>
              <w:rPr>
                <w:color w:val="000000"/>
              </w:rPr>
            </w:pPr>
            <w:r w:rsidRPr="00D618B7">
              <w:rPr>
                <w:color w:val="000000"/>
              </w:rPr>
              <w:t>0.0016</w:t>
            </w:r>
          </w:p>
        </w:tc>
        <w:tc>
          <w:tcPr>
            <w:tcW w:w="1138" w:type="dxa"/>
            <w:tcBorders>
              <w:top w:val="nil"/>
              <w:left w:val="nil"/>
              <w:bottom w:val="nil"/>
              <w:right w:val="nil"/>
            </w:tcBorders>
            <w:shd w:val="clear" w:color="000000" w:fill="FFFFFF"/>
            <w:noWrap/>
            <w:vAlign w:val="bottom"/>
            <w:hideMark/>
          </w:tcPr>
          <w:p w14:paraId="604F1A0E" w14:textId="77777777" w:rsidR="00E7168B" w:rsidRPr="00D618B7" w:rsidRDefault="00E7168B" w:rsidP="004B11B7">
            <w:pPr>
              <w:jc w:val="right"/>
              <w:rPr>
                <w:color w:val="000000"/>
              </w:rPr>
            </w:pPr>
            <w:r w:rsidRPr="00D618B7">
              <w:rPr>
                <w:color w:val="000000"/>
              </w:rPr>
              <w:t>0.0002</w:t>
            </w:r>
          </w:p>
        </w:tc>
        <w:tc>
          <w:tcPr>
            <w:tcW w:w="1358" w:type="dxa"/>
            <w:tcBorders>
              <w:top w:val="nil"/>
              <w:left w:val="nil"/>
              <w:bottom w:val="nil"/>
              <w:right w:val="nil"/>
            </w:tcBorders>
            <w:shd w:val="clear" w:color="000000" w:fill="FFFFFF"/>
            <w:noWrap/>
            <w:vAlign w:val="bottom"/>
            <w:hideMark/>
          </w:tcPr>
          <w:p w14:paraId="55A783A5" w14:textId="77777777" w:rsidR="00E7168B" w:rsidRPr="00D618B7" w:rsidRDefault="00E7168B" w:rsidP="004B11B7">
            <w:pPr>
              <w:jc w:val="right"/>
              <w:rPr>
                <w:color w:val="000000"/>
              </w:rPr>
            </w:pPr>
            <w:r w:rsidRPr="00D618B7">
              <w:rPr>
                <w:color w:val="000000"/>
              </w:rPr>
              <w:t>0.0003</w:t>
            </w:r>
          </w:p>
        </w:tc>
        <w:tc>
          <w:tcPr>
            <w:tcW w:w="1225" w:type="dxa"/>
            <w:tcBorders>
              <w:top w:val="nil"/>
              <w:left w:val="nil"/>
              <w:bottom w:val="nil"/>
              <w:right w:val="nil"/>
            </w:tcBorders>
            <w:shd w:val="clear" w:color="000000" w:fill="FFFFFF"/>
            <w:noWrap/>
            <w:vAlign w:val="bottom"/>
            <w:hideMark/>
          </w:tcPr>
          <w:p w14:paraId="167234C0" w14:textId="77777777" w:rsidR="00E7168B" w:rsidRPr="00D618B7" w:rsidRDefault="00E7168B" w:rsidP="004B11B7">
            <w:pPr>
              <w:jc w:val="right"/>
              <w:rPr>
                <w:color w:val="000000"/>
              </w:rPr>
            </w:pPr>
            <w:r w:rsidRPr="00D618B7">
              <w:rPr>
                <w:color w:val="000000"/>
              </w:rPr>
              <w:t>0.0054</w:t>
            </w:r>
          </w:p>
        </w:tc>
        <w:tc>
          <w:tcPr>
            <w:tcW w:w="1321" w:type="dxa"/>
            <w:tcBorders>
              <w:top w:val="nil"/>
              <w:left w:val="nil"/>
              <w:bottom w:val="nil"/>
              <w:right w:val="nil"/>
            </w:tcBorders>
            <w:shd w:val="clear" w:color="000000" w:fill="FFFFFF"/>
            <w:noWrap/>
            <w:vAlign w:val="bottom"/>
            <w:hideMark/>
          </w:tcPr>
          <w:p w14:paraId="365E5B21" w14:textId="77777777" w:rsidR="00E7168B" w:rsidRPr="00D618B7" w:rsidRDefault="00E7168B" w:rsidP="004B11B7">
            <w:pPr>
              <w:jc w:val="right"/>
              <w:rPr>
                <w:color w:val="000000"/>
              </w:rPr>
            </w:pPr>
            <w:r w:rsidRPr="00D618B7">
              <w:rPr>
                <w:color w:val="000000"/>
              </w:rPr>
              <w:t>0.0015</w:t>
            </w:r>
          </w:p>
        </w:tc>
      </w:tr>
      <w:tr w:rsidR="00E7168B" w:rsidRPr="00D618B7" w14:paraId="33188D17" w14:textId="77777777" w:rsidTr="004B11B7">
        <w:trPr>
          <w:trHeight w:val="303"/>
        </w:trPr>
        <w:tc>
          <w:tcPr>
            <w:tcW w:w="1248" w:type="dxa"/>
            <w:tcBorders>
              <w:top w:val="nil"/>
              <w:left w:val="nil"/>
              <w:bottom w:val="nil"/>
              <w:right w:val="nil"/>
            </w:tcBorders>
            <w:shd w:val="clear" w:color="000000" w:fill="FFFFFF"/>
            <w:vAlign w:val="center"/>
            <w:hideMark/>
          </w:tcPr>
          <w:p w14:paraId="5151FC79" w14:textId="77777777" w:rsidR="00E7168B" w:rsidRPr="00D618B7" w:rsidRDefault="00E7168B"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bottom"/>
            <w:hideMark/>
          </w:tcPr>
          <w:p w14:paraId="514F980E" w14:textId="77777777" w:rsidR="00E7168B" w:rsidRPr="00D618B7" w:rsidRDefault="00E7168B" w:rsidP="004B11B7">
            <w:pPr>
              <w:jc w:val="right"/>
              <w:rPr>
                <w:color w:val="000000"/>
              </w:rPr>
            </w:pPr>
            <w:r w:rsidRPr="00D618B7">
              <w:rPr>
                <w:color w:val="000000"/>
              </w:rPr>
              <w:t>0.0006</w:t>
            </w:r>
          </w:p>
        </w:tc>
        <w:tc>
          <w:tcPr>
            <w:tcW w:w="1418" w:type="dxa"/>
            <w:tcBorders>
              <w:top w:val="nil"/>
              <w:left w:val="nil"/>
              <w:bottom w:val="nil"/>
              <w:right w:val="nil"/>
            </w:tcBorders>
            <w:shd w:val="clear" w:color="000000" w:fill="FFFFFF"/>
            <w:noWrap/>
            <w:vAlign w:val="bottom"/>
            <w:hideMark/>
          </w:tcPr>
          <w:p w14:paraId="758932B7" w14:textId="77777777" w:rsidR="00E7168B" w:rsidRPr="00D618B7" w:rsidRDefault="00E7168B" w:rsidP="004B11B7">
            <w:pPr>
              <w:jc w:val="right"/>
              <w:rPr>
                <w:color w:val="000000"/>
              </w:rPr>
            </w:pPr>
            <w:r w:rsidRPr="00D618B7">
              <w:rPr>
                <w:color w:val="000000"/>
              </w:rPr>
              <w:t>0.0009</w:t>
            </w:r>
          </w:p>
        </w:tc>
        <w:tc>
          <w:tcPr>
            <w:tcW w:w="1138" w:type="dxa"/>
            <w:tcBorders>
              <w:top w:val="nil"/>
              <w:left w:val="nil"/>
              <w:bottom w:val="nil"/>
              <w:right w:val="nil"/>
            </w:tcBorders>
            <w:shd w:val="clear" w:color="000000" w:fill="FFFFFF"/>
            <w:noWrap/>
            <w:vAlign w:val="bottom"/>
            <w:hideMark/>
          </w:tcPr>
          <w:p w14:paraId="2B6B8A52" w14:textId="77777777" w:rsidR="00E7168B" w:rsidRPr="00D618B7" w:rsidRDefault="00E7168B" w:rsidP="004B11B7">
            <w:pPr>
              <w:jc w:val="right"/>
              <w:rPr>
                <w:color w:val="000000"/>
              </w:rPr>
            </w:pPr>
            <w:r w:rsidRPr="00D618B7">
              <w:rPr>
                <w:color w:val="000000"/>
              </w:rPr>
              <w:t>-0.0007</w:t>
            </w:r>
          </w:p>
        </w:tc>
        <w:tc>
          <w:tcPr>
            <w:tcW w:w="1358" w:type="dxa"/>
            <w:tcBorders>
              <w:top w:val="nil"/>
              <w:left w:val="nil"/>
              <w:bottom w:val="nil"/>
              <w:right w:val="nil"/>
            </w:tcBorders>
            <w:shd w:val="clear" w:color="000000" w:fill="FFFFFF"/>
            <w:noWrap/>
            <w:vAlign w:val="bottom"/>
            <w:hideMark/>
          </w:tcPr>
          <w:p w14:paraId="57A63EBC" w14:textId="77777777" w:rsidR="00E7168B" w:rsidRPr="00D618B7" w:rsidRDefault="00E7168B" w:rsidP="004B11B7">
            <w:pPr>
              <w:jc w:val="right"/>
              <w:rPr>
                <w:color w:val="000000"/>
              </w:rPr>
            </w:pPr>
            <w:r w:rsidRPr="00D618B7">
              <w:rPr>
                <w:color w:val="000000"/>
              </w:rPr>
              <w:t>0.0003</w:t>
            </w:r>
          </w:p>
        </w:tc>
        <w:tc>
          <w:tcPr>
            <w:tcW w:w="1225" w:type="dxa"/>
            <w:tcBorders>
              <w:top w:val="nil"/>
              <w:left w:val="nil"/>
              <w:bottom w:val="nil"/>
              <w:right w:val="nil"/>
            </w:tcBorders>
            <w:shd w:val="clear" w:color="000000" w:fill="FFFFFF"/>
            <w:noWrap/>
            <w:vAlign w:val="bottom"/>
            <w:hideMark/>
          </w:tcPr>
          <w:p w14:paraId="1FC18F0F" w14:textId="77777777" w:rsidR="00E7168B" w:rsidRPr="00D618B7" w:rsidRDefault="00E7168B" w:rsidP="004B11B7">
            <w:pPr>
              <w:jc w:val="right"/>
              <w:rPr>
                <w:color w:val="000000"/>
              </w:rPr>
            </w:pPr>
            <w:r w:rsidRPr="00D618B7">
              <w:rPr>
                <w:color w:val="000000"/>
              </w:rPr>
              <w:t>0.0022</w:t>
            </w:r>
          </w:p>
        </w:tc>
        <w:tc>
          <w:tcPr>
            <w:tcW w:w="1321" w:type="dxa"/>
            <w:tcBorders>
              <w:top w:val="nil"/>
              <w:left w:val="nil"/>
              <w:bottom w:val="nil"/>
              <w:right w:val="nil"/>
            </w:tcBorders>
            <w:shd w:val="clear" w:color="000000" w:fill="FFFFFF"/>
            <w:noWrap/>
            <w:vAlign w:val="bottom"/>
            <w:hideMark/>
          </w:tcPr>
          <w:p w14:paraId="5F9A0757" w14:textId="77777777" w:rsidR="00E7168B" w:rsidRPr="00D618B7" w:rsidRDefault="00E7168B" w:rsidP="004B11B7">
            <w:pPr>
              <w:jc w:val="right"/>
              <w:rPr>
                <w:color w:val="000000"/>
              </w:rPr>
            </w:pPr>
            <w:r w:rsidRPr="00D618B7">
              <w:rPr>
                <w:color w:val="000000"/>
              </w:rPr>
              <w:t>0.0026</w:t>
            </w:r>
          </w:p>
        </w:tc>
      </w:tr>
      <w:tr w:rsidR="00E7168B" w:rsidRPr="00D618B7" w14:paraId="3BEBF753" w14:textId="77777777" w:rsidTr="004B11B7">
        <w:trPr>
          <w:trHeight w:val="303"/>
        </w:trPr>
        <w:tc>
          <w:tcPr>
            <w:tcW w:w="1248" w:type="dxa"/>
            <w:tcBorders>
              <w:top w:val="nil"/>
              <w:left w:val="nil"/>
              <w:bottom w:val="nil"/>
              <w:right w:val="nil"/>
            </w:tcBorders>
            <w:shd w:val="clear" w:color="000000" w:fill="FFFFFF"/>
            <w:vAlign w:val="center"/>
            <w:hideMark/>
          </w:tcPr>
          <w:p w14:paraId="4FE98831" w14:textId="77777777" w:rsidR="00E7168B" w:rsidRPr="00D618B7" w:rsidRDefault="00E7168B"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bottom"/>
            <w:hideMark/>
          </w:tcPr>
          <w:p w14:paraId="4D1A9BAA" w14:textId="77777777" w:rsidR="00E7168B" w:rsidRPr="00D618B7" w:rsidRDefault="00E7168B" w:rsidP="004B11B7">
            <w:pPr>
              <w:jc w:val="right"/>
              <w:rPr>
                <w:color w:val="000000"/>
              </w:rPr>
            </w:pPr>
            <w:r w:rsidRPr="00D618B7">
              <w:rPr>
                <w:color w:val="000000"/>
              </w:rPr>
              <w:t>0.0053</w:t>
            </w:r>
          </w:p>
        </w:tc>
        <w:tc>
          <w:tcPr>
            <w:tcW w:w="1418" w:type="dxa"/>
            <w:tcBorders>
              <w:top w:val="nil"/>
              <w:left w:val="nil"/>
              <w:bottom w:val="nil"/>
              <w:right w:val="nil"/>
            </w:tcBorders>
            <w:shd w:val="clear" w:color="000000" w:fill="FFFFFF"/>
            <w:noWrap/>
            <w:vAlign w:val="bottom"/>
            <w:hideMark/>
          </w:tcPr>
          <w:p w14:paraId="10D296C3" w14:textId="77777777" w:rsidR="00E7168B" w:rsidRPr="00D618B7" w:rsidRDefault="00E7168B" w:rsidP="004B11B7">
            <w:pPr>
              <w:jc w:val="right"/>
              <w:rPr>
                <w:color w:val="000000"/>
              </w:rPr>
            </w:pPr>
            <w:r w:rsidRPr="00D618B7">
              <w:rPr>
                <w:color w:val="000000"/>
              </w:rPr>
              <w:t>0.0012</w:t>
            </w:r>
          </w:p>
        </w:tc>
        <w:tc>
          <w:tcPr>
            <w:tcW w:w="1138" w:type="dxa"/>
            <w:tcBorders>
              <w:top w:val="nil"/>
              <w:left w:val="nil"/>
              <w:bottom w:val="nil"/>
              <w:right w:val="nil"/>
            </w:tcBorders>
            <w:shd w:val="clear" w:color="000000" w:fill="FFFFFF"/>
            <w:noWrap/>
            <w:vAlign w:val="bottom"/>
            <w:hideMark/>
          </w:tcPr>
          <w:p w14:paraId="79EE6DAF" w14:textId="77777777" w:rsidR="00E7168B" w:rsidRPr="00D618B7" w:rsidRDefault="00E7168B" w:rsidP="004B11B7">
            <w:pPr>
              <w:jc w:val="right"/>
              <w:rPr>
                <w:color w:val="000000"/>
              </w:rPr>
            </w:pPr>
            <w:r w:rsidRPr="00D618B7">
              <w:rPr>
                <w:color w:val="000000"/>
              </w:rPr>
              <w:t>0.0006</w:t>
            </w:r>
          </w:p>
        </w:tc>
        <w:tc>
          <w:tcPr>
            <w:tcW w:w="1358" w:type="dxa"/>
            <w:tcBorders>
              <w:top w:val="nil"/>
              <w:left w:val="nil"/>
              <w:bottom w:val="nil"/>
              <w:right w:val="nil"/>
            </w:tcBorders>
            <w:shd w:val="clear" w:color="000000" w:fill="FFFFFF"/>
            <w:noWrap/>
            <w:vAlign w:val="bottom"/>
            <w:hideMark/>
          </w:tcPr>
          <w:p w14:paraId="4AF2D147" w14:textId="77777777" w:rsidR="00E7168B" w:rsidRPr="00D618B7" w:rsidRDefault="00E7168B" w:rsidP="004B11B7">
            <w:pPr>
              <w:jc w:val="right"/>
              <w:rPr>
                <w:color w:val="000000"/>
              </w:rPr>
            </w:pPr>
            <w:r w:rsidRPr="00D618B7">
              <w:rPr>
                <w:color w:val="000000"/>
              </w:rPr>
              <w:t>0.0003</w:t>
            </w:r>
          </w:p>
        </w:tc>
        <w:tc>
          <w:tcPr>
            <w:tcW w:w="1225" w:type="dxa"/>
            <w:tcBorders>
              <w:top w:val="nil"/>
              <w:left w:val="nil"/>
              <w:bottom w:val="nil"/>
              <w:right w:val="nil"/>
            </w:tcBorders>
            <w:shd w:val="clear" w:color="000000" w:fill="FFFFFF"/>
            <w:noWrap/>
            <w:vAlign w:val="bottom"/>
            <w:hideMark/>
          </w:tcPr>
          <w:p w14:paraId="605370A0" w14:textId="77777777" w:rsidR="00E7168B" w:rsidRPr="00D618B7" w:rsidRDefault="00E7168B" w:rsidP="004B11B7">
            <w:pPr>
              <w:jc w:val="right"/>
              <w:rPr>
                <w:color w:val="000000"/>
              </w:rPr>
            </w:pPr>
            <w:r w:rsidRPr="00D618B7">
              <w:rPr>
                <w:color w:val="000000"/>
              </w:rPr>
              <w:t>0.0114</w:t>
            </w:r>
          </w:p>
        </w:tc>
        <w:tc>
          <w:tcPr>
            <w:tcW w:w="1321" w:type="dxa"/>
            <w:tcBorders>
              <w:top w:val="nil"/>
              <w:left w:val="nil"/>
              <w:bottom w:val="nil"/>
              <w:right w:val="nil"/>
            </w:tcBorders>
            <w:shd w:val="clear" w:color="000000" w:fill="FFFFFF"/>
            <w:noWrap/>
            <w:vAlign w:val="bottom"/>
            <w:hideMark/>
          </w:tcPr>
          <w:p w14:paraId="7C14902D" w14:textId="77777777" w:rsidR="00E7168B" w:rsidRPr="00D618B7" w:rsidRDefault="00E7168B" w:rsidP="004B11B7">
            <w:pPr>
              <w:jc w:val="right"/>
              <w:rPr>
                <w:color w:val="000000"/>
              </w:rPr>
            </w:pPr>
            <w:r w:rsidRPr="00D618B7">
              <w:rPr>
                <w:color w:val="000000"/>
              </w:rPr>
              <w:t>0.0045</w:t>
            </w:r>
          </w:p>
        </w:tc>
      </w:tr>
      <w:tr w:rsidR="00E7168B" w:rsidRPr="00D618B7" w14:paraId="3CF5EB2D" w14:textId="77777777" w:rsidTr="004B11B7">
        <w:trPr>
          <w:trHeight w:val="303"/>
        </w:trPr>
        <w:tc>
          <w:tcPr>
            <w:tcW w:w="1248" w:type="dxa"/>
            <w:tcBorders>
              <w:top w:val="nil"/>
              <w:left w:val="nil"/>
              <w:bottom w:val="nil"/>
              <w:right w:val="nil"/>
            </w:tcBorders>
            <w:shd w:val="clear" w:color="000000" w:fill="FFFFFF"/>
            <w:vAlign w:val="center"/>
            <w:hideMark/>
          </w:tcPr>
          <w:p w14:paraId="667BF10F" w14:textId="77777777" w:rsidR="00E7168B" w:rsidRPr="00D618B7" w:rsidRDefault="00E7168B"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bottom"/>
            <w:hideMark/>
          </w:tcPr>
          <w:p w14:paraId="3BDBB859" w14:textId="77777777" w:rsidR="00E7168B" w:rsidRPr="00D618B7" w:rsidRDefault="00E7168B" w:rsidP="004B11B7">
            <w:pPr>
              <w:jc w:val="right"/>
              <w:rPr>
                <w:color w:val="000000"/>
              </w:rPr>
            </w:pPr>
            <w:r w:rsidRPr="00D618B7">
              <w:rPr>
                <w:color w:val="000000"/>
              </w:rPr>
              <w:t>0.0053</w:t>
            </w:r>
          </w:p>
        </w:tc>
        <w:tc>
          <w:tcPr>
            <w:tcW w:w="1418" w:type="dxa"/>
            <w:tcBorders>
              <w:top w:val="nil"/>
              <w:left w:val="nil"/>
              <w:bottom w:val="nil"/>
              <w:right w:val="nil"/>
            </w:tcBorders>
            <w:shd w:val="clear" w:color="000000" w:fill="FFFFFF"/>
            <w:noWrap/>
            <w:vAlign w:val="bottom"/>
            <w:hideMark/>
          </w:tcPr>
          <w:p w14:paraId="773BF762" w14:textId="77777777" w:rsidR="00E7168B" w:rsidRPr="00D618B7" w:rsidRDefault="00E7168B" w:rsidP="004B11B7">
            <w:pPr>
              <w:jc w:val="right"/>
              <w:rPr>
                <w:color w:val="000000"/>
              </w:rPr>
            </w:pPr>
            <w:r w:rsidRPr="00D618B7">
              <w:rPr>
                <w:color w:val="000000"/>
              </w:rPr>
              <w:t>0.0043</w:t>
            </w:r>
          </w:p>
        </w:tc>
        <w:tc>
          <w:tcPr>
            <w:tcW w:w="1138" w:type="dxa"/>
            <w:tcBorders>
              <w:top w:val="nil"/>
              <w:left w:val="nil"/>
              <w:bottom w:val="nil"/>
              <w:right w:val="nil"/>
            </w:tcBorders>
            <w:shd w:val="clear" w:color="000000" w:fill="FFFFFF"/>
            <w:noWrap/>
            <w:vAlign w:val="bottom"/>
            <w:hideMark/>
          </w:tcPr>
          <w:p w14:paraId="528E6EA0" w14:textId="77777777" w:rsidR="00E7168B" w:rsidRPr="00D618B7" w:rsidRDefault="00E7168B" w:rsidP="004B11B7">
            <w:pPr>
              <w:jc w:val="right"/>
              <w:rPr>
                <w:color w:val="000000"/>
              </w:rPr>
            </w:pPr>
            <w:r w:rsidRPr="00D618B7">
              <w:rPr>
                <w:color w:val="000000"/>
              </w:rPr>
              <w:t>-0.0005</w:t>
            </w:r>
          </w:p>
        </w:tc>
        <w:tc>
          <w:tcPr>
            <w:tcW w:w="1358" w:type="dxa"/>
            <w:tcBorders>
              <w:top w:val="nil"/>
              <w:left w:val="nil"/>
              <w:bottom w:val="nil"/>
              <w:right w:val="nil"/>
            </w:tcBorders>
            <w:shd w:val="clear" w:color="000000" w:fill="FFFFFF"/>
            <w:noWrap/>
            <w:vAlign w:val="bottom"/>
            <w:hideMark/>
          </w:tcPr>
          <w:p w14:paraId="3D36CC10" w14:textId="77777777" w:rsidR="00E7168B" w:rsidRPr="00D618B7" w:rsidRDefault="00E7168B" w:rsidP="004B11B7">
            <w:pPr>
              <w:jc w:val="right"/>
              <w:rPr>
                <w:color w:val="000000"/>
              </w:rPr>
            </w:pPr>
            <w:r w:rsidRPr="00D618B7">
              <w:rPr>
                <w:color w:val="000000"/>
              </w:rPr>
              <w:t>0.0006</w:t>
            </w:r>
          </w:p>
        </w:tc>
        <w:tc>
          <w:tcPr>
            <w:tcW w:w="1225" w:type="dxa"/>
            <w:tcBorders>
              <w:top w:val="nil"/>
              <w:left w:val="nil"/>
              <w:bottom w:val="nil"/>
              <w:right w:val="nil"/>
            </w:tcBorders>
            <w:shd w:val="clear" w:color="000000" w:fill="FFFFFF"/>
            <w:noWrap/>
            <w:vAlign w:val="bottom"/>
            <w:hideMark/>
          </w:tcPr>
          <w:p w14:paraId="7A3F56C7" w14:textId="77777777" w:rsidR="00E7168B" w:rsidRPr="00D618B7" w:rsidRDefault="00E7168B" w:rsidP="004B11B7">
            <w:pPr>
              <w:jc w:val="right"/>
              <w:rPr>
                <w:color w:val="000000"/>
              </w:rPr>
            </w:pPr>
            <w:r w:rsidRPr="00D618B7">
              <w:rPr>
                <w:color w:val="000000"/>
              </w:rPr>
              <w:t>0.0095</w:t>
            </w:r>
          </w:p>
        </w:tc>
        <w:tc>
          <w:tcPr>
            <w:tcW w:w="1321" w:type="dxa"/>
            <w:tcBorders>
              <w:top w:val="nil"/>
              <w:left w:val="nil"/>
              <w:bottom w:val="nil"/>
              <w:right w:val="nil"/>
            </w:tcBorders>
            <w:shd w:val="clear" w:color="000000" w:fill="FFFFFF"/>
            <w:noWrap/>
            <w:vAlign w:val="bottom"/>
            <w:hideMark/>
          </w:tcPr>
          <w:p w14:paraId="6AF10FBE" w14:textId="77777777" w:rsidR="00E7168B" w:rsidRPr="00D618B7" w:rsidRDefault="00E7168B" w:rsidP="004B11B7">
            <w:pPr>
              <w:jc w:val="right"/>
              <w:rPr>
                <w:color w:val="000000"/>
              </w:rPr>
            </w:pPr>
            <w:r w:rsidRPr="00D618B7">
              <w:rPr>
                <w:color w:val="000000"/>
              </w:rPr>
              <w:t>0.0054</w:t>
            </w:r>
          </w:p>
        </w:tc>
      </w:tr>
      <w:tr w:rsidR="00E7168B" w:rsidRPr="00D618B7" w14:paraId="602A60BA" w14:textId="77777777" w:rsidTr="004B11B7">
        <w:trPr>
          <w:trHeight w:val="303"/>
        </w:trPr>
        <w:tc>
          <w:tcPr>
            <w:tcW w:w="1248" w:type="dxa"/>
            <w:tcBorders>
              <w:top w:val="nil"/>
              <w:left w:val="nil"/>
              <w:bottom w:val="nil"/>
              <w:right w:val="nil"/>
            </w:tcBorders>
            <w:shd w:val="clear" w:color="000000" w:fill="FFFFFF"/>
            <w:vAlign w:val="center"/>
            <w:hideMark/>
          </w:tcPr>
          <w:p w14:paraId="414C00A1" w14:textId="77777777" w:rsidR="00E7168B" w:rsidRPr="00D618B7" w:rsidRDefault="00E7168B"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bottom"/>
            <w:hideMark/>
          </w:tcPr>
          <w:p w14:paraId="1BC0EDD1" w14:textId="77777777" w:rsidR="00E7168B" w:rsidRPr="00D618B7" w:rsidRDefault="00E7168B" w:rsidP="004B11B7">
            <w:pPr>
              <w:jc w:val="right"/>
              <w:rPr>
                <w:color w:val="000000"/>
              </w:rPr>
            </w:pPr>
            <w:r w:rsidRPr="00D618B7">
              <w:rPr>
                <w:color w:val="000000"/>
              </w:rPr>
              <w:t>0.0014</w:t>
            </w:r>
          </w:p>
        </w:tc>
        <w:tc>
          <w:tcPr>
            <w:tcW w:w="1418" w:type="dxa"/>
            <w:tcBorders>
              <w:top w:val="nil"/>
              <w:left w:val="nil"/>
              <w:bottom w:val="nil"/>
              <w:right w:val="nil"/>
            </w:tcBorders>
            <w:shd w:val="clear" w:color="000000" w:fill="FFFFFF"/>
            <w:noWrap/>
            <w:vAlign w:val="bottom"/>
            <w:hideMark/>
          </w:tcPr>
          <w:p w14:paraId="53702FC9" w14:textId="77777777" w:rsidR="00E7168B" w:rsidRPr="00D618B7" w:rsidRDefault="00E7168B" w:rsidP="004B11B7">
            <w:pPr>
              <w:jc w:val="right"/>
              <w:rPr>
                <w:color w:val="000000"/>
              </w:rPr>
            </w:pPr>
            <w:r w:rsidRPr="00D618B7">
              <w:rPr>
                <w:color w:val="000000"/>
              </w:rPr>
              <w:t>0.0014</w:t>
            </w:r>
          </w:p>
        </w:tc>
        <w:tc>
          <w:tcPr>
            <w:tcW w:w="1138" w:type="dxa"/>
            <w:tcBorders>
              <w:top w:val="nil"/>
              <w:left w:val="nil"/>
              <w:bottom w:val="nil"/>
              <w:right w:val="nil"/>
            </w:tcBorders>
            <w:shd w:val="clear" w:color="000000" w:fill="FFFFFF"/>
            <w:noWrap/>
            <w:vAlign w:val="bottom"/>
            <w:hideMark/>
          </w:tcPr>
          <w:p w14:paraId="11E60917" w14:textId="77777777" w:rsidR="00E7168B" w:rsidRPr="00D618B7" w:rsidRDefault="00E7168B" w:rsidP="004B11B7">
            <w:pPr>
              <w:jc w:val="right"/>
              <w:rPr>
                <w:color w:val="000000"/>
              </w:rPr>
            </w:pPr>
            <w:r w:rsidRPr="00D618B7">
              <w:rPr>
                <w:color w:val="000000"/>
              </w:rPr>
              <w:t>0.0020</w:t>
            </w:r>
          </w:p>
        </w:tc>
        <w:tc>
          <w:tcPr>
            <w:tcW w:w="1358" w:type="dxa"/>
            <w:tcBorders>
              <w:top w:val="nil"/>
              <w:left w:val="nil"/>
              <w:bottom w:val="nil"/>
              <w:right w:val="nil"/>
            </w:tcBorders>
            <w:shd w:val="clear" w:color="000000" w:fill="FFFFFF"/>
            <w:noWrap/>
            <w:vAlign w:val="bottom"/>
            <w:hideMark/>
          </w:tcPr>
          <w:p w14:paraId="40F76D61" w14:textId="77777777" w:rsidR="00E7168B" w:rsidRPr="00D618B7" w:rsidRDefault="00E7168B" w:rsidP="004B11B7">
            <w:pPr>
              <w:jc w:val="right"/>
              <w:rPr>
                <w:color w:val="000000"/>
              </w:rPr>
            </w:pPr>
            <w:r w:rsidRPr="00D618B7">
              <w:rPr>
                <w:color w:val="000000"/>
              </w:rPr>
              <w:t>0.0009</w:t>
            </w:r>
          </w:p>
        </w:tc>
        <w:tc>
          <w:tcPr>
            <w:tcW w:w="1225" w:type="dxa"/>
            <w:tcBorders>
              <w:top w:val="nil"/>
              <w:left w:val="nil"/>
              <w:bottom w:val="nil"/>
              <w:right w:val="nil"/>
            </w:tcBorders>
            <w:shd w:val="clear" w:color="000000" w:fill="FFFFFF"/>
            <w:noWrap/>
            <w:vAlign w:val="bottom"/>
            <w:hideMark/>
          </w:tcPr>
          <w:p w14:paraId="6F2BFAA7" w14:textId="77777777" w:rsidR="00E7168B" w:rsidRPr="00D618B7" w:rsidRDefault="00E7168B" w:rsidP="004B11B7">
            <w:pPr>
              <w:jc w:val="right"/>
              <w:rPr>
                <w:color w:val="000000"/>
              </w:rPr>
            </w:pPr>
            <w:r w:rsidRPr="00D618B7">
              <w:rPr>
                <w:color w:val="000000"/>
              </w:rPr>
              <w:t>0.0173</w:t>
            </w:r>
          </w:p>
        </w:tc>
        <w:tc>
          <w:tcPr>
            <w:tcW w:w="1321" w:type="dxa"/>
            <w:tcBorders>
              <w:top w:val="nil"/>
              <w:left w:val="nil"/>
              <w:bottom w:val="nil"/>
              <w:right w:val="nil"/>
            </w:tcBorders>
            <w:shd w:val="clear" w:color="000000" w:fill="FFFFFF"/>
            <w:noWrap/>
            <w:vAlign w:val="bottom"/>
            <w:hideMark/>
          </w:tcPr>
          <w:p w14:paraId="053BBF66" w14:textId="77777777" w:rsidR="00E7168B" w:rsidRPr="00D618B7" w:rsidRDefault="00E7168B" w:rsidP="004B11B7">
            <w:pPr>
              <w:jc w:val="right"/>
              <w:rPr>
                <w:color w:val="000000"/>
              </w:rPr>
            </w:pPr>
            <w:r w:rsidRPr="00D618B7">
              <w:rPr>
                <w:color w:val="000000"/>
              </w:rPr>
              <w:t>0.0022</w:t>
            </w:r>
          </w:p>
        </w:tc>
      </w:tr>
      <w:tr w:rsidR="00E7168B" w:rsidRPr="00D618B7" w14:paraId="5D64D597" w14:textId="77777777" w:rsidTr="004B11B7">
        <w:trPr>
          <w:trHeight w:val="303"/>
        </w:trPr>
        <w:tc>
          <w:tcPr>
            <w:tcW w:w="1248" w:type="dxa"/>
            <w:tcBorders>
              <w:top w:val="nil"/>
              <w:left w:val="nil"/>
              <w:bottom w:val="nil"/>
              <w:right w:val="nil"/>
            </w:tcBorders>
            <w:shd w:val="clear" w:color="000000" w:fill="FFFFFF"/>
            <w:vAlign w:val="center"/>
            <w:hideMark/>
          </w:tcPr>
          <w:p w14:paraId="54CDB402" w14:textId="77777777" w:rsidR="00E7168B" w:rsidRPr="00D618B7" w:rsidRDefault="00E7168B" w:rsidP="004B11B7">
            <w:pPr>
              <w:jc w:val="right"/>
              <w:rPr>
                <w:color w:val="000000"/>
              </w:rPr>
            </w:pPr>
            <w:r w:rsidRPr="00D618B7">
              <w:rPr>
                <w:color w:val="000000"/>
              </w:rPr>
              <w:t>0</w:t>
            </w:r>
          </w:p>
        </w:tc>
        <w:tc>
          <w:tcPr>
            <w:tcW w:w="1080" w:type="dxa"/>
            <w:tcBorders>
              <w:top w:val="nil"/>
              <w:left w:val="nil"/>
              <w:bottom w:val="nil"/>
              <w:right w:val="nil"/>
            </w:tcBorders>
            <w:shd w:val="clear" w:color="000000" w:fill="FFFFFF"/>
            <w:noWrap/>
            <w:vAlign w:val="bottom"/>
            <w:hideMark/>
          </w:tcPr>
          <w:p w14:paraId="727F94E7" w14:textId="77777777" w:rsidR="00E7168B" w:rsidRPr="00D618B7" w:rsidRDefault="00E7168B" w:rsidP="004B11B7">
            <w:pPr>
              <w:jc w:val="right"/>
              <w:rPr>
                <w:color w:val="000000"/>
              </w:rPr>
            </w:pPr>
            <w:r w:rsidRPr="00D618B7">
              <w:rPr>
                <w:color w:val="000000"/>
              </w:rPr>
              <w:t>-0.0001</w:t>
            </w:r>
          </w:p>
        </w:tc>
        <w:tc>
          <w:tcPr>
            <w:tcW w:w="1418" w:type="dxa"/>
            <w:tcBorders>
              <w:top w:val="nil"/>
              <w:left w:val="nil"/>
              <w:bottom w:val="nil"/>
              <w:right w:val="nil"/>
            </w:tcBorders>
            <w:shd w:val="clear" w:color="000000" w:fill="FFFFFF"/>
            <w:noWrap/>
            <w:vAlign w:val="bottom"/>
            <w:hideMark/>
          </w:tcPr>
          <w:p w14:paraId="23805C81" w14:textId="77777777" w:rsidR="00E7168B" w:rsidRPr="00D618B7" w:rsidRDefault="00E7168B" w:rsidP="004B11B7">
            <w:pPr>
              <w:jc w:val="right"/>
              <w:rPr>
                <w:color w:val="000000"/>
              </w:rPr>
            </w:pPr>
            <w:r w:rsidRPr="00D618B7">
              <w:rPr>
                <w:color w:val="000000"/>
              </w:rPr>
              <w:t>0.0004</w:t>
            </w:r>
          </w:p>
        </w:tc>
        <w:tc>
          <w:tcPr>
            <w:tcW w:w="1138" w:type="dxa"/>
            <w:tcBorders>
              <w:top w:val="nil"/>
              <w:left w:val="nil"/>
              <w:bottom w:val="nil"/>
              <w:right w:val="nil"/>
            </w:tcBorders>
            <w:shd w:val="clear" w:color="000000" w:fill="FFFFFF"/>
            <w:noWrap/>
            <w:vAlign w:val="bottom"/>
            <w:hideMark/>
          </w:tcPr>
          <w:p w14:paraId="0E697AA3" w14:textId="77777777" w:rsidR="00E7168B" w:rsidRPr="00D618B7" w:rsidRDefault="00E7168B" w:rsidP="004B11B7">
            <w:pPr>
              <w:jc w:val="right"/>
              <w:rPr>
                <w:color w:val="000000"/>
              </w:rPr>
            </w:pPr>
            <w:r w:rsidRPr="00D618B7">
              <w:rPr>
                <w:color w:val="000000"/>
              </w:rPr>
              <w:t>0.0017</w:t>
            </w:r>
          </w:p>
        </w:tc>
        <w:tc>
          <w:tcPr>
            <w:tcW w:w="1358" w:type="dxa"/>
            <w:tcBorders>
              <w:top w:val="nil"/>
              <w:left w:val="nil"/>
              <w:bottom w:val="nil"/>
              <w:right w:val="nil"/>
            </w:tcBorders>
            <w:shd w:val="clear" w:color="000000" w:fill="FFFFFF"/>
            <w:noWrap/>
            <w:vAlign w:val="bottom"/>
            <w:hideMark/>
          </w:tcPr>
          <w:p w14:paraId="7F927469" w14:textId="77777777" w:rsidR="00E7168B" w:rsidRPr="00D618B7" w:rsidRDefault="00E7168B" w:rsidP="004B11B7">
            <w:pPr>
              <w:jc w:val="right"/>
              <w:rPr>
                <w:color w:val="000000"/>
              </w:rPr>
            </w:pPr>
            <w:r w:rsidRPr="00D618B7">
              <w:rPr>
                <w:color w:val="000000"/>
              </w:rPr>
              <w:t>0.0016</w:t>
            </w:r>
          </w:p>
        </w:tc>
        <w:tc>
          <w:tcPr>
            <w:tcW w:w="1225" w:type="dxa"/>
            <w:tcBorders>
              <w:top w:val="nil"/>
              <w:left w:val="nil"/>
              <w:bottom w:val="nil"/>
              <w:right w:val="nil"/>
            </w:tcBorders>
            <w:shd w:val="clear" w:color="000000" w:fill="FFFFFF"/>
            <w:noWrap/>
            <w:vAlign w:val="bottom"/>
            <w:hideMark/>
          </w:tcPr>
          <w:p w14:paraId="3088DF00" w14:textId="77777777" w:rsidR="00E7168B" w:rsidRPr="00D618B7" w:rsidRDefault="00E7168B" w:rsidP="004B11B7">
            <w:pPr>
              <w:jc w:val="right"/>
              <w:rPr>
                <w:color w:val="000000"/>
              </w:rPr>
            </w:pPr>
            <w:r w:rsidRPr="00D618B7">
              <w:rPr>
                <w:color w:val="000000"/>
              </w:rPr>
              <w:t>0.0141</w:t>
            </w:r>
          </w:p>
        </w:tc>
        <w:tc>
          <w:tcPr>
            <w:tcW w:w="1321" w:type="dxa"/>
            <w:tcBorders>
              <w:top w:val="nil"/>
              <w:left w:val="nil"/>
              <w:bottom w:val="nil"/>
              <w:right w:val="nil"/>
            </w:tcBorders>
            <w:shd w:val="clear" w:color="000000" w:fill="FFFFFF"/>
            <w:noWrap/>
            <w:vAlign w:val="bottom"/>
            <w:hideMark/>
          </w:tcPr>
          <w:p w14:paraId="0DDFCA69" w14:textId="77777777" w:rsidR="00E7168B" w:rsidRPr="00D618B7" w:rsidRDefault="00E7168B" w:rsidP="004B11B7">
            <w:pPr>
              <w:jc w:val="right"/>
              <w:rPr>
                <w:color w:val="000000"/>
              </w:rPr>
            </w:pPr>
            <w:r w:rsidRPr="00D618B7">
              <w:rPr>
                <w:color w:val="000000"/>
              </w:rPr>
              <w:t>0.0057</w:t>
            </w:r>
          </w:p>
        </w:tc>
      </w:tr>
      <w:tr w:rsidR="00E7168B" w:rsidRPr="00D618B7" w14:paraId="6715B312" w14:textId="77777777" w:rsidTr="004B11B7">
        <w:trPr>
          <w:trHeight w:val="303"/>
        </w:trPr>
        <w:tc>
          <w:tcPr>
            <w:tcW w:w="1248" w:type="dxa"/>
            <w:tcBorders>
              <w:top w:val="nil"/>
              <w:left w:val="nil"/>
              <w:bottom w:val="nil"/>
              <w:right w:val="nil"/>
            </w:tcBorders>
            <w:shd w:val="clear" w:color="000000" w:fill="FFFFFF"/>
            <w:vAlign w:val="center"/>
            <w:hideMark/>
          </w:tcPr>
          <w:p w14:paraId="0062EB95" w14:textId="77777777" w:rsidR="00E7168B" w:rsidRPr="00D618B7" w:rsidRDefault="00E7168B"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bottom"/>
            <w:hideMark/>
          </w:tcPr>
          <w:p w14:paraId="6DF471EB" w14:textId="77777777" w:rsidR="00E7168B" w:rsidRPr="00D618B7" w:rsidRDefault="00E7168B" w:rsidP="004B11B7">
            <w:pPr>
              <w:jc w:val="right"/>
              <w:rPr>
                <w:color w:val="000000"/>
              </w:rPr>
            </w:pPr>
            <w:r w:rsidRPr="00D618B7">
              <w:rPr>
                <w:color w:val="000000"/>
              </w:rPr>
              <w:t>0.0013</w:t>
            </w:r>
          </w:p>
        </w:tc>
        <w:tc>
          <w:tcPr>
            <w:tcW w:w="1418" w:type="dxa"/>
            <w:tcBorders>
              <w:top w:val="nil"/>
              <w:left w:val="nil"/>
              <w:bottom w:val="nil"/>
              <w:right w:val="nil"/>
            </w:tcBorders>
            <w:shd w:val="clear" w:color="000000" w:fill="FFFFFF"/>
            <w:noWrap/>
            <w:vAlign w:val="bottom"/>
            <w:hideMark/>
          </w:tcPr>
          <w:p w14:paraId="55C32674" w14:textId="77777777" w:rsidR="00E7168B" w:rsidRPr="00D618B7" w:rsidRDefault="00E7168B" w:rsidP="004B11B7">
            <w:pPr>
              <w:jc w:val="right"/>
              <w:rPr>
                <w:color w:val="000000"/>
              </w:rPr>
            </w:pPr>
            <w:r w:rsidRPr="00D618B7">
              <w:rPr>
                <w:color w:val="000000"/>
              </w:rPr>
              <w:t>0.0008</w:t>
            </w:r>
          </w:p>
        </w:tc>
        <w:tc>
          <w:tcPr>
            <w:tcW w:w="1138" w:type="dxa"/>
            <w:tcBorders>
              <w:top w:val="nil"/>
              <w:left w:val="nil"/>
              <w:bottom w:val="nil"/>
              <w:right w:val="nil"/>
            </w:tcBorders>
            <w:shd w:val="clear" w:color="000000" w:fill="FFFFFF"/>
            <w:noWrap/>
            <w:vAlign w:val="bottom"/>
            <w:hideMark/>
          </w:tcPr>
          <w:p w14:paraId="3AA70F86" w14:textId="77777777" w:rsidR="00E7168B" w:rsidRPr="00D618B7" w:rsidRDefault="00E7168B" w:rsidP="004B11B7">
            <w:pPr>
              <w:jc w:val="right"/>
              <w:rPr>
                <w:color w:val="000000"/>
              </w:rPr>
            </w:pPr>
            <w:r w:rsidRPr="00D618B7">
              <w:rPr>
                <w:color w:val="000000"/>
              </w:rPr>
              <w:t>0.0079</w:t>
            </w:r>
          </w:p>
        </w:tc>
        <w:tc>
          <w:tcPr>
            <w:tcW w:w="1358" w:type="dxa"/>
            <w:tcBorders>
              <w:top w:val="nil"/>
              <w:left w:val="nil"/>
              <w:bottom w:val="nil"/>
              <w:right w:val="nil"/>
            </w:tcBorders>
            <w:shd w:val="clear" w:color="000000" w:fill="FFFFFF"/>
            <w:noWrap/>
            <w:vAlign w:val="bottom"/>
            <w:hideMark/>
          </w:tcPr>
          <w:p w14:paraId="360B6A49" w14:textId="77777777" w:rsidR="00E7168B" w:rsidRPr="00D618B7" w:rsidRDefault="00E7168B" w:rsidP="004B11B7">
            <w:pPr>
              <w:jc w:val="right"/>
              <w:rPr>
                <w:color w:val="000000"/>
              </w:rPr>
            </w:pPr>
            <w:r w:rsidRPr="00D618B7">
              <w:rPr>
                <w:color w:val="000000"/>
              </w:rPr>
              <w:t>0.0018</w:t>
            </w:r>
          </w:p>
        </w:tc>
        <w:tc>
          <w:tcPr>
            <w:tcW w:w="1225" w:type="dxa"/>
            <w:tcBorders>
              <w:top w:val="nil"/>
              <w:left w:val="nil"/>
              <w:bottom w:val="nil"/>
              <w:right w:val="nil"/>
            </w:tcBorders>
            <w:shd w:val="clear" w:color="000000" w:fill="FFFFFF"/>
            <w:noWrap/>
            <w:vAlign w:val="bottom"/>
            <w:hideMark/>
          </w:tcPr>
          <w:p w14:paraId="6EF94DDB" w14:textId="77777777" w:rsidR="00E7168B" w:rsidRPr="00D618B7" w:rsidRDefault="00E7168B" w:rsidP="004B11B7">
            <w:pPr>
              <w:jc w:val="right"/>
              <w:rPr>
                <w:color w:val="000000"/>
              </w:rPr>
            </w:pPr>
            <w:r w:rsidRPr="00D618B7">
              <w:rPr>
                <w:color w:val="000000"/>
              </w:rPr>
              <w:t>0.0162</w:t>
            </w:r>
          </w:p>
        </w:tc>
        <w:tc>
          <w:tcPr>
            <w:tcW w:w="1321" w:type="dxa"/>
            <w:tcBorders>
              <w:top w:val="nil"/>
              <w:left w:val="nil"/>
              <w:bottom w:val="nil"/>
              <w:right w:val="nil"/>
            </w:tcBorders>
            <w:shd w:val="clear" w:color="000000" w:fill="FFFFFF"/>
            <w:noWrap/>
            <w:vAlign w:val="bottom"/>
            <w:hideMark/>
          </w:tcPr>
          <w:p w14:paraId="6D2CB481" w14:textId="77777777" w:rsidR="00E7168B" w:rsidRPr="00D618B7" w:rsidRDefault="00E7168B" w:rsidP="004B11B7">
            <w:pPr>
              <w:jc w:val="right"/>
              <w:rPr>
                <w:color w:val="000000"/>
              </w:rPr>
            </w:pPr>
            <w:r w:rsidRPr="00D618B7">
              <w:rPr>
                <w:color w:val="000000"/>
              </w:rPr>
              <w:t>0.0049</w:t>
            </w:r>
          </w:p>
        </w:tc>
      </w:tr>
      <w:tr w:rsidR="00E7168B" w:rsidRPr="00D618B7" w14:paraId="2ACB5D37" w14:textId="77777777" w:rsidTr="004B11B7">
        <w:trPr>
          <w:trHeight w:val="303"/>
        </w:trPr>
        <w:tc>
          <w:tcPr>
            <w:tcW w:w="1248" w:type="dxa"/>
            <w:tcBorders>
              <w:top w:val="nil"/>
              <w:left w:val="nil"/>
              <w:bottom w:val="nil"/>
              <w:right w:val="nil"/>
            </w:tcBorders>
            <w:shd w:val="clear" w:color="000000" w:fill="FFFFFF"/>
            <w:vAlign w:val="center"/>
            <w:hideMark/>
          </w:tcPr>
          <w:p w14:paraId="46839D45" w14:textId="77777777" w:rsidR="00E7168B" w:rsidRPr="00D618B7" w:rsidRDefault="00E7168B"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bottom"/>
            <w:hideMark/>
          </w:tcPr>
          <w:p w14:paraId="423530D7" w14:textId="77777777" w:rsidR="00E7168B" w:rsidRPr="00D618B7" w:rsidRDefault="00E7168B" w:rsidP="004B11B7">
            <w:pPr>
              <w:jc w:val="right"/>
              <w:rPr>
                <w:color w:val="000000"/>
              </w:rPr>
            </w:pPr>
            <w:r w:rsidRPr="00D618B7">
              <w:rPr>
                <w:color w:val="000000"/>
              </w:rPr>
              <w:t>-0.0002</w:t>
            </w:r>
          </w:p>
        </w:tc>
        <w:tc>
          <w:tcPr>
            <w:tcW w:w="1418" w:type="dxa"/>
            <w:tcBorders>
              <w:top w:val="nil"/>
              <w:left w:val="nil"/>
              <w:bottom w:val="nil"/>
              <w:right w:val="nil"/>
            </w:tcBorders>
            <w:shd w:val="clear" w:color="000000" w:fill="FFFFFF"/>
            <w:noWrap/>
            <w:vAlign w:val="bottom"/>
            <w:hideMark/>
          </w:tcPr>
          <w:p w14:paraId="0D9F7A9B" w14:textId="77777777" w:rsidR="00E7168B" w:rsidRPr="00D618B7" w:rsidRDefault="00E7168B" w:rsidP="004B11B7">
            <w:pPr>
              <w:jc w:val="right"/>
              <w:rPr>
                <w:color w:val="000000"/>
              </w:rPr>
            </w:pPr>
            <w:r w:rsidRPr="00D618B7">
              <w:rPr>
                <w:color w:val="000000"/>
              </w:rPr>
              <w:t>0.0003</w:t>
            </w:r>
          </w:p>
        </w:tc>
        <w:tc>
          <w:tcPr>
            <w:tcW w:w="1138" w:type="dxa"/>
            <w:tcBorders>
              <w:top w:val="nil"/>
              <w:left w:val="nil"/>
              <w:bottom w:val="nil"/>
              <w:right w:val="nil"/>
            </w:tcBorders>
            <w:shd w:val="clear" w:color="000000" w:fill="FFFFFF"/>
            <w:noWrap/>
            <w:vAlign w:val="bottom"/>
            <w:hideMark/>
          </w:tcPr>
          <w:p w14:paraId="3A2F3F43" w14:textId="77777777" w:rsidR="00E7168B" w:rsidRPr="00D618B7" w:rsidRDefault="00E7168B" w:rsidP="004B11B7">
            <w:pPr>
              <w:jc w:val="right"/>
              <w:rPr>
                <w:color w:val="000000"/>
              </w:rPr>
            </w:pPr>
            <w:r w:rsidRPr="00D618B7">
              <w:rPr>
                <w:color w:val="000000"/>
              </w:rPr>
              <w:t>-0.0016</w:t>
            </w:r>
          </w:p>
        </w:tc>
        <w:tc>
          <w:tcPr>
            <w:tcW w:w="1358" w:type="dxa"/>
            <w:tcBorders>
              <w:top w:val="nil"/>
              <w:left w:val="nil"/>
              <w:bottom w:val="nil"/>
              <w:right w:val="nil"/>
            </w:tcBorders>
            <w:shd w:val="clear" w:color="000000" w:fill="FFFFFF"/>
            <w:noWrap/>
            <w:vAlign w:val="bottom"/>
            <w:hideMark/>
          </w:tcPr>
          <w:p w14:paraId="419AB499" w14:textId="77777777" w:rsidR="00E7168B" w:rsidRPr="00D618B7" w:rsidRDefault="00E7168B" w:rsidP="004B11B7">
            <w:pPr>
              <w:jc w:val="right"/>
              <w:rPr>
                <w:color w:val="000000"/>
              </w:rPr>
            </w:pPr>
            <w:r w:rsidRPr="00D618B7">
              <w:rPr>
                <w:color w:val="000000"/>
              </w:rPr>
              <w:t>0.0007</w:t>
            </w:r>
          </w:p>
        </w:tc>
        <w:tc>
          <w:tcPr>
            <w:tcW w:w="1225" w:type="dxa"/>
            <w:tcBorders>
              <w:top w:val="nil"/>
              <w:left w:val="nil"/>
              <w:bottom w:val="nil"/>
              <w:right w:val="nil"/>
            </w:tcBorders>
            <w:shd w:val="clear" w:color="000000" w:fill="FFFFFF"/>
            <w:noWrap/>
            <w:vAlign w:val="bottom"/>
            <w:hideMark/>
          </w:tcPr>
          <w:p w14:paraId="670F2174" w14:textId="77777777" w:rsidR="00E7168B" w:rsidRPr="00D618B7" w:rsidRDefault="00E7168B" w:rsidP="004B11B7">
            <w:pPr>
              <w:jc w:val="right"/>
              <w:rPr>
                <w:color w:val="000000"/>
              </w:rPr>
            </w:pPr>
            <w:r w:rsidRPr="00D618B7">
              <w:rPr>
                <w:color w:val="000000"/>
              </w:rPr>
              <w:t>0.0019</w:t>
            </w:r>
          </w:p>
        </w:tc>
        <w:tc>
          <w:tcPr>
            <w:tcW w:w="1321" w:type="dxa"/>
            <w:tcBorders>
              <w:top w:val="nil"/>
              <w:left w:val="nil"/>
              <w:bottom w:val="nil"/>
              <w:right w:val="nil"/>
            </w:tcBorders>
            <w:shd w:val="clear" w:color="000000" w:fill="FFFFFF"/>
            <w:noWrap/>
            <w:vAlign w:val="bottom"/>
            <w:hideMark/>
          </w:tcPr>
          <w:p w14:paraId="4A83511B" w14:textId="77777777" w:rsidR="00E7168B" w:rsidRPr="00D618B7" w:rsidRDefault="00E7168B" w:rsidP="004B11B7">
            <w:pPr>
              <w:jc w:val="right"/>
              <w:rPr>
                <w:color w:val="000000"/>
              </w:rPr>
            </w:pPr>
            <w:r w:rsidRPr="00D618B7">
              <w:rPr>
                <w:color w:val="000000"/>
              </w:rPr>
              <w:t>0.0012</w:t>
            </w:r>
          </w:p>
        </w:tc>
      </w:tr>
      <w:tr w:rsidR="00E7168B" w:rsidRPr="00D618B7" w14:paraId="268C200F" w14:textId="77777777" w:rsidTr="004B11B7">
        <w:trPr>
          <w:trHeight w:val="303"/>
        </w:trPr>
        <w:tc>
          <w:tcPr>
            <w:tcW w:w="1248" w:type="dxa"/>
            <w:tcBorders>
              <w:top w:val="nil"/>
              <w:left w:val="nil"/>
              <w:bottom w:val="nil"/>
              <w:right w:val="nil"/>
            </w:tcBorders>
            <w:shd w:val="clear" w:color="000000" w:fill="FFFFFF"/>
            <w:vAlign w:val="center"/>
            <w:hideMark/>
          </w:tcPr>
          <w:p w14:paraId="56C3C9BE" w14:textId="77777777" w:rsidR="00E7168B" w:rsidRPr="00D618B7" w:rsidRDefault="00E7168B"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bottom"/>
            <w:hideMark/>
          </w:tcPr>
          <w:p w14:paraId="301F51CB" w14:textId="77777777" w:rsidR="00E7168B" w:rsidRPr="00D618B7" w:rsidRDefault="00E7168B" w:rsidP="004B11B7">
            <w:pPr>
              <w:jc w:val="right"/>
              <w:rPr>
                <w:color w:val="000000"/>
              </w:rPr>
            </w:pPr>
            <w:r w:rsidRPr="00D618B7">
              <w:rPr>
                <w:color w:val="000000"/>
              </w:rPr>
              <w:t>0.0003</w:t>
            </w:r>
          </w:p>
        </w:tc>
        <w:tc>
          <w:tcPr>
            <w:tcW w:w="1418" w:type="dxa"/>
            <w:tcBorders>
              <w:top w:val="nil"/>
              <w:left w:val="nil"/>
              <w:bottom w:val="nil"/>
              <w:right w:val="nil"/>
            </w:tcBorders>
            <w:shd w:val="clear" w:color="000000" w:fill="FFFFFF"/>
            <w:noWrap/>
            <w:vAlign w:val="bottom"/>
            <w:hideMark/>
          </w:tcPr>
          <w:p w14:paraId="3C91B56F" w14:textId="77777777" w:rsidR="00E7168B" w:rsidRPr="00D618B7" w:rsidRDefault="00E7168B" w:rsidP="004B11B7">
            <w:pPr>
              <w:jc w:val="right"/>
              <w:rPr>
                <w:color w:val="000000"/>
              </w:rPr>
            </w:pPr>
            <w:r w:rsidRPr="00D618B7">
              <w:rPr>
                <w:color w:val="000000"/>
              </w:rPr>
              <w:t>0.0001</w:t>
            </w:r>
          </w:p>
        </w:tc>
        <w:tc>
          <w:tcPr>
            <w:tcW w:w="1138" w:type="dxa"/>
            <w:tcBorders>
              <w:top w:val="nil"/>
              <w:left w:val="nil"/>
              <w:bottom w:val="nil"/>
              <w:right w:val="nil"/>
            </w:tcBorders>
            <w:shd w:val="clear" w:color="000000" w:fill="FFFFFF"/>
            <w:noWrap/>
            <w:vAlign w:val="bottom"/>
            <w:hideMark/>
          </w:tcPr>
          <w:p w14:paraId="3CEA3140" w14:textId="77777777" w:rsidR="00E7168B" w:rsidRPr="00D618B7" w:rsidRDefault="00E7168B" w:rsidP="004B11B7">
            <w:pPr>
              <w:jc w:val="right"/>
              <w:rPr>
                <w:color w:val="000000"/>
              </w:rPr>
            </w:pPr>
            <w:r w:rsidRPr="00D618B7">
              <w:rPr>
                <w:color w:val="000000"/>
              </w:rPr>
              <w:t>0.0004</w:t>
            </w:r>
          </w:p>
        </w:tc>
        <w:tc>
          <w:tcPr>
            <w:tcW w:w="1358" w:type="dxa"/>
            <w:tcBorders>
              <w:top w:val="nil"/>
              <w:left w:val="nil"/>
              <w:bottom w:val="nil"/>
              <w:right w:val="nil"/>
            </w:tcBorders>
            <w:shd w:val="clear" w:color="000000" w:fill="FFFFFF"/>
            <w:noWrap/>
            <w:vAlign w:val="bottom"/>
            <w:hideMark/>
          </w:tcPr>
          <w:p w14:paraId="7F703A7D" w14:textId="77777777" w:rsidR="00E7168B" w:rsidRPr="00D618B7" w:rsidRDefault="00E7168B" w:rsidP="004B11B7">
            <w:pPr>
              <w:jc w:val="right"/>
              <w:rPr>
                <w:color w:val="000000"/>
              </w:rPr>
            </w:pPr>
            <w:r w:rsidRPr="00D618B7">
              <w:rPr>
                <w:color w:val="000000"/>
              </w:rPr>
              <w:t>0.0003</w:t>
            </w:r>
          </w:p>
        </w:tc>
        <w:tc>
          <w:tcPr>
            <w:tcW w:w="1225" w:type="dxa"/>
            <w:tcBorders>
              <w:top w:val="nil"/>
              <w:left w:val="nil"/>
              <w:bottom w:val="nil"/>
              <w:right w:val="nil"/>
            </w:tcBorders>
            <w:shd w:val="clear" w:color="000000" w:fill="FFFFFF"/>
            <w:noWrap/>
            <w:vAlign w:val="bottom"/>
            <w:hideMark/>
          </w:tcPr>
          <w:p w14:paraId="0F80D03D" w14:textId="77777777" w:rsidR="00E7168B" w:rsidRPr="00D618B7" w:rsidRDefault="00E7168B" w:rsidP="004B11B7">
            <w:pPr>
              <w:jc w:val="right"/>
              <w:rPr>
                <w:color w:val="000000"/>
              </w:rPr>
            </w:pPr>
            <w:r w:rsidRPr="00D618B7">
              <w:rPr>
                <w:color w:val="000000"/>
              </w:rPr>
              <w:t>0.0042</w:t>
            </w:r>
          </w:p>
        </w:tc>
        <w:tc>
          <w:tcPr>
            <w:tcW w:w="1321" w:type="dxa"/>
            <w:tcBorders>
              <w:top w:val="nil"/>
              <w:left w:val="nil"/>
              <w:bottom w:val="nil"/>
              <w:right w:val="nil"/>
            </w:tcBorders>
            <w:shd w:val="clear" w:color="000000" w:fill="FFFFFF"/>
            <w:noWrap/>
            <w:vAlign w:val="bottom"/>
            <w:hideMark/>
          </w:tcPr>
          <w:p w14:paraId="5BC16D54" w14:textId="77777777" w:rsidR="00E7168B" w:rsidRPr="00D618B7" w:rsidRDefault="00E7168B" w:rsidP="004B11B7">
            <w:pPr>
              <w:jc w:val="right"/>
              <w:rPr>
                <w:color w:val="000000"/>
              </w:rPr>
            </w:pPr>
            <w:r w:rsidRPr="00D618B7">
              <w:rPr>
                <w:color w:val="000000"/>
              </w:rPr>
              <w:t>0.0028</w:t>
            </w:r>
          </w:p>
        </w:tc>
      </w:tr>
      <w:tr w:rsidR="00E7168B" w:rsidRPr="00D618B7" w14:paraId="6F986B65" w14:textId="77777777" w:rsidTr="004B11B7">
        <w:trPr>
          <w:trHeight w:val="303"/>
        </w:trPr>
        <w:tc>
          <w:tcPr>
            <w:tcW w:w="1248" w:type="dxa"/>
            <w:tcBorders>
              <w:top w:val="nil"/>
              <w:left w:val="nil"/>
              <w:bottom w:val="nil"/>
              <w:right w:val="nil"/>
            </w:tcBorders>
            <w:shd w:val="clear" w:color="000000" w:fill="FFFFFF"/>
            <w:vAlign w:val="center"/>
            <w:hideMark/>
          </w:tcPr>
          <w:p w14:paraId="68B6B28B" w14:textId="77777777" w:rsidR="00E7168B" w:rsidRPr="00D618B7" w:rsidRDefault="00E7168B"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bottom"/>
            <w:hideMark/>
          </w:tcPr>
          <w:p w14:paraId="43EC6932" w14:textId="77777777" w:rsidR="00E7168B" w:rsidRPr="00D618B7" w:rsidRDefault="00E7168B" w:rsidP="004B11B7">
            <w:pPr>
              <w:jc w:val="right"/>
              <w:rPr>
                <w:color w:val="000000"/>
              </w:rPr>
            </w:pPr>
            <w:r w:rsidRPr="00D618B7">
              <w:rPr>
                <w:color w:val="000000"/>
              </w:rPr>
              <w:t>-0.0001</w:t>
            </w:r>
          </w:p>
        </w:tc>
        <w:tc>
          <w:tcPr>
            <w:tcW w:w="1418" w:type="dxa"/>
            <w:tcBorders>
              <w:top w:val="nil"/>
              <w:left w:val="nil"/>
              <w:bottom w:val="nil"/>
              <w:right w:val="nil"/>
            </w:tcBorders>
            <w:shd w:val="clear" w:color="000000" w:fill="FFFFFF"/>
            <w:noWrap/>
            <w:vAlign w:val="bottom"/>
            <w:hideMark/>
          </w:tcPr>
          <w:p w14:paraId="5F8C6FD0" w14:textId="77777777" w:rsidR="00E7168B" w:rsidRPr="00D618B7" w:rsidRDefault="00E7168B" w:rsidP="004B11B7">
            <w:pPr>
              <w:jc w:val="right"/>
              <w:rPr>
                <w:color w:val="000000"/>
              </w:rPr>
            </w:pPr>
            <w:r w:rsidRPr="00D618B7">
              <w:rPr>
                <w:color w:val="000000"/>
              </w:rPr>
              <w:t>0.0002</w:t>
            </w:r>
          </w:p>
        </w:tc>
        <w:tc>
          <w:tcPr>
            <w:tcW w:w="1138" w:type="dxa"/>
            <w:tcBorders>
              <w:top w:val="nil"/>
              <w:left w:val="nil"/>
              <w:bottom w:val="nil"/>
              <w:right w:val="nil"/>
            </w:tcBorders>
            <w:shd w:val="clear" w:color="000000" w:fill="FFFFFF"/>
            <w:noWrap/>
            <w:vAlign w:val="bottom"/>
            <w:hideMark/>
          </w:tcPr>
          <w:p w14:paraId="29AA77CC" w14:textId="77777777" w:rsidR="00E7168B" w:rsidRPr="00D618B7" w:rsidRDefault="00E7168B" w:rsidP="004B11B7">
            <w:pPr>
              <w:jc w:val="right"/>
              <w:rPr>
                <w:color w:val="000000"/>
              </w:rPr>
            </w:pPr>
            <w:r w:rsidRPr="00D618B7">
              <w:rPr>
                <w:color w:val="000000"/>
              </w:rPr>
              <w:t>0.0009</w:t>
            </w:r>
          </w:p>
        </w:tc>
        <w:tc>
          <w:tcPr>
            <w:tcW w:w="1358" w:type="dxa"/>
            <w:tcBorders>
              <w:top w:val="nil"/>
              <w:left w:val="nil"/>
              <w:bottom w:val="nil"/>
              <w:right w:val="nil"/>
            </w:tcBorders>
            <w:shd w:val="clear" w:color="000000" w:fill="FFFFFF"/>
            <w:noWrap/>
            <w:vAlign w:val="bottom"/>
            <w:hideMark/>
          </w:tcPr>
          <w:p w14:paraId="0BC2A2E8" w14:textId="77777777" w:rsidR="00E7168B" w:rsidRPr="00D618B7" w:rsidRDefault="00E7168B" w:rsidP="004B11B7">
            <w:pPr>
              <w:jc w:val="right"/>
              <w:rPr>
                <w:color w:val="000000"/>
              </w:rPr>
            </w:pPr>
            <w:r w:rsidRPr="00D618B7">
              <w:rPr>
                <w:color w:val="000000"/>
              </w:rPr>
              <w:t>0.0011</w:t>
            </w:r>
          </w:p>
        </w:tc>
        <w:tc>
          <w:tcPr>
            <w:tcW w:w="1225" w:type="dxa"/>
            <w:tcBorders>
              <w:top w:val="nil"/>
              <w:left w:val="nil"/>
              <w:bottom w:val="nil"/>
              <w:right w:val="nil"/>
            </w:tcBorders>
            <w:shd w:val="clear" w:color="000000" w:fill="FFFFFF"/>
            <w:noWrap/>
            <w:vAlign w:val="bottom"/>
            <w:hideMark/>
          </w:tcPr>
          <w:p w14:paraId="44F050EF" w14:textId="77777777" w:rsidR="00E7168B" w:rsidRPr="00D618B7" w:rsidRDefault="00E7168B" w:rsidP="004B11B7">
            <w:pPr>
              <w:jc w:val="right"/>
              <w:rPr>
                <w:color w:val="000000"/>
              </w:rPr>
            </w:pPr>
            <w:r w:rsidRPr="00D618B7">
              <w:rPr>
                <w:color w:val="000000"/>
              </w:rPr>
              <w:t>0.0087</w:t>
            </w:r>
          </w:p>
        </w:tc>
        <w:tc>
          <w:tcPr>
            <w:tcW w:w="1321" w:type="dxa"/>
            <w:tcBorders>
              <w:top w:val="nil"/>
              <w:left w:val="nil"/>
              <w:bottom w:val="nil"/>
              <w:right w:val="nil"/>
            </w:tcBorders>
            <w:shd w:val="clear" w:color="000000" w:fill="FFFFFF"/>
            <w:noWrap/>
            <w:vAlign w:val="bottom"/>
            <w:hideMark/>
          </w:tcPr>
          <w:p w14:paraId="525DB292" w14:textId="77777777" w:rsidR="00E7168B" w:rsidRPr="00D618B7" w:rsidRDefault="00E7168B" w:rsidP="004B11B7">
            <w:pPr>
              <w:jc w:val="right"/>
              <w:rPr>
                <w:color w:val="000000"/>
              </w:rPr>
            </w:pPr>
            <w:r w:rsidRPr="00D618B7">
              <w:rPr>
                <w:color w:val="000000"/>
              </w:rPr>
              <w:t>0.0075</w:t>
            </w:r>
          </w:p>
        </w:tc>
      </w:tr>
      <w:tr w:rsidR="00E7168B" w:rsidRPr="00D618B7" w14:paraId="45DFE67E" w14:textId="77777777" w:rsidTr="004B11B7">
        <w:trPr>
          <w:trHeight w:val="318"/>
        </w:trPr>
        <w:tc>
          <w:tcPr>
            <w:tcW w:w="1248" w:type="dxa"/>
            <w:tcBorders>
              <w:top w:val="nil"/>
              <w:left w:val="nil"/>
              <w:bottom w:val="single" w:sz="8" w:space="0" w:color="auto"/>
              <w:right w:val="nil"/>
            </w:tcBorders>
            <w:shd w:val="clear" w:color="000000" w:fill="FFFFFF"/>
            <w:vAlign w:val="center"/>
            <w:hideMark/>
          </w:tcPr>
          <w:p w14:paraId="455CF229" w14:textId="77777777" w:rsidR="00E7168B" w:rsidRPr="00D618B7" w:rsidRDefault="00E7168B" w:rsidP="004B11B7">
            <w:pPr>
              <w:jc w:val="right"/>
              <w:rPr>
                <w:color w:val="000000"/>
              </w:rPr>
            </w:pPr>
            <w:r w:rsidRPr="00D618B7">
              <w:rPr>
                <w:color w:val="000000"/>
              </w:rPr>
              <w:t>5</w:t>
            </w:r>
          </w:p>
        </w:tc>
        <w:tc>
          <w:tcPr>
            <w:tcW w:w="1080" w:type="dxa"/>
            <w:tcBorders>
              <w:top w:val="nil"/>
              <w:left w:val="nil"/>
              <w:bottom w:val="single" w:sz="8" w:space="0" w:color="auto"/>
              <w:right w:val="nil"/>
            </w:tcBorders>
            <w:shd w:val="clear" w:color="000000" w:fill="FFFFFF"/>
            <w:noWrap/>
            <w:vAlign w:val="bottom"/>
            <w:hideMark/>
          </w:tcPr>
          <w:p w14:paraId="19C2DB19" w14:textId="77777777" w:rsidR="00E7168B" w:rsidRPr="00D618B7" w:rsidRDefault="00E7168B" w:rsidP="004B11B7">
            <w:pPr>
              <w:jc w:val="right"/>
              <w:rPr>
                <w:color w:val="000000"/>
              </w:rPr>
            </w:pPr>
            <w:r w:rsidRPr="00D618B7">
              <w:rPr>
                <w:color w:val="000000"/>
              </w:rPr>
              <w:t>0.0002</w:t>
            </w:r>
          </w:p>
        </w:tc>
        <w:tc>
          <w:tcPr>
            <w:tcW w:w="1418" w:type="dxa"/>
            <w:tcBorders>
              <w:top w:val="nil"/>
              <w:left w:val="nil"/>
              <w:bottom w:val="single" w:sz="8" w:space="0" w:color="auto"/>
              <w:right w:val="nil"/>
            </w:tcBorders>
            <w:shd w:val="clear" w:color="000000" w:fill="FFFFFF"/>
            <w:noWrap/>
            <w:vAlign w:val="bottom"/>
            <w:hideMark/>
          </w:tcPr>
          <w:p w14:paraId="635C1D81" w14:textId="77777777" w:rsidR="00E7168B" w:rsidRPr="00D618B7" w:rsidRDefault="00E7168B" w:rsidP="004B11B7">
            <w:pPr>
              <w:jc w:val="right"/>
              <w:rPr>
                <w:color w:val="000000"/>
              </w:rPr>
            </w:pPr>
            <w:r w:rsidRPr="00D618B7">
              <w:rPr>
                <w:color w:val="000000"/>
              </w:rPr>
              <w:t>0.0003</w:t>
            </w:r>
          </w:p>
        </w:tc>
        <w:tc>
          <w:tcPr>
            <w:tcW w:w="1138" w:type="dxa"/>
            <w:tcBorders>
              <w:top w:val="nil"/>
              <w:left w:val="nil"/>
              <w:bottom w:val="single" w:sz="8" w:space="0" w:color="auto"/>
              <w:right w:val="nil"/>
            </w:tcBorders>
            <w:shd w:val="clear" w:color="000000" w:fill="FFFFFF"/>
            <w:noWrap/>
            <w:vAlign w:val="bottom"/>
            <w:hideMark/>
          </w:tcPr>
          <w:p w14:paraId="5FE4CC62" w14:textId="77777777" w:rsidR="00E7168B" w:rsidRPr="00D618B7" w:rsidRDefault="00E7168B" w:rsidP="004B11B7">
            <w:pPr>
              <w:jc w:val="right"/>
              <w:rPr>
                <w:color w:val="000000"/>
              </w:rPr>
            </w:pPr>
            <w:r w:rsidRPr="00D618B7">
              <w:rPr>
                <w:color w:val="000000"/>
              </w:rPr>
              <w:t>0.0009</w:t>
            </w:r>
          </w:p>
        </w:tc>
        <w:tc>
          <w:tcPr>
            <w:tcW w:w="1358" w:type="dxa"/>
            <w:tcBorders>
              <w:top w:val="nil"/>
              <w:left w:val="nil"/>
              <w:bottom w:val="single" w:sz="8" w:space="0" w:color="auto"/>
              <w:right w:val="nil"/>
            </w:tcBorders>
            <w:shd w:val="clear" w:color="000000" w:fill="FFFFFF"/>
            <w:noWrap/>
            <w:vAlign w:val="bottom"/>
            <w:hideMark/>
          </w:tcPr>
          <w:p w14:paraId="6781A25E" w14:textId="77777777" w:rsidR="00E7168B" w:rsidRPr="00D618B7" w:rsidRDefault="00E7168B" w:rsidP="004B11B7">
            <w:pPr>
              <w:jc w:val="right"/>
              <w:rPr>
                <w:color w:val="000000"/>
              </w:rPr>
            </w:pPr>
            <w:r w:rsidRPr="00D618B7">
              <w:rPr>
                <w:color w:val="000000"/>
              </w:rPr>
              <w:t>0.0003</w:t>
            </w:r>
          </w:p>
        </w:tc>
        <w:tc>
          <w:tcPr>
            <w:tcW w:w="1225" w:type="dxa"/>
            <w:tcBorders>
              <w:top w:val="nil"/>
              <w:left w:val="nil"/>
              <w:bottom w:val="single" w:sz="8" w:space="0" w:color="auto"/>
              <w:right w:val="nil"/>
            </w:tcBorders>
            <w:shd w:val="clear" w:color="000000" w:fill="FFFFFF"/>
            <w:noWrap/>
            <w:vAlign w:val="bottom"/>
            <w:hideMark/>
          </w:tcPr>
          <w:p w14:paraId="733ED706" w14:textId="77777777" w:rsidR="00E7168B" w:rsidRPr="00D618B7" w:rsidRDefault="00E7168B" w:rsidP="004B11B7">
            <w:pPr>
              <w:jc w:val="right"/>
              <w:rPr>
                <w:color w:val="000000"/>
              </w:rPr>
            </w:pPr>
            <w:r w:rsidRPr="00D618B7">
              <w:rPr>
                <w:color w:val="000000"/>
              </w:rPr>
              <w:t>0.0001</w:t>
            </w:r>
          </w:p>
        </w:tc>
        <w:tc>
          <w:tcPr>
            <w:tcW w:w="1321" w:type="dxa"/>
            <w:tcBorders>
              <w:top w:val="nil"/>
              <w:left w:val="nil"/>
              <w:bottom w:val="single" w:sz="8" w:space="0" w:color="auto"/>
              <w:right w:val="nil"/>
            </w:tcBorders>
            <w:shd w:val="clear" w:color="000000" w:fill="FFFFFF"/>
            <w:noWrap/>
            <w:vAlign w:val="bottom"/>
            <w:hideMark/>
          </w:tcPr>
          <w:p w14:paraId="4CCBEA14" w14:textId="77777777" w:rsidR="00E7168B" w:rsidRPr="00D618B7" w:rsidRDefault="00E7168B" w:rsidP="004B11B7">
            <w:pPr>
              <w:jc w:val="right"/>
              <w:rPr>
                <w:color w:val="000000"/>
              </w:rPr>
            </w:pPr>
            <w:r w:rsidRPr="00D618B7">
              <w:rPr>
                <w:color w:val="000000"/>
              </w:rPr>
              <w:t>0.0026</w:t>
            </w:r>
          </w:p>
        </w:tc>
      </w:tr>
      <w:tr w:rsidR="00E7168B" w:rsidRPr="00D618B7" w14:paraId="674A39F2" w14:textId="77777777" w:rsidTr="004B11B7">
        <w:trPr>
          <w:trHeight w:val="303"/>
        </w:trPr>
        <w:tc>
          <w:tcPr>
            <w:tcW w:w="1248" w:type="dxa"/>
            <w:tcBorders>
              <w:top w:val="nil"/>
              <w:left w:val="nil"/>
              <w:bottom w:val="nil"/>
              <w:right w:val="nil"/>
            </w:tcBorders>
            <w:shd w:val="clear" w:color="000000" w:fill="FFFFFF"/>
            <w:noWrap/>
            <w:vAlign w:val="bottom"/>
            <w:hideMark/>
          </w:tcPr>
          <w:p w14:paraId="399A58D3" w14:textId="77777777" w:rsidR="00E7168B" w:rsidRPr="00D618B7" w:rsidRDefault="00E7168B" w:rsidP="004B11B7">
            <w:pPr>
              <w:rPr>
                <w:color w:val="000000"/>
              </w:rPr>
            </w:pPr>
            <w:r w:rsidRPr="00D618B7">
              <w:rPr>
                <w:color w:val="000000"/>
              </w:rPr>
              <w:t> </w:t>
            </w:r>
          </w:p>
        </w:tc>
        <w:tc>
          <w:tcPr>
            <w:tcW w:w="7540" w:type="dxa"/>
            <w:gridSpan w:val="6"/>
            <w:tcBorders>
              <w:top w:val="single" w:sz="8" w:space="0" w:color="auto"/>
              <w:left w:val="nil"/>
              <w:bottom w:val="nil"/>
              <w:right w:val="nil"/>
            </w:tcBorders>
            <w:shd w:val="clear" w:color="000000" w:fill="FFFFFF"/>
            <w:noWrap/>
            <w:vAlign w:val="center"/>
            <w:hideMark/>
          </w:tcPr>
          <w:p w14:paraId="714E6373" w14:textId="77777777" w:rsidR="00E7168B" w:rsidRPr="00D618B7" w:rsidRDefault="00E7168B" w:rsidP="004B11B7">
            <w:pPr>
              <w:jc w:val="center"/>
              <w:rPr>
                <w:color w:val="000000"/>
              </w:rPr>
            </w:pPr>
            <w:r w:rsidRPr="00D618B7">
              <w:rPr>
                <w:color w:val="000000"/>
              </w:rPr>
              <w:t>Late Reach Group</w:t>
            </w:r>
          </w:p>
        </w:tc>
      </w:tr>
      <w:tr w:rsidR="00E7168B" w:rsidRPr="00D618B7" w14:paraId="76BB177A" w14:textId="77777777" w:rsidTr="004B11B7">
        <w:trPr>
          <w:trHeight w:val="303"/>
        </w:trPr>
        <w:tc>
          <w:tcPr>
            <w:tcW w:w="1248" w:type="dxa"/>
            <w:tcBorders>
              <w:top w:val="nil"/>
              <w:left w:val="nil"/>
              <w:bottom w:val="nil"/>
              <w:right w:val="nil"/>
            </w:tcBorders>
            <w:shd w:val="clear" w:color="000000" w:fill="FFFFFF"/>
            <w:vAlign w:val="center"/>
            <w:hideMark/>
          </w:tcPr>
          <w:p w14:paraId="259DECD4" w14:textId="77777777" w:rsidR="00E7168B" w:rsidRPr="00D618B7" w:rsidRDefault="00E7168B" w:rsidP="004B11B7">
            <w:pPr>
              <w:jc w:val="right"/>
              <w:rPr>
                <w:color w:val="000000"/>
              </w:rPr>
            </w:pPr>
            <w:r w:rsidRPr="00D618B7">
              <w:rPr>
                <w:color w:val="000000"/>
              </w:rPr>
              <w:t>-5</w:t>
            </w:r>
          </w:p>
        </w:tc>
        <w:tc>
          <w:tcPr>
            <w:tcW w:w="1080" w:type="dxa"/>
            <w:tcBorders>
              <w:top w:val="nil"/>
              <w:left w:val="nil"/>
              <w:bottom w:val="nil"/>
              <w:right w:val="nil"/>
            </w:tcBorders>
            <w:shd w:val="clear" w:color="000000" w:fill="FFFFFF"/>
            <w:noWrap/>
            <w:vAlign w:val="bottom"/>
            <w:hideMark/>
          </w:tcPr>
          <w:p w14:paraId="36935AC8" w14:textId="77777777" w:rsidR="00E7168B" w:rsidRPr="00D618B7" w:rsidRDefault="00E7168B" w:rsidP="004B11B7">
            <w:pPr>
              <w:jc w:val="right"/>
              <w:rPr>
                <w:color w:val="000000"/>
              </w:rPr>
            </w:pPr>
            <w:r w:rsidRPr="00D618B7">
              <w:rPr>
                <w:color w:val="000000"/>
              </w:rPr>
              <w:t>0.0005</w:t>
            </w:r>
          </w:p>
        </w:tc>
        <w:tc>
          <w:tcPr>
            <w:tcW w:w="1418" w:type="dxa"/>
            <w:tcBorders>
              <w:top w:val="nil"/>
              <w:left w:val="nil"/>
              <w:bottom w:val="nil"/>
              <w:right w:val="nil"/>
            </w:tcBorders>
            <w:shd w:val="clear" w:color="000000" w:fill="FFFFFF"/>
            <w:noWrap/>
            <w:vAlign w:val="bottom"/>
            <w:hideMark/>
          </w:tcPr>
          <w:p w14:paraId="4E0E755C" w14:textId="77777777" w:rsidR="00E7168B" w:rsidRPr="00D618B7" w:rsidRDefault="00E7168B" w:rsidP="004B11B7">
            <w:pPr>
              <w:jc w:val="right"/>
              <w:rPr>
                <w:color w:val="000000"/>
              </w:rPr>
            </w:pPr>
            <w:r w:rsidRPr="00D618B7">
              <w:rPr>
                <w:color w:val="000000"/>
              </w:rPr>
              <w:t>0.0002</w:t>
            </w:r>
          </w:p>
        </w:tc>
        <w:tc>
          <w:tcPr>
            <w:tcW w:w="1138" w:type="dxa"/>
            <w:tcBorders>
              <w:top w:val="nil"/>
              <w:left w:val="nil"/>
              <w:bottom w:val="nil"/>
              <w:right w:val="nil"/>
            </w:tcBorders>
            <w:shd w:val="clear" w:color="000000" w:fill="FFFFFF"/>
            <w:noWrap/>
            <w:vAlign w:val="bottom"/>
            <w:hideMark/>
          </w:tcPr>
          <w:p w14:paraId="1BB927EF" w14:textId="77777777" w:rsidR="00E7168B" w:rsidRPr="00D618B7" w:rsidRDefault="00E7168B" w:rsidP="004B11B7">
            <w:pPr>
              <w:jc w:val="right"/>
              <w:rPr>
                <w:color w:val="000000"/>
              </w:rPr>
            </w:pPr>
            <w:r w:rsidRPr="00D618B7">
              <w:rPr>
                <w:color w:val="000000"/>
              </w:rPr>
              <w:t>0.0003</w:t>
            </w:r>
          </w:p>
        </w:tc>
        <w:tc>
          <w:tcPr>
            <w:tcW w:w="1358" w:type="dxa"/>
            <w:tcBorders>
              <w:top w:val="nil"/>
              <w:left w:val="nil"/>
              <w:bottom w:val="nil"/>
              <w:right w:val="nil"/>
            </w:tcBorders>
            <w:shd w:val="clear" w:color="000000" w:fill="FFFFFF"/>
            <w:noWrap/>
            <w:vAlign w:val="bottom"/>
            <w:hideMark/>
          </w:tcPr>
          <w:p w14:paraId="293DC9AD" w14:textId="77777777" w:rsidR="00E7168B" w:rsidRPr="00D618B7" w:rsidRDefault="00E7168B" w:rsidP="004B11B7">
            <w:pPr>
              <w:jc w:val="right"/>
              <w:rPr>
                <w:color w:val="000000"/>
              </w:rPr>
            </w:pPr>
            <w:r w:rsidRPr="00D618B7">
              <w:rPr>
                <w:color w:val="000000"/>
              </w:rPr>
              <w:t>0.0001</w:t>
            </w:r>
          </w:p>
        </w:tc>
        <w:tc>
          <w:tcPr>
            <w:tcW w:w="1225" w:type="dxa"/>
            <w:tcBorders>
              <w:top w:val="nil"/>
              <w:left w:val="nil"/>
              <w:bottom w:val="nil"/>
              <w:right w:val="nil"/>
            </w:tcBorders>
            <w:shd w:val="clear" w:color="000000" w:fill="FFFFFF"/>
            <w:noWrap/>
            <w:vAlign w:val="bottom"/>
            <w:hideMark/>
          </w:tcPr>
          <w:p w14:paraId="426EC11F" w14:textId="77777777" w:rsidR="00E7168B" w:rsidRPr="00D618B7" w:rsidRDefault="00E7168B" w:rsidP="004B11B7">
            <w:pPr>
              <w:jc w:val="right"/>
              <w:rPr>
                <w:color w:val="000000"/>
              </w:rPr>
            </w:pPr>
            <w:r w:rsidRPr="00D618B7">
              <w:rPr>
                <w:color w:val="000000"/>
              </w:rPr>
              <w:t>0.0015</w:t>
            </w:r>
          </w:p>
        </w:tc>
        <w:tc>
          <w:tcPr>
            <w:tcW w:w="1321" w:type="dxa"/>
            <w:tcBorders>
              <w:top w:val="nil"/>
              <w:left w:val="nil"/>
              <w:bottom w:val="nil"/>
              <w:right w:val="nil"/>
            </w:tcBorders>
            <w:shd w:val="clear" w:color="000000" w:fill="FFFFFF"/>
            <w:noWrap/>
            <w:vAlign w:val="bottom"/>
            <w:hideMark/>
          </w:tcPr>
          <w:p w14:paraId="2DF3A2D9" w14:textId="77777777" w:rsidR="00E7168B" w:rsidRPr="00D618B7" w:rsidRDefault="00E7168B" w:rsidP="004B11B7">
            <w:pPr>
              <w:jc w:val="right"/>
              <w:rPr>
                <w:color w:val="000000"/>
              </w:rPr>
            </w:pPr>
            <w:r w:rsidRPr="00D618B7">
              <w:rPr>
                <w:color w:val="000000"/>
              </w:rPr>
              <w:t>0.0005</w:t>
            </w:r>
          </w:p>
        </w:tc>
      </w:tr>
      <w:tr w:rsidR="00E7168B" w:rsidRPr="00D618B7" w14:paraId="5E9BE698" w14:textId="77777777" w:rsidTr="004B11B7">
        <w:trPr>
          <w:trHeight w:val="303"/>
        </w:trPr>
        <w:tc>
          <w:tcPr>
            <w:tcW w:w="1248" w:type="dxa"/>
            <w:tcBorders>
              <w:top w:val="nil"/>
              <w:left w:val="nil"/>
              <w:bottom w:val="nil"/>
              <w:right w:val="nil"/>
            </w:tcBorders>
            <w:shd w:val="clear" w:color="000000" w:fill="FFFFFF"/>
            <w:vAlign w:val="center"/>
            <w:hideMark/>
          </w:tcPr>
          <w:p w14:paraId="02808974" w14:textId="77777777" w:rsidR="00E7168B" w:rsidRPr="00D618B7" w:rsidRDefault="00E7168B"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bottom"/>
            <w:hideMark/>
          </w:tcPr>
          <w:p w14:paraId="1825CA6F" w14:textId="77777777" w:rsidR="00E7168B" w:rsidRPr="00D618B7" w:rsidRDefault="00E7168B" w:rsidP="004B11B7">
            <w:pPr>
              <w:jc w:val="right"/>
              <w:rPr>
                <w:color w:val="000000"/>
              </w:rPr>
            </w:pPr>
            <w:r w:rsidRPr="00D618B7">
              <w:rPr>
                <w:color w:val="000000"/>
              </w:rPr>
              <w:t>-0.0005</w:t>
            </w:r>
          </w:p>
        </w:tc>
        <w:tc>
          <w:tcPr>
            <w:tcW w:w="1418" w:type="dxa"/>
            <w:tcBorders>
              <w:top w:val="nil"/>
              <w:left w:val="nil"/>
              <w:bottom w:val="nil"/>
              <w:right w:val="nil"/>
            </w:tcBorders>
            <w:shd w:val="clear" w:color="000000" w:fill="FFFFFF"/>
            <w:noWrap/>
            <w:vAlign w:val="bottom"/>
            <w:hideMark/>
          </w:tcPr>
          <w:p w14:paraId="7CD3CD01" w14:textId="77777777" w:rsidR="00E7168B" w:rsidRPr="00D618B7" w:rsidRDefault="00E7168B" w:rsidP="004B11B7">
            <w:pPr>
              <w:jc w:val="right"/>
              <w:rPr>
                <w:color w:val="000000"/>
              </w:rPr>
            </w:pPr>
            <w:r w:rsidRPr="00D618B7">
              <w:rPr>
                <w:color w:val="000000"/>
              </w:rPr>
              <w:t>0.0003</w:t>
            </w:r>
          </w:p>
        </w:tc>
        <w:tc>
          <w:tcPr>
            <w:tcW w:w="1138" w:type="dxa"/>
            <w:tcBorders>
              <w:top w:val="nil"/>
              <w:left w:val="nil"/>
              <w:bottom w:val="nil"/>
              <w:right w:val="nil"/>
            </w:tcBorders>
            <w:shd w:val="clear" w:color="000000" w:fill="FFFFFF"/>
            <w:noWrap/>
            <w:vAlign w:val="bottom"/>
            <w:hideMark/>
          </w:tcPr>
          <w:p w14:paraId="646C978C" w14:textId="77777777" w:rsidR="00E7168B" w:rsidRPr="00D618B7" w:rsidRDefault="00E7168B" w:rsidP="004B11B7">
            <w:pPr>
              <w:jc w:val="right"/>
              <w:rPr>
                <w:color w:val="000000"/>
              </w:rPr>
            </w:pPr>
            <w:r w:rsidRPr="00D618B7">
              <w:rPr>
                <w:color w:val="000000"/>
              </w:rPr>
              <w:t>-0.0003</w:t>
            </w:r>
          </w:p>
        </w:tc>
        <w:tc>
          <w:tcPr>
            <w:tcW w:w="1358" w:type="dxa"/>
            <w:tcBorders>
              <w:top w:val="nil"/>
              <w:left w:val="nil"/>
              <w:bottom w:val="nil"/>
              <w:right w:val="nil"/>
            </w:tcBorders>
            <w:shd w:val="clear" w:color="000000" w:fill="FFFFFF"/>
            <w:noWrap/>
            <w:vAlign w:val="bottom"/>
            <w:hideMark/>
          </w:tcPr>
          <w:p w14:paraId="34FEBD30" w14:textId="77777777" w:rsidR="00E7168B" w:rsidRPr="00D618B7" w:rsidRDefault="00E7168B" w:rsidP="004B11B7">
            <w:pPr>
              <w:jc w:val="right"/>
              <w:rPr>
                <w:color w:val="000000"/>
              </w:rPr>
            </w:pPr>
            <w:r w:rsidRPr="00D618B7">
              <w:rPr>
                <w:color w:val="000000"/>
              </w:rPr>
              <w:t>0.0001</w:t>
            </w:r>
          </w:p>
        </w:tc>
        <w:tc>
          <w:tcPr>
            <w:tcW w:w="1225" w:type="dxa"/>
            <w:tcBorders>
              <w:top w:val="nil"/>
              <w:left w:val="nil"/>
              <w:bottom w:val="nil"/>
              <w:right w:val="nil"/>
            </w:tcBorders>
            <w:shd w:val="clear" w:color="000000" w:fill="FFFFFF"/>
            <w:noWrap/>
            <w:vAlign w:val="bottom"/>
            <w:hideMark/>
          </w:tcPr>
          <w:p w14:paraId="2BACA06C" w14:textId="77777777" w:rsidR="00E7168B" w:rsidRPr="00D618B7" w:rsidRDefault="00E7168B" w:rsidP="004B11B7">
            <w:pPr>
              <w:jc w:val="right"/>
              <w:rPr>
                <w:color w:val="000000"/>
              </w:rPr>
            </w:pPr>
            <w:r w:rsidRPr="00D618B7">
              <w:rPr>
                <w:color w:val="000000"/>
              </w:rPr>
              <w:t>-0.0003</w:t>
            </w:r>
          </w:p>
        </w:tc>
        <w:tc>
          <w:tcPr>
            <w:tcW w:w="1321" w:type="dxa"/>
            <w:tcBorders>
              <w:top w:val="nil"/>
              <w:left w:val="nil"/>
              <w:bottom w:val="nil"/>
              <w:right w:val="nil"/>
            </w:tcBorders>
            <w:shd w:val="clear" w:color="000000" w:fill="FFFFFF"/>
            <w:noWrap/>
            <w:vAlign w:val="bottom"/>
            <w:hideMark/>
          </w:tcPr>
          <w:p w14:paraId="18931BBD" w14:textId="77777777" w:rsidR="00E7168B" w:rsidRPr="00D618B7" w:rsidRDefault="00E7168B" w:rsidP="004B11B7">
            <w:pPr>
              <w:jc w:val="right"/>
              <w:rPr>
                <w:color w:val="000000"/>
              </w:rPr>
            </w:pPr>
            <w:r w:rsidRPr="00D618B7">
              <w:rPr>
                <w:color w:val="000000"/>
              </w:rPr>
              <w:t>0.0015</w:t>
            </w:r>
          </w:p>
        </w:tc>
      </w:tr>
      <w:tr w:rsidR="00E7168B" w:rsidRPr="00D618B7" w14:paraId="6C997E54" w14:textId="77777777" w:rsidTr="004B11B7">
        <w:trPr>
          <w:trHeight w:val="303"/>
        </w:trPr>
        <w:tc>
          <w:tcPr>
            <w:tcW w:w="1248" w:type="dxa"/>
            <w:tcBorders>
              <w:top w:val="nil"/>
              <w:left w:val="nil"/>
              <w:bottom w:val="nil"/>
              <w:right w:val="nil"/>
            </w:tcBorders>
            <w:shd w:val="clear" w:color="000000" w:fill="FFFFFF"/>
            <w:vAlign w:val="center"/>
            <w:hideMark/>
          </w:tcPr>
          <w:p w14:paraId="1DEA3342" w14:textId="77777777" w:rsidR="00E7168B" w:rsidRPr="00D618B7" w:rsidRDefault="00E7168B"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bottom"/>
            <w:hideMark/>
          </w:tcPr>
          <w:p w14:paraId="3CBD1CE1" w14:textId="77777777" w:rsidR="00E7168B" w:rsidRPr="00D618B7" w:rsidRDefault="00E7168B" w:rsidP="004B11B7">
            <w:pPr>
              <w:jc w:val="right"/>
              <w:rPr>
                <w:color w:val="000000"/>
              </w:rPr>
            </w:pPr>
            <w:r w:rsidRPr="00D618B7">
              <w:rPr>
                <w:color w:val="000000"/>
              </w:rPr>
              <w:t>0.0004</w:t>
            </w:r>
          </w:p>
        </w:tc>
        <w:tc>
          <w:tcPr>
            <w:tcW w:w="1418" w:type="dxa"/>
            <w:tcBorders>
              <w:top w:val="nil"/>
              <w:left w:val="nil"/>
              <w:bottom w:val="nil"/>
              <w:right w:val="nil"/>
            </w:tcBorders>
            <w:shd w:val="clear" w:color="000000" w:fill="FFFFFF"/>
            <w:noWrap/>
            <w:vAlign w:val="bottom"/>
            <w:hideMark/>
          </w:tcPr>
          <w:p w14:paraId="3E09BC87" w14:textId="77777777" w:rsidR="00E7168B" w:rsidRPr="00D618B7" w:rsidRDefault="00E7168B" w:rsidP="004B11B7">
            <w:pPr>
              <w:jc w:val="right"/>
              <w:rPr>
                <w:color w:val="000000"/>
              </w:rPr>
            </w:pPr>
            <w:r w:rsidRPr="00D618B7">
              <w:rPr>
                <w:color w:val="000000"/>
              </w:rPr>
              <w:t>0.0006</w:t>
            </w:r>
          </w:p>
        </w:tc>
        <w:tc>
          <w:tcPr>
            <w:tcW w:w="1138" w:type="dxa"/>
            <w:tcBorders>
              <w:top w:val="nil"/>
              <w:left w:val="nil"/>
              <w:bottom w:val="nil"/>
              <w:right w:val="nil"/>
            </w:tcBorders>
            <w:shd w:val="clear" w:color="000000" w:fill="FFFFFF"/>
            <w:noWrap/>
            <w:vAlign w:val="bottom"/>
            <w:hideMark/>
          </w:tcPr>
          <w:p w14:paraId="16926A40" w14:textId="77777777" w:rsidR="00E7168B" w:rsidRPr="00D618B7" w:rsidRDefault="00E7168B" w:rsidP="004B11B7">
            <w:pPr>
              <w:jc w:val="right"/>
              <w:rPr>
                <w:color w:val="000000"/>
              </w:rPr>
            </w:pPr>
            <w:r w:rsidRPr="00D618B7">
              <w:rPr>
                <w:color w:val="000000"/>
              </w:rPr>
              <w:t>-0.0005</w:t>
            </w:r>
          </w:p>
        </w:tc>
        <w:tc>
          <w:tcPr>
            <w:tcW w:w="1358" w:type="dxa"/>
            <w:tcBorders>
              <w:top w:val="nil"/>
              <w:left w:val="nil"/>
              <w:bottom w:val="nil"/>
              <w:right w:val="nil"/>
            </w:tcBorders>
            <w:shd w:val="clear" w:color="000000" w:fill="FFFFFF"/>
            <w:noWrap/>
            <w:vAlign w:val="bottom"/>
            <w:hideMark/>
          </w:tcPr>
          <w:p w14:paraId="0A02DF9C" w14:textId="77777777" w:rsidR="00E7168B" w:rsidRPr="00D618B7" w:rsidRDefault="00E7168B" w:rsidP="004B11B7">
            <w:pPr>
              <w:jc w:val="right"/>
              <w:rPr>
                <w:color w:val="000000"/>
              </w:rPr>
            </w:pPr>
            <w:r w:rsidRPr="00D618B7">
              <w:rPr>
                <w:color w:val="000000"/>
              </w:rPr>
              <w:t>0.0002</w:t>
            </w:r>
          </w:p>
        </w:tc>
        <w:tc>
          <w:tcPr>
            <w:tcW w:w="1225" w:type="dxa"/>
            <w:tcBorders>
              <w:top w:val="nil"/>
              <w:left w:val="nil"/>
              <w:bottom w:val="nil"/>
              <w:right w:val="nil"/>
            </w:tcBorders>
            <w:shd w:val="clear" w:color="000000" w:fill="FFFFFF"/>
            <w:noWrap/>
            <w:vAlign w:val="bottom"/>
            <w:hideMark/>
          </w:tcPr>
          <w:p w14:paraId="2B492CA7" w14:textId="77777777" w:rsidR="00E7168B" w:rsidRPr="00D618B7" w:rsidRDefault="00E7168B" w:rsidP="004B11B7">
            <w:pPr>
              <w:jc w:val="right"/>
              <w:rPr>
                <w:color w:val="000000"/>
              </w:rPr>
            </w:pPr>
            <w:r w:rsidRPr="00D618B7">
              <w:rPr>
                <w:color w:val="000000"/>
              </w:rPr>
              <w:t>-0.0010</w:t>
            </w:r>
          </w:p>
        </w:tc>
        <w:tc>
          <w:tcPr>
            <w:tcW w:w="1321" w:type="dxa"/>
            <w:tcBorders>
              <w:top w:val="nil"/>
              <w:left w:val="nil"/>
              <w:bottom w:val="nil"/>
              <w:right w:val="nil"/>
            </w:tcBorders>
            <w:shd w:val="clear" w:color="000000" w:fill="FFFFFF"/>
            <w:noWrap/>
            <w:vAlign w:val="bottom"/>
            <w:hideMark/>
          </w:tcPr>
          <w:p w14:paraId="3142D95C" w14:textId="77777777" w:rsidR="00E7168B" w:rsidRPr="00D618B7" w:rsidRDefault="00E7168B" w:rsidP="004B11B7">
            <w:pPr>
              <w:jc w:val="right"/>
              <w:rPr>
                <w:color w:val="000000"/>
              </w:rPr>
            </w:pPr>
            <w:r w:rsidRPr="00D618B7">
              <w:rPr>
                <w:color w:val="000000"/>
              </w:rPr>
              <w:t>0.0003</w:t>
            </w:r>
          </w:p>
        </w:tc>
      </w:tr>
      <w:tr w:rsidR="00E7168B" w:rsidRPr="00D618B7" w14:paraId="583EDCA3" w14:textId="77777777" w:rsidTr="004B11B7">
        <w:trPr>
          <w:trHeight w:val="303"/>
        </w:trPr>
        <w:tc>
          <w:tcPr>
            <w:tcW w:w="1248" w:type="dxa"/>
            <w:tcBorders>
              <w:top w:val="nil"/>
              <w:left w:val="nil"/>
              <w:bottom w:val="nil"/>
              <w:right w:val="nil"/>
            </w:tcBorders>
            <w:shd w:val="clear" w:color="000000" w:fill="FFFFFF"/>
            <w:vAlign w:val="center"/>
            <w:hideMark/>
          </w:tcPr>
          <w:p w14:paraId="57904989" w14:textId="77777777" w:rsidR="00E7168B" w:rsidRPr="00D618B7" w:rsidRDefault="00E7168B"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bottom"/>
            <w:hideMark/>
          </w:tcPr>
          <w:p w14:paraId="5561F1B2" w14:textId="77777777" w:rsidR="00E7168B" w:rsidRPr="00D618B7" w:rsidRDefault="00E7168B" w:rsidP="004B11B7">
            <w:pPr>
              <w:jc w:val="right"/>
              <w:rPr>
                <w:color w:val="000000"/>
              </w:rPr>
            </w:pPr>
            <w:r w:rsidRPr="00D618B7">
              <w:rPr>
                <w:color w:val="000000"/>
              </w:rPr>
              <w:t>-0.0001</w:t>
            </w:r>
          </w:p>
        </w:tc>
        <w:tc>
          <w:tcPr>
            <w:tcW w:w="1418" w:type="dxa"/>
            <w:tcBorders>
              <w:top w:val="nil"/>
              <w:left w:val="nil"/>
              <w:bottom w:val="nil"/>
              <w:right w:val="nil"/>
            </w:tcBorders>
            <w:shd w:val="clear" w:color="000000" w:fill="FFFFFF"/>
            <w:noWrap/>
            <w:vAlign w:val="bottom"/>
            <w:hideMark/>
          </w:tcPr>
          <w:p w14:paraId="29822D35" w14:textId="77777777" w:rsidR="00E7168B" w:rsidRPr="00D618B7" w:rsidRDefault="00E7168B" w:rsidP="004B11B7">
            <w:pPr>
              <w:jc w:val="right"/>
              <w:rPr>
                <w:color w:val="000000"/>
              </w:rPr>
            </w:pPr>
            <w:r w:rsidRPr="00D618B7">
              <w:rPr>
                <w:color w:val="000000"/>
              </w:rPr>
              <w:t>0.0002</w:t>
            </w:r>
          </w:p>
        </w:tc>
        <w:tc>
          <w:tcPr>
            <w:tcW w:w="1138" w:type="dxa"/>
            <w:tcBorders>
              <w:top w:val="nil"/>
              <w:left w:val="nil"/>
              <w:bottom w:val="nil"/>
              <w:right w:val="nil"/>
            </w:tcBorders>
            <w:shd w:val="clear" w:color="000000" w:fill="FFFFFF"/>
            <w:noWrap/>
            <w:vAlign w:val="bottom"/>
            <w:hideMark/>
          </w:tcPr>
          <w:p w14:paraId="020D012E" w14:textId="77777777" w:rsidR="00E7168B" w:rsidRPr="00D618B7" w:rsidRDefault="00E7168B" w:rsidP="004B11B7">
            <w:pPr>
              <w:jc w:val="right"/>
              <w:rPr>
                <w:color w:val="000000"/>
              </w:rPr>
            </w:pPr>
            <w:r w:rsidRPr="00D618B7">
              <w:rPr>
                <w:color w:val="000000"/>
              </w:rPr>
              <w:t>0.0004</w:t>
            </w:r>
          </w:p>
        </w:tc>
        <w:tc>
          <w:tcPr>
            <w:tcW w:w="1358" w:type="dxa"/>
            <w:tcBorders>
              <w:top w:val="nil"/>
              <w:left w:val="nil"/>
              <w:bottom w:val="nil"/>
              <w:right w:val="nil"/>
            </w:tcBorders>
            <w:shd w:val="clear" w:color="000000" w:fill="FFFFFF"/>
            <w:noWrap/>
            <w:vAlign w:val="bottom"/>
            <w:hideMark/>
          </w:tcPr>
          <w:p w14:paraId="47F2FAA8" w14:textId="77777777" w:rsidR="00E7168B" w:rsidRPr="00D618B7" w:rsidRDefault="00E7168B" w:rsidP="004B11B7">
            <w:pPr>
              <w:jc w:val="right"/>
              <w:rPr>
                <w:color w:val="000000"/>
              </w:rPr>
            </w:pPr>
            <w:r w:rsidRPr="00D618B7">
              <w:rPr>
                <w:color w:val="000000"/>
              </w:rPr>
              <w:t>0.0002</w:t>
            </w:r>
          </w:p>
        </w:tc>
        <w:tc>
          <w:tcPr>
            <w:tcW w:w="1225" w:type="dxa"/>
            <w:tcBorders>
              <w:top w:val="nil"/>
              <w:left w:val="nil"/>
              <w:bottom w:val="nil"/>
              <w:right w:val="nil"/>
            </w:tcBorders>
            <w:shd w:val="clear" w:color="000000" w:fill="FFFFFF"/>
            <w:noWrap/>
            <w:vAlign w:val="bottom"/>
            <w:hideMark/>
          </w:tcPr>
          <w:p w14:paraId="4F86DAAC" w14:textId="77777777" w:rsidR="00E7168B" w:rsidRPr="00D618B7" w:rsidRDefault="00E7168B" w:rsidP="004B11B7">
            <w:pPr>
              <w:jc w:val="right"/>
              <w:rPr>
                <w:color w:val="000000"/>
              </w:rPr>
            </w:pPr>
            <w:r w:rsidRPr="00D618B7">
              <w:rPr>
                <w:color w:val="000000"/>
              </w:rPr>
              <w:t>0.0004</w:t>
            </w:r>
          </w:p>
        </w:tc>
        <w:tc>
          <w:tcPr>
            <w:tcW w:w="1321" w:type="dxa"/>
            <w:tcBorders>
              <w:top w:val="nil"/>
              <w:left w:val="nil"/>
              <w:bottom w:val="nil"/>
              <w:right w:val="nil"/>
            </w:tcBorders>
            <w:shd w:val="clear" w:color="000000" w:fill="FFFFFF"/>
            <w:noWrap/>
            <w:vAlign w:val="bottom"/>
            <w:hideMark/>
          </w:tcPr>
          <w:p w14:paraId="037FC896" w14:textId="77777777" w:rsidR="00E7168B" w:rsidRPr="00D618B7" w:rsidRDefault="00E7168B" w:rsidP="004B11B7">
            <w:pPr>
              <w:jc w:val="right"/>
              <w:rPr>
                <w:color w:val="000000"/>
              </w:rPr>
            </w:pPr>
            <w:r w:rsidRPr="00D618B7">
              <w:rPr>
                <w:color w:val="000000"/>
              </w:rPr>
              <w:t>0.0012</w:t>
            </w:r>
          </w:p>
        </w:tc>
      </w:tr>
      <w:tr w:rsidR="00E7168B" w:rsidRPr="00D618B7" w14:paraId="6668FF49" w14:textId="77777777" w:rsidTr="004B11B7">
        <w:trPr>
          <w:trHeight w:val="303"/>
        </w:trPr>
        <w:tc>
          <w:tcPr>
            <w:tcW w:w="1248" w:type="dxa"/>
            <w:tcBorders>
              <w:top w:val="nil"/>
              <w:left w:val="nil"/>
              <w:bottom w:val="nil"/>
              <w:right w:val="nil"/>
            </w:tcBorders>
            <w:shd w:val="clear" w:color="000000" w:fill="FFFFFF"/>
            <w:vAlign w:val="center"/>
            <w:hideMark/>
          </w:tcPr>
          <w:p w14:paraId="7EA33141" w14:textId="77777777" w:rsidR="00E7168B" w:rsidRPr="00D618B7" w:rsidRDefault="00E7168B"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bottom"/>
            <w:hideMark/>
          </w:tcPr>
          <w:p w14:paraId="55A574DC" w14:textId="77777777" w:rsidR="00E7168B" w:rsidRPr="00D618B7" w:rsidRDefault="00E7168B" w:rsidP="004B11B7">
            <w:pPr>
              <w:jc w:val="right"/>
              <w:rPr>
                <w:color w:val="000000"/>
              </w:rPr>
            </w:pPr>
            <w:r w:rsidRPr="00D618B7">
              <w:rPr>
                <w:color w:val="000000"/>
              </w:rPr>
              <w:t>-0.0006</w:t>
            </w:r>
          </w:p>
        </w:tc>
        <w:tc>
          <w:tcPr>
            <w:tcW w:w="1418" w:type="dxa"/>
            <w:tcBorders>
              <w:top w:val="nil"/>
              <w:left w:val="nil"/>
              <w:bottom w:val="nil"/>
              <w:right w:val="nil"/>
            </w:tcBorders>
            <w:shd w:val="clear" w:color="000000" w:fill="FFFFFF"/>
            <w:noWrap/>
            <w:vAlign w:val="bottom"/>
            <w:hideMark/>
          </w:tcPr>
          <w:p w14:paraId="47810BA4" w14:textId="77777777" w:rsidR="00E7168B" w:rsidRPr="00D618B7" w:rsidRDefault="00E7168B" w:rsidP="004B11B7">
            <w:pPr>
              <w:jc w:val="right"/>
              <w:rPr>
                <w:color w:val="000000"/>
              </w:rPr>
            </w:pPr>
            <w:r w:rsidRPr="00D618B7">
              <w:rPr>
                <w:color w:val="000000"/>
              </w:rPr>
              <w:t>0.0002</w:t>
            </w:r>
          </w:p>
        </w:tc>
        <w:tc>
          <w:tcPr>
            <w:tcW w:w="1138" w:type="dxa"/>
            <w:tcBorders>
              <w:top w:val="nil"/>
              <w:left w:val="nil"/>
              <w:bottom w:val="nil"/>
              <w:right w:val="nil"/>
            </w:tcBorders>
            <w:shd w:val="clear" w:color="000000" w:fill="FFFFFF"/>
            <w:noWrap/>
            <w:vAlign w:val="bottom"/>
            <w:hideMark/>
          </w:tcPr>
          <w:p w14:paraId="3CA865C0" w14:textId="77777777" w:rsidR="00E7168B" w:rsidRPr="00D618B7" w:rsidRDefault="00E7168B" w:rsidP="004B11B7">
            <w:pPr>
              <w:jc w:val="right"/>
              <w:rPr>
                <w:color w:val="000000"/>
              </w:rPr>
            </w:pPr>
            <w:r w:rsidRPr="00D618B7">
              <w:rPr>
                <w:color w:val="000000"/>
              </w:rPr>
              <w:t>0.0000</w:t>
            </w:r>
          </w:p>
        </w:tc>
        <w:tc>
          <w:tcPr>
            <w:tcW w:w="1358" w:type="dxa"/>
            <w:tcBorders>
              <w:top w:val="nil"/>
              <w:left w:val="nil"/>
              <w:bottom w:val="nil"/>
              <w:right w:val="nil"/>
            </w:tcBorders>
            <w:shd w:val="clear" w:color="000000" w:fill="FFFFFF"/>
            <w:noWrap/>
            <w:vAlign w:val="bottom"/>
            <w:hideMark/>
          </w:tcPr>
          <w:p w14:paraId="2354420E" w14:textId="77777777" w:rsidR="00E7168B" w:rsidRPr="00D618B7" w:rsidRDefault="00E7168B" w:rsidP="004B11B7">
            <w:pPr>
              <w:jc w:val="right"/>
              <w:rPr>
                <w:color w:val="000000"/>
              </w:rPr>
            </w:pPr>
            <w:r w:rsidRPr="00D618B7">
              <w:rPr>
                <w:color w:val="000000"/>
              </w:rPr>
              <w:t>0.0001</w:t>
            </w:r>
          </w:p>
        </w:tc>
        <w:tc>
          <w:tcPr>
            <w:tcW w:w="1225" w:type="dxa"/>
            <w:tcBorders>
              <w:top w:val="nil"/>
              <w:left w:val="nil"/>
              <w:bottom w:val="nil"/>
              <w:right w:val="nil"/>
            </w:tcBorders>
            <w:shd w:val="clear" w:color="000000" w:fill="FFFFFF"/>
            <w:noWrap/>
            <w:vAlign w:val="bottom"/>
            <w:hideMark/>
          </w:tcPr>
          <w:p w14:paraId="7276DB9D" w14:textId="77777777" w:rsidR="00E7168B" w:rsidRPr="00D618B7" w:rsidRDefault="00E7168B" w:rsidP="004B11B7">
            <w:pPr>
              <w:jc w:val="right"/>
              <w:rPr>
                <w:color w:val="000000"/>
              </w:rPr>
            </w:pPr>
            <w:r w:rsidRPr="00D618B7">
              <w:rPr>
                <w:color w:val="000000"/>
              </w:rPr>
              <w:t>0.0078</w:t>
            </w:r>
          </w:p>
        </w:tc>
        <w:tc>
          <w:tcPr>
            <w:tcW w:w="1321" w:type="dxa"/>
            <w:tcBorders>
              <w:top w:val="nil"/>
              <w:left w:val="nil"/>
              <w:bottom w:val="nil"/>
              <w:right w:val="nil"/>
            </w:tcBorders>
            <w:shd w:val="clear" w:color="000000" w:fill="FFFFFF"/>
            <w:noWrap/>
            <w:vAlign w:val="bottom"/>
            <w:hideMark/>
          </w:tcPr>
          <w:p w14:paraId="54D40FA5" w14:textId="77777777" w:rsidR="00E7168B" w:rsidRPr="00D618B7" w:rsidRDefault="00E7168B" w:rsidP="004B11B7">
            <w:pPr>
              <w:jc w:val="right"/>
              <w:rPr>
                <w:color w:val="000000"/>
              </w:rPr>
            </w:pPr>
            <w:r w:rsidRPr="00D618B7">
              <w:rPr>
                <w:color w:val="000000"/>
              </w:rPr>
              <w:t>0.0040</w:t>
            </w:r>
          </w:p>
        </w:tc>
      </w:tr>
      <w:tr w:rsidR="00E7168B" w:rsidRPr="00D618B7" w14:paraId="030F046D" w14:textId="77777777" w:rsidTr="004B11B7">
        <w:trPr>
          <w:trHeight w:val="303"/>
        </w:trPr>
        <w:tc>
          <w:tcPr>
            <w:tcW w:w="1248" w:type="dxa"/>
            <w:tcBorders>
              <w:top w:val="nil"/>
              <w:left w:val="nil"/>
              <w:bottom w:val="nil"/>
              <w:right w:val="nil"/>
            </w:tcBorders>
            <w:shd w:val="clear" w:color="000000" w:fill="FFFFFF"/>
            <w:vAlign w:val="center"/>
            <w:hideMark/>
          </w:tcPr>
          <w:p w14:paraId="65168542" w14:textId="77777777" w:rsidR="00E7168B" w:rsidRPr="00D618B7" w:rsidRDefault="00E7168B" w:rsidP="004B11B7">
            <w:pPr>
              <w:jc w:val="right"/>
              <w:rPr>
                <w:color w:val="000000"/>
              </w:rPr>
            </w:pPr>
            <w:r w:rsidRPr="00D618B7">
              <w:rPr>
                <w:color w:val="000000"/>
              </w:rPr>
              <w:t>0</w:t>
            </w:r>
          </w:p>
        </w:tc>
        <w:tc>
          <w:tcPr>
            <w:tcW w:w="1080" w:type="dxa"/>
            <w:tcBorders>
              <w:top w:val="nil"/>
              <w:left w:val="nil"/>
              <w:bottom w:val="nil"/>
              <w:right w:val="nil"/>
            </w:tcBorders>
            <w:shd w:val="clear" w:color="000000" w:fill="FFFFFF"/>
            <w:noWrap/>
            <w:vAlign w:val="bottom"/>
            <w:hideMark/>
          </w:tcPr>
          <w:p w14:paraId="2C032AD7" w14:textId="77777777" w:rsidR="00E7168B" w:rsidRPr="00D618B7" w:rsidRDefault="00E7168B" w:rsidP="004B11B7">
            <w:pPr>
              <w:jc w:val="right"/>
              <w:rPr>
                <w:color w:val="000000"/>
              </w:rPr>
            </w:pPr>
            <w:r w:rsidRPr="00D618B7">
              <w:rPr>
                <w:color w:val="000000"/>
              </w:rPr>
              <w:t>0.0058</w:t>
            </w:r>
          </w:p>
        </w:tc>
        <w:tc>
          <w:tcPr>
            <w:tcW w:w="1418" w:type="dxa"/>
            <w:tcBorders>
              <w:top w:val="nil"/>
              <w:left w:val="nil"/>
              <w:bottom w:val="nil"/>
              <w:right w:val="nil"/>
            </w:tcBorders>
            <w:shd w:val="clear" w:color="000000" w:fill="FFFFFF"/>
            <w:noWrap/>
            <w:vAlign w:val="bottom"/>
            <w:hideMark/>
          </w:tcPr>
          <w:p w14:paraId="108F493C" w14:textId="77777777" w:rsidR="00E7168B" w:rsidRPr="00D618B7" w:rsidRDefault="00E7168B" w:rsidP="004B11B7">
            <w:pPr>
              <w:jc w:val="right"/>
              <w:rPr>
                <w:color w:val="000000"/>
              </w:rPr>
            </w:pPr>
            <w:r w:rsidRPr="00D618B7">
              <w:rPr>
                <w:color w:val="000000"/>
              </w:rPr>
              <w:t>0.0034</w:t>
            </w:r>
          </w:p>
        </w:tc>
        <w:tc>
          <w:tcPr>
            <w:tcW w:w="1138" w:type="dxa"/>
            <w:tcBorders>
              <w:top w:val="nil"/>
              <w:left w:val="nil"/>
              <w:bottom w:val="nil"/>
              <w:right w:val="nil"/>
            </w:tcBorders>
            <w:shd w:val="clear" w:color="000000" w:fill="FFFFFF"/>
            <w:noWrap/>
            <w:vAlign w:val="bottom"/>
            <w:hideMark/>
          </w:tcPr>
          <w:p w14:paraId="63F92F14" w14:textId="77777777" w:rsidR="00E7168B" w:rsidRPr="00D618B7" w:rsidRDefault="00E7168B" w:rsidP="004B11B7">
            <w:pPr>
              <w:jc w:val="right"/>
              <w:rPr>
                <w:color w:val="000000"/>
              </w:rPr>
            </w:pPr>
            <w:r w:rsidRPr="00D618B7">
              <w:rPr>
                <w:color w:val="000000"/>
              </w:rPr>
              <w:t>0.0005</w:t>
            </w:r>
          </w:p>
        </w:tc>
        <w:tc>
          <w:tcPr>
            <w:tcW w:w="1358" w:type="dxa"/>
            <w:tcBorders>
              <w:top w:val="nil"/>
              <w:left w:val="nil"/>
              <w:bottom w:val="nil"/>
              <w:right w:val="nil"/>
            </w:tcBorders>
            <w:shd w:val="clear" w:color="000000" w:fill="FFFFFF"/>
            <w:noWrap/>
            <w:vAlign w:val="bottom"/>
            <w:hideMark/>
          </w:tcPr>
          <w:p w14:paraId="698FF984" w14:textId="77777777" w:rsidR="00E7168B" w:rsidRPr="00D618B7" w:rsidRDefault="00E7168B" w:rsidP="004B11B7">
            <w:pPr>
              <w:jc w:val="right"/>
              <w:rPr>
                <w:color w:val="000000"/>
              </w:rPr>
            </w:pPr>
            <w:r w:rsidRPr="00D618B7">
              <w:rPr>
                <w:color w:val="000000"/>
              </w:rPr>
              <w:t>0.0005</w:t>
            </w:r>
          </w:p>
        </w:tc>
        <w:tc>
          <w:tcPr>
            <w:tcW w:w="1225" w:type="dxa"/>
            <w:tcBorders>
              <w:top w:val="nil"/>
              <w:left w:val="nil"/>
              <w:bottom w:val="nil"/>
              <w:right w:val="nil"/>
            </w:tcBorders>
            <w:shd w:val="clear" w:color="000000" w:fill="FFFFFF"/>
            <w:noWrap/>
            <w:vAlign w:val="bottom"/>
            <w:hideMark/>
          </w:tcPr>
          <w:p w14:paraId="53642255" w14:textId="77777777" w:rsidR="00E7168B" w:rsidRPr="00D618B7" w:rsidRDefault="00E7168B" w:rsidP="004B11B7">
            <w:pPr>
              <w:jc w:val="right"/>
              <w:rPr>
                <w:color w:val="000000"/>
              </w:rPr>
            </w:pPr>
            <w:r w:rsidRPr="00D618B7">
              <w:rPr>
                <w:color w:val="000000"/>
              </w:rPr>
              <w:t>0.0036</w:t>
            </w:r>
          </w:p>
        </w:tc>
        <w:tc>
          <w:tcPr>
            <w:tcW w:w="1321" w:type="dxa"/>
            <w:tcBorders>
              <w:top w:val="nil"/>
              <w:left w:val="nil"/>
              <w:bottom w:val="nil"/>
              <w:right w:val="nil"/>
            </w:tcBorders>
            <w:shd w:val="clear" w:color="000000" w:fill="FFFFFF"/>
            <w:noWrap/>
            <w:vAlign w:val="bottom"/>
            <w:hideMark/>
          </w:tcPr>
          <w:p w14:paraId="4385E780" w14:textId="77777777" w:rsidR="00E7168B" w:rsidRPr="00D618B7" w:rsidRDefault="00E7168B" w:rsidP="004B11B7">
            <w:pPr>
              <w:jc w:val="right"/>
              <w:rPr>
                <w:color w:val="000000"/>
              </w:rPr>
            </w:pPr>
            <w:r w:rsidRPr="00D618B7">
              <w:rPr>
                <w:color w:val="000000"/>
              </w:rPr>
              <w:t>0.0023</w:t>
            </w:r>
          </w:p>
        </w:tc>
      </w:tr>
      <w:tr w:rsidR="00E7168B" w:rsidRPr="00D618B7" w14:paraId="1F611C66" w14:textId="77777777" w:rsidTr="004B11B7">
        <w:trPr>
          <w:trHeight w:val="303"/>
        </w:trPr>
        <w:tc>
          <w:tcPr>
            <w:tcW w:w="1248" w:type="dxa"/>
            <w:tcBorders>
              <w:top w:val="nil"/>
              <w:left w:val="nil"/>
              <w:bottom w:val="nil"/>
              <w:right w:val="nil"/>
            </w:tcBorders>
            <w:shd w:val="clear" w:color="000000" w:fill="FFFFFF"/>
            <w:vAlign w:val="center"/>
            <w:hideMark/>
          </w:tcPr>
          <w:p w14:paraId="722984CA" w14:textId="77777777" w:rsidR="00E7168B" w:rsidRPr="00D618B7" w:rsidRDefault="00E7168B"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bottom"/>
            <w:hideMark/>
          </w:tcPr>
          <w:p w14:paraId="3DD82642" w14:textId="77777777" w:rsidR="00E7168B" w:rsidRPr="00D618B7" w:rsidRDefault="00E7168B" w:rsidP="004B11B7">
            <w:pPr>
              <w:jc w:val="right"/>
              <w:rPr>
                <w:color w:val="000000"/>
              </w:rPr>
            </w:pPr>
            <w:r w:rsidRPr="00D618B7">
              <w:rPr>
                <w:color w:val="000000"/>
              </w:rPr>
              <w:t>0.0008</w:t>
            </w:r>
          </w:p>
        </w:tc>
        <w:tc>
          <w:tcPr>
            <w:tcW w:w="1418" w:type="dxa"/>
            <w:tcBorders>
              <w:top w:val="nil"/>
              <w:left w:val="nil"/>
              <w:bottom w:val="nil"/>
              <w:right w:val="nil"/>
            </w:tcBorders>
            <w:shd w:val="clear" w:color="000000" w:fill="FFFFFF"/>
            <w:noWrap/>
            <w:vAlign w:val="bottom"/>
            <w:hideMark/>
          </w:tcPr>
          <w:p w14:paraId="28407989" w14:textId="77777777" w:rsidR="00E7168B" w:rsidRPr="00D618B7" w:rsidRDefault="00E7168B" w:rsidP="004B11B7">
            <w:pPr>
              <w:jc w:val="right"/>
              <w:rPr>
                <w:color w:val="000000"/>
              </w:rPr>
            </w:pPr>
            <w:r w:rsidRPr="00D618B7">
              <w:rPr>
                <w:color w:val="000000"/>
              </w:rPr>
              <w:t>0.0004</w:t>
            </w:r>
          </w:p>
        </w:tc>
        <w:tc>
          <w:tcPr>
            <w:tcW w:w="1138" w:type="dxa"/>
            <w:tcBorders>
              <w:top w:val="nil"/>
              <w:left w:val="nil"/>
              <w:bottom w:val="nil"/>
              <w:right w:val="nil"/>
            </w:tcBorders>
            <w:shd w:val="clear" w:color="000000" w:fill="FFFFFF"/>
            <w:noWrap/>
            <w:vAlign w:val="bottom"/>
            <w:hideMark/>
          </w:tcPr>
          <w:p w14:paraId="4C834227" w14:textId="77777777" w:rsidR="00E7168B" w:rsidRPr="00D618B7" w:rsidRDefault="00E7168B" w:rsidP="004B11B7">
            <w:pPr>
              <w:jc w:val="right"/>
              <w:rPr>
                <w:color w:val="000000"/>
              </w:rPr>
            </w:pPr>
            <w:r w:rsidRPr="00D618B7">
              <w:rPr>
                <w:color w:val="000000"/>
              </w:rPr>
              <w:t>0.0002</w:t>
            </w:r>
          </w:p>
        </w:tc>
        <w:tc>
          <w:tcPr>
            <w:tcW w:w="1358" w:type="dxa"/>
            <w:tcBorders>
              <w:top w:val="nil"/>
              <w:left w:val="nil"/>
              <w:bottom w:val="nil"/>
              <w:right w:val="nil"/>
            </w:tcBorders>
            <w:shd w:val="clear" w:color="000000" w:fill="FFFFFF"/>
            <w:noWrap/>
            <w:vAlign w:val="bottom"/>
            <w:hideMark/>
          </w:tcPr>
          <w:p w14:paraId="628DB3A6" w14:textId="77777777" w:rsidR="00E7168B" w:rsidRPr="00D618B7" w:rsidRDefault="00E7168B" w:rsidP="004B11B7">
            <w:pPr>
              <w:jc w:val="right"/>
              <w:rPr>
                <w:color w:val="000000"/>
              </w:rPr>
            </w:pPr>
            <w:r w:rsidRPr="00D618B7">
              <w:rPr>
                <w:color w:val="000000"/>
              </w:rPr>
              <w:t>0.0002</w:t>
            </w:r>
          </w:p>
        </w:tc>
        <w:tc>
          <w:tcPr>
            <w:tcW w:w="1225" w:type="dxa"/>
            <w:tcBorders>
              <w:top w:val="nil"/>
              <w:left w:val="nil"/>
              <w:bottom w:val="nil"/>
              <w:right w:val="nil"/>
            </w:tcBorders>
            <w:shd w:val="clear" w:color="000000" w:fill="FFFFFF"/>
            <w:noWrap/>
            <w:vAlign w:val="bottom"/>
            <w:hideMark/>
          </w:tcPr>
          <w:p w14:paraId="7131CD34" w14:textId="77777777" w:rsidR="00E7168B" w:rsidRPr="00D618B7" w:rsidRDefault="00E7168B" w:rsidP="004B11B7">
            <w:pPr>
              <w:jc w:val="right"/>
              <w:rPr>
                <w:color w:val="000000"/>
              </w:rPr>
            </w:pPr>
            <w:r w:rsidRPr="00D618B7">
              <w:rPr>
                <w:color w:val="000000"/>
              </w:rPr>
              <w:t>0.0059</w:t>
            </w:r>
          </w:p>
        </w:tc>
        <w:tc>
          <w:tcPr>
            <w:tcW w:w="1321" w:type="dxa"/>
            <w:tcBorders>
              <w:top w:val="nil"/>
              <w:left w:val="nil"/>
              <w:bottom w:val="nil"/>
              <w:right w:val="nil"/>
            </w:tcBorders>
            <w:shd w:val="clear" w:color="000000" w:fill="FFFFFF"/>
            <w:noWrap/>
            <w:vAlign w:val="bottom"/>
            <w:hideMark/>
          </w:tcPr>
          <w:p w14:paraId="1E9A454B" w14:textId="77777777" w:rsidR="00E7168B" w:rsidRPr="00D618B7" w:rsidRDefault="00E7168B" w:rsidP="004B11B7">
            <w:pPr>
              <w:jc w:val="right"/>
              <w:rPr>
                <w:color w:val="000000"/>
              </w:rPr>
            </w:pPr>
            <w:r w:rsidRPr="00D618B7">
              <w:rPr>
                <w:color w:val="000000"/>
              </w:rPr>
              <w:t>0.0034</w:t>
            </w:r>
          </w:p>
        </w:tc>
      </w:tr>
      <w:tr w:rsidR="00E7168B" w:rsidRPr="00D618B7" w14:paraId="2D67C4B5" w14:textId="77777777" w:rsidTr="004B11B7">
        <w:trPr>
          <w:trHeight w:val="303"/>
        </w:trPr>
        <w:tc>
          <w:tcPr>
            <w:tcW w:w="1248" w:type="dxa"/>
            <w:tcBorders>
              <w:top w:val="nil"/>
              <w:left w:val="nil"/>
              <w:bottom w:val="nil"/>
              <w:right w:val="nil"/>
            </w:tcBorders>
            <w:shd w:val="clear" w:color="000000" w:fill="FFFFFF"/>
            <w:vAlign w:val="center"/>
            <w:hideMark/>
          </w:tcPr>
          <w:p w14:paraId="6B8B39D6" w14:textId="77777777" w:rsidR="00E7168B" w:rsidRPr="00D618B7" w:rsidRDefault="00E7168B"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bottom"/>
            <w:hideMark/>
          </w:tcPr>
          <w:p w14:paraId="5736BD34" w14:textId="77777777" w:rsidR="00E7168B" w:rsidRPr="00D618B7" w:rsidRDefault="00E7168B" w:rsidP="004B11B7">
            <w:pPr>
              <w:jc w:val="right"/>
              <w:rPr>
                <w:color w:val="000000"/>
              </w:rPr>
            </w:pPr>
            <w:r w:rsidRPr="00D618B7">
              <w:rPr>
                <w:color w:val="000000"/>
              </w:rPr>
              <w:t>0.0013</w:t>
            </w:r>
          </w:p>
        </w:tc>
        <w:tc>
          <w:tcPr>
            <w:tcW w:w="1418" w:type="dxa"/>
            <w:tcBorders>
              <w:top w:val="nil"/>
              <w:left w:val="nil"/>
              <w:bottom w:val="nil"/>
              <w:right w:val="nil"/>
            </w:tcBorders>
            <w:shd w:val="clear" w:color="000000" w:fill="FFFFFF"/>
            <w:noWrap/>
            <w:vAlign w:val="bottom"/>
            <w:hideMark/>
          </w:tcPr>
          <w:p w14:paraId="6A055479" w14:textId="77777777" w:rsidR="00E7168B" w:rsidRPr="00D618B7" w:rsidRDefault="00E7168B" w:rsidP="004B11B7">
            <w:pPr>
              <w:jc w:val="right"/>
              <w:rPr>
                <w:color w:val="000000"/>
              </w:rPr>
            </w:pPr>
            <w:r w:rsidRPr="00D618B7">
              <w:rPr>
                <w:color w:val="000000"/>
              </w:rPr>
              <w:t>0.0004</w:t>
            </w:r>
          </w:p>
        </w:tc>
        <w:tc>
          <w:tcPr>
            <w:tcW w:w="1138" w:type="dxa"/>
            <w:tcBorders>
              <w:top w:val="nil"/>
              <w:left w:val="nil"/>
              <w:bottom w:val="nil"/>
              <w:right w:val="nil"/>
            </w:tcBorders>
            <w:shd w:val="clear" w:color="000000" w:fill="FFFFFF"/>
            <w:noWrap/>
            <w:vAlign w:val="bottom"/>
            <w:hideMark/>
          </w:tcPr>
          <w:p w14:paraId="698684F7" w14:textId="77777777" w:rsidR="00E7168B" w:rsidRPr="00D618B7" w:rsidRDefault="00E7168B" w:rsidP="004B11B7">
            <w:pPr>
              <w:jc w:val="right"/>
              <w:rPr>
                <w:color w:val="000000"/>
              </w:rPr>
            </w:pPr>
            <w:r w:rsidRPr="00D618B7">
              <w:rPr>
                <w:color w:val="000000"/>
              </w:rPr>
              <w:t>0.0002</w:t>
            </w:r>
          </w:p>
        </w:tc>
        <w:tc>
          <w:tcPr>
            <w:tcW w:w="1358" w:type="dxa"/>
            <w:tcBorders>
              <w:top w:val="nil"/>
              <w:left w:val="nil"/>
              <w:bottom w:val="nil"/>
              <w:right w:val="nil"/>
            </w:tcBorders>
            <w:shd w:val="clear" w:color="000000" w:fill="FFFFFF"/>
            <w:noWrap/>
            <w:vAlign w:val="bottom"/>
            <w:hideMark/>
          </w:tcPr>
          <w:p w14:paraId="68A7DDDB" w14:textId="77777777" w:rsidR="00E7168B" w:rsidRPr="00D618B7" w:rsidRDefault="00E7168B" w:rsidP="004B11B7">
            <w:pPr>
              <w:jc w:val="right"/>
              <w:rPr>
                <w:color w:val="000000"/>
              </w:rPr>
            </w:pPr>
            <w:r w:rsidRPr="00D618B7">
              <w:rPr>
                <w:color w:val="000000"/>
              </w:rPr>
              <w:t>0.0002</w:t>
            </w:r>
          </w:p>
        </w:tc>
        <w:tc>
          <w:tcPr>
            <w:tcW w:w="1225" w:type="dxa"/>
            <w:tcBorders>
              <w:top w:val="nil"/>
              <w:left w:val="nil"/>
              <w:bottom w:val="nil"/>
              <w:right w:val="nil"/>
            </w:tcBorders>
            <w:shd w:val="clear" w:color="000000" w:fill="FFFFFF"/>
            <w:noWrap/>
            <w:vAlign w:val="bottom"/>
            <w:hideMark/>
          </w:tcPr>
          <w:p w14:paraId="0AF70A81" w14:textId="77777777" w:rsidR="00E7168B" w:rsidRPr="00D618B7" w:rsidRDefault="00E7168B" w:rsidP="004B11B7">
            <w:pPr>
              <w:jc w:val="right"/>
              <w:rPr>
                <w:color w:val="000000"/>
              </w:rPr>
            </w:pPr>
            <w:r w:rsidRPr="00D618B7">
              <w:rPr>
                <w:color w:val="000000"/>
              </w:rPr>
              <w:t>0.0166</w:t>
            </w:r>
          </w:p>
        </w:tc>
        <w:tc>
          <w:tcPr>
            <w:tcW w:w="1321" w:type="dxa"/>
            <w:tcBorders>
              <w:top w:val="nil"/>
              <w:left w:val="nil"/>
              <w:bottom w:val="nil"/>
              <w:right w:val="nil"/>
            </w:tcBorders>
            <w:shd w:val="clear" w:color="000000" w:fill="FFFFFF"/>
            <w:noWrap/>
            <w:vAlign w:val="bottom"/>
            <w:hideMark/>
          </w:tcPr>
          <w:p w14:paraId="425AB893" w14:textId="77777777" w:rsidR="00E7168B" w:rsidRPr="00D618B7" w:rsidRDefault="00E7168B" w:rsidP="004B11B7">
            <w:pPr>
              <w:jc w:val="right"/>
              <w:rPr>
                <w:color w:val="000000"/>
              </w:rPr>
            </w:pPr>
            <w:r w:rsidRPr="00D618B7">
              <w:rPr>
                <w:color w:val="000000"/>
              </w:rPr>
              <w:t>0.0039</w:t>
            </w:r>
          </w:p>
        </w:tc>
      </w:tr>
      <w:tr w:rsidR="00E7168B" w:rsidRPr="00D618B7" w14:paraId="6EC982E2" w14:textId="77777777" w:rsidTr="004B11B7">
        <w:trPr>
          <w:trHeight w:val="303"/>
        </w:trPr>
        <w:tc>
          <w:tcPr>
            <w:tcW w:w="1248" w:type="dxa"/>
            <w:tcBorders>
              <w:top w:val="nil"/>
              <w:left w:val="nil"/>
              <w:bottom w:val="nil"/>
              <w:right w:val="nil"/>
            </w:tcBorders>
            <w:shd w:val="clear" w:color="000000" w:fill="FFFFFF"/>
            <w:vAlign w:val="center"/>
            <w:hideMark/>
          </w:tcPr>
          <w:p w14:paraId="00F21D6A" w14:textId="77777777" w:rsidR="00E7168B" w:rsidRPr="00D618B7" w:rsidRDefault="00E7168B"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bottom"/>
            <w:hideMark/>
          </w:tcPr>
          <w:p w14:paraId="635F0DD3" w14:textId="77777777" w:rsidR="00E7168B" w:rsidRPr="00D618B7" w:rsidRDefault="00E7168B" w:rsidP="004B11B7">
            <w:pPr>
              <w:jc w:val="right"/>
              <w:rPr>
                <w:color w:val="000000"/>
              </w:rPr>
            </w:pPr>
            <w:r w:rsidRPr="00D618B7">
              <w:rPr>
                <w:color w:val="000000"/>
              </w:rPr>
              <w:t>-0.0003</w:t>
            </w:r>
          </w:p>
        </w:tc>
        <w:tc>
          <w:tcPr>
            <w:tcW w:w="1418" w:type="dxa"/>
            <w:tcBorders>
              <w:top w:val="nil"/>
              <w:left w:val="nil"/>
              <w:bottom w:val="nil"/>
              <w:right w:val="nil"/>
            </w:tcBorders>
            <w:shd w:val="clear" w:color="000000" w:fill="FFFFFF"/>
            <w:noWrap/>
            <w:vAlign w:val="bottom"/>
            <w:hideMark/>
          </w:tcPr>
          <w:p w14:paraId="50A238D6" w14:textId="77777777" w:rsidR="00E7168B" w:rsidRPr="00D618B7" w:rsidRDefault="00E7168B" w:rsidP="004B11B7">
            <w:pPr>
              <w:jc w:val="right"/>
              <w:rPr>
                <w:color w:val="000000"/>
              </w:rPr>
            </w:pPr>
            <w:r w:rsidRPr="00D618B7">
              <w:rPr>
                <w:color w:val="000000"/>
              </w:rPr>
              <w:t>0.0011</w:t>
            </w:r>
          </w:p>
        </w:tc>
        <w:tc>
          <w:tcPr>
            <w:tcW w:w="1138" w:type="dxa"/>
            <w:tcBorders>
              <w:top w:val="nil"/>
              <w:left w:val="nil"/>
              <w:bottom w:val="nil"/>
              <w:right w:val="nil"/>
            </w:tcBorders>
            <w:shd w:val="clear" w:color="000000" w:fill="FFFFFF"/>
            <w:noWrap/>
            <w:vAlign w:val="bottom"/>
            <w:hideMark/>
          </w:tcPr>
          <w:p w14:paraId="7A6B3F3B" w14:textId="77777777" w:rsidR="00E7168B" w:rsidRPr="00D618B7" w:rsidRDefault="00E7168B" w:rsidP="004B11B7">
            <w:pPr>
              <w:jc w:val="right"/>
              <w:rPr>
                <w:color w:val="000000"/>
              </w:rPr>
            </w:pPr>
            <w:r w:rsidRPr="00D618B7">
              <w:rPr>
                <w:color w:val="000000"/>
              </w:rPr>
              <w:t>0.0013</w:t>
            </w:r>
          </w:p>
        </w:tc>
        <w:tc>
          <w:tcPr>
            <w:tcW w:w="1358" w:type="dxa"/>
            <w:tcBorders>
              <w:top w:val="nil"/>
              <w:left w:val="nil"/>
              <w:bottom w:val="nil"/>
              <w:right w:val="nil"/>
            </w:tcBorders>
            <w:shd w:val="clear" w:color="000000" w:fill="FFFFFF"/>
            <w:noWrap/>
            <w:vAlign w:val="bottom"/>
            <w:hideMark/>
          </w:tcPr>
          <w:p w14:paraId="7F65C44C" w14:textId="77777777" w:rsidR="00E7168B" w:rsidRPr="00D618B7" w:rsidRDefault="00E7168B" w:rsidP="004B11B7">
            <w:pPr>
              <w:jc w:val="right"/>
              <w:rPr>
                <w:color w:val="000000"/>
              </w:rPr>
            </w:pPr>
            <w:r w:rsidRPr="00D618B7">
              <w:rPr>
                <w:color w:val="000000"/>
              </w:rPr>
              <w:t>0.0011</w:t>
            </w:r>
          </w:p>
        </w:tc>
        <w:tc>
          <w:tcPr>
            <w:tcW w:w="1225" w:type="dxa"/>
            <w:tcBorders>
              <w:top w:val="nil"/>
              <w:left w:val="nil"/>
              <w:bottom w:val="nil"/>
              <w:right w:val="nil"/>
            </w:tcBorders>
            <w:shd w:val="clear" w:color="000000" w:fill="FFFFFF"/>
            <w:noWrap/>
            <w:vAlign w:val="bottom"/>
            <w:hideMark/>
          </w:tcPr>
          <w:p w14:paraId="7E28A033" w14:textId="77777777" w:rsidR="00E7168B" w:rsidRPr="00D618B7" w:rsidRDefault="00E7168B" w:rsidP="004B11B7">
            <w:pPr>
              <w:jc w:val="right"/>
              <w:rPr>
                <w:color w:val="000000"/>
              </w:rPr>
            </w:pPr>
            <w:r w:rsidRPr="00D618B7">
              <w:rPr>
                <w:color w:val="000000"/>
              </w:rPr>
              <w:t>0.0067</w:t>
            </w:r>
          </w:p>
        </w:tc>
        <w:tc>
          <w:tcPr>
            <w:tcW w:w="1321" w:type="dxa"/>
            <w:tcBorders>
              <w:top w:val="nil"/>
              <w:left w:val="nil"/>
              <w:bottom w:val="nil"/>
              <w:right w:val="nil"/>
            </w:tcBorders>
            <w:shd w:val="clear" w:color="000000" w:fill="FFFFFF"/>
            <w:noWrap/>
            <w:vAlign w:val="bottom"/>
            <w:hideMark/>
          </w:tcPr>
          <w:p w14:paraId="7796C9D2" w14:textId="77777777" w:rsidR="00E7168B" w:rsidRPr="00D618B7" w:rsidRDefault="00E7168B" w:rsidP="004B11B7">
            <w:pPr>
              <w:jc w:val="right"/>
              <w:rPr>
                <w:color w:val="000000"/>
              </w:rPr>
            </w:pPr>
            <w:r w:rsidRPr="00D618B7">
              <w:rPr>
                <w:color w:val="000000"/>
              </w:rPr>
              <w:t>0.0029</w:t>
            </w:r>
          </w:p>
        </w:tc>
      </w:tr>
      <w:tr w:rsidR="00E7168B" w:rsidRPr="00D618B7" w14:paraId="1FB80F31" w14:textId="77777777" w:rsidTr="004B11B7">
        <w:trPr>
          <w:trHeight w:val="303"/>
        </w:trPr>
        <w:tc>
          <w:tcPr>
            <w:tcW w:w="1248" w:type="dxa"/>
            <w:tcBorders>
              <w:top w:val="nil"/>
              <w:left w:val="nil"/>
              <w:bottom w:val="nil"/>
              <w:right w:val="nil"/>
            </w:tcBorders>
            <w:shd w:val="clear" w:color="000000" w:fill="FFFFFF"/>
            <w:vAlign w:val="center"/>
            <w:hideMark/>
          </w:tcPr>
          <w:p w14:paraId="43AF1335" w14:textId="77777777" w:rsidR="00E7168B" w:rsidRPr="00D618B7" w:rsidRDefault="00E7168B"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bottom"/>
            <w:hideMark/>
          </w:tcPr>
          <w:p w14:paraId="2E80C2E1" w14:textId="77777777" w:rsidR="00E7168B" w:rsidRPr="00D618B7" w:rsidRDefault="00E7168B" w:rsidP="004B11B7">
            <w:pPr>
              <w:jc w:val="right"/>
              <w:rPr>
                <w:color w:val="000000"/>
              </w:rPr>
            </w:pPr>
            <w:r w:rsidRPr="00D618B7">
              <w:rPr>
                <w:color w:val="000000"/>
              </w:rPr>
              <w:t>0.0014</w:t>
            </w:r>
          </w:p>
        </w:tc>
        <w:tc>
          <w:tcPr>
            <w:tcW w:w="1418" w:type="dxa"/>
            <w:tcBorders>
              <w:top w:val="nil"/>
              <w:left w:val="nil"/>
              <w:bottom w:val="nil"/>
              <w:right w:val="nil"/>
            </w:tcBorders>
            <w:shd w:val="clear" w:color="000000" w:fill="FFFFFF"/>
            <w:noWrap/>
            <w:vAlign w:val="bottom"/>
            <w:hideMark/>
          </w:tcPr>
          <w:p w14:paraId="1CC0F76D" w14:textId="77777777" w:rsidR="00E7168B" w:rsidRPr="00D618B7" w:rsidRDefault="00E7168B" w:rsidP="004B11B7">
            <w:pPr>
              <w:jc w:val="right"/>
              <w:rPr>
                <w:color w:val="000000"/>
              </w:rPr>
            </w:pPr>
            <w:r w:rsidRPr="00D618B7">
              <w:rPr>
                <w:color w:val="000000"/>
              </w:rPr>
              <w:t>0.0003</w:t>
            </w:r>
          </w:p>
        </w:tc>
        <w:tc>
          <w:tcPr>
            <w:tcW w:w="1138" w:type="dxa"/>
            <w:tcBorders>
              <w:top w:val="nil"/>
              <w:left w:val="nil"/>
              <w:bottom w:val="nil"/>
              <w:right w:val="nil"/>
            </w:tcBorders>
            <w:shd w:val="clear" w:color="000000" w:fill="FFFFFF"/>
            <w:noWrap/>
            <w:vAlign w:val="bottom"/>
            <w:hideMark/>
          </w:tcPr>
          <w:p w14:paraId="31E0C13A" w14:textId="77777777" w:rsidR="00E7168B" w:rsidRPr="00D618B7" w:rsidRDefault="00E7168B" w:rsidP="004B11B7">
            <w:pPr>
              <w:jc w:val="right"/>
              <w:rPr>
                <w:color w:val="000000"/>
              </w:rPr>
            </w:pPr>
            <w:r w:rsidRPr="00D618B7">
              <w:rPr>
                <w:color w:val="000000"/>
              </w:rPr>
              <w:t>0.0007</w:t>
            </w:r>
          </w:p>
        </w:tc>
        <w:tc>
          <w:tcPr>
            <w:tcW w:w="1358" w:type="dxa"/>
            <w:tcBorders>
              <w:top w:val="nil"/>
              <w:left w:val="nil"/>
              <w:bottom w:val="nil"/>
              <w:right w:val="nil"/>
            </w:tcBorders>
            <w:shd w:val="clear" w:color="000000" w:fill="FFFFFF"/>
            <w:noWrap/>
            <w:vAlign w:val="bottom"/>
            <w:hideMark/>
          </w:tcPr>
          <w:p w14:paraId="1661A37E" w14:textId="77777777" w:rsidR="00E7168B" w:rsidRPr="00D618B7" w:rsidRDefault="00E7168B" w:rsidP="004B11B7">
            <w:pPr>
              <w:jc w:val="right"/>
              <w:rPr>
                <w:color w:val="000000"/>
              </w:rPr>
            </w:pPr>
            <w:r w:rsidRPr="00D618B7">
              <w:rPr>
                <w:color w:val="000000"/>
              </w:rPr>
              <w:t>0.0006</w:t>
            </w:r>
          </w:p>
        </w:tc>
        <w:tc>
          <w:tcPr>
            <w:tcW w:w="1225" w:type="dxa"/>
            <w:tcBorders>
              <w:top w:val="nil"/>
              <w:left w:val="nil"/>
              <w:bottom w:val="nil"/>
              <w:right w:val="nil"/>
            </w:tcBorders>
            <w:shd w:val="clear" w:color="000000" w:fill="FFFFFF"/>
            <w:noWrap/>
            <w:vAlign w:val="bottom"/>
            <w:hideMark/>
          </w:tcPr>
          <w:p w14:paraId="3AC9CEF2" w14:textId="77777777" w:rsidR="00E7168B" w:rsidRPr="00D618B7" w:rsidRDefault="00E7168B" w:rsidP="004B11B7">
            <w:pPr>
              <w:jc w:val="right"/>
              <w:rPr>
                <w:color w:val="000000"/>
              </w:rPr>
            </w:pPr>
            <w:r w:rsidRPr="00D618B7">
              <w:rPr>
                <w:color w:val="000000"/>
              </w:rPr>
              <w:t>0.0141</w:t>
            </w:r>
          </w:p>
        </w:tc>
        <w:tc>
          <w:tcPr>
            <w:tcW w:w="1321" w:type="dxa"/>
            <w:tcBorders>
              <w:top w:val="nil"/>
              <w:left w:val="nil"/>
              <w:bottom w:val="nil"/>
              <w:right w:val="nil"/>
            </w:tcBorders>
            <w:shd w:val="clear" w:color="000000" w:fill="FFFFFF"/>
            <w:noWrap/>
            <w:vAlign w:val="bottom"/>
            <w:hideMark/>
          </w:tcPr>
          <w:p w14:paraId="6B150044" w14:textId="77777777" w:rsidR="00E7168B" w:rsidRPr="00D618B7" w:rsidRDefault="00E7168B" w:rsidP="004B11B7">
            <w:pPr>
              <w:jc w:val="right"/>
              <w:rPr>
                <w:color w:val="000000"/>
              </w:rPr>
            </w:pPr>
            <w:r w:rsidRPr="00D618B7">
              <w:rPr>
                <w:color w:val="000000"/>
              </w:rPr>
              <w:t>0.0014</w:t>
            </w:r>
          </w:p>
        </w:tc>
      </w:tr>
      <w:tr w:rsidR="00E7168B" w:rsidRPr="00D618B7" w14:paraId="5A91023B" w14:textId="77777777" w:rsidTr="004B11B7">
        <w:trPr>
          <w:trHeight w:val="318"/>
        </w:trPr>
        <w:tc>
          <w:tcPr>
            <w:tcW w:w="1248" w:type="dxa"/>
            <w:tcBorders>
              <w:top w:val="nil"/>
              <w:left w:val="nil"/>
              <w:bottom w:val="single" w:sz="8" w:space="0" w:color="auto"/>
              <w:right w:val="nil"/>
            </w:tcBorders>
            <w:shd w:val="clear" w:color="000000" w:fill="FFFFFF"/>
            <w:vAlign w:val="center"/>
            <w:hideMark/>
          </w:tcPr>
          <w:p w14:paraId="732B8039" w14:textId="77777777" w:rsidR="00E7168B" w:rsidRPr="00D618B7" w:rsidRDefault="00E7168B" w:rsidP="004B11B7">
            <w:pPr>
              <w:jc w:val="right"/>
              <w:rPr>
                <w:color w:val="000000"/>
              </w:rPr>
            </w:pPr>
            <w:r w:rsidRPr="00D618B7">
              <w:rPr>
                <w:color w:val="000000"/>
              </w:rPr>
              <w:t>5</w:t>
            </w:r>
          </w:p>
        </w:tc>
        <w:tc>
          <w:tcPr>
            <w:tcW w:w="1080" w:type="dxa"/>
            <w:tcBorders>
              <w:top w:val="nil"/>
              <w:left w:val="nil"/>
              <w:bottom w:val="single" w:sz="8" w:space="0" w:color="auto"/>
              <w:right w:val="nil"/>
            </w:tcBorders>
            <w:shd w:val="clear" w:color="000000" w:fill="FFFFFF"/>
            <w:noWrap/>
            <w:vAlign w:val="bottom"/>
            <w:hideMark/>
          </w:tcPr>
          <w:p w14:paraId="66E2F81A" w14:textId="77777777" w:rsidR="00E7168B" w:rsidRPr="00D618B7" w:rsidRDefault="00E7168B" w:rsidP="004B11B7">
            <w:pPr>
              <w:jc w:val="right"/>
              <w:rPr>
                <w:color w:val="000000"/>
              </w:rPr>
            </w:pPr>
            <w:r w:rsidRPr="00D618B7">
              <w:rPr>
                <w:color w:val="000000"/>
              </w:rPr>
              <w:t>0.0005</w:t>
            </w:r>
          </w:p>
        </w:tc>
        <w:tc>
          <w:tcPr>
            <w:tcW w:w="1418" w:type="dxa"/>
            <w:tcBorders>
              <w:top w:val="nil"/>
              <w:left w:val="nil"/>
              <w:bottom w:val="single" w:sz="8" w:space="0" w:color="auto"/>
              <w:right w:val="nil"/>
            </w:tcBorders>
            <w:shd w:val="clear" w:color="000000" w:fill="FFFFFF"/>
            <w:noWrap/>
            <w:vAlign w:val="bottom"/>
            <w:hideMark/>
          </w:tcPr>
          <w:p w14:paraId="2C54DEC7" w14:textId="77777777" w:rsidR="00E7168B" w:rsidRPr="00D618B7" w:rsidRDefault="00E7168B" w:rsidP="004B11B7">
            <w:pPr>
              <w:jc w:val="right"/>
              <w:rPr>
                <w:color w:val="000000"/>
              </w:rPr>
            </w:pPr>
            <w:r w:rsidRPr="00D618B7">
              <w:rPr>
                <w:color w:val="000000"/>
              </w:rPr>
              <w:t>0.0001</w:t>
            </w:r>
          </w:p>
        </w:tc>
        <w:tc>
          <w:tcPr>
            <w:tcW w:w="1138" w:type="dxa"/>
            <w:tcBorders>
              <w:top w:val="nil"/>
              <w:left w:val="nil"/>
              <w:bottom w:val="single" w:sz="8" w:space="0" w:color="auto"/>
              <w:right w:val="nil"/>
            </w:tcBorders>
            <w:shd w:val="clear" w:color="000000" w:fill="FFFFFF"/>
            <w:noWrap/>
            <w:vAlign w:val="bottom"/>
            <w:hideMark/>
          </w:tcPr>
          <w:p w14:paraId="4EF35042" w14:textId="77777777" w:rsidR="00E7168B" w:rsidRPr="00D618B7" w:rsidRDefault="00E7168B" w:rsidP="004B11B7">
            <w:pPr>
              <w:jc w:val="right"/>
              <w:rPr>
                <w:color w:val="000000"/>
              </w:rPr>
            </w:pPr>
            <w:r w:rsidRPr="00D618B7">
              <w:rPr>
                <w:color w:val="000000"/>
              </w:rPr>
              <w:t>0.0002</w:t>
            </w:r>
          </w:p>
        </w:tc>
        <w:tc>
          <w:tcPr>
            <w:tcW w:w="1358" w:type="dxa"/>
            <w:tcBorders>
              <w:top w:val="nil"/>
              <w:left w:val="nil"/>
              <w:bottom w:val="single" w:sz="8" w:space="0" w:color="auto"/>
              <w:right w:val="nil"/>
            </w:tcBorders>
            <w:shd w:val="clear" w:color="000000" w:fill="FFFFFF"/>
            <w:noWrap/>
            <w:vAlign w:val="bottom"/>
            <w:hideMark/>
          </w:tcPr>
          <w:p w14:paraId="675AD741" w14:textId="77777777" w:rsidR="00E7168B" w:rsidRPr="00D618B7" w:rsidRDefault="00E7168B" w:rsidP="004B11B7">
            <w:pPr>
              <w:jc w:val="right"/>
              <w:rPr>
                <w:color w:val="000000"/>
              </w:rPr>
            </w:pPr>
            <w:r w:rsidRPr="00D618B7">
              <w:rPr>
                <w:color w:val="000000"/>
              </w:rPr>
              <w:t>0.0003</w:t>
            </w:r>
          </w:p>
        </w:tc>
        <w:tc>
          <w:tcPr>
            <w:tcW w:w="1225" w:type="dxa"/>
            <w:tcBorders>
              <w:top w:val="nil"/>
              <w:left w:val="nil"/>
              <w:bottom w:val="single" w:sz="8" w:space="0" w:color="auto"/>
              <w:right w:val="nil"/>
            </w:tcBorders>
            <w:shd w:val="clear" w:color="000000" w:fill="FFFFFF"/>
            <w:noWrap/>
            <w:vAlign w:val="bottom"/>
            <w:hideMark/>
          </w:tcPr>
          <w:p w14:paraId="2300CC4E" w14:textId="77777777" w:rsidR="00E7168B" w:rsidRPr="00D618B7" w:rsidRDefault="00E7168B" w:rsidP="004B11B7">
            <w:pPr>
              <w:jc w:val="right"/>
              <w:rPr>
                <w:color w:val="000000"/>
              </w:rPr>
            </w:pPr>
            <w:r w:rsidRPr="00D618B7">
              <w:rPr>
                <w:color w:val="000000"/>
              </w:rPr>
              <w:t>0.0088</w:t>
            </w:r>
          </w:p>
        </w:tc>
        <w:tc>
          <w:tcPr>
            <w:tcW w:w="1321" w:type="dxa"/>
            <w:tcBorders>
              <w:top w:val="nil"/>
              <w:left w:val="nil"/>
              <w:bottom w:val="single" w:sz="8" w:space="0" w:color="auto"/>
              <w:right w:val="nil"/>
            </w:tcBorders>
            <w:shd w:val="clear" w:color="000000" w:fill="FFFFFF"/>
            <w:noWrap/>
            <w:vAlign w:val="bottom"/>
            <w:hideMark/>
          </w:tcPr>
          <w:p w14:paraId="70AA9131" w14:textId="77777777" w:rsidR="00E7168B" w:rsidRPr="00D618B7" w:rsidRDefault="00E7168B" w:rsidP="004B11B7">
            <w:pPr>
              <w:jc w:val="right"/>
              <w:rPr>
                <w:color w:val="000000"/>
              </w:rPr>
            </w:pPr>
            <w:r w:rsidRPr="00D618B7">
              <w:rPr>
                <w:color w:val="000000"/>
              </w:rPr>
              <w:t>0.0002</w:t>
            </w:r>
          </w:p>
        </w:tc>
      </w:tr>
    </w:tbl>
    <w:p w14:paraId="080F6DF9" w14:textId="77777777" w:rsidR="00E7168B" w:rsidRPr="00D618B7" w:rsidRDefault="00E7168B" w:rsidP="00E7168B"/>
    <w:p w14:paraId="52FAA972" w14:textId="77777777" w:rsidR="00E7168B" w:rsidRPr="00D618B7" w:rsidRDefault="00E7168B" w:rsidP="00E7168B">
      <w:r w:rsidRPr="00D618B7">
        <w:rPr>
          <w:i/>
          <w:iCs/>
        </w:rPr>
        <w:t>Note</w:t>
      </w:r>
      <w:r w:rsidRPr="00D618B7">
        <w:t>: This table lists the estimated mean rate and standard error of face, hand, and mouth events per trial for each week of observation around reach-onset by group.</w:t>
      </w:r>
    </w:p>
    <w:p w14:paraId="754358E5" w14:textId="77777777" w:rsidR="00E7168B" w:rsidRPr="00D618B7" w:rsidRDefault="00E7168B" w:rsidP="00E7168B">
      <w:r w:rsidRPr="00D618B7">
        <w:br w:type="page"/>
      </w:r>
    </w:p>
    <w:p w14:paraId="7D8DF8BC" w14:textId="2AD9EA0F" w:rsidR="00E7168B" w:rsidRPr="00D618B7" w:rsidRDefault="00E7168B" w:rsidP="007C5074">
      <w:pPr>
        <w:pStyle w:val="Caption"/>
      </w:pPr>
      <w:bookmarkStart w:id="200" w:name="_Toc172716885"/>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57</w:t>
      </w:r>
      <w:r w:rsidR="00000000">
        <w:rPr>
          <w:noProof/>
        </w:rPr>
        <w:fldChar w:fldCharType="end"/>
      </w:r>
      <w:r w:rsidR="00940E58">
        <w:rPr>
          <w:noProof/>
        </w:rPr>
        <w:t>:</w:t>
      </w:r>
      <w:r w:rsidR="00205741" w:rsidRPr="00205741">
        <w:t xml:space="preserve"> </w:t>
      </w:r>
      <w:r w:rsidR="00205741">
        <w:t>Event rate</w:t>
      </w:r>
      <w:r w:rsidR="00205741" w:rsidRPr="00BA36EF">
        <w:t xml:space="preserve"> by</w:t>
      </w:r>
      <w:r w:rsidR="00205741">
        <w:t xml:space="preserve"> proximity and week by group</w:t>
      </w:r>
      <w:bookmarkEnd w:id="200"/>
    </w:p>
    <w:p w14:paraId="7EE86CA8" w14:textId="0FFACE21" w:rsidR="00E7168B" w:rsidRPr="00D618B7" w:rsidRDefault="00E7168B" w:rsidP="00E7168B">
      <w:r w:rsidRPr="00D618B7">
        <w:t>Estimated Mean Rate of Events per Trial by Proximity</w:t>
      </w:r>
      <w:r w:rsidR="00205741">
        <w:t xml:space="preserve"> and</w:t>
      </w:r>
      <w:r w:rsidRPr="00D618B7">
        <w:t xml:space="preserve"> Week</w:t>
      </w:r>
      <w:r w:rsidR="00205741">
        <w:t xml:space="preserve"> by</w:t>
      </w:r>
      <w:r w:rsidRPr="00D618B7">
        <w:t xml:space="preserve"> Group</w:t>
      </w:r>
    </w:p>
    <w:tbl>
      <w:tblPr>
        <w:tblW w:w="7952" w:type="dxa"/>
        <w:tblLook w:val="04A0" w:firstRow="1" w:lastRow="0" w:firstColumn="1" w:lastColumn="0" w:noHBand="0" w:noVBand="1"/>
      </w:tblPr>
      <w:tblGrid>
        <w:gridCol w:w="1136"/>
        <w:gridCol w:w="1035"/>
        <w:gridCol w:w="1237"/>
        <w:gridCol w:w="1035"/>
        <w:gridCol w:w="1237"/>
        <w:gridCol w:w="1035"/>
        <w:gridCol w:w="1237"/>
      </w:tblGrid>
      <w:tr w:rsidR="000D55ED" w:rsidRPr="000D55ED" w14:paraId="1B5DB518" w14:textId="77777777" w:rsidTr="000D55ED">
        <w:trPr>
          <w:trHeight w:val="263"/>
        </w:trPr>
        <w:tc>
          <w:tcPr>
            <w:tcW w:w="1136" w:type="dxa"/>
            <w:tcBorders>
              <w:top w:val="nil"/>
              <w:left w:val="nil"/>
              <w:bottom w:val="nil"/>
              <w:right w:val="nil"/>
            </w:tcBorders>
            <w:shd w:val="clear" w:color="000000" w:fill="FFFFFF"/>
            <w:vAlign w:val="center"/>
            <w:hideMark/>
          </w:tcPr>
          <w:p w14:paraId="1E136B4B" w14:textId="77777777" w:rsidR="000D55ED" w:rsidRPr="000D55ED" w:rsidRDefault="000D55ED" w:rsidP="000D55ED">
            <w:pPr>
              <w:rPr>
                <w:color w:val="000000"/>
                <w:sz w:val="22"/>
                <w:szCs w:val="22"/>
              </w:rPr>
            </w:pPr>
            <w:r w:rsidRPr="000D55ED">
              <w:rPr>
                <w:color w:val="000000"/>
                <w:sz w:val="22"/>
                <w:szCs w:val="22"/>
              </w:rPr>
              <w:t>Week</w:t>
            </w:r>
          </w:p>
        </w:tc>
        <w:tc>
          <w:tcPr>
            <w:tcW w:w="2272" w:type="dxa"/>
            <w:gridSpan w:val="2"/>
            <w:tcBorders>
              <w:top w:val="nil"/>
              <w:left w:val="nil"/>
              <w:bottom w:val="single" w:sz="8" w:space="0" w:color="auto"/>
              <w:right w:val="nil"/>
            </w:tcBorders>
            <w:shd w:val="clear" w:color="000000" w:fill="FFFFFF"/>
            <w:vAlign w:val="center"/>
            <w:hideMark/>
          </w:tcPr>
          <w:p w14:paraId="6A07DC9B" w14:textId="77777777" w:rsidR="000D55ED" w:rsidRPr="000D55ED" w:rsidRDefault="000D55ED" w:rsidP="000D55ED">
            <w:pPr>
              <w:jc w:val="center"/>
              <w:rPr>
                <w:color w:val="000000"/>
                <w:sz w:val="22"/>
                <w:szCs w:val="22"/>
              </w:rPr>
            </w:pPr>
            <w:r w:rsidRPr="000D55ED">
              <w:rPr>
                <w:color w:val="000000"/>
                <w:sz w:val="22"/>
                <w:szCs w:val="22"/>
              </w:rPr>
              <w:t>Toy-out-of-Reach</w:t>
            </w:r>
          </w:p>
        </w:tc>
        <w:tc>
          <w:tcPr>
            <w:tcW w:w="2272" w:type="dxa"/>
            <w:gridSpan w:val="2"/>
            <w:tcBorders>
              <w:top w:val="nil"/>
              <w:left w:val="nil"/>
              <w:bottom w:val="single" w:sz="8" w:space="0" w:color="auto"/>
              <w:right w:val="nil"/>
            </w:tcBorders>
            <w:shd w:val="clear" w:color="000000" w:fill="FFFFFF"/>
            <w:vAlign w:val="center"/>
            <w:hideMark/>
          </w:tcPr>
          <w:p w14:paraId="4AA727A2" w14:textId="77777777" w:rsidR="000D55ED" w:rsidRPr="000D55ED" w:rsidRDefault="000D55ED" w:rsidP="000D55ED">
            <w:pPr>
              <w:jc w:val="center"/>
              <w:rPr>
                <w:color w:val="000000"/>
                <w:sz w:val="22"/>
                <w:szCs w:val="22"/>
              </w:rPr>
            </w:pPr>
            <w:r w:rsidRPr="000D55ED">
              <w:rPr>
                <w:color w:val="000000"/>
                <w:sz w:val="22"/>
                <w:szCs w:val="22"/>
              </w:rPr>
              <w:t>Toy-Moving-into-Reach</w:t>
            </w:r>
          </w:p>
        </w:tc>
        <w:tc>
          <w:tcPr>
            <w:tcW w:w="2272" w:type="dxa"/>
            <w:gridSpan w:val="2"/>
            <w:tcBorders>
              <w:top w:val="nil"/>
              <w:left w:val="nil"/>
              <w:bottom w:val="single" w:sz="8" w:space="0" w:color="auto"/>
              <w:right w:val="nil"/>
            </w:tcBorders>
            <w:shd w:val="clear" w:color="000000" w:fill="FFFFFF"/>
            <w:vAlign w:val="center"/>
            <w:hideMark/>
          </w:tcPr>
          <w:p w14:paraId="09A85F53" w14:textId="77777777" w:rsidR="000D55ED" w:rsidRPr="000D55ED" w:rsidRDefault="000D55ED" w:rsidP="000D55ED">
            <w:pPr>
              <w:jc w:val="center"/>
              <w:rPr>
                <w:color w:val="000000"/>
                <w:sz w:val="22"/>
                <w:szCs w:val="22"/>
              </w:rPr>
            </w:pPr>
            <w:r w:rsidRPr="000D55ED">
              <w:rPr>
                <w:color w:val="000000"/>
                <w:sz w:val="22"/>
                <w:szCs w:val="22"/>
              </w:rPr>
              <w:t>Toy-in-Reach</w:t>
            </w:r>
          </w:p>
        </w:tc>
      </w:tr>
      <w:tr w:rsidR="000D55ED" w:rsidRPr="00D618B7" w14:paraId="04572C7A" w14:textId="77777777" w:rsidTr="000D55ED">
        <w:trPr>
          <w:trHeight w:val="263"/>
        </w:trPr>
        <w:tc>
          <w:tcPr>
            <w:tcW w:w="1136" w:type="dxa"/>
            <w:tcBorders>
              <w:top w:val="nil"/>
              <w:left w:val="nil"/>
              <w:bottom w:val="single" w:sz="8" w:space="0" w:color="auto"/>
              <w:right w:val="nil"/>
            </w:tcBorders>
            <w:shd w:val="clear" w:color="000000" w:fill="FFFFFF"/>
            <w:noWrap/>
            <w:vAlign w:val="bottom"/>
            <w:hideMark/>
          </w:tcPr>
          <w:p w14:paraId="74F90733" w14:textId="77777777" w:rsidR="000D55ED" w:rsidRPr="000D55ED" w:rsidRDefault="000D55ED" w:rsidP="000D55ED">
            <w:pPr>
              <w:rPr>
                <w:color w:val="000000"/>
                <w:sz w:val="22"/>
                <w:szCs w:val="22"/>
              </w:rPr>
            </w:pPr>
            <w:r w:rsidRPr="000D55ED">
              <w:rPr>
                <w:color w:val="000000"/>
                <w:sz w:val="22"/>
                <w:szCs w:val="22"/>
              </w:rPr>
              <w:t> </w:t>
            </w:r>
          </w:p>
        </w:tc>
        <w:tc>
          <w:tcPr>
            <w:tcW w:w="1035" w:type="dxa"/>
            <w:tcBorders>
              <w:top w:val="nil"/>
              <w:left w:val="nil"/>
              <w:bottom w:val="single" w:sz="8" w:space="0" w:color="auto"/>
              <w:right w:val="nil"/>
            </w:tcBorders>
            <w:shd w:val="clear" w:color="000000" w:fill="FFFFFF"/>
            <w:noWrap/>
            <w:vAlign w:val="center"/>
            <w:hideMark/>
          </w:tcPr>
          <w:p w14:paraId="1096132F" w14:textId="77777777" w:rsidR="000D55ED" w:rsidRPr="000D55ED" w:rsidRDefault="000D55ED" w:rsidP="000D55ED">
            <w:pPr>
              <w:jc w:val="right"/>
              <w:rPr>
                <w:color w:val="000000"/>
                <w:sz w:val="22"/>
                <w:szCs w:val="22"/>
              </w:rPr>
            </w:pPr>
            <w:r w:rsidRPr="000D55ED">
              <w:rPr>
                <w:color w:val="000000"/>
                <w:sz w:val="22"/>
                <w:szCs w:val="22"/>
              </w:rPr>
              <w:t>Mean</w:t>
            </w:r>
          </w:p>
        </w:tc>
        <w:tc>
          <w:tcPr>
            <w:tcW w:w="1236" w:type="dxa"/>
            <w:tcBorders>
              <w:top w:val="nil"/>
              <w:left w:val="nil"/>
              <w:bottom w:val="single" w:sz="8" w:space="0" w:color="auto"/>
              <w:right w:val="nil"/>
            </w:tcBorders>
            <w:shd w:val="clear" w:color="000000" w:fill="FFFFFF"/>
            <w:noWrap/>
            <w:vAlign w:val="center"/>
            <w:hideMark/>
          </w:tcPr>
          <w:p w14:paraId="686ABC07" w14:textId="77777777" w:rsidR="000D55ED" w:rsidRPr="000D55ED" w:rsidRDefault="000D55ED" w:rsidP="000D55ED">
            <w:pPr>
              <w:jc w:val="right"/>
              <w:rPr>
                <w:color w:val="000000"/>
                <w:sz w:val="22"/>
                <w:szCs w:val="22"/>
              </w:rPr>
            </w:pPr>
            <w:r w:rsidRPr="000D55ED">
              <w:rPr>
                <w:color w:val="000000"/>
                <w:sz w:val="22"/>
                <w:szCs w:val="22"/>
              </w:rPr>
              <w:t>Std. Error</w:t>
            </w:r>
          </w:p>
        </w:tc>
        <w:tc>
          <w:tcPr>
            <w:tcW w:w="1035" w:type="dxa"/>
            <w:tcBorders>
              <w:top w:val="nil"/>
              <w:left w:val="nil"/>
              <w:bottom w:val="single" w:sz="8" w:space="0" w:color="auto"/>
              <w:right w:val="nil"/>
            </w:tcBorders>
            <w:shd w:val="clear" w:color="000000" w:fill="FFFFFF"/>
            <w:noWrap/>
            <w:vAlign w:val="center"/>
            <w:hideMark/>
          </w:tcPr>
          <w:p w14:paraId="61BC3D18" w14:textId="77777777" w:rsidR="000D55ED" w:rsidRPr="000D55ED" w:rsidRDefault="000D55ED" w:rsidP="000D55ED">
            <w:pPr>
              <w:jc w:val="right"/>
              <w:rPr>
                <w:color w:val="000000"/>
                <w:sz w:val="22"/>
                <w:szCs w:val="22"/>
              </w:rPr>
            </w:pPr>
            <w:r w:rsidRPr="000D55ED">
              <w:rPr>
                <w:color w:val="000000"/>
                <w:sz w:val="22"/>
                <w:szCs w:val="22"/>
              </w:rPr>
              <w:t>Mean</w:t>
            </w:r>
          </w:p>
        </w:tc>
        <w:tc>
          <w:tcPr>
            <w:tcW w:w="1236" w:type="dxa"/>
            <w:tcBorders>
              <w:top w:val="nil"/>
              <w:left w:val="nil"/>
              <w:bottom w:val="single" w:sz="8" w:space="0" w:color="auto"/>
              <w:right w:val="nil"/>
            </w:tcBorders>
            <w:shd w:val="clear" w:color="000000" w:fill="FFFFFF"/>
            <w:noWrap/>
            <w:vAlign w:val="center"/>
            <w:hideMark/>
          </w:tcPr>
          <w:p w14:paraId="0D80B8C9" w14:textId="77777777" w:rsidR="000D55ED" w:rsidRPr="000D55ED" w:rsidRDefault="000D55ED" w:rsidP="000D55ED">
            <w:pPr>
              <w:jc w:val="right"/>
              <w:rPr>
                <w:color w:val="000000"/>
                <w:sz w:val="22"/>
                <w:szCs w:val="22"/>
              </w:rPr>
            </w:pPr>
            <w:r w:rsidRPr="000D55ED">
              <w:rPr>
                <w:color w:val="000000"/>
                <w:sz w:val="22"/>
                <w:szCs w:val="22"/>
              </w:rPr>
              <w:t>Std. Error</w:t>
            </w:r>
          </w:p>
        </w:tc>
        <w:tc>
          <w:tcPr>
            <w:tcW w:w="1035" w:type="dxa"/>
            <w:tcBorders>
              <w:top w:val="nil"/>
              <w:left w:val="nil"/>
              <w:bottom w:val="single" w:sz="8" w:space="0" w:color="auto"/>
              <w:right w:val="nil"/>
            </w:tcBorders>
            <w:shd w:val="clear" w:color="000000" w:fill="FFFFFF"/>
            <w:noWrap/>
            <w:vAlign w:val="center"/>
            <w:hideMark/>
          </w:tcPr>
          <w:p w14:paraId="1E3D9C30" w14:textId="77777777" w:rsidR="000D55ED" w:rsidRPr="000D55ED" w:rsidRDefault="000D55ED" w:rsidP="000D55ED">
            <w:pPr>
              <w:jc w:val="right"/>
              <w:rPr>
                <w:color w:val="000000"/>
                <w:sz w:val="22"/>
                <w:szCs w:val="22"/>
              </w:rPr>
            </w:pPr>
            <w:r w:rsidRPr="000D55ED">
              <w:rPr>
                <w:color w:val="000000"/>
                <w:sz w:val="22"/>
                <w:szCs w:val="22"/>
              </w:rPr>
              <w:t>Mean</w:t>
            </w:r>
          </w:p>
        </w:tc>
        <w:tc>
          <w:tcPr>
            <w:tcW w:w="1236" w:type="dxa"/>
            <w:tcBorders>
              <w:top w:val="nil"/>
              <w:left w:val="nil"/>
              <w:bottom w:val="single" w:sz="8" w:space="0" w:color="auto"/>
              <w:right w:val="nil"/>
            </w:tcBorders>
            <w:shd w:val="clear" w:color="000000" w:fill="FFFFFF"/>
            <w:noWrap/>
            <w:vAlign w:val="center"/>
            <w:hideMark/>
          </w:tcPr>
          <w:p w14:paraId="3C9D9483" w14:textId="77777777" w:rsidR="000D55ED" w:rsidRPr="000D55ED" w:rsidRDefault="000D55ED" w:rsidP="000D55ED">
            <w:pPr>
              <w:jc w:val="right"/>
              <w:rPr>
                <w:color w:val="000000"/>
                <w:sz w:val="22"/>
                <w:szCs w:val="22"/>
              </w:rPr>
            </w:pPr>
            <w:r w:rsidRPr="000D55ED">
              <w:rPr>
                <w:color w:val="000000"/>
                <w:sz w:val="22"/>
                <w:szCs w:val="22"/>
              </w:rPr>
              <w:t>Std. Error</w:t>
            </w:r>
          </w:p>
        </w:tc>
      </w:tr>
      <w:tr w:rsidR="000D55ED" w:rsidRPr="000D55ED" w14:paraId="42AE2573" w14:textId="77777777" w:rsidTr="000D55ED">
        <w:trPr>
          <w:trHeight w:val="250"/>
        </w:trPr>
        <w:tc>
          <w:tcPr>
            <w:tcW w:w="1136" w:type="dxa"/>
            <w:tcBorders>
              <w:top w:val="nil"/>
              <w:left w:val="nil"/>
              <w:bottom w:val="nil"/>
              <w:right w:val="nil"/>
            </w:tcBorders>
            <w:shd w:val="clear" w:color="000000" w:fill="FFFFFF"/>
            <w:noWrap/>
            <w:vAlign w:val="bottom"/>
            <w:hideMark/>
          </w:tcPr>
          <w:p w14:paraId="1F51F15B" w14:textId="77777777" w:rsidR="000D55ED" w:rsidRPr="000D55ED" w:rsidRDefault="000D55ED" w:rsidP="000D55ED">
            <w:pPr>
              <w:rPr>
                <w:color w:val="000000"/>
                <w:sz w:val="22"/>
                <w:szCs w:val="22"/>
              </w:rPr>
            </w:pPr>
            <w:r w:rsidRPr="000D55ED">
              <w:rPr>
                <w:color w:val="000000"/>
                <w:sz w:val="22"/>
                <w:szCs w:val="22"/>
              </w:rPr>
              <w:t> </w:t>
            </w:r>
          </w:p>
        </w:tc>
        <w:tc>
          <w:tcPr>
            <w:tcW w:w="6816" w:type="dxa"/>
            <w:gridSpan w:val="6"/>
            <w:tcBorders>
              <w:top w:val="single" w:sz="8" w:space="0" w:color="auto"/>
              <w:left w:val="nil"/>
              <w:bottom w:val="nil"/>
              <w:right w:val="nil"/>
            </w:tcBorders>
            <w:shd w:val="clear" w:color="000000" w:fill="FFFFFF"/>
            <w:noWrap/>
            <w:vAlign w:val="center"/>
            <w:hideMark/>
          </w:tcPr>
          <w:p w14:paraId="25A4E9E8" w14:textId="77777777" w:rsidR="000D55ED" w:rsidRPr="000D55ED" w:rsidRDefault="000D55ED" w:rsidP="000D55ED">
            <w:pPr>
              <w:jc w:val="center"/>
              <w:rPr>
                <w:color w:val="000000"/>
                <w:sz w:val="22"/>
                <w:szCs w:val="22"/>
              </w:rPr>
            </w:pPr>
            <w:r w:rsidRPr="000D55ED">
              <w:rPr>
                <w:color w:val="000000"/>
                <w:sz w:val="22"/>
                <w:szCs w:val="22"/>
              </w:rPr>
              <w:t>Early Reach Group</w:t>
            </w:r>
          </w:p>
        </w:tc>
      </w:tr>
      <w:tr w:rsidR="000D55ED" w:rsidRPr="00D618B7" w14:paraId="50A4FB42" w14:textId="77777777" w:rsidTr="000D55ED">
        <w:trPr>
          <w:trHeight w:val="250"/>
        </w:trPr>
        <w:tc>
          <w:tcPr>
            <w:tcW w:w="1136" w:type="dxa"/>
            <w:tcBorders>
              <w:top w:val="nil"/>
              <w:left w:val="nil"/>
              <w:bottom w:val="nil"/>
              <w:right w:val="nil"/>
            </w:tcBorders>
            <w:shd w:val="clear" w:color="000000" w:fill="FFFFFF"/>
            <w:vAlign w:val="center"/>
            <w:hideMark/>
          </w:tcPr>
          <w:p w14:paraId="2DDF8126" w14:textId="77777777" w:rsidR="000D55ED" w:rsidRPr="000D55ED" w:rsidRDefault="000D55ED" w:rsidP="000D55ED">
            <w:pPr>
              <w:jc w:val="right"/>
              <w:rPr>
                <w:color w:val="000000"/>
                <w:sz w:val="22"/>
                <w:szCs w:val="22"/>
              </w:rPr>
            </w:pPr>
            <w:r w:rsidRPr="000D55ED">
              <w:rPr>
                <w:color w:val="000000"/>
                <w:sz w:val="22"/>
                <w:szCs w:val="22"/>
              </w:rPr>
              <w:t>-5</w:t>
            </w:r>
          </w:p>
        </w:tc>
        <w:tc>
          <w:tcPr>
            <w:tcW w:w="1035" w:type="dxa"/>
            <w:tcBorders>
              <w:top w:val="nil"/>
              <w:left w:val="nil"/>
              <w:bottom w:val="nil"/>
              <w:right w:val="nil"/>
            </w:tcBorders>
            <w:shd w:val="clear" w:color="000000" w:fill="FFFFFF"/>
            <w:noWrap/>
            <w:vAlign w:val="center"/>
            <w:hideMark/>
          </w:tcPr>
          <w:p w14:paraId="726A5682" w14:textId="77777777" w:rsidR="000D55ED" w:rsidRPr="000D55ED" w:rsidRDefault="000D55ED" w:rsidP="000D55ED">
            <w:pPr>
              <w:jc w:val="right"/>
              <w:rPr>
                <w:color w:val="000000"/>
                <w:sz w:val="22"/>
                <w:szCs w:val="22"/>
              </w:rPr>
            </w:pPr>
            <w:r w:rsidRPr="000D55ED">
              <w:rPr>
                <w:color w:val="000000"/>
                <w:sz w:val="22"/>
                <w:szCs w:val="22"/>
              </w:rPr>
              <w:t>0.0187</w:t>
            </w:r>
          </w:p>
        </w:tc>
        <w:tc>
          <w:tcPr>
            <w:tcW w:w="1236" w:type="dxa"/>
            <w:tcBorders>
              <w:top w:val="nil"/>
              <w:left w:val="nil"/>
              <w:bottom w:val="nil"/>
              <w:right w:val="nil"/>
            </w:tcBorders>
            <w:shd w:val="clear" w:color="000000" w:fill="FFFFFF"/>
            <w:noWrap/>
            <w:vAlign w:val="center"/>
            <w:hideMark/>
          </w:tcPr>
          <w:p w14:paraId="7485B2E8" w14:textId="77777777" w:rsidR="000D55ED" w:rsidRPr="000D55ED" w:rsidRDefault="000D55ED" w:rsidP="000D55ED">
            <w:pPr>
              <w:jc w:val="right"/>
              <w:rPr>
                <w:color w:val="000000"/>
                <w:sz w:val="22"/>
                <w:szCs w:val="22"/>
              </w:rPr>
            </w:pPr>
            <w:r w:rsidRPr="000D55ED">
              <w:rPr>
                <w:color w:val="000000"/>
                <w:sz w:val="22"/>
                <w:szCs w:val="22"/>
              </w:rPr>
              <w:t>0.0008</w:t>
            </w:r>
          </w:p>
        </w:tc>
        <w:tc>
          <w:tcPr>
            <w:tcW w:w="1035" w:type="dxa"/>
            <w:tcBorders>
              <w:top w:val="nil"/>
              <w:left w:val="nil"/>
              <w:bottom w:val="nil"/>
              <w:right w:val="nil"/>
            </w:tcBorders>
            <w:shd w:val="clear" w:color="000000" w:fill="FFFFFF"/>
            <w:noWrap/>
            <w:vAlign w:val="center"/>
            <w:hideMark/>
          </w:tcPr>
          <w:p w14:paraId="482D6DE2" w14:textId="77777777" w:rsidR="000D55ED" w:rsidRPr="000D55ED" w:rsidRDefault="000D55ED" w:rsidP="000D55ED">
            <w:pPr>
              <w:jc w:val="right"/>
              <w:rPr>
                <w:color w:val="000000"/>
                <w:sz w:val="22"/>
                <w:szCs w:val="22"/>
              </w:rPr>
            </w:pPr>
            <w:r w:rsidRPr="000D55ED">
              <w:rPr>
                <w:color w:val="000000"/>
                <w:sz w:val="22"/>
                <w:szCs w:val="22"/>
              </w:rPr>
              <w:t>0.0016</w:t>
            </w:r>
          </w:p>
        </w:tc>
        <w:tc>
          <w:tcPr>
            <w:tcW w:w="1236" w:type="dxa"/>
            <w:tcBorders>
              <w:top w:val="nil"/>
              <w:left w:val="nil"/>
              <w:bottom w:val="nil"/>
              <w:right w:val="nil"/>
            </w:tcBorders>
            <w:shd w:val="clear" w:color="000000" w:fill="FFFFFF"/>
            <w:noWrap/>
            <w:vAlign w:val="center"/>
            <w:hideMark/>
          </w:tcPr>
          <w:p w14:paraId="11DD5DD5" w14:textId="77777777" w:rsidR="000D55ED" w:rsidRPr="000D55ED" w:rsidRDefault="000D55ED" w:rsidP="000D55ED">
            <w:pPr>
              <w:jc w:val="right"/>
              <w:rPr>
                <w:color w:val="000000"/>
                <w:sz w:val="22"/>
                <w:szCs w:val="22"/>
              </w:rPr>
            </w:pPr>
            <w:r w:rsidRPr="000D55ED">
              <w:rPr>
                <w:color w:val="000000"/>
                <w:sz w:val="22"/>
                <w:szCs w:val="22"/>
              </w:rPr>
              <w:t>0.0009</w:t>
            </w:r>
          </w:p>
        </w:tc>
        <w:tc>
          <w:tcPr>
            <w:tcW w:w="1035" w:type="dxa"/>
            <w:tcBorders>
              <w:top w:val="nil"/>
              <w:left w:val="nil"/>
              <w:bottom w:val="nil"/>
              <w:right w:val="nil"/>
            </w:tcBorders>
            <w:shd w:val="clear" w:color="000000" w:fill="FFFFFF"/>
            <w:noWrap/>
            <w:vAlign w:val="center"/>
            <w:hideMark/>
          </w:tcPr>
          <w:p w14:paraId="746568FA" w14:textId="77777777" w:rsidR="000D55ED" w:rsidRPr="000D55ED" w:rsidRDefault="000D55ED" w:rsidP="000D55ED">
            <w:pPr>
              <w:jc w:val="right"/>
              <w:rPr>
                <w:color w:val="000000"/>
                <w:sz w:val="22"/>
                <w:szCs w:val="22"/>
              </w:rPr>
            </w:pPr>
            <w:r w:rsidRPr="000D55ED">
              <w:rPr>
                <w:color w:val="000000"/>
                <w:sz w:val="22"/>
                <w:szCs w:val="22"/>
              </w:rPr>
              <w:t>0.0106</w:t>
            </w:r>
          </w:p>
        </w:tc>
        <w:tc>
          <w:tcPr>
            <w:tcW w:w="1236" w:type="dxa"/>
            <w:tcBorders>
              <w:top w:val="nil"/>
              <w:left w:val="nil"/>
              <w:bottom w:val="nil"/>
              <w:right w:val="nil"/>
            </w:tcBorders>
            <w:shd w:val="clear" w:color="000000" w:fill="FFFFFF"/>
            <w:noWrap/>
            <w:vAlign w:val="center"/>
            <w:hideMark/>
          </w:tcPr>
          <w:p w14:paraId="71792C4A" w14:textId="77777777" w:rsidR="000D55ED" w:rsidRPr="000D55ED" w:rsidRDefault="000D55ED" w:rsidP="000D55ED">
            <w:pPr>
              <w:jc w:val="right"/>
              <w:rPr>
                <w:color w:val="000000"/>
                <w:sz w:val="22"/>
                <w:szCs w:val="22"/>
              </w:rPr>
            </w:pPr>
            <w:r w:rsidRPr="000D55ED">
              <w:rPr>
                <w:color w:val="000000"/>
                <w:sz w:val="22"/>
                <w:szCs w:val="22"/>
              </w:rPr>
              <w:t>0.0009</w:t>
            </w:r>
          </w:p>
        </w:tc>
      </w:tr>
      <w:tr w:rsidR="000D55ED" w:rsidRPr="00D618B7" w14:paraId="48DF2EE2" w14:textId="77777777" w:rsidTr="000D55ED">
        <w:trPr>
          <w:trHeight w:val="250"/>
        </w:trPr>
        <w:tc>
          <w:tcPr>
            <w:tcW w:w="1136" w:type="dxa"/>
            <w:tcBorders>
              <w:top w:val="nil"/>
              <w:left w:val="nil"/>
              <w:bottom w:val="nil"/>
              <w:right w:val="nil"/>
            </w:tcBorders>
            <w:shd w:val="clear" w:color="000000" w:fill="FFFFFF"/>
            <w:vAlign w:val="center"/>
            <w:hideMark/>
          </w:tcPr>
          <w:p w14:paraId="6447EDDD" w14:textId="77777777" w:rsidR="000D55ED" w:rsidRPr="000D55ED" w:rsidRDefault="000D55ED" w:rsidP="000D55ED">
            <w:pPr>
              <w:jc w:val="right"/>
              <w:rPr>
                <w:color w:val="000000"/>
                <w:sz w:val="22"/>
                <w:szCs w:val="22"/>
              </w:rPr>
            </w:pPr>
            <w:r w:rsidRPr="000D55ED">
              <w:rPr>
                <w:color w:val="000000"/>
                <w:sz w:val="22"/>
                <w:szCs w:val="22"/>
              </w:rPr>
              <w:t>-4</w:t>
            </w:r>
          </w:p>
        </w:tc>
        <w:tc>
          <w:tcPr>
            <w:tcW w:w="1035" w:type="dxa"/>
            <w:tcBorders>
              <w:top w:val="nil"/>
              <w:left w:val="nil"/>
              <w:bottom w:val="nil"/>
              <w:right w:val="nil"/>
            </w:tcBorders>
            <w:shd w:val="clear" w:color="000000" w:fill="FFFFFF"/>
            <w:noWrap/>
            <w:vAlign w:val="center"/>
            <w:hideMark/>
          </w:tcPr>
          <w:p w14:paraId="367D1DCA" w14:textId="77777777" w:rsidR="000D55ED" w:rsidRPr="000D55ED" w:rsidRDefault="000D55ED" w:rsidP="000D55ED">
            <w:pPr>
              <w:jc w:val="right"/>
              <w:rPr>
                <w:color w:val="000000"/>
                <w:sz w:val="22"/>
                <w:szCs w:val="22"/>
              </w:rPr>
            </w:pPr>
            <w:r w:rsidRPr="000D55ED">
              <w:rPr>
                <w:color w:val="000000"/>
                <w:sz w:val="22"/>
                <w:szCs w:val="22"/>
              </w:rPr>
              <w:t>0.0035</w:t>
            </w:r>
          </w:p>
        </w:tc>
        <w:tc>
          <w:tcPr>
            <w:tcW w:w="1236" w:type="dxa"/>
            <w:tcBorders>
              <w:top w:val="nil"/>
              <w:left w:val="nil"/>
              <w:bottom w:val="nil"/>
              <w:right w:val="nil"/>
            </w:tcBorders>
            <w:shd w:val="clear" w:color="000000" w:fill="FFFFFF"/>
            <w:noWrap/>
            <w:vAlign w:val="center"/>
            <w:hideMark/>
          </w:tcPr>
          <w:p w14:paraId="78EC9470" w14:textId="77777777" w:rsidR="000D55ED" w:rsidRPr="000D55ED" w:rsidRDefault="000D55ED" w:rsidP="000D55ED">
            <w:pPr>
              <w:jc w:val="right"/>
              <w:rPr>
                <w:color w:val="000000"/>
                <w:sz w:val="22"/>
                <w:szCs w:val="22"/>
              </w:rPr>
            </w:pPr>
            <w:r w:rsidRPr="000D55ED">
              <w:rPr>
                <w:color w:val="000000"/>
                <w:sz w:val="22"/>
                <w:szCs w:val="22"/>
              </w:rPr>
              <w:t>0.0004</w:t>
            </w:r>
          </w:p>
        </w:tc>
        <w:tc>
          <w:tcPr>
            <w:tcW w:w="1035" w:type="dxa"/>
            <w:tcBorders>
              <w:top w:val="nil"/>
              <w:left w:val="nil"/>
              <w:bottom w:val="nil"/>
              <w:right w:val="nil"/>
            </w:tcBorders>
            <w:shd w:val="clear" w:color="000000" w:fill="FFFFFF"/>
            <w:noWrap/>
            <w:vAlign w:val="center"/>
            <w:hideMark/>
          </w:tcPr>
          <w:p w14:paraId="27078686" w14:textId="77777777" w:rsidR="000D55ED" w:rsidRPr="000D55ED" w:rsidRDefault="000D55ED" w:rsidP="000D55ED">
            <w:pPr>
              <w:jc w:val="right"/>
              <w:rPr>
                <w:color w:val="000000"/>
                <w:sz w:val="22"/>
                <w:szCs w:val="22"/>
              </w:rPr>
            </w:pPr>
            <w:r w:rsidRPr="000D55ED">
              <w:rPr>
                <w:color w:val="000000"/>
                <w:sz w:val="22"/>
                <w:szCs w:val="22"/>
              </w:rPr>
              <w:t>-0.0012</w:t>
            </w:r>
          </w:p>
        </w:tc>
        <w:tc>
          <w:tcPr>
            <w:tcW w:w="1236" w:type="dxa"/>
            <w:tcBorders>
              <w:top w:val="nil"/>
              <w:left w:val="nil"/>
              <w:bottom w:val="nil"/>
              <w:right w:val="nil"/>
            </w:tcBorders>
            <w:shd w:val="clear" w:color="000000" w:fill="FFFFFF"/>
            <w:noWrap/>
            <w:vAlign w:val="center"/>
            <w:hideMark/>
          </w:tcPr>
          <w:p w14:paraId="66C083A4" w14:textId="77777777" w:rsidR="000D55ED" w:rsidRPr="000D55ED" w:rsidRDefault="000D55ED" w:rsidP="000D55ED">
            <w:pPr>
              <w:jc w:val="right"/>
              <w:rPr>
                <w:color w:val="000000"/>
                <w:sz w:val="22"/>
                <w:szCs w:val="22"/>
              </w:rPr>
            </w:pPr>
            <w:r w:rsidRPr="000D55ED">
              <w:rPr>
                <w:color w:val="000000"/>
                <w:sz w:val="22"/>
                <w:szCs w:val="22"/>
              </w:rPr>
              <w:t>0.0003</w:t>
            </w:r>
          </w:p>
        </w:tc>
        <w:tc>
          <w:tcPr>
            <w:tcW w:w="1035" w:type="dxa"/>
            <w:tcBorders>
              <w:top w:val="nil"/>
              <w:left w:val="nil"/>
              <w:bottom w:val="nil"/>
              <w:right w:val="nil"/>
            </w:tcBorders>
            <w:shd w:val="clear" w:color="000000" w:fill="FFFFFF"/>
            <w:noWrap/>
            <w:vAlign w:val="center"/>
            <w:hideMark/>
          </w:tcPr>
          <w:p w14:paraId="028716EE" w14:textId="77777777" w:rsidR="000D55ED" w:rsidRPr="000D55ED" w:rsidRDefault="000D55ED" w:rsidP="000D55ED">
            <w:pPr>
              <w:jc w:val="right"/>
              <w:rPr>
                <w:color w:val="000000"/>
                <w:sz w:val="22"/>
                <w:szCs w:val="22"/>
              </w:rPr>
            </w:pPr>
            <w:r w:rsidRPr="000D55ED">
              <w:rPr>
                <w:color w:val="000000"/>
                <w:sz w:val="22"/>
                <w:szCs w:val="22"/>
              </w:rPr>
              <w:t>-0.0002</w:t>
            </w:r>
          </w:p>
        </w:tc>
        <w:tc>
          <w:tcPr>
            <w:tcW w:w="1236" w:type="dxa"/>
            <w:tcBorders>
              <w:top w:val="nil"/>
              <w:left w:val="nil"/>
              <w:bottom w:val="nil"/>
              <w:right w:val="nil"/>
            </w:tcBorders>
            <w:shd w:val="clear" w:color="000000" w:fill="FFFFFF"/>
            <w:noWrap/>
            <w:vAlign w:val="center"/>
            <w:hideMark/>
          </w:tcPr>
          <w:p w14:paraId="13874E9A" w14:textId="77777777" w:rsidR="000D55ED" w:rsidRPr="000D55ED" w:rsidRDefault="000D55ED" w:rsidP="000D55ED">
            <w:pPr>
              <w:jc w:val="right"/>
              <w:rPr>
                <w:color w:val="000000"/>
                <w:sz w:val="22"/>
                <w:szCs w:val="22"/>
              </w:rPr>
            </w:pPr>
            <w:r w:rsidRPr="000D55ED">
              <w:rPr>
                <w:color w:val="000000"/>
                <w:sz w:val="22"/>
                <w:szCs w:val="22"/>
              </w:rPr>
              <w:t>0.0036</w:t>
            </w:r>
          </w:p>
        </w:tc>
      </w:tr>
      <w:tr w:rsidR="000D55ED" w:rsidRPr="00D618B7" w14:paraId="0217CB82" w14:textId="77777777" w:rsidTr="000D55ED">
        <w:trPr>
          <w:trHeight w:val="250"/>
        </w:trPr>
        <w:tc>
          <w:tcPr>
            <w:tcW w:w="1136" w:type="dxa"/>
            <w:tcBorders>
              <w:top w:val="nil"/>
              <w:left w:val="nil"/>
              <w:bottom w:val="nil"/>
              <w:right w:val="nil"/>
            </w:tcBorders>
            <w:shd w:val="clear" w:color="000000" w:fill="FFFFFF"/>
            <w:vAlign w:val="center"/>
            <w:hideMark/>
          </w:tcPr>
          <w:p w14:paraId="351662C7" w14:textId="77777777" w:rsidR="000D55ED" w:rsidRPr="000D55ED" w:rsidRDefault="000D55ED" w:rsidP="000D55ED">
            <w:pPr>
              <w:jc w:val="right"/>
              <w:rPr>
                <w:color w:val="000000"/>
                <w:sz w:val="22"/>
                <w:szCs w:val="22"/>
              </w:rPr>
            </w:pPr>
            <w:r w:rsidRPr="000D55ED">
              <w:rPr>
                <w:color w:val="000000"/>
                <w:sz w:val="22"/>
                <w:szCs w:val="22"/>
              </w:rPr>
              <w:t>-3</w:t>
            </w:r>
          </w:p>
        </w:tc>
        <w:tc>
          <w:tcPr>
            <w:tcW w:w="1035" w:type="dxa"/>
            <w:tcBorders>
              <w:top w:val="nil"/>
              <w:left w:val="nil"/>
              <w:bottom w:val="nil"/>
              <w:right w:val="nil"/>
            </w:tcBorders>
            <w:shd w:val="clear" w:color="000000" w:fill="FFFFFF"/>
            <w:noWrap/>
            <w:vAlign w:val="center"/>
            <w:hideMark/>
          </w:tcPr>
          <w:p w14:paraId="36D83B7E" w14:textId="77777777" w:rsidR="000D55ED" w:rsidRPr="000D55ED" w:rsidRDefault="000D55ED" w:rsidP="000D55ED">
            <w:pPr>
              <w:jc w:val="right"/>
              <w:rPr>
                <w:color w:val="000000"/>
                <w:sz w:val="22"/>
                <w:szCs w:val="22"/>
              </w:rPr>
            </w:pPr>
            <w:r w:rsidRPr="000D55ED">
              <w:rPr>
                <w:color w:val="000000"/>
                <w:sz w:val="22"/>
                <w:szCs w:val="22"/>
              </w:rPr>
              <w:t>0.0142</w:t>
            </w:r>
          </w:p>
        </w:tc>
        <w:tc>
          <w:tcPr>
            <w:tcW w:w="1236" w:type="dxa"/>
            <w:tcBorders>
              <w:top w:val="nil"/>
              <w:left w:val="nil"/>
              <w:bottom w:val="nil"/>
              <w:right w:val="nil"/>
            </w:tcBorders>
            <w:shd w:val="clear" w:color="000000" w:fill="FFFFFF"/>
            <w:noWrap/>
            <w:vAlign w:val="center"/>
            <w:hideMark/>
          </w:tcPr>
          <w:p w14:paraId="206F2A64" w14:textId="77777777" w:rsidR="000D55ED" w:rsidRPr="000D55ED" w:rsidRDefault="000D55ED" w:rsidP="000D55ED">
            <w:pPr>
              <w:jc w:val="right"/>
              <w:rPr>
                <w:color w:val="000000"/>
                <w:sz w:val="22"/>
                <w:szCs w:val="22"/>
              </w:rPr>
            </w:pPr>
            <w:r w:rsidRPr="000D55ED">
              <w:rPr>
                <w:color w:val="000000"/>
                <w:sz w:val="22"/>
                <w:szCs w:val="22"/>
              </w:rPr>
              <w:t>0.0011</w:t>
            </w:r>
          </w:p>
        </w:tc>
        <w:tc>
          <w:tcPr>
            <w:tcW w:w="1035" w:type="dxa"/>
            <w:tcBorders>
              <w:top w:val="nil"/>
              <w:left w:val="nil"/>
              <w:bottom w:val="nil"/>
              <w:right w:val="nil"/>
            </w:tcBorders>
            <w:shd w:val="clear" w:color="000000" w:fill="FFFFFF"/>
            <w:noWrap/>
            <w:vAlign w:val="center"/>
            <w:hideMark/>
          </w:tcPr>
          <w:p w14:paraId="63B9FB18" w14:textId="77777777" w:rsidR="000D55ED" w:rsidRPr="000D55ED" w:rsidRDefault="000D55ED" w:rsidP="000D55ED">
            <w:pPr>
              <w:jc w:val="right"/>
              <w:rPr>
                <w:color w:val="000000"/>
                <w:sz w:val="22"/>
                <w:szCs w:val="22"/>
              </w:rPr>
            </w:pPr>
            <w:r w:rsidRPr="000D55ED">
              <w:rPr>
                <w:color w:val="000000"/>
                <w:sz w:val="22"/>
                <w:szCs w:val="22"/>
              </w:rPr>
              <w:t>0.0010</w:t>
            </w:r>
          </w:p>
        </w:tc>
        <w:tc>
          <w:tcPr>
            <w:tcW w:w="1236" w:type="dxa"/>
            <w:tcBorders>
              <w:top w:val="nil"/>
              <w:left w:val="nil"/>
              <w:bottom w:val="nil"/>
              <w:right w:val="nil"/>
            </w:tcBorders>
            <w:shd w:val="clear" w:color="000000" w:fill="FFFFFF"/>
            <w:noWrap/>
            <w:vAlign w:val="center"/>
            <w:hideMark/>
          </w:tcPr>
          <w:p w14:paraId="70E2AD78" w14:textId="77777777" w:rsidR="000D55ED" w:rsidRPr="000D55ED" w:rsidRDefault="000D55ED" w:rsidP="000D55ED">
            <w:pPr>
              <w:jc w:val="right"/>
              <w:rPr>
                <w:color w:val="000000"/>
                <w:sz w:val="22"/>
                <w:szCs w:val="22"/>
              </w:rPr>
            </w:pPr>
            <w:r w:rsidRPr="000D55ED">
              <w:rPr>
                <w:color w:val="000000"/>
                <w:sz w:val="22"/>
                <w:szCs w:val="22"/>
              </w:rPr>
              <w:t>0.0005</w:t>
            </w:r>
          </w:p>
        </w:tc>
        <w:tc>
          <w:tcPr>
            <w:tcW w:w="1035" w:type="dxa"/>
            <w:tcBorders>
              <w:top w:val="nil"/>
              <w:left w:val="nil"/>
              <w:bottom w:val="nil"/>
              <w:right w:val="nil"/>
            </w:tcBorders>
            <w:shd w:val="clear" w:color="000000" w:fill="FFFFFF"/>
            <w:noWrap/>
            <w:vAlign w:val="center"/>
            <w:hideMark/>
          </w:tcPr>
          <w:p w14:paraId="4325C80F" w14:textId="77777777" w:rsidR="000D55ED" w:rsidRPr="000D55ED" w:rsidRDefault="000D55ED" w:rsidP="000D55ED">
            <w:pPr>
              <w:jc w:val="right"/>
              <w:rPr>
                <w:color w:val="000000"/>
                <w:sz w:val="22"/>
                <w:szCs w:val="22"/>
              </w:rPr>
            </w:pPr>
            <w:r w:rsidRPr="000D55ED">
              <w:rPr>
                <w:color w:val="000000"/>
                <w:sz w:val="22"/>
                <w:szCs w:val="22"/>
              </w:rPr>
              <w:t>0.0021</w:t>
            </w:r>
          </w:p>
        </w:tc>
        <w:tc>
          <w:tcPr>
            <w:tcW w:w="1236" w:type="dxa"/>
            <w:tcBorders>
              <w:top w:val="nil"/>
              <w:left w:val="nil"/>
              <w:bottom w:val="nil"/>
              <w:right w:val="nil"/>
            </w:tcBorders>
            <w:shd w:val="clear" w:color="000000" w:fill="FFFFFF"/>
            <w:noWrap/>
            <w:vAlign w:val="center"/>
            <w:hideMark/>
          </w:tcPr>
          <w:p w14:paraId="1B78BDD8" w14:textId="77777777" w:rsidR="000D55ED" w:rsidRPr="000D55ED" w:rsidRDefault="000D55ED" w:rsidP="000D55ED">
            <w:pPr>
              <w:jc w:val="right"/>
              <w:rPr>
                <w:color w:val="000000"/>
                <w:sz w:val="22"/>
                <w:szCs w:val="22"/>
              </w:rPr>
            </w:pPr>
            <w:r w:rsidRPr="000D55ED">
              <w:rPr>
                <w:color w:val="000000"/>
                <w:sz w:val="22"/>
                <w:szCs w:val="22"/>
              </w:rPr>
              <w:t>0.0037</w:t>
            </w:r>
          </w:p>
        </w:tc>
      </w:tr>
      <w:tr w:rsidR="000D55ED" w:rsidRPr="00D618B7" w14:paraId="6BAD0416" w14:textId="77777777" w:rsidTr="000D55ED">
        <w:trPr>
          <w:trHeight w:val="250"/>
        </w:trPr>
        <w:tc>
          <w:tcPr>
            <w:tcW w:w="1136" w:type="dxa"/>
            <w:tcBorders>
              <w:top w:val="nil"/>
              <w:left w:val="nil"/>
              <w:bottom w:val="nil"/>
              <w:right w:val="nil"/>
            </w:tcBorders>
            <w:shd w:val="clear" w:color="000000" w:fill="FFFFFF"/>
            <w:vAlign w:val="center"/>
            <w:hideMark/>
          </w:tcPr>
          <w:p w14:paraId="65E6EB01" w14:textId="77777777" w:rsidR="000D55ED" w:rsidRPr="000D55ED" w:rsidRDefault="000D55ED" w:rsidP="000D55ED">
            <w:pPr>
              <w:jc w:val="right"/>
              <w:rPr>
                <w:color w:val="000000"/>
                <w:sz w:val="22"/>
                <w:szCs w:val="22"/>
              </w:rPr>
            </w:pPr>
            <w:r w:rsidRPr="000D55ED">
              <w:rPr>
                <w:color w:val="000000"/>
                <w:sz w:val="22"/>
                <w:szCs w:val="22"/>
              </w:rPr>
              <w:t>-2</w:t>
            </w:r>
          </w:p>
        </w:tc>
        <w:tc>
          <w:tcPr>
            <w:tcW w:w="1035" w:type="dxa"/>
            <w:tcBorders>
              <w:top w:val="nil"/>
              <w:left w:val="nil"/>
              <w:bottom w:val="nil"/>
              <w:right w:val="nil"/>
            </w:tcBorders>
            <w:shd w:val="clear" w:color="000000" w:fill="FFFFFF"/>
            <w:noWrap/>
            <w:vAlign w:val="center"/>
            <w:hideMark/>
          </w:tcPr>
          <w:p w14:paraId="66D268B8" w14:textId="77777777" w:rsidR="000D55ED" w:rsidRPr="000D55ED" w:rsidRDefault="000D55ED" w:rsidP="000D55ED">
            <w:pPr>
              <w:jc w:val="right"/>
              <w:rPr>
                <w:color w:val="000000"/>
                <w:sz w:val="22"/>
                <w:szCs w:val="22"/>
              </w:rPr>
            </w:pPr>
            <w:r w:rsidRPr="000D55ED">
              <w:rPr>
                <w:color w:val="000000"/>
                <w:sz w:val="22"/>
                <w:szCs w:val="22"/>
              </w:rPr>
              <w:t>0.0089</w:t>
            </w:r>
          </w:p>
        </w:tc>
        <w:tc>
          <w:tcPr>
            <w:tcW w:w="1236" w:type="dxa"/>
            <w:tcBorders>
              <w:top w:val="nil"/>
              <w:left w:val="nil"/>
              <w:bottom w:val="nil"/>
              <w:right w:val="nil"/>
            </w:tcBorders>
            <w:shd w:val="clear" w:color="000000" w:fill="FFFFFF"/>
            <w:noWrap/>
            <w:vAlign w:val="center"/>
            <w:hideMark/>
          </w:tcPr>
          <w:p w14:paraId="31084624" w14:textId="77777777" w:rsidR="000D55ED" w:rsidRPr="000D55ED" w:rsidRDefault="000D55ED" w:rsidP="000D55ED">
            <w:pPr>
              <w:jc w:val="right"/>
              <w:rPr>
                <w:color w:val="000000"/>
                <w:sz w:val="22"/>
                <w:szCs w:val="22"/>
              </w:rPr>
            </w:pPr>
            <w:r w:rsidRPr="000D55ED">
              <w:rPr>
                <w:color w:val="000000"/>
                <w:sz w:val="22"/>
                <w:szCs w:val="22"/>
              </w:rPr>
              <w:t>0.0045</w:t>
            </w:r>
          </w:p>
        </w:tc>
        <w:tc>
          <w:tcPr>
            <w:tcW w:w="1035" w:type="dxa"/>
            <w:tcBorders>
              <w:top w:val="nil"/>
              <w:left w:val="nil"/>
              <w:bottom w:val="nil"/>
              <w:right w:val="nil"/>
            </w:tcBorders>
            <w:shd w:val="clear" w:color="000000" w:fill="FFFFFF"/>
            <w:noWrap/>
            <w:vAlign w:val="center"/>
            <w:hideMark/>
          </w:tcPr>
          <w:p w14:paraId="2577B11D" w14:textId="77777777" w:rsidR="000D55ED" w:rsidRPr="000D55ED" w:rsidRDefault="000D55ED" w:rsidP="000D55ED">
            <w:pPr>
              <w:jc w:val="right"/>
              <w:rPr>
                <w:color w:val="000000"/>
                <w:sz w:val="22"/>
                <w:szCs w:val="22"/>
              </w:rPr>
            </w:pPr>
            <w:r w:rsidRPr="000D55ED">
              <w:rPr>
                <w:color w:val="000000"/>
                <w:sz w:val="22"/>
                <w:szCs w:val="22"/>
              </w:rPr>
              <w:t>-0.0004</w:t>
            </w:r>
          </w:p>
        </w:tc>
        <w:tc>
          <w:tcPr>
            <w:tcW w:w="1236" w:type="dxa"/>
            <w:tcBorders>
              <w:top w:val="nil"/>
              <w:left w:val="nil"/>
              <w:bottom w:val="nil"/>
              <w:right w:val="nil"/>
            </w:tcBorders>
            <w:shd w:val="clear" w:color="000000" w:fill="FFFFFF"/>
            <w:noWrap/>
            <w:vAlign w:val="center"/>
            <w:hideMark/>
          </w:tcPr>
          <w:p w14:paraId="7BD27DCC" w14:textId="77777777" w:rsidR="000D55ED" w:rsidRPr="000D55ED" w:rsidRDefault="000D55ED" w:rsidP="000D55ED">
            <w:pPr>
              <w:jc w:val="right"/>
              <w:rPr>
                <w:color w:val="000000"/>
                <w:sz w:val="22"/>
                <w:szCs w:val="22"/>
              </w:rPr>
            </w:pPr>
            <w:r w:rsidRPr="000D55ED">
              <w:rPr>
                <w:color w:val="000000"/>
                <w:sz w:val="22"/>
                <w:szCs w:val="22"/>
              </w:rPr>
              <w:t>0.0006</w:t>
            </w:r>
          </w:p>
        </w:tc>
        <w:tc>
          <w:tcPr>
            <w:tcW w:w="1035" w:type="dxa"/>
            <w:tcBorders>
              <w:top w:val="nil"/>
              <w:left w:val="nil"/>
              <w:bottom w:val="nil"/>
              <w:right w:val="nil"/>
            </w:tcBorders>
            <w:shd w:val="clear" w:color="000000" w:fill="FFFFFF"/>
            <w:noWrap/>
            <w:vAlign w:val="center"/>
            <w:hideMark/>
          </w:tcPr>
          <w:p w14:paraId="5530FA43" w14:textId="77777777" w:rsidR="000D55ED" w:rsidRPr="000D55ED" w:rsidRDefault="000D55ED" w:rsidP="000D55ED">
            <w:pPr>
              <w:jc w:val="right"/>
              <w:rPr>
                <w:color w:val="000000"/>
                <w:sz w:val="22"/>
                <w:szCs w:val="22"/>
              </w:rPr>
            </w:pPr>
            <w:r w:rsidRPr="000D55ED">
              <w:rPr>
                <w:color w:val="000000"/>
                <w:sz w:val="22"/>
                <w:szCs w:val="22"/>
              </w:rPr>
              <w:t>0.0057</w:t>
            </w:r>
          </w:p>
        </w:tc>
        <w:tc>
          <w:tcPr>
            <w:tcW w:w="1236" w:type="dxa"/>
            <w:tcBorders>
              <w:top w:val="nil"/>
              <w:left w:val="nil"/>
              <w:bottom w:val="nil"/>
              <w:right w:val="nil"/>
            </w:tcBorders>
            <w:shd w:val="clear" w:color="000000" w:fill="FFFFFF"/>
            <w:noWrap/>
            <w:vAlign w:val="center"/>
            <w:hideMark/>
          </w:tcPr>
          <w:p w14:paraId="52FDBF9E" w14:textId="77777777" w:rsidR="000D55ED" w:rsidRPr="000D55ED" w:rsidRDefault="000D55ED" w:rsidP="000D55ED">
            <w:pPr>
              <w:jc w:val="right"/>
              <w:rPr>
                <w:color w:val="000000"/>
                <w:sz w:val="22"/>
                <w:szCs w:val="22"/>
              </w:rPr>
            </w:pPr>
            <w:r w:rsidRPr="000D55ED">
              <w:rPr>
                <w:color w:val="000000"/>
                <w:sz w:val="22"/>
                <w:szCs w:val="22"/>
              </w:rPr>
              <w:t>0.0054</w:t>
            </w:r>
          </w:p>
        </w:tc>
      </w:tr>
      <w:tr w:rsidR="000D55ED" w:rsidRPr="00D618B7" w14:paraId="2DE8FD32" w14:textId="77777777" w:rsidTr="000D55ED">
        <w:trPr>
          <w:trHeight w:val="250"/>
        </w:trPr>
        <w:tc>
          <w:tcPr>
            <w:tcW w:w="1136" w:type="dxa"/>
            <w:tcBorders>
              <w:top w:val="nil"/>
              <w:left w:val="nil"/>
              <w:bottom w:val="nil"/>
              <w:right w:val="nil"/>
            </w:tcBorders>
            <w:shd w:val="clear" w:color="000000" w:fill="FFFFFF"/>
            <w:vAlign w:val="center"/>
            <w:hideMark/>
          </w:tcPr>
          <w:p w14:paraId="6782AB36" w14:textId="77777777" w:rsidR="000D55ED" w:rsidRPr="000D55ED" w:rsidRDefault="000D55ED" w:rsidP="000D55ED">
            <w:pPr>
              <w:jc w:val="right"/>
              <w:rPr>
                <w:color w:val="000000"/>
                <w:sz w:val="22"/>
                <w:szCs w:val="22"/>
              </w:rPr>
            </w:pPr>
            <w:r w:rsidRPr="000D55ED">
              <w:rPr>
                <w:color w:val="000000"/>
                <w:sz w:val="22"/>
                <w:szCs w:val="22"/>
              </w:rPr>
              <w:t>-1</w:t>
            </w:r>
          </w:p>
        </w:tc>
        <w:tc>
          <w:tcPr>
            <w:tcW w:w="1035" w:type="dxa"/>
            <w:tcBorders>
              <w:top w:val="nil"/>
              <w:left w:val="nil"/>
              <w:bottom w:val="nil"/>
              <w:right w:val="nil"/>
            </w:tcBorders>
            <w:shd w:val="clear" w:color="000000" w:fill="FFFFFF"/>
            <w:noWrap/>
            <w:vAlign w:val="center"/>
            <w:hideMark/>
          </w:tcPr>
          <w:p w14:paraId="1AEF3420" w14:textId="77777777" w:rsidR="000D55ED" w:rsidRPr="000D55ED" w:rsidRDefault="000D55ED" w:rsidP="000D55ED">
            <w:pPr>
              <w:jc w:val="right"/>
              <w:rPr>
                <w:color w:val="000000"/>
                <w:sz w:val="22"/>
                <w:szCs w:val="22"/>
              </w:rPr>
            </w:pPr>
            <w:r w:rsidRPr="000D55ED">
              <w:rPr>
                <w:color w:val="000000"/>
                <w:sz w:val="22"/>
                <w:szCs w:val="22"/>
              </w:rPr>
              <w:t>0.0191</w:t>
            </w:r>
          </w:p>
        </w:tc>
        <w:tc>
          <w:tcPr>
            <w:tcW w:w="1236" w:type="dxa"/>
            <w:tcBorders>
              <w:top w:val="nil"/>
              <w:left w:val="nil"/>
              <w:bottom w:val="nil"/>
              <w:right w:val="nil"/>
            </w:tcBorders>
            <w:shd w:val="clear" w:color="000000" w:fill="FFFFFF"/>
            <w:noWrap/>
            <w:vAlign w:val="center"/>
            <w:hideMark/>
          </w:tcPr>
          <w:p w14:paraId="65AF6C9D" w14:textId="77777777" w:rsidR="000D55ED" w:rsidRPr="000D55ED" w:rsidRDefault="000D55ED" w:rsidP="000D55ED">
            <w:pPr>
              <w:jc w:val="right"/>
              <w:rPr>
                <w:color w:val="000000"/>
                <w:sz w:val="22"/>
                <w:szCs w:val="22"/>
              </w:rPr>
            </w:pPr>
            <w:r w:rsidRPr="000D55ED">
              <w:rPr>
                <w:color w:val="000000"/>
                <w:sz w:val="22"/>
                <w:szCs w:val="22"/>
              </w:rPr>
              <w:t>0.0004</w:t>
            </w:r>
          </w:p>
        </w:tc>
        <w:tc>
          <w:tcPr>
            <w:tcW w:w="1035" w:type="dxa"/>
            <w:tcBorders>
              <w:top w:val="nil"/>
              <w:left w:val="nil"/>
              <w:bottom w:val="nil"/>
              <w:right w:val="nil"/>
            </w:tcBorders>
            <w:shd w:val="clear" w:color="000000" w:fill="FFFFFF"/>
            <w:noWrap/>
            <w:vAlign w:val="center"/>
            <w:hideMark/>
          </w:tcPr>
          <w:p w14:paraId="15E6BDB2" w14:textId="77777777" w:rsidR="000D55ED" w:rsidRPr="000D55ED" w:rsidRDefault="000D55ED" w:rsidP="000D55ED">
            <w:pPr>
              <w:jc w:val="right"/>
              <w:rPr>
                <w:color w:val="000000"/>
                <w:sz w:val="22"/>
                <w:szCs w:val="22"/>
              </w:rPr>
            </w:pPr>
            <w:r w:rsidRPr="000D55ED">
              <w:rPr>
                <w:color w:val="000000"/>
                <w:sz w:val="22"/>
                <w:szCs w:val="22"/>
              </w:rPr>
              <w:t>0.0000</w:t>
            </w:r>
          </w:p>
        </w:tc>
        <w:tc>
          <w:tcPr>
            <w:tcW w:w="1236" w:type="dxa"/>
            <w:tcBorders>
              <w:top w:val="nil"/>
              <w:left w:val="nil"/>
              <w:bottom w:val="nil"/>
              <w:right w:val="nil"/>
            </w:tcBorders>
            <w:shd w:val="clear" w:color="000000" w:fill="FFFFFF"/>
            <w:noWrap/>
            <w:vAlign w:val="center"/>
            <w:hideMark/>
          </w:tcPr>
          <w:p w14:paraId="50081667" w14:textId="77777777" w:rsidR="000D55ED" w:rsidRPr="000D55ED" w:rsidRDefault="000D55ED" w:rsidP="000D55ED">
            <w:pPr>
              <w:jc w:val="right"/>
              <w:rPr>
                <w:color w:val="000000"/>
                <w:sz w:val="22"/>
                <w:szCs w:val="22"/>
              </w:rPr>
            </w:pPr>
            <w:r w:rsidRPr="000D55ED">
              <w:rPr>
                <w:color w:val="000000"/>
                <w:sz w:val="22"/>
                <w:szCs w:val="22"/>
              </w:rPr>
              <w:t>0.0006</w:t>
            </w:r>
          </w:p>
        </w:tc>
        <w:tc>
          <w:tcPr>
            <w:tcW w:w="1035" w:type="dxa"/>
            <w:tcBorders>
              <w:top w:val="nil"/>
              <w:left w:val="nil"/>
              <w:bottom w:val="nil"/>
              <w:right w:val="nil"/>
            </w:tcBorders>
            <w:shd w:val="clear" w:color="000000" w:fill="FFFFFF"/>
            <w:noWrap/>
            <w:vAlign w:val="center"/>
            <w:hideMark/>
          </w:tcPr>
          <w:p w14:paraId="615044DC" w14:textId="77777777" w:rsidR="000D55ED" w:rsidRPr="000D55ED" w:rsidRDefault="000D55ED" w:rsidP="000D55ED">
            <w:pPr>
              <w:jc w:val="right"/>
              <w:rPr>
                <w:color w:val="000000"/>
                <w:sz w:val="22"/>
                <w:szCs w:val="22"/>
              </w:rPr>
            </w:pPr>
            <w:r w:rsidRPr="000D55ED">
              <w:rPr>
                <w:color w:val="000000"/>
                <w:sz w:val="22"/>
                <w:szCs w:val="22"/>
              </w:rPr>
              <w:t>0.0015</w:t>
            </w:r>
          </w:p>
        </w:tc>
        <w:tc>
          <w:tcPr>
            <w:tcW w:w="1236" w:type="dxa"/>
            <w:tcBorders>
              <w:top w:val="nil"/>
              <w:left w:val="nil"/>
              <w:bottom w:val="nil"/>
              <w:right w:val="nil"/>
            </w:tcBorders>
            <w:shd w:val="clear" w:color="000000" w:fill="FFFFFF"/>
            <w:noWrap/>
            <w:vAlign w:val="center"/>
            <w:hideMark/>
          </w:tcPr>
          <w:p w14:paraId="5F6E84C9" w14:textId="77777777" w:rsidR="000D55ED" w:rsidRPr="000D55ED" w:rsidRDefault="000D55ED" w:rsidP="000D55ED">
            <w:pPr>
              <w:jc w:val="right"/>
              <w:rPr>
                <w:color w:val="000000"/>
                <w:sz w:val="22"/>
                <w:szCs w:val="22"/>
              </w:rPr>
            </w:pPr>
            <w:r w:rsidRPr="000D55ED">
              <w:rPr>
                <w:color w:val="000000"/>
                <w:sz w:val="22"/>
                <w:szCs w:val="22"/>
              </w:rPr>
              <w:t>0.0029</w:t>
            </w:r>
          </w:p>
        </w:tc>
      </w:tr>
      <w:tr w:rsidR="000D55ED" w:rsidRPr="00D618B7" w14:paraId="10FBEA96" w14:textId="77777777" w:rsidTr="000D55ED">
        <w:trPr>
          <w:trHeight w:val="250"/>
        </w:trPr>
        <w:tc>
          <w:tcPr>
            <w:tcW w:w="1136" w:type="dxa"/>
            <w:tcBorders>
              <w:top w:val="nil"/>
              <w:left w:val="nil"/>
              <w:bottom w:val="nil"/>
              <w:right w:val="nil"/>
            </w:tcBorders>
            <w:shd w:val="clear" w:color="000000" w:fill="FFFFFF"/>
            <w:vAlign w:val="center"/>
            <w:hideMark/>
          </w:tcPr>
          <w:p w14:paraId="5E462966" w14:textId="77777777" w:rsidR="000D55ED" w:rsidRPr="000D55ED" w:rsidRDefault="000D55ED" w:rsidP="000D55ED">
            <w:pPr>
              <w:jc w:val="right"/>
              <w:rPr>
                <w:color w:val="000000"/>
                <w:sz w:val="22"/>
                <w:szCs w:val="22"/>
              </w:rPr>
            </w:pPr>
            <w:r w:rsidRPr="000D55ED">
              <w:rPr>
                <w:color w:val="000000"/>
                <w:sz w:val="22"/>
                <w:szCs w:val="22"/>
              </w:rPr>
              <w:t>0</w:t>
            </w:r>
          </w:p>
        </w:tc>
        <w:tc>
          <w:tcPr>
            <w:tcW w:w="1035" w:type="dxa"/>
            <w:tcBorders>
              <w:top w:val="nil"/>
              <w:left w:val="nil"/>
              <w:bottom w:val="nil"/>
              <w:right w:val="nil"/>
            </w:tcBorders>
            <w:shd w:val="clear" w:color="000000" w:fill="FFFFFF"/>
            <w:noWrap/>
            <w:vAlign w:val="center"/>
            <w:hideMark/>
          </w:tcPr>
          <w:p w14:paraId="44AF1DC6" w14:textId="77777777" w:rsidR="000D55ED" w:rsidRPr="000D55ED" w:rsidRDefault="000D55ED" w:rsidP="000D55ED">
            <w:pPr>
              <w:jc w:val="right"/>
              <w:rPr>
                <w:color w:val="000000"/>
                <w:sz w:val="22"/>
                <w:szCs w:val="22"/>
              </w:rPr>
            </w:pPr>
            <w:r w:rsidRPr="000D55ED">
              <w:rPr>
                <w:color w:val="000000"/>
                <w:sz w:val="22"/>
                <w:szCs w:val="22"/>
              </w:rPr>
              <w:t>0.0123</w:t>
            </w:r>
          </w:p>
        </w:tc>
        <w:tc>
          <w:tcPr>
            <w:tcW w:w="1236" w:type="dxa"/>
            <w:tcBorders>
              <w:top w:val="nil"/>
              <w:left w:val="nil"/>
              <w:bottom w:val="nil"/>
              <w:right w:val="nil"/>
            </w:tcBorders>
            <w:shd w:val="clear" w:color="000000" w:fill="FFFFFF"/>
            <w:noWrap/>
            <w:vAlign w:val="center"/>
            <w:hideMark/>
          </w:tcPr>
          <w:p w14:paraId="0D16081B" w14:textId="77777777" w:rsidR="000D55ED" w:rsidRPr="000D55ED" w:rsidRDefault="000D55ED" w:rsidP="000D55ED">
            <w:pPr>
              <w:jc w:val="right"/>
              <w:rPr>
                <w:color w:val="000000"/>
                <w:sz w:val="22"/>
                <w:szCs w:val="22"/>
              </w:rPr>
            </w:pPr>
            <w:r w:rsidRPr="000D55ED">
              <w:rPr>
                <w:color w:val="000000"/>
                <w:sz w:val="22"/>
                <w:szCs w:val="22"/>
              </w:rPr>
              <w:t>0.0007</w:t>
            </w:r>
          </w:p>
        </w:tc>
        <w:tc>
          <w:tcPr>
            <w:tcW w:w="1035" w:type="dxa"/>
            <w:tcBorders>
              <w:top w:val="nil"/>
              <w:left w:val="nil"/>
              <w:bottom w:val="nil"/>
              <w:right w:val="nil"/>
            </w:tcBorders>
            <w:shd w:val="clear" w:color="000000" w:fill="FFFFFF"/>
            <w:noWrap/>
            <w:vAlign w:val="center"/>
            <w:hideMark/>
          </w:tcPr>
          <w:p w14:paraId="214198C0" w14:textId="77777777" w:rsidR="000D55ED" w:rsidRPr="000D55ED" w:rsidRDefault="000D55ED" w:rsidP="000D55ED">
            <w:pPr>
              <w:jc w:val="right"/>
              <w:rPr>
                <w:color w:val="000000"/>
                <w:sz w:val="22"/>
                <w:szCs w:val="22"/>
              </w:rPr>
            </w:pPr>
            <w:r w:rsidRPr="000D55ED">
              <w:rPr>
                <w:color w:val="000000"/>
                <w:sz w:val="22"/>
                <w:szCs w:val="22"/>
              </w:rPr>
              <w:t>0.0046</w:t>
            </w:r>
          </w:p>
        </w:tc>
        <w:tc>
          <w:tcPr>
            <w:tcW w:w="1236" w:type="dxa"/>
            <w:tcBorders>
              <w:top w:val="nil"/>
              <w:left w:val="nil"/>
              <w:bottom w:val="nil"/>
              <w:right w:val="nil"/>
            </w:tcBorders>
            <w:shd w:val="clear" w:color="000000" w:fill="FFFFFF"/>
            <w:noWrap/>
            <w:vAlign w:val="center"/>
            <w:hideMark/>
          </w:tcPr>
          <w:p w14:paraId="6C8DC647" w14:textId="77777777" w:rsidR="000D55ED" w:rsidRPr="000D55ED" w:rsidRDefault="000D55ED" w:rsidP="000D55ED">
            <w:pPr>
              <w:jc w:val="right"/>
              <w:rPr>
                <w:color w:val="000000"/>
                <w:sz w:val="22"/>
                <w:szCs w:val="22"/>
              </w:rPr>
            </w:pPr>
            <w:r w:rsidRPr="000D55ED">
              <w:rPr>
                <w:color w:val="000000"/>
                <w:sz w:val="22"/>
                <w:szCs w:val="22"/>
              </w:rPr>
              <w:t>0.0036</w:t>
            </w:r>
          </w:p>
        </w:tc>
        <w:tc>
          <w:tcPr>
            <w:tcW w:w="1035" w:type="dxa"/>
            <w:tcBorders>
              <w:top w:val="nil"/>
              <w:left w:val="nil"/>
              <w:bottom w:val="nil"/>
              <w:right w:val="nil"/>
            </w:tcBorders>
            <w:shd w:val="clear" w:color="000000" w:fill="FFFFFF"/>
            <w:noWrap/>
            <w:vAlign w:val="center"/>
            <w:hideMark/>
          </w:tcPr>
          <w:p w14:paraId="15FC8B68" w14:textId="77777777" w:rsidR="000D55ED" w:rsidRPr="000D55ED" w:rsidRDefault="000D55ED" w:rsidP="000D55ED">
            <w:pPr>
              <w:jc w:val="right"/>
              <w:rPr>
                <w:color w:val="000000"/>
                <w:sz w:val="22"/>
                <w:szCs w:val="22"/>
              </w:rPr>
            </w:pPr>
            <w:r w:rsidRPr="000D55ED">
              <w:rPr>
                <w:color w:val="000000"/>
                <w:sz w:val="22"/>
                <w:szCs w:val="22"/>
              </w:rPr>
              <w:t>-0.0012</w:t>
            </w:r>
          </w:p>
        </w:tc>
        <w:tc>
          <w:tcPr>
            <w:tcW w:w="1236" w:type="dxa"/>
            <w:tcBorders>
              <w:top w:val="nil"/>
              <w:left w:val="nil"/>
              <w:bottom w:val="nil"/>
              <w:right w:val="nil"/>
            </w:tcBorders>
            <w:shd w:val="clear" w:color="000000" w:fill="FFFFFF"/>
            <w:noWrap/>
            <w:vAlign w:val="center"/>
            <w:hideMark/>
          </w:tcPr>
          <w:p w14:paraId="147CC0C4" w14:textId="77777777" w:rsidR="000D55ED" w:rsidRPr="000D55ED" w:rsidRDefault="000D55ED" w:rsidP="000D55ED">
            <w:pPr>
              <w:jc w:val="right"/>
              <w:rPr>
                <w:color w:val="000000"/>
                <w:sz w:val="22"/>
                <w:szCs w:val="22"/>
              </w:rPr>
            </w:pPr>
            <w:r w:rsidRPr="000D55ED">
              <w:rPr>
                <w:color w:val="000000"/>
                <w:sz w:val="22"/>
                <w:szCs w:val="22"/>
              </w:rPr>
              <w:t>0.0044</w:t>
            </w:r>
          </w:p>
        </w:tc>
      </w:tr>
      <w:tr w:rsidR="000D55ED" w:rsidRPr="00D618B7" w14:paraId="426D6D70" w14:textId="77777777" w:rsidTr="000D55ED">
        <w:trPr>
          <w:trHeight w:val="250"/>
        </w:trPr>
        <w:tc>
          <w:tcPr>
            <w:tcW w:w="1136" w:type="dxa"/>
            <w:tcBorders>
              <w:top w:val="nil"/>
              <w:left w:val="nil"/>
              <w:bottom w:val="nil"/>
              <w:right w:val="nil"/>
            </w:tcBorders>
            <w:shd w:val="clear" w:color="000000" w:fill="FFFFFF"/>
            <w:vAlign w:val="center"/>
            <w:hideMark/>
          </w:tcPr>
          <w:p w14:paraId="2B6325A1" w14:textId="77777777" w:rsidR="000D55ED" w:rsidRPr="000D55ED" w:rsidRDefault="000D55ED" w:rsidP="000D55ED">
            <w:pPr>
              <w:jc w:val="right"/>
              <w:rPr>
                <w:color w:val="000000"/>
                <w:sz w:val="22"/>
                <w:szCs w:val="22"/>
              </w:rPr>
            </w:pPr>
            <w:r w:rsidRPr="000D55ED">
              <w:rPr>
                <w:color w:val="000000"/>
                <w:sz w:val="22"/>
                <w:szCs w:val="22"/>
              </w:rPr>
              <w:t>1</w:t>
            </w:r>
          </w:p>
        </w:tc>
        <w:tc>
          <w:tcPr>
            <w:tcW w:w="1035" w:type="dxa"/>
            <w:tcBorders>
              <w:top w:val="nil"/>
              <w:left w:val="nil"/>
              <w:bottom w:val="nil"/>
              <w:right w:val="nil"/>
            </w:tcBorders>
            <w:shd w:val="clear" w:color="000000" w:fill="FFFFFF"/>
            <w:noWrap/>
            <w:vAlign w:val="center"/>
            <w:hideMark/>
          </w:tcPr>
          <w:p w14:paraId="15A7609E" w14:textId="77777777" w:rsidR="000D55ED" w:rsidRPr="000D55ED" w:rsidRDefault="000D55ED" w:rsidP="000D55ED">
            <w:pPr>
              <w:jc w:val="right"/>
              <w:rPr>
                <w:color w:val="000000"/>
                <w:sz w:val="22"/>
                <w:szCs w:val="22"/>
              </w:rPr>
            </w:pPr>
            <w:r w:rsidRPr="000D55ED">
              <w:rPr>
                <w:color w:val="000000"/>
                <w:sz w:val="22"/>
                <w:szCs w:val="22"/>
              </w:rPr>
              <w:t>0.0144</w:t>
            </w:r>
          </w:p>
        </w:tc>
        <w:tc>
          <w:tcPr>
            <w:tcW w:w="1236" w:type="dxa"/>
            <w:tcBorders>
              <w:top w:val="nil"/>
              <w:left w:val="nil"/>
              <w:bottom w:val="nil"/>
              <w:right w:val="nil"/>
            </w:tcBorders>
            <w:shd w:val="clear" w:color="000000" w:fill="FFFFFF"/>
            <w:noWrap/>
            <w:vAlign w:val="center"/>
            <w:hideMark/>
          </w:tcPr>
          <w:p w14:paraId="513239AE" w14:textId="77777777" w:rsidR="000D55ED" w:rsidRPr="000D55ED" w:rsidRDefault="000D55ED" w:rsidP="000D55ED">
            <w:pPr>
              <w:jc w:val="right"/>
              <w:rPr>
                <w:color w:val="000000"/>
                <w:sz w:val="22"/>
                <w:szCs w:val="22"/>
              </w:rPr>
            </w:pPr>
            <w:r w:rsidRPr="000D55ED">
              <w:rPr>
                <w:color w:val="000000"/>
                <w:sz w:val="22"/>
                <w:szCs w:val="22"/>
              </w:rPr>
              <w:t>0.0027</w:t>
            </w:r>
          </w:p>
        </w:tc>
        <w:tc>
          <w:tcPr>
            <w:tcW w:w="1035" w:type="dxa"/>
            <w:tcBorders>
              <w:top w:val="nil"/>
              <w:left w:val="nil"/>
              <w:bottom w:val="nil"/>
              <w:right w:val="nil"/>
            </w:tcBorders>
            <w:shd w:val="clear" w:color="000000" w:fill="FFFFFF"/>
            <w:noWrap/>
            <w:vAlign w:val="center"/>
            <w:hideMark/>
          </w:tcPr>
          <w:p w14:paraId="0EDBAF77" w14:textId="77777777" w:rsidR="000D55ED" w:rsidRPr="000D55ED" w:rsidRDefault="000D55ED" w:rsidP="000D55ED">
            <w:pPr>
              <w:jc w:val="right"/>
              <w:rPr>
                <w:color w:val="000000"/>
                <w:sz w:val="22"/>
                <w:szCs w:val="22"/>
              </w:rPr>
            </w:pPr>
            <w:r w:rsidRPr="000D55ED">
              <w:rPr>
                <w:color w:val="000000"/>
                <w:sz w:val="22"/>
                <w:szCs w:val="22"/>
              </w:rPr>
              <w:t>0.0025</w:t>
            </w:r>
          </w:p>
        </w:tc>
        <w:tc>
          <w:tcPr>
            <w:tcW w:w="1236" w:type="dxa"/>
            <w:tcBorders>
              <w:top w:val="nil"/>
              <w:left w:val="nil"/>
              <w:bottom w:val="nil"/>
              <w:right w:val="nil"/>
            </w:tcBorders>
            <w:shd w:val="clear" w:color="000000" w:fill="FFFFFF"/>
            <w:noWrap/>
            <w:vAlign w:val="center"/>
            <w:hideMark/>
          </w:tcPr>
          <w:p w14:paraId="1CE7273F" w14:textId="77777777" w:rsidR="000D55ED" w:rsidRPr="000D55ED" w:rsidRDefault="000D55ED" w:rsidP="000D55ED">
            <w:pPr>
              <w:jc w:val="right"/>
              <w:rPr>
                <w:color w:val="000000"/>
                <w:sz w:val="22"/>
                <w:szCs w:val="22"/>
              </w:rPr>
            </w:pPr>
            <w:r w:rsidRPr="000D55ED">
              <w:rPr>
                <w:color w:val="000000"/>
                <w:sz w:val="22"/>
                <w:szCs w:val="22"/>
              </w:rPr>
              <w:t>0.0009</w:t>
            </w:r>
          </w:p>
        </w:tc>
        <w:tc>
          <w:tcPr>
            <w:tcW w:w="1035" w:type="dxa"/>
            <w:tcBorders>
              <w:top w:val="nil"/>
              <w:left w:val="nil"/>
              <w:bottom w:val="nil"/>
              <w:right w:val="nil"/>
            </w:tcBorders>
            <w:shd w:val="clear" w:color="000000" w:fill="FFFFFF"/>
            <w:noWrap/>
            <w:vAlign w:val="center"/>
            <w:hideMark/>
          </w:tcPr>
          <w:p w14:paraId="6AD96C82" w14:textId="77777777" w:rsidR="000D55ED" w:rsidRPr="000D55ED" w:rsidRDefault="000D55ED" w:rsidP="000D55ED">
            <w:pPr>
              <w:jc w:val="right"/>
              <w:rPr>
                <w:color w:val="000000"/>
                <w:sz w:val="22"/>
                <w:szCs w:val="22"/>
              </w:rPr>
            </w:pPr>
            <w:r w:rsidRPr="000D55ED">
              <w:rPr>
                <w:color w:val="000000"/>
                <w:sz w:val="22"/>
                <w:szCs w:val="22"/>
              </w:rPr>
              <w:t>0.0085</w:t>
            </w:r>
          </w:p>
        </w:tc>
        <w:tc>
          <w:tcPr>
            <w:tcW w:w="1236" w:type="dxa"/>
            <w:tcBorders>
              <w:top w:val="nil"/>
              <w:left w:val="nil"/>
              <w:bottom w:val="nil"/>
              <w:right w:val="nil"/>
            </w:tcBorders>
            <w:shd w:val="clear" w:color="000000" w:fill="FFFFFF"/>
            <w:noWrap/>
            <w:vAlign w:val="center"/>
            <w:hideMark/>
          </w:tcPr>
          <w:p w14:paraId="3224A227" w14:textId="77777777" w:rsidR="000D55ED" w:rsidRPr="000D55ED" w:rsidRDefault="000D55ED" w:rsidP="000D55ED">
            <w:pPr>
              <w:jc w:val="right"/>
              <w:rPr>
                <w:color w:val="000000"/>
                <w:sz w:val="22"/>
                <w:szCs w:val="22"/>
              </w:rPr>
            </w:pPr>
            <w:r w:rsidRPr="000D55ED">
              <w:rPr>
                <w:color w:val="000000"/>
                <w:sz w:val="22"/>
                <w:szCs w:val="22"/>
              </w:rPr>
              <w:t>0.0036</w:t>
            </w:r>
          </w:p>
        </w:tc>
      </w:tr>
      <w:tr w:rsidR="000D55ED" w:rsidRPr="00D618B7" w14:paraId="021B8714" w14:textId="77777777" w:rsidTr="000D55ED">
        <w:trPr>
          <w:trHeight w:val="250"/>
        </w:trPr>
        <w:tc>
          <w:tcPr>
            <w:tcW w:w="1136" w:type="dxa"/>
            <w:tcBorders>
              <w:top w:val="nil"/>
              <w:left w:val="nil"/>
              <w:bottom w:val="nil"/>
              <w:right w:val="nil"/>
            </w:tcBorders>
            <w:shd w:val="clear" w:color="000000" w:fill="FFFFFF"/>
            <w:vAlign w:val="center"/>
            <w:hideMark/>
          </w:tcPr>
          <w:p w14:paraId="7B0C2F29" w14:textId="77777777" w:rsidR="000D55ED" w:rsidRPr="000D55ED" w:rsidRDefault="000D55ED" w:rsidP="000D55ED">
            <w:pPr>
              <w:jc w:val="right"/>
              <w:rPr>
                <w:color w:val="000000"/>
                <w:sz w:val="22"/>
                <w:szCs w:val="22"/>
              </w:rPr>
            </w:pPr>
            <w:r w:rsidRPr="000D55ED">
              <w:rPr>
                <w:color w:val="000000"/>
                <w:sz w:val="22"/>
                <w:szCs w:val="22"/>
              </w:rPr>
              <w:t>2</w:t>
            </w:r>
          </w:p>
        </w:tc>
        <w:tc>
          <w:tcPr>
            <w:tcW w:w="1035" w:type="dxa"/>
            <w:tcBorders>
              <w:top w:val="nil"/>
              <w:left w:val="nil"/>
              <w:bottom w:val="nil"/>
              <w:right w:val="nil"/>
            </w:tcBorders>
            <w:shd w:val="clear" w:color="000000" w:fill="FFFFFF"/>
            <w:noWrap/>
            <w:vAlign w:val="center"/>
            <w:hideMark/>
          </w:tcPr>
          <w:p w14:paraId="1D7A310E" w14:textId="77777777" w:rsidR="000D55ED" w:rsidRPr="000D55ED" w:rsidRDefault="000D55ED" w:rsidP="000D55ED">
            <w:pPr>
              <w:jc w:val="right"/>
              <w:rPr>
                <w:color w:val="000000"/>
                <w:sz w:val="22"/>
                <w:szCs w:val="22"/>
              </w:rPr>
            </w:pPr>
            <w:r w:rsidRPr="000D55ED">
              <w:rPr>
                <w:color w:val="000000"/>
                <w:sz w:val="22"/>
                <w:szCs w:val="22"/>
              </w:rPr>
              <w:t>0.0028</w:t>
            </w:r>
          </w:p>
        </w:tc>
        <w:tc>
          <w:tcPr>
            <w:tcW w:w="1236" w:type="dxa"/>
            <w:tcBorders>
              <w:top w:val="nil"/>
              <w:left w:val="nil"/>
              <w:bottom w:val="nil"/>
              <w:right w:val="nil"/>
            </w:tcBorders>
            <w:shd w:val="clear" w:color="000000" w:fill="FFFFFF"/>
            <w:noWrap/>
            <w:vAlign w:val="center"/>
            <w:hideMark/>
          </w:tcPr>
          <w:p w14:paraId="73B8B4FC" w14:textId="77777777" w:rsidR="000D55ED" w:rsidRPr="000D55ED" w:rsidRDefault="000D55ED" w:rsidP="000D55ED">
            <w:pPr>
              <w:jc w:val="right"/>
              <w:rPr>
                <w:color w:val="000000"/>
                <w:sz w:val="22"/>
                <w:szCs w:val="22"/>
              </w:rPr>
            </w:pPr>
            <w:r w:rsidRPr="000D55ED">
              <w:rPr>
                <w:color w:val="000000"/>
                <w:sz w:val="22"/>
                <w:szCs w:val="22"/>
              </w:rPr>
              <w:t>0.0007</w:t>
            </w:r>
          </w:p>
        </w:tc>
        <w:tc>
          <w:tcPr>
            <w:tcW w:w="1035" w:type="dxa"/>
            <w:tcBorders>
              <w:top w:val="nil"/>
              <w:left w:val="nil"/>
              <w:bottom w:val="nil"/>
              <w:right w:val="nil"/>
            </w:tcBorders>
            <w:shd w:val="clear" w:color="000000" w:fill="FFFFFF"/>
            <w:noWrap/>
            <w:vAlign w:val="center"/>
            <w:hideMark/>
          </w:tcPr>
          <w:p w14:paraId="10040BA8" w14:textId="77777777" w:rsidR="000D55ED" w:rsidRPr="000D55ED" w:rsidRDefault="000D55ED" w:rsidP="000D55ED">
            <w:pPr>
              <w:jc w:val="right"/>
              <w:rPr>
                <w:color w:val="000000"/>
                <w:sz w:val="22"/>
                <w:szCs w:val="22"/>
              </w:rPr>
            </w:pPr>
            <w:r w:rsidRPr="000D55ED">
              <w:rPr>
                <w:color w:val="000000"/>
                <w:sz w:val="22"/>
                <w:szCs w:val="22"/>
              </w:rPr>
              <w:t>-0.0023</w:t>
            </w:r>
          </w:p>
        </w:tc>
        <w:tc>
          <w:tcPr>
            <w:tcW w:w="1236" w:type="dxa"/>
            <w:tcBorders>
              <w:top w:val="nil"/>
              <w:left w:val="nil"/>
              <w:bottom w:val="nil"/>
              <w:right w:val="nil"/>
            </w:tcBorders>
            <w:shd w:val="clear" w:color="000000" w:fill="FFFFFF"/>
            <w:noWrap/>
            <w:vAlign w:val="center"/>
            <w:hideMark/>
          </w:tcPr>
          <w:p w14:paraId="063FD2EC" w14:textId="77777777" w:rsidR="000D55ED" w:rsidRPr="000D55ED" w:rsidRDefault="000D55ED" w:rsidP="000D55ED">
            <w:pPr>
              <w:jc w:val="right"/>
              <w:rPr>
                <w:color w:val="000000"/>
                <w:sz w:val="22"/>
                <w:szCs w:val="22"/>
              </w:rPr>
            </w:pPr>
            <w:r w:rsidRPr="000D55ED">
              <w:rPr>
                <w:color w:val="000000"/>
                <w:sz w:val="22"/>
                <w:szCs w:val="22"/>
              </w:rPr>
              <w:t>0.0006</w:t>
            </w:r>
          </w:p>
        </w:tc>
        <w:tc>
          <w:tcPr>
            <w:tcW w:w="1035" w:type="dxa"/>
            <w:tcBorders>
              <w:top w:val="nil"/>
              <w:left w:val="nil"/>
              <w:bottom w:val="nil"/>
              <w:right w:val="nil"/>
            </w:tcBorders>
            <w:shd w:val="clear" w:color="000000" w:fill="FFFFFF"/>
            <w:noWrap/>
            <w:vAlign w:val="center"/>
            <w:hideMark/>
          </w:tcPr>
          <w:p w14:paraId="598B65A0" w14:textId="77777777" w:rsidR="000D55ED" w:rsidRPr="000D55ED" w:rsidRDefault="000D55ED" w:rsidP="000D55ED">
            <w:pPr>
              <w:jc w:val="right"/>
              <w:rPr>
                <w:color w:val="000000"/>
                <w:sz w:val="22"/>
                <w:szCs w:val="22"/>
              </w:rPr>
            </w:pPr>
            <w:r w:rsidRPr="000D55ED">
              <w:rPr>
                <w:color w:val="000000"/>
                <w:sz w:val="22"/>
                <w:szCs w:val="22"/>
              </w:rPr>
              <w:t>-0.0002</w:t>
            </w:r>
          </w:p>
        </w:tc>
        <w:tc>
          <w:tcPr>
            <w:tcW w:w="1236" w:type="dxa"/>
            <w:tcBorders>
              <w:top w:val="nil"/>
              <w:left w:val="nil"/>
              <w:bottom w:val="nil"/>
              <w:right w:val="nil"/>
            </w:tcBorders>
            <w:shd w:val="clear" w:color="000000" w:fill="FFFFFF"/>
            <w:noWrap/>
            <w:vAlign w:val="center"/>
            <w:hideMark/>
          </w:tcPr>
          <w:p w14:paraId="53C68650" w14:textId="77777777" w:rsidR="000D55ED" w:rsidRPr="000D55ED" w:rsidRDefault="000D55ED" w:rsidP="000D55ED">
            <w:pPr>
              <w:jc w:val="right"/>
              <w:rPr>
                <w:color w:val="000000"/>
                <w:sz w:val="22"/>
                <w:szCs w:val="22"/>
              </w:rPr>
            </w:pPr>
            <w:r w:rsidRPr="000D55ED">
              <w:rPr>
                <w:color w:val="000000"/>
                <w:sz w:val="22"/>
                <w:szCs w:val="22"/>
              </w:rPr>
              <w:t>0.0004</w:t>
            </w:r>
          </w:p>
        </w:tc>
      </w:tr>
      <w:tr w:rsidR="000D55ED" w:rsidRPr="00D618B7" w14:paraId="0AFAA065" w14:textId="77777777" w:rsidTr="000D55ED">
        <w:trPr>
          <w:trHeight w:val="250"/>
        </w:trPr>
        <w:tc>
          <w:tcPr>
            <w:tcW w:w="1136" w:type="dxa"/>
            <w:tcBorders>
              <w:top w:val="nil"/>
              <w:left w:val="nil"/>
              <w:bottom w:val="nil"/>
              <w:right w:val="nil"/>
            </w:tcBorders>
            <w:shd w:val="clear" w:color="000000" w:fill="FFFFFF"/>
            <w:vAlign w:val="center"/>
            <w:hideMark/>
          </w:tcPr>
          <w:p w14:paraId="7519BFD6" w14:textId="77777777" w:rsidR="000D55ED" w:rsidRPr="000D55ED" w:rsidRDefault="000D55ED" w:rsidP="000D55ED">
            <w:pPr>
              <w:jc w:val="right"/>
              <w:rPr>
                <w:color w:val="000000"/>
                <w:sz w:val="22"/>
                <w:szCs w:val="22"/>
              </w:rPr>
            </w:pPr>
            <w:r w:rsidRPr="000D55ED">
              <w:rPr>
                <w:color w:val="000000"/>
                <w:sz w:val="22"/>
                <w:szCs w:val="22"/>
              </w:rPr>
              <w:t>3</w:t>
            </w:r>
          </w:p>
        </w:tc>
        <w:tc>
          <w:tcPr>
            <w:tcW w:w="1035" w:type="dxa"/>
            <w:tcBorders>
              <w:top w:val="nil"/>
              <w:left w:val="nil"/>
              <w:bottom w:val="nil"/>
              <w:right w:val="nil"/>
            </w:tcBorders>
            <w:shd w:val="clear" w:color="000000" w:fill="FFFFFF"/>
            <w:noWrap/>
            <w:vAlign w:val="center"/>
            <w:hideMark/>
          </w:tcPr>
          <w:p w14:paraId="77E17013" w14:textId="77777777" w:rsidR="000D55ED" w:rsidRPr="000D55ED" w:rsidRDefault="000D55ED" w:rsidP="000D55ED">
            <w:pPr>
              <w:jc w:val="right"/>
              <w:rPr>
                <w:color w:val="000000"/>
                <w:sz w:val="22"/>
                <w:szCs w:val="22"/>
              </w:rPr>
            </w:pPr>
            <w:r w:rsidRPr="000D55ED">
              <w:rPr>
                <w:color w:val="000000"/>
                <w:sz w:val="22"/>
                <w:szCs w:val="22"/>
              </w:rPr>
              <w:t>0.0057</w:t>
            </w:r>
          </w:p>
        </w:tc>
        <w:tc>
          <w:tcPr>
            <w:tcW w:w="1236" w:type="dxa"/>
            <w:tcBorders>
              <w:top w:val="nil"/>
              <w:left w:val="nil"/>
              <w:bottom w:val="nil"/>
              <w:right w:val="nil"/>
            </w:tcBorders>
            <w:shd w:val="clear" w:color="000000" w:fill="FFFFFF"/>
            <w:noWrap/>
            <w:vAlign w:val="center"/>
            <w:hideMark/>
          </w:tcPr>
          <w:p w14:paraId="1E957913" w14:textId="77777777" w:rsidR="000D55ED" w:rsidRPr="000D55ED" w:rsidRDefault="000D55ED" w:rsidP="000D55ED">
            <w:pPr>
              <w:jc w:val="right"/>
              <w:rPr>
                <w:color w:val="000000"/>
                <w:sz w:val="22"/>
                <w:szCs w:val="22"/>
              </w:rPr>
            </w:pPr>
            <w:r w:rsidRPr="000D55ED">
              <w:rPr>
                <w:color w:val="000000"/>
                <w:sz w:val="22"/>
                <w:szCs w:val="22"/>
              </w:rPr>
              <w:t>0.0001</w:t>
            </w:r>
          </w:p>
        </w:tc>
        <w:tc>
          <w:tcPr>
            <w:tcW w:w="1035" w:type="dxa"/>
            <w:tcBorders>
              <w:top w:val="nil"/>
              <w:left w:val="nil"/>
              <w:bottom w:val="nil"/>
              <w:right w:val="nil"/>
            </w:tcBorders>
            <w:shd w:val="clear" w:color="000000" w:fill="FFFFFF"/>
            <w:noWrap/>
            <w:vAlign w:val="center"/>
            <w:hideMark/>
          </w:tcPr>
          <w:p w14:paraId="67527E3B" w14:textId="77777777" w:rsidR="000D55ED" w:rsidRPr="000D55ED" w:rsidRDefault="000D55ED" w:rsidP="000D55ED">
            <w:pPr>
              <w:jc w:val="right"/>
              <w:rPr>
                <w:color w:val="000000"/>
                <w:sz w:val="22"/>
                <w:szCs w:val="22"/>
              </w:rPr>
            </w:pPr>
            <w:r w:rsidRPr="000D55ED">
              <w:rPr>
                <w:color w:val="000000"/>
                <w:sz w:val="22"/>
                <w:szCs w:val="22"/>
              </w:rPr>
              <w:t>-0.0001</w:t>
            </w:r>
          </w:p>
        </w:tc>
        <w:tc>
          <w:tcPr>
            <w:tcW w:w="1236" w:type="dxa"/>
            <w:tcBorders>
              <w:top w:val="nil"/>
              <w:left w:val="nil"/>
              <w:bottom w:val="nil"/>
              <w:right w:val="nil"/>
            </w:tcBorders>
            <w:shd w:val="clear" w:color="000000" w:fill="FFFFFF"/>
            <w:noWrap/>
            <w:vAlign w:val="center"/>
            <w:hideMark/>
          </w:tcPr>
          <w:p w14:paraId="62C17D57" w14:textId="77777777" w:rsidR="000D55ED" w:rsidRPr="000D55ED" w:rsidRDefault="000D55ED" w:rsidP="000D55ED">
            <w:pPr>
              <w:jc w:val="right"/>
              <w:rPr>
                <w:color w:val="000000"/>
                <w:sz w:val="22"/>
                <w:szCs w:val="22"/>
              </w:rPr>
            </w:pPr>
            <w:r w:rsidRPr="000D55ED">
              <w:rPr>
                <w:color w:val="000000"/>
                <w:sz w:val="22"/>
                <w:szCs w:val="22"/>
              </w:rPr>
              <w:t>0.0006</w:t>
            </w:r>
          </w:p>
        </w:tc>
        <w:tc>
          <w:tcPr>
            <w:tcW w:w="1035" w:type="dxa"/>
            <w:tcBorders>
              <w:top w:val="nil"/>
              <w:left w:val="nil"/>
              <w:bottom w:val="nil"/>
              <w:right w:val="nil"/>
            </w:tcBorders>
            <w:shd w:val="clear" w:color="000000" w:fill="FFFFFF"/>
            <w:noWrap/>
            <w:vAlign w:val="center"/>
            <w:hideMark/>
          </w:tcPr>
          <w:p w14:paraId="33F25FA1" w14:textId="77777777" w:rsidR="000D55ED" w:rsidRPr="000D55ED" w:rsidRDefault="000D55ED" w:rsidP="000D55ED">
            <w:pPr>
              <w:jc w:val="right"/>
              <w:rPr>
                <w:color w:val="000000"/>
                <w:sz w:val="22"/>
                <w:szCs w:val="22"/>
              </w:rPr>
            </w:pPr>
            <w:r w:rsidRPr="000D55ED">
              <w:rPr>
                <w:color w:val="000000"/>
                <w:sz w:val="22"/>
                <w:szCs w:val="22"/>
              </w:rPr>
              <w:t>-0.0007</w:t>
            </w:r>
          </w:p>
        </w:tc>
        <w:tc>
          <w:tcPr>
            <w:tcW w:w="1236" w:type="dxa"/>
            <w:tcBorders>
              <w:top w:val="nil"/>
              <w:left w:val="nil"/>
              <w:bottom w:val="nil"/>
              <w:right w:val="nil"/>
            </w:tcBorders>
            <w:shd w:val="clear" w:color="000000" w:fill="FFFFFF"/>
            <w:noWrap/>
            <w:vAlign w:val="center"/>
            <w:hideMark/>
          </w:tcPr>
          <w:p w14:paraId="744B61FA" w14:textId="77777777" w:rsidR="000D55ED" w:rsidRPr="000D55ED" w:rsidRDefault="000D55ED" w:rsidP="000D55ED">
            <w:pPr>
              <w:jc w:val="right"/>
              <w:rPr>
                <w:color w:val="000000"/>
                <w:sz w:val="22"/>
                <w:szCs w:val="22"/>
              </w:rPr>
            </w:pPr>
            <w:r w:rsidRPr="000D55ED">
              <w:rPr>
                <w:color w:val="000000"/>
                <w:sz w:val="22"/>
                <w:szCs w:val="22"/>
              </w:rPr>
              <w:t>0.0032</w:t>
            </w:r>
          </w:p>
        </w:tc>
      </w:tr>
      <w:tr w:rsidR="000D55ED" w:rsidRPr="00D618B7" w14:paraId="09AD8A18" w14:textId="77777777" w:rsidTr="000D55ED">
        <w:trPr>
          <w:trHeight w:val="250"/>
        </w:trPr>
        <w:tc>
          <w:tcPr>
            <w:tcW w:w="1136" w:type="dxa"/>
            <w:tcBorders>
              <w:top w:val="nil"/>
              <w:left w:val="nil"/>
              <w:bottom w:val="nil"/>
              <w:right w:val="nil"/>
            </w:tcBorders>
            <w:shd w:val="clear" w:color="000000" w:fill="FFFFFF"/>
            <w:vAlign w:val="center"/>
            <w:hideMark/>
          </w:tcPr>
          <w:p w14:paraId="4BE7FDCF" w14:textId="77777777" w:rsidR="000D55ED" w:rsidRPr="000D55ED" w:rsidRDefault="000D55ED" w:rsidP="000D55ED">
            <w:pPr>
              <w:jc w:val="right"/>
              <w:rPr>
                <w:color w:val="000000"/>
                <w:sz w:val="22"/>
                <w:szCs w:val="22"/>
              </w:rPr>
            </w:pPr>
            <w:r w:rsidRPr="000D55ED">
              <w:rPr>
                <w:color w:val="000000"/>
                <w:sz w:val="22"/>
                <w:szCs w:val="22"/>
              </w:rPr>
              <w:t>4</w:t>
            </w:r>
          </w:p>
        </w:tc>
        <w:tc>
          <w:tcPr>
            <w:tcW w:w="1035" w:type="dxa"/>
            <w:tcBorders>
              <w:top w:val="nil"/>
              <w:left w:val="nil"/>
              <w:bottom w:val="nil"/>
              <w:right w:val="nil"/>
            </w:tcBorders>
            <w:shd w:val="clear" w:color="000000" w:fill="FFFFFF"/>
            <w:noWrap/>
            <w:vAlign w:val="center"/>
            <w:hideMark/>
          </w:tcPr>
          <w:p w14:paraId="1E00D41B" w14:textId="77777777" w:rsidR="000D55ED" w:rsidRPr="000D55ED" w:rsidRDefault="000D55ED" w:rsidP="000D55ED">
            <w:pPr>
              <w:jc w:val="right"/>
              <w:rPr>
                <w:color w:val="000000"/>
                <w:sz w:val="22"/>
                <w:szCs w:val="22"/>
              </w:rPr>
            </w:pPr>
            <w:r w:rsidRPr="000D55ED">
              <w:rPr>
                <w:color w:val="000000"/>
                <w:sz w:val="22"/>
                <w:szCs w:val="22"/>
              </w:rPr>
              <w:t>0.0103</w:t>
            </w:r>
          </w:p>
        </w:tc>
        <w:tc>
          <w:tcPr>
            <w:tcW w:w="1236" w:type="dxa"/>
            <w:tcBorders>
              <w:top w:val="nil"/>
              <w:left w:val="nil"/>
              <w:bottom w:val="nil"/>
              <w:right w:val="nil"/>
            </w:tcBorders>
            <w:shd w:val="clear" w:color="000000" w:fill="FFFFFF"/>
            <w:noWrap/>
            <w:vAlign w:val="center"/>
            <w:hideMark/>
          </w:tcPr>
          <w:p w14:paraId="20D5C47C" w14:textId="77777777" w:rsidR="000D55ED" w:rsidRPr="000D55ED" w:rsidRDefault="000D55ED" w:rsidP="000D55ED">
            <w:pPr>
              <w:jc w:val="right"/>
              <w:rPr>
                <w:color w:val="000000"/>
                <w:sz w:val="22"/>
                <w:szCs w:val="22"/>
              </w:rPr>
            </w:pPr>
            <w:r w:rsidRPr="000D55ED">
              <w:rPr>
                <w:color w:val="000000"/>
                <w:sz w:val="22"/>
                <w:szCs w:val="22"/>
              </w:rPr>
              <w:t>0.0004</w:t>
            </w:r>
          </w:p>
        </w:tc>
        <w:tc>
          <w:tcPr>
            <w:tcW w:w="1035" w:type="dxa"/>
            <w:tcBorders>
              <w:top w:val="nil"/>
              <w:left w:val="nil"/>
              <w:bottom w:val="nil"/>
              <w:right w:val="nil"/>
            </w:tcBorders>
            <w:shd w:val="clear" w:color="000000" w:fill="FFFFFF"/>
            <w:noWrap/>
            <w:vAlign w:val="center"/>
            <w:hideMark/>
          </w:tcPr>
          <w:p w14:paraId="43DF971F" w14:textId="77777777" w:rsidR="000D55ED" w:rsidRPr="000D55ED" w:rsidRDefault="000D55ED" w:rsidP="000D55ED">
            <w:pPr>
              <w:jc w:val="right"/>
              <w:rPr>
                <w:color w:val="000000"/>
                <w:sz w:val="22"/>
                <w:szCs w:val="22"/>
              </w:rPr>
            </w:pPr>
            <w:r w:rsidRPr="000D55ED">
              <w:rPr>
                <w:color w:val="000000"/>
                <w:sz w:val="22"/>
                <w:szCs w:val="22"/>
              </w:rPr>
              <w:t>0.0000</w:t>
            </w:r>
          </w:p>
        </w:tc>
        <w:tc>
          <w:tcPr>
            <w:tcW w:w="1236" w:type="dxa"/>
            <w:tcBorders>
              <w:top w:val="nil"/>
              <w:left w:val="nil"/>
              <w:bottom w:val="nil"/>
              <w:right w:val="nil"/>
            </w:tcBorders>
            <w:shd w:val="clear" w:color="000000" w:fill="FFFFFF"/>
            <w:noWrap/>
            <w:vAlign w:val="center"/>
            <w:hideMark/>
          </w:tcPr>
          <w:p w14:paraId="73B56470" w14:textId="77777777" w:rsidR="000D55ED" w:rsidRPr="000D55ED" w:rsidRDefault="000D55ED" w:rsidP="000D55ED">
            <w:pPr>
              <w:jc w:val="right"/>
              <w:rPr>
                <w:color w:val="000000"/>
                <w:sz w:val="22"/>
                <w:szCs w:val="22"/>
              </w:rPr>
            </w:pPr>
            <w:r w:rsidRPr="000D55ED">
              <w:rPr>
                <w:color w:val="000000"/>
                <w:sz w:val="22"/>
                <w:szCs w:val="22"/>
              </w:rPr>
              <w:t>0.0011</w:t>
            </w:r>
          </w:p>
        </w:tc>
        <w:tc>
          <w:tcPr>
            <w:tcW w:w="1035" w:type="dxa"/>
            <w:tcBorders>
              <w:top w:val="nil"/>
              <w:left w:val="nil"/>
              <w:bottom w:val="nil"/>
              <w:right w:val="nil"/>
            </w:tcBorders>
            <w:shd w:val="clear" w:color="000000" w:fill="FFFFFF"/>
            <w:noWrap/>
            <w:vAlign w:val="center"/>
            <w:hideMark/>
          </w:tcPr>
          <w:p w14:paraId="10DB1746" w14:textId="77777777" w:rsidR="000D55ED" w:rsidRPr="000D55ED" w:rsidRDefault="000D55ED" w:rsidP="000D55ED">
            <w:pPr>
              <w:jc w:val="right"/>
              <w:rPr>
                <w:color w:val="000000"/>
                <w:sz w:val="22"/>
                <w:szCs w:val="22"/>
              </w:rPr>
            </w:pPr>
            <w:r w:rsidRPr="000D55ED">
              <w:rPr>
                <w:color w:val="000000"/>
                <w:sz w:val="22"/>
                <w:szCs w:val="22"/>
              </w:rPr>
              <w:t>-0.0008</w:t>
            </w:r>
          </w:p>
        </w:tc>
        <w:tc>
          <w:tcPr>
            <w:tcW w:w="1236" w:type="dxa"/>
            <w:tcBorders>
              <w:top w:val="nil"/>
              <w:left w:val="nil"/>
              <w:bottom w:val="nil"/>
              <w:right w:val="nil"/>
            </w:tcBorders>
            <w:shd w:val="clear" w:color="000000" w:fill="FFFFFF"/>
            <w:noWrap/>
            <w:vAlign w:val="center"/>
            <w:hideMark/>
          </w:tcPr>
          <w:p w14:paraId="40189233" w14:textId="77777777" w:rsidR="000D55ED" w:rsidRPr="000D55ED" w:rsidRDefault="000D55ED" w:rsidP="000D55ED">
            <w:pPr>
              <w:jc w:val="right"/>
              <w:rPr>
                <w:color w:val="000000"/>
                <w:sz w:val="22"/>
                <w:szCs w:val="22"/>
              </w:rPr>
            </w:pPr>
            <w:r w:rsidRPr="000D55ED">
              <w:rPr>
                <w:color w:val="000000"/>
                <w:sz w:val="22"/>
                <w:szCs w:val="22"/>
              </w:rPr>
              <w:t>0.0072</w:t>
            </w:r>
          </w:p>
        </w:tc>
      </w:tr>
      <w:tr w:rsidR="000D55ED" w:rsidRPr="00D618B7" w14:paraId="5889E6C8" w14:textId="77777777" w:rsidTr="000D55ED">
        <w:trPr>
          <w:trHeight w:val="263"/>
        </w:trPr>
        <w:tc>
          <w:tcPr>
            <w:tcW w:w="1136" w:type="dxa"/>
            <w:tcBorders>
              <w:top w:val="nil"/>
              <w:left w:val="nil"/>
              <w:bottom w:val="single" w:sz="8" w:space="0" w:color="auto"/>
              <w:right w:val="nil"/>
            </w:tcBorders>
            <w:shd w:val="clear" w:color="000000" w:fill="FFFFFF"/>
            <w:vAlign w:val="center"/>
            <w:hideMark/>
          </w:tcPr>
          <w:p w14:paraId="61976CD8" w14:textId="77777777" w:rsidR="000D55ED" w:rsidRPr="000D55ED" w:rsidRDefault="000D55ED" w:rsidP="000D55ED">
            <w:pPr>
              <w:jc w:val="right"/>
              <w:rPr>
                <w:color w:val="000000"/>
                <w:sz w:val="22"/>
                <w:szCs w:val="22"/>
              </w:rPr>
            </w:pPr>
            <w:r w:rsidRPr="000D55ED">
              <w:rPr>
                <w:color w:val="000000"/>
                <w:sz w:val="22"/>
                <w:szCs w:val="22"/>
              </w:rPr>
              <w:t>5</w:t>
            </w:r>
          </w:p>
        </w:tc>
        <w:tc>
          <w:tcPr>
            <w:tcW w:w="1035" w:type="dxa"/>
            <w:tcBorders>
              <w:top w:val="nil"/>
              <w:left w:val="nil"/>
              <w:bottom w:val="single" w:sz="8" w:space="0" w:color="auto"/>
              <w:right w:val="nil"/>
            </w:tcBorders>
            <w:shd w:val="clear" w:color="000000" w:fill="FFFFFF"/>
            <w:noWrap/>
            <w:vAlign w:val="center"/>
            <w:hideMark/>
          </w:tcPr>
          <w:p w14:paraId="0937882B" w14:textId="77777777" w:rsidR="000D55ED" w:rsidRPr="000D55ED" w:rsidRDefault="000D55ED" w:rsidP="000D55ED">
            <w:pPr>
              <w:jc w:val="right"/>
              <w:rPr>
                <w:color w:val="000000"/>
                <w:sz w:val="22"/>
                <w:szCs w:val="22"/>
              </w:rPr>
            </w:pPr>
            <w:r w:rsidRPr="000D55ED">
              <w:rPr>
                <w:color w:val="000000"/>
                <w:sz w:val="22"/>
                <w:szCs w:val="22"/>
              </w:rPr>
              <w:t>0.0012</w:t>
            </w:r>
          </w:p>
        </w:tc>
        <w:tc>
          <w:tcPr>
            <w:tcW w:w="1236" w:type="dxa"/>
            <w:tcBorders>
              <w:top w:val="nil"/>
              <w:left w:val="nil"/>
              <w:bottom w:val="single" w:sz="8" w:space="0" w:color="auto"/>
              <w:right w:val="nil"/>
            </w:tcBorders>
            <w:shd w:val="clear" w:color="000000" w:fill="FFFFFF"/>
            <w:noWrap/>
            <w:vAlign w:val="center"/>
            <w:hideMark/>
          </w:tcPr>
          <w:p w14:paraId="326F8A1A" w14:textId="77777777" w:rsidR="000D55ED" w:rsidRPr="000D55ED" w:rsidRDefault="000D55ED" w:rsidP="000D55ED">
            <w:pPr>
              <w:jc w:val="right"/>
              <w:rPr>
                <w:color w:val="000000"/>
                <w:sz w:val="22"/>
                <w:szCs w:val="22"/>
              </w:rPr>
            </w:pPr>
            <w:r w:rsidRPr="000D55ED">
              <w:rPr>
                <w:color w:val="000000"/>
                <w:sz w:val="22"/>
                <w:szCs w:val="22"/>
              </w:rPr>
              <w:t>0.0005</w:t>
            </w:r>
          </w:p>
        </w:tc>
        <w:tc>
          <w:tcPr>
            <w:tcW w:w="1035" w:type="dxa"/>
            <w:tcBorders>
              <w:top w:val="nil"/>
              <w:left w:val="nil"/>
              <w:bottom w:val="single" w:sz="8" w:space="0" w:color="auto"/>
              <w:right w:val="nil"/>
            </w:tcBorders>
            <w:shd w:val="clear" w:color="000000" w:fill="FFFFFF"/>
            <w:noWrap/>
            <w:vAlign w:val="center"/>
            <w:hideMark/>
          </w:tcPr>
          <w:p w14:paraId="7C11CEEC" w14:textId="77777777" w:rsidR="000D55ED" w:rsidRPr="000D55ED" w:rsidRDefault="000D55ED" w:rsidP="000D55ED">
            <w:pPr>
              <w:jc w:val="right"/>
              <w:rPr>
                <w:color w:val="000000"/>
                <w:sz w:val="22"/>
                <w:szCs w:val="22"/>
              </w:rPr>
            </w:pPr>
            <w:r w:rsidRPr="000D55ED">
              <w:rPr>
                <w:color w:val="000000"/>
                <w:sz w:val="22"/>
                <w:szCs w:val="22"/>
              </w:rPr>
              <w:t>-0.0001</w:t>
            </w:r>
          </w:p>
        </w:tc>
        <w:tc>
          <w:tcPr>
            <w:tcW w:w="1236" w:type="dxa"/>
            <w:tcBorders>
              <w:top w:val="nil"/>
              <w:left w:val="nil"/>
              <w:bottom w:val="single" w:sz="8" w:space="0" w:color="auto"/>
              <w:right w:val="nil"/>
            </w:tcBorders>
            <w:shd w:val="clear" w:color="000000" w:fill="FFFFFF"/>
            <w:noWrap/>
            <w:vAlign w:val="center"/>
            <w:hideMark/>
          </w:tcPr>
          <w:p w14:paraId="523C3EE0" w14:textId="77777777" w:rsidR="000D55ED" w:rsidRPr="000D55ED" w:rsidRDefault="000D55ED" w:rsidP="000D55ED">
            <w:pPr>
              <w:jc w:val="right"/>
              <w:rPr>
                <w:color w:val="000000"/>
                <w:sz w:val="22"/>
                <w:szCs w:val="22"/>
              </w:rPr>
            </w:pPr>
            <w:r w:rsidRPr="000D55ED">
              <w:rPr>
                <w:color w:val="000000"/>
                <w:sz w:val="22"/>
                <w:szCs w:val="22"/>
              </w:rPr>
              <w:t>0.0013</w:t>
            </w:r>
          </w:p>
        </w:tc>
        <w:tc>
          <w:tcPr>
            <w:tcW w:w="1035" w:type="dxa"/>
            <w:tcBorders>
              <w:top w:val="nil"/>
              <w:left w:val="nil"/>
              <w:bottom w:val="single" w:sz="8" w:space="0" w:color="auto"/>
              <w:right w:val="nil"/>
            </w:tcBorders>
            <w:shd w:val="clear" w:color="000000" w:fill="FFFFFF"/>
            <w:noWrap/>
            <w:vAlign w:val="center"/>
            <w:hideMark/>
          </w:tcPr>
          <w:p w14:paraId="6C44FD0D" w14:textId="77777777" w:rsidR="000D55ED" w:rsidRPr="000D55ED" w:rsidRDefault="000D55ED" w:rsidP="000D55ED">
            <w:pPr>
              <w:jc w:val="right"/>
              <w:rPr>
                <w:color w:val="000000"/>
                <w:sz w:val="22"/>
                <w:szCs w:val="22"/>
              </w:rPr>
            </w:pPr>
            <w:r w:rsidRPr="000D55ED">
              <w:rPr>
                <w:color w:val="000000"/>
                <w:sz w:val="22"/>
                <w:szCs w:val="22"/>
              </w:rPr>
              <w:t>0.0002</w:t>
            </w:r>
          </w:p>
        </w:tc>
        <w:tc>
          <w:tcPr>
            <w:tcW w:w="1236" w:type="dxa"/>
            <w:tcBorders>
              <w:top w:val="nil"/>
              <w:left w:val="nil"/>
              <w:bottom w:val="single" w:sz="8" w:space="0" w:color="auto"/>
              <w:right w:val="nil"/>
            </w:tcBorders>
            <w:shd w:val="clear" w:color="000000" w:fill="FFFFFF"/>
            <w:noWrap/>
            <w:vAlign w:val="center"/>
            <w:hideMark/>
          </w:tcPr>
          <w:p w14:paraId="2DACC838" w14:textId="77777777" w:rsidR="000D55ED" w:rsidRPr="000D55ED" w:rsidRDefault="000D55ED" w:rsidP="000D55ED">
            <w:pPr>
              <w:jc w:val="right"/>
              <w:rPr>
                <w:color w:val="000000"/>
                <w:sz w:val="22"/>
                <w:szCs w:val="22"/>
              </w:rPr>
            </w:pPr>
            <w:r w:rsidRPr="000D55ED">
              <w:rPr>
                <w:color w:val="000000"/>
                <w:sz w:val="22"/>
                <w:szCs w:val="22"/>
              </w:rPr>
              <w:t>0.0012</w:t>
            </w:r>
          </w:p>
        </w:tc>
      </w:tr>
      <w:tr w:rsidR="000D55ED" w:rsidRPr="000D55ED" w14:paraId="53D2F424" w14:textId="77777777" w:rsidTr="000D55ED">
        <w:trPr>
          <w:trHeight w:val="250"/>
        </w:trPr>
        <w:tc>
          <w:tcPr>
            <w:tcW w:w="1136" w:type="dxa"/>
            <w:tcBorders>
              <w:top w:val="nil"/>
              <w:left w:val="nil"/>
              <w:bottom w:val="nil"/>
              <w:right w:val="nil"/>
            </w:tcBorders>
            <w:shd w:val="clear" w:color="000000" w:fill="FFFFFF"/>
            <w:noWrap/>
            <w:vAlign w:val="bottom"/>
            <w:hideMark/>
          </w:tcPr>
          <w:p w14:paraId="3D6769B6" w14:textId="77777777" w:rsidR="000D55ED" w:rsidRPr="000D55ED" w:rsidRDefault="000D55ED" w:rsidP="000D55ED">
            <w:pPr>
              <w:rPr>
                <w:color w:val="000000"/>
                <w:sz w:val="22"/>
                <w:szCs w:val="22"/>
              </w:rPr>
            </w:pPr>
            <w:r w:rsidRPr="000D55ED">
              <w:rPr>
                <w:color w:val="000000"/>
                <w:sz w:val="22"/>
                <w:szCs w:val="22"/>
              </w:rPr>
              <w:t> </w:t>
            </w:r>
          </w:p>
        </w:tc>
        <w:tc>
          <w:tcPr>
            <w:tcW w:w="6816" w:type="dxa"/>
            <w:gridSpan w:val="6"/>
            <w:tcBorders>
              <w:top w:val="single" w:sz="8" w:space="0" w:color="auto"/>
              <w:left w:val="nil"/>
              <w:bottom w:val="nil"/>
              <w:right w:val="nil"/>
            </w:tcBorders>
            <w:shd w:val="clear" w:color="000000" w:fill="FFFFFF"/>
            <w:noWrap/>
            <w:vAlign w:val="center"/>
            <w:hideMark/>
          </w:tcPr>
          <w:p w14:paraId="434F49E7" w14:textId="77777777" w:rsidR="000D55ED" w:rsidRPr="000D55ED" w:rsidRDefault="000D55ED" w:rsidP="000D55ED">
            <w:pPr>
              <w:jc w:val="center"/>
              <w:rPr>
                <w:color w:val="000000"/>
                <w:sz w:val="22"/>
                <w:szCs w:val="22"/>
              </w:rPr>
            </w:pPr>
            <w:r w:rsidRPr="000D55ED">
              <w:rPr>
                <w:color w:val="000000"/>
                <w:sz w:val="22"/>
                <w:szCs w:val="22"/>
              </w:rPr>
              <w:t>Late Reach Group</w:t>
            </w:r>
          </w:p>
        </w:tc>
      </w:tr>
      <w:tr w:rsidR="000D55ED" w:rsidRPr="00D618B7" w14:paraId="16BBEF6D" w14:textId="77777777" w:rsidTr="000D55ED">
        <w:trPr>
          <w:trHeight w:val="250"/>
        </w:trPr>
        <w:tc>
          <w:tcPr>
            <w:tcW w:w="1136" w:type="dxa"/>
            <w:tcBorders>
              <w:top w:val="nil"/>
              <w:left w:val="nil"/>
              <w:bottom w:val="nil"/>
              <w:right w:val="nil"/>
            </w:tcBorders>
            <w:shd w:val="clear" w:color="000000" w:fill="FFFFFF"/>
            <w:vAlign w:val="center"/>
            <w:hideMark/>
          </w:tcPr>
          <w:p w14:paraId="5EECDF05" w14:textId="77777777" w:rsidR="000D55ED" w:rsidRPr="000D55ED" w:rsidRDefault="000D55ED" w:rsidP="000D55ED">
            <w:pPr>
              <w:jc w:val="right"/>
              <w:rPr>
                <w:color w:val="000000"/>
                <w:sz w:val="22"/>
                <w:szCs w:val="22"/>
              </w:rPr>
            </w:pPr>
            <w:r w:rsidRPr="000D55ED">
              <w:rPr>
                <w:color w:val="000000"/>
                <w:sz w:val="22"/>
                <w:szCs w:val="22"/>
              </w:rPr>
              <w:t>-5</w:t>
            </w:r>
          </w:p>
        </w:tc>
        <w:tc>
          <w:tcPr>
            <w:tcW w:w="1035" w:type="dxa"/>
            <w:tcBorders>
              <w:top w:val="nil"/>
              <w:left w:val="nil"/>
              <w:bottom w:val="nil"/>
              <w:right w:val="nil"/>
            </w:tcBorders>
            <w:shd w:val="clear" w:color="000000" w:fill="FFFFFF"/>
            <w:noWrap/>
            <w:vAlign w:val="center"/>
            <w:hideMark/>
          </w:tcPr>
          <w:p w14:paraId="4034A9C5" w14:textId="77777777" w:rsidR="000D55ED" w:rsidRPr="000D55ED" w:rsidRDefault="000D55ED" w:rsidP="000D55ED">
            <w:pPr>
              <w:jc w:val="right"/>
              <w:rPr>
                <w:color w:val="000000"/>
                <w:sz w:val="22"/>
                <w:szCs w:val="22"/>
              </w:rPr>
            </w:pPr>
            <w:r w:rsidRPr="000D55ED">
              <w:rPr>
                <w:color w:val="000000"/>
                <w:sz w:val="22"/>
                <w:szCs w:val="22"/>
              </w:rPr>
              <w:t>0.0007</w:t>
            </w:r>
          </w:p>
        </w:tc>
        <w:tc>
          <w:tcPr>
            <w:tcW w:w="1236" w:type="dxa"/>
            <w:tcBorders>
              <w:top w:val="nil"/>
              <w:left w:val="nil"/>
              <w:bottom w:val="nil"/>
              <w:right w:val="nil"/>
            </w:tcBorders>
            <w:shd w:val="clear" w:color="000000" w:fill="FFFFFF"/>
            <w:noWrap/>
            <w:vAlign w:val="center"/>
            <w:hideMark/>
          </w:tcPr>
          <w:p w14:paraId="3F61B412" w14:textId="77777777" w:rsidR="000D55ED" w:rsidRPr="000D55ED" w:rsidRDefault="000D55ED" w:rsidP="000D55ED">
            <w:pPr>
              <w:jc w:val="right"/>
              <w:rPr>
                <w:color w:val="000000"/>
                <w:sz w:val="22"/>
                <w:szCs w:val="22"/>
              </w:rPr>
            </w:pPr>
            <w:r w:rsidRPr="000D55ED">
              <w:rPr>
                <w:color w:val="000000"/>
                <w:sz w:val="22"/>
                <w:szCs w:val="22"/>
              </w:rPr>
              <w:t>0.0004</w:t>
            </w:r>
          </w:p>
        </w:tc>
        <w:tc>
          <w:tcPr>
            <w:tcW w:w="1035" w:type="dxa"/>
            <w:tcBorders>
              <w:top w:val="nil"/>
              <w:left w:val="nil"/>
              <w:bottom w:val="nil"/>
              <w:right w:val="nil"/>
            </w:tcBorders>
            <w:shd w:val="clear" w:color="000000" w:fill="FFFFFF"/>
            <w:noWrap/>
            <w:vAlign w:val="center"/>
            <w:hideMark/>
          </w:tcPr>
          <w:p w14:paraId="2245F7A6" w14:textId="77777777" w:rsidR="000D55ED" w:rsidRPr="000D55ED" w:rsidRDefault="000D55ED" w:rsidP="000D55ED">
            <w:pPr>
              <w:jc w:val="right"/>
              <w:rPr>
                <w:color w:val="000000"/>
                <w:sz w:val="22"/>
                <w:szCs w:val="22"/>
              </w:rPr>
            </w:pPr>
            <w:r w:rsidRPr="000D55ED">
              <w:rPr>
                <w:color w:val="000000"/>
                <w:sz w:val="22"/>
                <w:szCs w:val="22"/>
              </w:rPr>
              <w:t>0.0000</w:t>
            </w:r>
          </w:p>
        </w:tc>
        <w:tc>
          <w:tcPr>
            <w:tcW w:w="1236" w:type="dxa"/>
            <w:tcBorders>
              <w:top w:val="nil"/>
              <w:left w:val="nil"/>
              <w:bottom w:val="nil"/>
              <w:right w:val="nil"/>
            </w:tcBorders>
            <w:shd w:val="clear" w:color="000000" w:fill="FFFFFF"/>
            <w:noWrap/>
            <w:vAlign w:val="center"/>
            <w:hideMark/>
          </w:tcPr>
          <w:p w14:paraId="713A5E5D" w14:textId="77777777" w:rsidR="000D55ED" w:rsidRPr="000D55ED" w:rsidRDefault="000D55ED" w:rsidP="000D55ED">
            <w:pPr>
              <w:jc w:val="right"/>
              <w:rPr>
                <w:color w:val="000000"/>
                <w:sz w:val="22"/>
                <w:szCs w:val="22"/>
              </w:rPr>
            </w:pPr>
            <w:r w:rsidRPr="000D55ED">
              <w:rPr>
                <w:color w:val="000000"/>
                <w:sz w:val="22"/>
                <w:szCs w:val="22"/>
              </w:rPr>
              <w:t>0.0004</w:t>
            </w:r>
          </w:p>
        </w:tc>
        <w:tc>
          <w:tcPr>
            <w:tcW w:w="1035" w:type="dxa"/>
            <w:tcBorders>
              <w:top w:val="nil"/>
              <w:left w:val="nil"/>
              <w:bottom w:val="nil"/>
              <w:right w:val="nil"/>
            </w:tcBorders>
            <w:shd w:val="clear" w:color="000000" w:fill="FFFFFF"/>
            <w:noWrap/>
            <w:vAlign w:val="center"/>
            <w:hideMark/>
          </w:tcPr>
          <w:p w14:paraId="6743056D" w14:textId="77777777" w:rsidR="000D55ED" w:rsidRPr="000D55ED" w:rsidRDefault="000D55ED" w:rsidP="000D55ED">
            <w:pPr>
              <w:jc w:val="right"/>
              <w:rPr>
                <w:color w:val="000000"/>
                <w:sz w:val="22"/>
                <w:szCs w:val="22"/>
              </w:rPr>
            </w:pPr>
            <w:r w:rsidRPr="000D55ED">
              <w:rPr>
                <w:color w:val="000000"/>
                <w:sz w:val="22"/>
                <w:szCs w:val="22"/>
              </w:rPr>
              <w:t>0.0014</w:t>
            </w:r>
          </w:p>
        </w:tc>
        <w:tc>
          <w:tcPr>
            <w:tcW w:w="1236" w:type="dxa"/>
            <w:tcBorders>
              <w:top w:val="nil"/>
              <w:left w:val="nil"/>
              <w:bottom w:val="nil"/>
              <w:right w:val="nil"/>
            </w:tcBorders>
            <w:shd w:val="clear" w:color="000000" w:fill="FFFFFF"/>
            <w:noWrap/>
            <w:vAlign w:val="center"/>
            <w:hideMark/>
          </w:tcPr>
          <w:p w14:paraId="11341951" w14:textId="77777777" w:rsidR="000D55ED" w:rsidRPr="000D55ED" w:rsidRDefault="000D55ED" w:rsidP="000D55ED">
            <w:pPr>
              <w:jc w:val="right"/>
              <w:rPr>
                <w:color w:val="000000"/>
                <w:sz w:val="22"/>
                <w:szCs w:val="22"/>
              </w:rPr>
            </w:pPr>
            <w:r w:rsidRPr="000D55ED">
              <w:rPr>
                <w:color w:val="000000"/>
                <w:sz w:val="22"/>
                <w:szCs w:val="22"/>
              </w:rPr>
              <w:t>0.0001</w:t>
            </w:r>
          </w:p>
        </w:tc>
      </w:tr>
      <w:tr w:rsidR="000D55ED" w:rsidRPr="00D618B7" w14:paraId="453AD99B" w14:textId="77777777" w:rsidTr="000D55ED">
        <w:trPr>
          <w:trHeight w:val="250"/>
        </w:trPr>
        <w:tc>
          <w:tcPr>
            <w:tcW w:w="1136" w:type="dxa"/>
            <w:tcBorders>
              <w:top w:val="nil"/>
              <w:left w:val="nil"/>
              <w:bottom w:val="nil"/>
              <w:right w:val="nil"/>
            </w:tcBorders>
            <w:shd w:val="clear" w:color="000000" w:fill="FFFFFF"/>
            <w:vAlign w:val="center"/>
            <w:hideMark/>
          </w:tcPr>
          <w:p w14:paraId="42DCE883" w14:textId="77777777" w:rsidR="000D55ED" w:rsidRPr="000D55ED" w:rsidRDefault="000D55ED" w:rsidP="000D55ED">
            <w:pPr>
              <w:jc w:val="right"/>
              <w:rPr>
                <w:color w:val="000000"/>
                <w:sz w:val="22"/>
                <w:szCs w:val="22"/>
              </w:rPr>
            </w:pPr>
            <w:r w:rsidRPr="000D55ED">
              <w:rPr>
                <w:color w:val="000000"/>
                <w:sz w:val="22"/>
                <w:szCs w:val="22"/>
              </w:rPr>
              <w:t>-4</w:t>
            </w:r>
          </w:p>
        </w:tc>
        <w:tc>
          <w:tcPr>
            <w:tcW w:w="1035" w:type="dxa"/>
            <w:tcBorders>
              <w:top w:val="nil"/>
              <w:left w:val="nil"/>
              <w:bottom w:val="nil"/>
              <w:right w:val="nil"/>
            </w:tcBorders>
            <w:shd w:val="clear" w:color="000000" w:fill="FFFFFF"/>
            <w:noWrap/>
            <w:vAlign w:val="center"/>
            <w:hideMark/>
          </w:tcPr>
          <w:p w14:paraId="2FD0C11B" w14:textId="77777777" w:rsidR="000D55ED" w:rsidRPr="000D55ED" w:rsidRDefault="000D55ED" w:rsidP="000D55ED">
            <w:pPr>
              <w:jc w:val="right"/>
              <w:rPr>
                <w:color w:val="000000"/>
                <w:sz w:val="22"/>
                <w:szCs w:val="22"/>
              </w:rPr>
            </w:pPr>
            <w:r w:rsidRPr="000D55ED">
              <w:rPr>
                <w:color w:val="000000"/>
                <w:sz w:val="22"/>
                <w:szCs w:val="22"/>
              </w:rPr>
              <w:t>0.0003</w:t>
            </w:r>
          </w:p>
        </w:tc>
        <w:tc>
          <w:tcPr>
            <w:tcW w:w="1236" w:type="dxa"/>
            <w:tcBorders>
              <w:top w:val="nil"/>
              <w:left w:val="nil"/>
              <w:bottom w:val="nil"/>
              <w:right w:val="nil"/>
            </w:tcBorders>
            <w:shd w:val="clear" w:color="000000" w:fill="FFFFFF"/>
            <w:noWrap/>
            <w:vAlign w:val="center"/>
            <w:hideMark/>
          </w:tcPr>
          <w:p w14:paraId="768D08A4" w14:textId="77777777" w:rsidR="000D55ED" w:rsidRPr="000D55ED" w:rsidRDefault="000D55ED" w:rsidP="000D55ED">
            <w:pPr>
              <w:jc w:val="right"/>
              <w:rPr>
                <w:color w:val="000000"/>
                <w:sz w:val="22"/>
                <w:szCs w:val="22"/>
              </w:rPr>
            </w:pPr>
            <w:r w:rsidRPr="000D55ED">
              <w:rPr>
                <w:color w:val="000000"/>
                <w:sz w:val="22"/>
                <w:szCs w:val="22"/>
              </w:rPr>
              <w:t>0.0006</w:t>
            </w:r>
          </w:p>
        </w:tc>
        <w:tc>
          <w:tcPr>
            <w:tcW w:w="1035" w:type="dxa"/>
            <w:tcBorders>
              <w:top w:val="nil"/>
              <w:left w:val="nil"/>
              <w:bottom w:val="nil"/>
              <w:right w:val="nil"/>
            </w:tcBorders>
            <w:shd w:val="clear" w:color="000000" w:fill="FFFFFF"/>
            <w:noWrap/>
            <w:vAlign w:val="center"/>
            <w:hideMark/>
          </w:tcPr>
          <w:p w14:paraId="1B9161A2" w14:textId="77777777" w:rsidR="000D55ED" w:rsidRPr="000D55ED" w:rsidRDefault="000D55ED" w:rsidP="000D55ED">
            <w:pPr>
              <w:jc w:val="right"/>
              <w:rPr>
                <w:color w:val="000000"/>
                <w:sz w:val="22"/>
                <w:szCs w:val="22"/>
              </w:rPr>
            </w:pPr>
            <w:r w:rsidRPr="000D55ED">
              <w:rPr>
                <w:color w:val="000000"/>
                <w:sz w:val="22"/>
                <w:szCs w:val="22"/>
              </w:rPr>
              <w:t>-0.0004</w:t>
            </w:r>
          </w:p>
        </w:tc>
        <w:tc>
          <w:tcPr>
            <w:tcW w:w="1236" w:type="dxa"/>
            <w:tcBorders>
              <w:top w:val="nil"/>
              <w:left w:val="nil"/>
              <w:bottom w:val="nil"/>
              <w:right w:val="nil"/>
            </w:tcBorders>
            <w:shd w:val="clear" w:color="000000" w:fill="FFFFFF"/>
            <w:noWrap/>
            <w:vAlign w:val="center"/>
            <w:hideMark/>
          </w:tcPr>
          <w:p w14:paraId="335B469D" w14:textId="77777777" w:rsidR="000D55ED" w:rsidRPr="000D55ED" w:rsidRDefault="000D55ED" w:rsidP="000D55ED">
            <w:pPr>
              <w:jc w:val="right"/>
              <w:rPr>
                <w:color w:val="000000"/>
                <w:sz w:val="22"/>
                <w:szCs w:val="22"/>
              </w:rPr>
            </w:pPr>
            <w:r w:rsidRPr="000D55ED">
              <w:rPr>
                <w:color w:val="000000"/>
                <w:sz w:val="22"/>
                <w:szCs w:val="22"/>
              </w:rPr>
              <w:t>0.0007</w:t>
            </w:r>
          </w:p>
        </w:tc>
        <w:tc>
          <w:tcPr>
            <w:tcW w:w="1035" w:type="dxa"/>
            <w:tcBorders>
              <w:top w:val="nil"/>
              <w:left w:val="nil"/>
              <w:bottom w:val="nil"/>
              <w:right w:val="nil"/>
            </w:tcBorders>
            <w:shd w:val="clear" w:color="000000" w:fill="FFFFFF"/>
            <w:noWrap/>
            <w:vAlign w:val="center"/>
            <w:hideMark/>
          </w:tcPr>
          <w:p w14:paraId="4FB0C8CE" w14:textId="77777777" w:rsidR="000D55ED" w:rsidRPr="000D55ED" w:rsidRDefault="000D55ED" w:rsidP="000D55ED">
            <w:pPr>
              <w:jc w:val="right"/>
              <w:rPr>
                <w:color w:val="000000"/>
                <w:sz w:val="22"/>
                <w:szCs w:val="22"/>
              </w:rPr>
            </w:pPr>
            <w:r w:rsidRPr="000D55ED">
              <w:rPr>
                <w:color w:val="000000"/>
                <w:sz w:val="22"/>
                <w:szCs w:val="22"/>
              </w:rPr>
              <w:t>-0.0010</w:t>
            </w:r>
          </w:p>
        </w:tc>
        <w:tc>
          <w:tcPr>
            <w:tcW w:w="1236" w:type="dxa"/>
            <w:tcBorders>
              <w:top w:val="nil"/>
              <w:left w:val="nil"/>
              <w:bottom w:val="nil"/>
              <w:right w:val="nil"/>
            </w:tcBorders>
            <w:shd w:val="clear" w:color="000000" w:fill="FFFFFF"/>
            <w:noWrap/>
            <w:vAlign w:val="center"/>
            <w:hideMark/>
          </w:tcPr>
          <w:p w14:paraId="4C146386" w14:textId="77777777" w:rsidR="000D55ED" w:rsidRPr="000D55ED" w:rsidRDefault="000D55ED" w:rsidP="000D55ED">
            <w:pPr>
              <w:jc w:val="right"/>
              <w:rPr>
                <w:color w:val="000000"/>
                <w:sz w:val="22"/>
                <w:szCs w:val="22"/>
              </w:rPr>
            </w:pPr>
            <w:r w:rsidRPr="000D55ED">
              <w:rPr>
                <w:color w:val="000000"/>
                <w:sz w:val="22"/>
                <w:szCs w:val="22"/>
              </w:rPr>
              <w:t>0.0007</w:t>
            </w:r>
          </w:p>
        </w:tc>
      </w:tr>
      <w:tr w:rsidR="000D55ED" w:rsidRPr="00D618B7" w14:paraId="7F142106" w14:textId="77777777" w:rsidTr="000D55ED">
        <w:trPr>
          <w:trHeight w:val="250"/>
        </w:trPr>
        <w:tc>
          <w:tcPr>
            <w:tcW w:w="1136" w:type="dxa"/>
            <w:tcBorders>
              <w:top w:val="nil"/>
              <w:left w:val="nil"/>
              <w:bottom w:val="nil"/>
              <w:right w:val="nil"/>
            </w:tcBorders>
            <w:shd w:val="clear" w:color="000000" w:fill="FFFFFF"/>
            <w:vAlign w:val="center"/>
            <w:hideMark/>
          </w:tcPr>
          <w:p w14:paraId="7DBAE58C" w14:textId="77777777" w:rsidR="000D55ED" w:rsidRPr="000D55ED" w:rsidRDefault="000D55ED" w:rsidP="000D55ED">
            <w:pPr>
              <w:jc w:val="right"/>
              <w:rPr>
                <w:color w:val="000000"/>
                <w:sz w:val="22"/>
                <w:szCs w:val="22"/>
              </w:rPr>
            </w:pPr>
            <w:r w:rsidRPr="000D55ED">
              <w:rPr>
                <w:color w:val="000000"/>
                <w:sz w:val="22"/>
                <w:szCs w:val="22"/>
              </w:rPr>
              <w:t>-3</w:t>
            </w:r>
          </w:p>
        </w:tc>
        <w:tc>
          <w:tcPr>
            <w:tcW w:w="1035" w:type="dxa"/>
            <w:tcBorders>
              <w:top w:val="nil"/>
              <w:left w:val="nil"/>
              <w:bottom w:val="nil"/>
              <w:right w:val="nil"/>
            </w:tcBorders>
            <w:shd w:val="clear" w:color="000000" w:fill="FFFFFF"/>
            <w:noWrap/>
            <w:vAlign w:val="center"/>
            <w:hideMark/>
          </w:tcPr>
          <w:p w14:paraId="06052EB0" w14:textId="77777777" w:rsidR="000D55ED" w:rsidRPr="000D55ED" w:rsidRDefault="000D55ED" w:rsidP="000D55ED">
            <w:pPr>
              <w:jc w:val="right"/>
              <w:rPr>
                <w:color w:val="000000"/>
                <w:sz w:val="22"/>
                <w:szCs w:val="22"/>
              </w:rPr>
            </w:pPr>
            <w:r w:rsidRPr="000D55ED">
              <w:rPr>
                <w:color w:val="000000"/>
                <w:sz w:val="22"/>
                <w:szCs w:val="22"/>
              </w:rPr>
              <w:t>-0.0021</w:t>
            </w:r>
          </w:p>
        </w:tc>
        <w:tc>
          <w:tcPr>
            <w:tcW w:w="1236" w:type="dxa"/>
            <w:tcBorders>
              <w:top w:val="nil"/>
              <w:left w:val="nil"/>
              <w:bottom w:val="nil"/>
              <w:right w:val="nil"/>
            </w:tcBorders>
            <w:shd w:val="clear" w:color="000000" w:fill="FFFFFF"/>
            <w:noWrap/>
            <w:vAlign w:val="center"/>
            <w:hideMark/>
          </w:tcPr>
          <w:p w14:paraId="0FDCCF1C" w14:textId="77777777" w:rsidR="000D55ED" w:rsidRPr="000D55ED" w:rsidRDefault="000D55ED" w:rsidP="000D55ED">
            <w:pPr>
              <w:jc w:val="right"/>
              <w:rPr>
                <w:color w:val="000000"/>
                <w:sz w:val="22"/>
                <w:szCs w:val="22"/>
              </w:rPr>
            </w:pPr>
            <w:r w:rsidRPr="000D55ED">
              <w:rPr>
                <w:color w:val="000000"/>
                <w:sz w:val="22"/>
                <w:szCs w:val="22"/>
              </w:rPr>
              <w:t>0.0006</w:t>
            </w:r>
          </w:p>
        </w:tc>
        <w:tc>
          <w:tcPr>
            <w:tcW w:w="1035" w:type="dxa"/>
            <w:tcBorders>
              <w:top w:val="nil"/>
              <w:left w:val="nil"/>
              <w:bottom w:val="nil"/>
              <w:right w:val="nil"/>
            </w:tcBorders>
            <w:shd w:val="clear" w:color="000000" w:fill="FFFFFF"/>
            <w:noWrap/>
            <w:vAlign w:val="center"/>
            <w:hideMark/>
          </w:tcPr>
          <w:p w14:paraId="25022F5A" w14:textId="77777777" w:rsidR="000D55ED" w:rsidRPr="000D55ED" w:rsidRDefault="000D55ED" w:rsidP="000D55ED">
            <w:pPr>
              <w:jc w:val="right"/>
              <w:rPr>
                <w:color w:val="000000"/>
                <w:sz w:val="22"/>
                <w:szCs w:val="22"/>
              </w:rPr>
            </w:pPr>
            <w:r w:rsidRPr="000D55ED">
              <w:rPr>
                <w:color w:val="000000"/>
                <w:sz w:val="22"/>
                <w:szCs w:val="22"/>
              </w:rPr>
              <w:t>0.0005</w:t>
            </w:r>
          </w:p>
        </w:tc>
        <w:tc>
          <w:tcPr>
            <w:tcW w:w="1236" w:type="dxa"/>
            <w:tcBorders>
              <w:top w:val="nil"/>
              <w:left w:val="nil"/>
              <w:bottom w:val="nil"/>
              <w:right w:val="nil"/>
            </w:tcBorders>
            <w:shd w:val="clear" w:color="000000" w:fill="FFFFFF"/>
            <w:noWrap/>
            <w:vAlign w:val="center"/>
            <w:hideMark/>
          </w:tcPr>
          <w:p w14:paraId="5FDF62CA" w14:textId="77777777" w:rsidR="000D55ED" w:rsidRPr="000D55ED" w:rsidRDefault="000D55ED" w:rsidP="000D55ED">
            <w:pPr>
              <w:jc w:val="right"/>
              <w:rPr>
                <w:color w:val="000000"/>
                <w:sz w:val="22"/>
                <w:szCs w:val="22"/>
              </w:rPr>
            </w:pPr>
            <w:r w:rsidRPr="000D55ED">
              <w:rPr>
                <w:color w:val="000000"/>
                <w:sz w:val="22"/>
                <w:szCs w:val="22"/>
              </w:rPr>
              <w:t>0.0004</w:t>
            </w:r>
          </w:p>
        </w:tc>
        <w:tc>
          <w:tcPr>
            <w:tcW w:w="1035" w:type="dxa"/>
            <w:tcBorders>
              <w:top w:val="nil"/>
              <w:left w:val="nil"/>
              <w:bottom w:val="nil"/>
              <w:right w:val="nil"/>
            </w:tcBorders>
            <w:shd w:val="clear" w:color="000000" w:fill="FFFFFF"/>
            <w:noWrap/>
            <w:vAlign w:val="center"/>
            <w:hideMark/>
          </w:tcPr>
          <w:p w14:paraId="17DDCA15" w14:textId="77777777" w:rsidR="000D55ED" w:rsidRPr="000D55ED" w:rsidRDefault="000D55ED" w:rsidP="000D55ED">
            <w:pPr>
              <w:jc w:val="right"/>
              <w:rPr>
                <w:color w:val="000000"/>
                <w:sz w:val="22"/>
                <w:szCs w:val="22"/>
              </w:rPr>
            </w:pPr>
            <w:r w:rsidRPr="000D55ED">
              <w:rPr>
                <w:color w:val="000000"/>
                <w:sz w:val="22"/>
                <w:szCs w:val="22"/>
              </w:rPr>
              <w:t>0.0006</w:t>
            </w:r>
          </w:p>
        </w:tc>
        <w:tc>
          <w:tcPr>
            <w:tcW w:w="1236" w:type="dxa"/>
            <w:tcBorders>
              <w:top w:val="nil"/>
              <w:left w:val="nil"/>
              <w:bottom w:val="nil"/>
              <w:right w:val="nil"/>
            </w:tcBorders>
            <w:shd w:val="clear" w:color="000000" w:fill="FFFFFF"/>
            <w:noWrap/>
            <w:vAlign w:val="center"/>
            <w:hideMark/>
          </w:tcPr>
          <w:p w14:paraId="329E5448" w14:textId="77777777" w:rsidR="000D55ED" w:rsidRPr="000D55ED" w:rsidRDefault="000D55ED" w:rsidP="000D55ED">
            <w:pPr>
              <w:jc w:val="right"/>
              <w:rPr>
                <w:color w:val="000000"/>
                <w:sz w:val="22"/>
                <w:szCs w:val="22"/>
              </w:rPr>
            </w:pPr>
            <w:r w:rsidRPr="000D55ED">
              <w:rPr>
                <w:color w:val="000000"/>
                <w:sz w:val="22"/>
                <w:szCs w:val="22"/>
              </w:rPr>
              <w:t>0.0011</w:t>
            </w:r>
          </w:p>
        </w:tc>
      </w:tr>
      <w:tr w:rsidR="000D55ED" w:rsidRPr="00D618B7" w14:paraId="4576389F" w14:textId="77777777" w:rsidTr="000D55ED">
        <w:trPr>
          <w:trHeight w:val="250"/>
        </w:trPr>
        <w:tc>
          <w:tcPr>
            <w:tcW w:w="1136" w:type="dxa"/>
            <w:tcBorders>
              <w:top w:val="nil"/>
              <w:left w:val="nil"/>
              <w:bottom w:val="nil"/>
              <w:right w:val="nil"/>
            </w:tcBorders>
            <w:shd w:val="clear" w:color="000000" w:fill="FFFFFF"/>
            <w:vAlign w:val="center"/>
            <w:hideMark/>
          </w:tcPr>
          <w:p w14:paraId="4243DF56" w14:textId="77777777" w:rsidR="000D55ED" w:rsidRPr="000D55ED" w:rsidRDefault="000D55ED" w:rsidP="000D55ED">
            <w:pPr>
              <w:jc w:val="right"/>
              <w:rPr>
                <w:color w:val="000000"/>
                <w:sz w:val="22"/>
                <w:szCs w:val="22"/>
              </w:rPr>
            </w:pPr>
            <w:r w:rsidRPr="000D55ED">
              <w:rPr>
                <w:color w:val="000000"/>
                <w:sz w:val="22"/>
                <w:szCs w:val="22"/>
              </w:rPr>
              <w:t>-2</w:t>
            </w:r>
          </w:p>
        </w:tc>
        <w:tc>
          <w:tcPr>
            <w:tcW w:w="1035" w:type="dxa"/>
            <w:tcBorders>
              <w:top w:val="nil"/>
              <w:left w:val="nil"/>
              <w:bottom w:val="nil"/>
              <w:right w:val="nil"/>
            </w:tcBorders>
            <w:shd w:val="clear" w:color="000000" w:fill="FFFFFF"/>
            <w:noWrap/>
            <w:vAlign w:val="center"/>
            <w:hideMark/>
          </w:tcPr>
          <w:p w14:paraId="40DBBF55" w14:textId="77777777" w:rsidR="000D55ED" w:rsidRPr="000D55ED" w:rsidRDefault="000D55ED" w:rsidP="000D55ED">
            <w:pPr>
              <w:jc w:val="right"/>
              <w:rPr>
                <w:color w:val="000000"/>
                <w:sz w:val="22"/>
                <w:szCs w:val="22"/>
              </w:rPr>
            </w:pPr>
            <w:r w:rsidRPr="000D55ED">
              <w:rPr>
                <w:color w:val="000000"/>
                <w:sz w:val="22"/>
                <w:szCs w:val="22"/>
              </w:rPr>
              <w:t>-0.0001</w:t>
            </w:r>
          </w:p>
        </w:tc>
        <w:tc>
          <w:tcPr>
            <w:tcW w:w="1236" w:type="dxa"/>
            <w:tcBorders>
              <w:top w:val="nil"/>
              <w:left w:val="nil"/>
              <w:bottom w:val="nil"/>
              <w:right w:val="nil"/>
            </w:tcBorders>
            <w:shd w:val="clear" w:color="000000" w:fill="FFFFFF"/>
            <w:noWrap/>
            <w:vAlign w:val="center"/>
            <w:hideMark/>
          </w:tcPr>
          <w:p w14:paraId="4947F898" w14:textId="77777777" w:rsidR="000D55ED" w:rsidRPr="000D55ED" w:rsidRDefault="000D55ED" w:rsidP="000D55ED">
            <w:pPr>
              <w:jc w:val="right"/>
              <w:rPr>
                <w:color w:val="000000"/>
                <w:sz w:val="22"/>
                <w:szCs w:val="22"/>
              </w:rPr>
            </w:pPr>
            <w:r w:rsidRPr="000D55ED">
              <w:rPr>
                <w:color w:val="000000"/>
                <w:sz w:val="22"/>
                <w:szCs w:val="22"/>
              </w:rPr>
              <w:t>0.0002</w:t>
            </w:r>
          </w:p>
        </w:tc>
        <w:tc>
          <w:tcPr>
            <w:tcW w:w="1035" w:type="dxa"/>
            <w:tcBorders>
              <w:top w:val="nil"/>
              <w:left w:val="nil"/>
              <w:bottom w:val="nil"/>
              <w:right w:val="nil"/>
            </w:tcBorders>
            <w:shd w:val="clear" w:color="000000" w:fill="FFFFFF"/>
            <w:noWrap/>
            <w:vAlign w:val="center"/>
            <w:hideMark/>
          </w:tcPr>
          <w:p w14:paraId="6918BB74" w14:textId="77777777" w:rsidR="000D55ED" w:rsidRPr="000D55ED" w:rsidRDefault="000D55ED" w:rsidP="000D55ED">
            <w:pPr>
              <w:jc w:val="right"/>
              <w:rPr>
                <w:color w:val="000000"/>
                <w:sz w:val="22"/>
                <w:szCs w:val="22"/>
              </w:rPr>
            </w:pPr>
            <w:r w:rsidRPr="000D55ED">
              <w:rPr>
                <w:color w:val="000000"/>
                <w:sz w:val="22"/>
                <w:szCs w:val="22"/>
              </w:rPr>
              <w:t>0.0010</w:t>
            </w:r>
          </w:p>
        </w:tc>
        <w:tc>
          <w:tcPr>
            <w:tcW w:w="1236" w:type="dxa"/>
            <w:tcBorders>
              <w:top w:val="nil"/>
              <w:left w:val="nil"/>
              <w:bottom w:val="nil"/>
              <w:right w:val="nil"/>
            </w:tcBorders>
            <w:shd w:val="clear" w:color="000000" w:fill="FFFFFF"/>
            <w:noWrap/>
            <w:vAlign w:val="center"/>
            <w:hideMark/>
          </w:tcPr>
          <w:p w14:paraId="74DC41FB" w14:textId="77777777" w:rsidR="000D55ED" w:rsidRPr="000D55ED" w:rsidRDefault="000D55ED" w:rsidP="000D55ED">
            <w:pPr>
              <w:jc w:val="right"/>
              <w:rPr>
                <w:color w:val="000000"/>
                <w:sz w:val="22"/>
                <w:szCs w:val="22"/>
              </w:rPr>
            </w:pPr>
            <w:r w:rsidRPr="000D55ED">
              <w:rPr>
                <w:color w:val="000000"/>
                <w:sz w:val="22"/>
                <w:szCs w:val="22"/>
              </w:rPr>
              <w:t>0.0008</w:t>
            </w:r>
          </w:p>
        </w:tc>
        <w:tc>
          <w:tcPr>
            <w:tcW w:w="1035" w:type="dxa"/>
            <w:tcBorders>
              <w:top w:val="nil"/>
              <w:left w:val="nil"/>
              <w:bottom w:val="nil"/>
              <w:right w:val="nil"/>
            </w:tcBorders>
            <w:shd w:val="clear" w:color="000000" w:fill="FFFFFF"/>
            <w:noWrap/>
            <w:vAlign w:val="center"/>
            <w:hideMark/>
          </w:tcPr>
          <w:p w14:paraId="40DC2927" w14:textId="77777777" w:rsidR="000D55ED" w:rsidRPr="000D55ED" w:rsidRDefault="000D55ED" w:rsidP="000D55ED">
            <w:pPr>
              <w:jc w:val="right"/>
              <w:rPr>
                <w:color w:val="000000"/>
                <w:sz w:val="22"/>
                <w:szCs w:val="22"/>
              </w:rPr>
            </w:pPr>
            <w:r w:rsidRPr="000D55ED">
              <w:rPr>
                <w:color w:val="000000"/>
                <w:sz w:val="22"/>
                <w:szCs w:val="22"/>
              </w:rPr>
              <w:t>-0.0001</w:t>
            </w:r>
          </w:p>
        </w:tc>
        <w:tc>
          <w:tcPr>
            <w:tcW w:w="1236" w:type="dxa"/>
            <w:tcBorders>
              <w:top w:val="nil"/>
              <w:left w:val="nil"/>
              <w:bottom w:val="nil"/>
              <w:right w:val="nil"/>
            </w:tcBorders>
            <w:shd w:val="clear" w:color="000000" w:fill="FFFFFF"/>
            <w:noWrap/>
            <w:vAlign w:val="center"/>
            <w:hideMark/>
          </w:tcPr>
          <w:p w14:paraId="59239775" w14:textId="77777777" w:rsidR="000D55ED" w:rsidRPr="000D55ED" w:rsidRDefault="000D55ED" w:rsidP="000D55ED">
            <w:pPr>
              <w:jc w:val="right"/>
              <w:rPr>
                <w:color w:val="000000"/>
                <w:sz w:val="22"/>
                <w:szCs w:val="22"/>
              </w:rPr>
            </w:pPr>
            <w:r w:rsidRPr="000D55ED">
              <w:rPr>
                <w:color w:val="000000"/>
                <w:sz w:val="22"/>
                <w:szCs w:val="22"/>
              </w:rPr>
              <w:t>0.0003</w:t>
            </w:r>
          </w:p>
        </w:tc>
      </w:tr>
      <w:tr w:rsidR="000D55ED" w:rsidRPr="00D618B7" w14:paraId="5DE50B81" w14:textId="77777777" w:rsidTr="000D55ED">
        <w:trPr>
          <w:trHeight w:val="250"/>
        </w:trPr>
        <w:tc>
          <w:tcPr>
            <w:tcW w:w="1136" w:type="dxa"/>
            <w:tcBorders>
              <w:top w:val="nil"/>
              <w:left w:val="nil"/>
              <w:bottom w:val="nil"/>
              <w:right w:val="nil"/>
            </w:tcBorders>
            <w:shd w:val="clear" w:color="000000" w:fill="FFFFFF"/>
            <w:vAlign w:val="center"/>
            <w:hideMark/>
          </w:tcPr>
          <w:p w14:paraId="636712C9" w14:textId="77777777" w:rsidR="000D55ED" w:rsidRPr="000D55ED" w:rsidRDefault="000D55ED" w:rsidP="000D55ED">
            <w:pPr>
              <w:jc w:val="right"/>
              <w:rPr>
                <w:color w:val="000000"/>
                <w:sz w:val="22"/>
                <w:szCs w:val="22"/>
              </w:rPr>
            </w:pPr>
            <w:r w:rsidRPr="000D55ED">
              <w:rPr>
                <w:color w:val="000000"/>
                <w:sz w:val="22"/>
                <w:szCs w:val="22"/>
              </w:rPr>
              <w:t>-1</w:t>
            </w:r>
          </w:p>
        </w:tc>
        <w:tc>
          <w:tcPr>
            <w:tcW w:w="1035" w:type="dxa"/>
            <w:tcBorders>
              <w:top w:val="nil"/>
              <w:left w:val="nil"/>
              <w:bottom w:val="nil"/>
              <w:right w:val="nil"/>
            </w:tcBorders>
            <w:shd w:val="clear" w:color="000000" w:fill="FFFFFF"/>
            <w:noWrap/>
            <w:vAlign w:val="center"/>
            <w:hideMark/>
          </w:tcPr>
          <w:p w14:paraId="04489FDC" w14:textId="77777777" w:rsidR="000D55ED" w:rsidRPr="000D55ED" w:rsidRDefault="000D55ED" w:rsidP="000D55ED">
            <w:pPr>
              <w:jc w:val="right"/>
              <w:rPr>
                <w:color w:val="000000"/>
                <w:sz w:val="22"/>
                <w:szCs w:val="22"/>
              </w:rPr>
            </w:pPr>
            <w:r w:rsidRPr="000D55ED">
              <w:rPr>
                <w:color w:val="000000"/>
                <w:sz w:val="22"/>
                <w:szCs w:val="22"/>
              </w:rPr>
              <w:t>0.0070</w:t>
            </w:r>
          </w:p>
        </w:tc>
        <w:tc>
          <w:tcPr>
            <w:tcW w:w="1236" w:type="dxa"/>
            <w:tcBorders>
              <w:top w:val="nil"/>
              <w:left w:val="nil"/>
              <w:bottom w:val="nil"/>
              <w:right w:val="nil"/>
            </w:tcBorders>
            <w:shd w:val="clear" w:color="000000" w:fill="FFFFFF"/>
            <w:noWrap/>
            <w:vAlign w:val="center"/>
            <w:hideMark/>
          </w:tcPr>
          <w:p w14:paraId="7129718B" w14:textId="77777777" w:rsidR="000D55ED" w:rsidRPr="000D55ED" w:rsidRDefault="000D55ED" w:rsidP="000D55ED">
            <w:pPr>
              <w:jc w:val="right"/>
              <w:rPr>
                <w:color w:val="000000"/>
                <w:sz w:val="22"/>
                <w:szCs w:val="22"/>
              </w:rPr>
            </w:pPr>
            <w:r w:rsidRPr="000D55ED">
              <w:rPr>
                <w:color w:val="000000"/>
                <w:sz w:val="22"/>
                <w:szCs w:val="22"/>
              </w:rPr>
              <w:t>0.0000</w:t>
            </w:r>
          </w:p>
        </w:tc>
        <w:tc>
          <w:tcPr>
            <w:tcW w:w="1035" w:type="dxa"/>
            <w:tcBorders>
              <w:top w:val="nil"/>
              <w:left w:val="nil"/>
              <w:bottom w:val="nil"/>
              <w:right w:val="nil"/>
            </w:tcBorders>
            <w:shd w:val="clear" w:color="000000" w:fill="FFFFFF"/>
            <w:noWrap/>
            <w:vAlign w:val="center"/>
            <w:hideMark/>
          </w:tcPr>
          <w:p w14:paraId="5DF5CB4B" w14:textId="77777777" w:rsidR="000D55ED" w:rsidRPr="000D55ED" w:rsidRDefault="000D55ED" w:rsidP="000D55ED">
            <w:pPr>
              <w:jc w:val="right"/>
              <w:rPr>
                <w:color w:val="000000"/>
                <w:sz w:val="22"/>
                <w:szCs w:val="22"/>
              </w:rPr>
            </w:pPr>
            <w:r w:rsidRPr="000D55ED">
              <w:rPr>
                <w:color w:val="000000"/>
                <w:sz w:val="22"/>
                <w:szCs w:val="22"/>
              </w:rPr>
              <w:t>0.0004</w:t>
            </w:r>
          </w:p>
        </w:tc>
        <w:tc>
          <w:tcPr>
            <w:tcW w:w="1236" w:type="dxa"/>
            <w:tcBorders>
              <w:top w:val="nil"/>
              <w:left w:val="nil"/>
              <w:bottom w:val="nil"/>
              <w:right w:val="nil"/>
            </w:tcBorders>
            <w:shd w:val="clear" w:color="000000" w:fill="FFFFFF"/>
            <w:noWrap/>
            <w:vAlign w:val="center"/>
            <w:hideMark/>
          </w:tcPr>
          <w:p w14:paraId="3984E85E" w14:textId="77777777" w:rsidR="000D55ED" w:rsidRPr="000D55ED" w:rsidRDefault="000D55ED" w:rsidP="000D55ED">
            <w:pPr>
              <w:jc w:val="right"/>
              <w:rPr>
                <w:color w:val="000000"/>
                <w:sz w:val="22"/>
                <w:szCs w:val="22"/>
              </w:rPr>
            </w:pPr>
            <w:r w:rsidRPr="000D55ED">
              <w:rPr>
                <w:color w:val="000000"/>
                <w:sz w:val="22"/>
                <w:szCs w:val="22"/>
              </w:rPr>
              <w:t>0.0003</w:t>
            </w:r>
          </w:p>
        </w:tc>
        <w:tc>
          <w:tcPr>
            <w:tcW w:w="1035" w:type="dxa"/>
            <w:tcBorders>
              <w:top w:val="nil"/>
              <w:left w:val="nil"/>
              <w:bottom w:val="nil"/>
              <w:right w:val="nil"/>
            </w:tcBorders>
            <w:shd w:val="clear" w:color="000000" w:fill="FFFFFF"/>
            <w:noWrap/>
            <w:vAlign w:val="center"/>
            <w:hideMark/>
          </w:tcPr>
          <w:p w14:paraId="3AD33C1C" w14:textId="77777777" w:rsidR="000D55ED" w:rsidRPr="000D55ED" w:rsidRDefault="000D55ED" w:rsidP="000D55ED">
            <w:pPr>
              <w:jc w:val="right"/>
              <w:rPr>
                <w:color w:val="000000"/>
                <w:sz w:val="22"/>
                <w:szCs w:val="22"/>
              </w:rPr>
            </w:pPr>
            <w:r w:rsidRPr="000D55ED">
              <w:rPr>
                <w:color w:val="000000"/>
                <w:sz w:val="22"/>
                <w:szCs w:val="22"/>
              </w:rPr>
              <w:t>-0.0001</w:t>
            </w:r>
          </w:p>
        </w:tc>
        <w:tc>
          <w:tcPr>
            <w:tcW w:w="1236" w:type="dxa"/>
            <w:tcBorders>
              <w:top w:val="nil"/>
              <w:left w:val="nil"/>
              <w:bottom w:val="nil"/>
              <w:right w:val="nil"/>
            </w:tcBorders>
            <w:shd w:val="clear" w:color="000000" w:fill="FFFFFF"/>
            <w:noWrap/>
            <w:vAlign w:val="center"/>
            <w:hideMark/>
          </w:tcPr>
          <w:p w14:paraId="54B5CF78" w14:textId="77777777" w:rsidR="000D55ED" w:rsidRPr="000D55ED" w:rsidRDefault="000D55ED" w:rsidP="000D55ED">
            <w:pPr>
              <w:jc w:val="right"/>
              <w:rPr>
                <w:color w:val="000000"/>
                <w:sz w:val="22"/>
                <w:szCs w:val="22"/>
              </w:rPr>
            </w:pPr>
            <w:r w:rsidRPr="000D55ED">
              <w:rPr>
                <w:color w:val="000000"/>
                <w:sz w:val="22"/>
                <w:szCs w:val="22"/>
              </w:rPr>
              <w:t>0.0038</w:t>
            </w:r>
          </w:p>
        </w:tc>
      </w:tr>
      <w:tr w:rsidR="000D55ED" w:rsidRPr="00D618B7" w14:paraId="00B047C4" w14:textId="77777777" w:rsidTr="000D55ED">
        <w:trPr>
          <w:trHeight w:val="250"/>
        </w:trPr>
        <w:tc>
          <w:tcPr>
            <w:tcW w:w="1136" w:type="dxa"/>
            <w:tcBorders>
              <w:top w:val="nil"/>
              <w:left w:val="nil"/>
              <w:bottom w:val="nil"/>
              <w:right w:val="nil"/>
            </w:tcBorders>
            <w:shd w:val="clear" w:color="000000" w:fill="FFFFFF"/>
            <w:vAlign w:val="center"/>
            <w:hideMark/>
          </w:tcPr>
          <w:p w14:paraId="36F736B2" w14:textId="77777777" w:rsidR="000D55ED" w:rsidRPr="000D55ED" w:rsidRDefault="000D55ED" w:rsidP="000D55ED">
            <w:pPr>
              <w:jc w:val="right"/>
              <w:rPr>
                <w:color w:val="000000"/>
                <w:sz w:val="22"/>
                <w:szCs w:val="22"/>
              </w:rPr>
            </w:pPr>
            <w:r w:rsidRPr="000D55ED">
              <w:rPr>
                <w:color w:val="000000"/>
                <w:sz w:val="22"/>
                <w:szCs w:val="22"/>
              </w:rPr>
              <w:t>0</w:t>
            </w:r>
          </w:p>
        </w:tc>
        <w:tc>
          <w:tcPr>
            <w:tcW w:w="1035" w:type="dxa"/>
            <w:tcBorders>
              <w:top w:val="nil"/>
              <w:left w:val="nil"/>
              <w:bottom w:val="nil"/>
              <w:right w:val="nil"/>
            </w:tcBorders>
            <w:shd w:val="clear" w:color="000000" w:fill="FFFFFF"/>
            <w:noWrap/>
            <w:vAlign w:val="center"/>
            <w:hideMark/>
          </w:tcPr>
          <w:p w14:paraId="44FA148B" w14:textId="77777777" w:rsidR="000D55ED" w:rsidRPr="000D55ED" w:rsidRDefault="000D55ED" w:rsidP="000D55ED">
            <w:pPr>
              <w:jc w:val="right"/>
              <w:rPr>
                <w:color w:val="000000"/>
                <w:sz w:val="22"/>
                <w:szCs w:val="22"/>
              </w:rPr>
            </w:pPr>
            <w:r w:rsidRPr="000D55ED">
              <w:rPr>
                <w:color w:val="000000"/>
                <w:sz w:val="22"/>
                <w:szCs w:val="22"/>
              </w:rPr>
              <w:t>0.0062</w:t>
            </w:r>
          </w:p>
        </w:tc>
        <w:tc>
          <w:tcPr>
            <w:tcW w:w="1236" w:type="dxa"/>
            <w:tcBorders>
              <w:top w:val="nil"/>
              <w:left w:val="nil"/>
              <w:bottom w:val="nil"/>
              <w:right w:val="nil"/>
            </w:tcBorders>
            <w:shd w:val="clear" w:color="000000" w:fill="FFFFFF"/>
            <w:noWrap/>
            <w:vAlign w:val="center"/>
            <w:hideMark/>
          </w:tcPr>
          <w:p w14:paraId="48F2F615" w14:textId="77777777" w:rsidR="000D55ED" w:rsidRPr="000D55ED" w:rsidRDefault="000D55ED" w:rsidP="000D55ED">
            <w:pPr>
              <w:jc w:val="right"/>
              <w:rPr>
                <w:color w:val="000000"/>
                <w:sz w:val="22"/>
                <w:szCs w:val="22"/>
              </w:rPr>
            </w:pPr>
            <w:r w:rsidRPr="000D55ED">
              <w:rPr>
                <w:color w:val="000000"/>
                <w:sz w:val="22"/>
                <w:szCs w:val="22"/>
              </w:rPr>
              <w:t>0.0037</w:t>
            </w:r>
          </w:p>
        </w:tc>
        <w:tc>
          <w:tcPr>
            <w:tcW w:w="1035" w:type="dxa"/>
            <w:tcBorders>
              <w:top w:val="nil"/>
              <w:left w:val="nil"/>
              <w:bottom w:val="nil"/>
              <w:right w:val="nil"/>
            </w:tcBorders>
            <w:shd w:val="clear" w:color="000000" w:fill="FFFFFF"/>
            <w:noWrap/>
            <w:vAlign w:val="center"/>
            <w:hideMark/>
          </w:tcPr>
          <w:p w14:paraId="2BD75873" w14:textId="77777777" w:rsidR="000D55ED" w:rsidRPr="000D55ED" w:rsidRDefault="000D55ED" w:rsidP="000D55ED">
            <w:pPr>
              <w:jc w:val="right"/>
              <w:rPr>
                <w:color w:val="000000"/>
                <w:sz w:val="22"/>
                <w:szCs w:val="22"/>
              </w:rPr>
            </w:pPr>
            <w:r w:rsidRPr="000D55ED">
              <w:rPr>
                <w:color w:val="000000"/>
                <w:sz w:val="22"/>
                <w:szCs w:val="22"/>
              </w:rPr>
              <w:t>-0.0007</w:t>
            </w:r>
          </w:p>
        </w:tc>
        <w:tc>
          <w:tcPr>
            <w:tcW w:w="1236" w:type="dxa"/>
            <w:tcBorders>
              <w:top w:val="nil"/>
              <w:left w:val="nil"/>
              <w:bottom w:val="nil"/>
              <w:right w:val="nil"/>
            </w:tcBorders>
            <w:shd w:val="clear" w:color="000000" w:fill="FFFFFF"/>
            <w:noWrap/>
            <w:vAlign w:val="center"/>
            <w:hideMark/>
          </w:tcPr>
          <w:p w14:paraId="7F68FEED" w14:textId="77777777" w:rsidR="000D55ED" w:rsidRPr="000D55ED" w:rsidRDefault="000D55ED" w:rsidP="000D55ED">
            <w:pPr>
              <w:jc w:val="right"/>
              <w:rPr>
                <w:color w:val="000000"/>
                <w:sz w:val="22"/>
                <w:szCs w:val="22"/>
              </w:rPr>
            </w:pPr>
            <w:r w:rsidRPr="000D55ED">
              <w:rPr>
                <w:color w:val="000000"/>
                <w:sz w:val="22"/>
                <w:szCs w:val="22"/>
              </w:rPr>
              <w:t>0.0001</w:t>
            </w:r>
          </w:p>
        </w:tc>
        <w:tc>
          <w:tcPr>
            <w:tcW w:w="1035" w:type="dxa"/>
            <w:tcBorders>
              <w:top w:val="nil"/>
              <w:left w:val="nil"/>
              <w:bottom w:val="nil"/>
              <w:right w:val="nil"/>
            </w:tcBorders>
            <w:shd w:val="clear" w:color="000000" w:fill="FFFFFF"/>
            <w:noWrap/>
            <w:vAlign w:val="center"/>
            <w:hideMark/>
          </w:tcPr>
          <w:p w14:paraId="7A08D16A" w14:textId="77777777" w:rsidR="000D55ED" w:rsidRPr="000D55ED" w:rsidRDefault="000D55ED" w:rsidP="000D55ED">
            <w:pPr>
              <w:jc w:val="right"/>
              <w:rPr>
                <w:color w:val="000000"/>
                <w:sz w:val="22"/>
                <w:szCs w:val="22"/>
              </w:rPr>
            </w:pPr>
            <w:r w:rsidRPr="000D55ED">
              <w:rPr>
                <w:color w:val="000000"/>
                <w:sz w:val="22"/>
                <w:szCs w:val="22"/>
              </w:rPr>
              <w:t>0.0043</w:t>
            </w:r>
          </w:p>
        </w:tc>
        <w:tc>
          <w:tcPr>
            <w:tcW w:w="1236" w:type="dxa"/>
            <w:tcBorders>
              <w:top w:val="nil"/>
              <w:left w:val="nil"/>
              <w:bottom w:val="nil"/>
              <w:right w:val="nil"/>
            </w:tcBorders>
            <w:shd w:val="clear" w:color="000000" w:fill="FFFFFF"/>
            <w:noWrap/>
            <w:vAlign w:val="center"/>
            <w:hideMark/>
          </w:tcPr>
          <w:p w14:paraId="3F56D182" w14:textId="77777777" w:rsidR="000D55ED" w:rsidRPr="000D55ED" w:rsidRDefault="000D55ED" w:rsidP="000D55ED">
            <w:pPr>
              <w:jc w:val="right"/>
              <w:rPr>
                <w:color w:val="000000"/>
                <w:sz w:val="22"/>
                <w:szCs w:val="22"/>
              </w:rPr>
            </w:pPr>
            <w:r w:rsidRPr="000D55ED">
              <w:rPr>
                <w:color w:val="000000"/>
                <w:sz w:val="22"/>
                <w:szCs w:val="22"/>
              </w:rPr>
              <w:t>0.0030</w:t>
            </w:r>
          </w:p>
        </w:tc>
      </w:tr>
      <w:tr w:rsidR="000D55ED" w:rsidRPr="00D618B7" w14:paraId="5DFCDF02" w14:textId="77777777" w:rsidTr="000D55ED">
        <w:trPr>
          <w:trHeight w:val="250"/>
        </w:trPr>
        <w:tc>
          <w:tcPr>
            <w:tcW w:w="1136" w:type="dxa"/>
            <w:tcBorders>
              <w:top w:val="nil"/>
              <w:left w:val="nil"/>
              <w:bottom w:val="nil"/>
              <w:right w:val="nil"/>
            </w:tcBorders>
            <w:shd w:val="clear" w:color="000000" w:fill="FFFFFF"/>
            <w:vAlign w:val="center"/>
            <w:hideMark/>
          </w:tcPr>
          <w:p w14:paraId="05BDCE06" w14:textId="77777777" w:rsidR="000D55ED" w:rsidRPr="000D55ED" w:rsidRDefault="000D55ED" w:rsidP="000D55ED">
            <w:pPr>
              <w:jc w:val="right"/>
              <w:rPr>
                <w:color w:val="000000"/>
                <w:sz w:val="22"/>
                <w:szCs w:val="22"/>
              </w:rPr>
            </w:pPr>
            <w:r w:rsidRPr="000D55ED">
              <w:rPr>
                <w:color w:val="000000"/>
                <w:sz w:val="22"/>
                <w:szCs w:val="22"/>
              </w:rPr>
              <w:t>1</w:t>
            </w:r>
          </w:p>
        </w:tc>
        <w:tc>
          <w:tcPr>
            <w:tcW w:w="1035" w:type="dxa"/>
            <w:tcBorders>
              <w:top w:val="nil"/>
              <w:left w:val="nil"/>
              <w:bottom w:val="nil"/>
              <w:right w:val="nil"/>
            </w:tcBorders>
            <w:shd w:val="clear" w:color="000000" w:fill="FFFFFF"/>
            <w:noWrap/>
            <w:vAlign w:val="center"/>
            <w:hideMark/>
          </w:tcPr>
          <w:p w14:paraId="5D9568E9" w14:textId="77777777" w:rsidR="000D55ED" w:rsidRPr="000D55ED" w:rsidRDefault="000D55ED" w:rsidP="000D55ED">
            <w:pPr>
              <w:jc w:val="right"/>
              <w:rPr>
                <w:color w:val="000000"/>
                <w:sz w:val="22"/>
                <w:szCs w:val="22"/>
              </w:rPr>
            </w:pPr>
            <w:r w:rsidRPr="000D55ED">
              <w:rPr>
                <w:color w:val="000000"/>
                <w:sz w:val="22"/>
                <w:szCs w:val="22"/>
              </w:rPr>
              <w:t>0.0069</w:t>
            </w:r>
          </w:p>
        </w:tc>
        <w:tc>
          <w:tcPr>
            <w:tcW w:w="1236" w:type="dxa"/>
            <w:tcBorders>
              <w:top w:val="nil"/>
              <w:left w:val="nil"/>
              <w:bottom w:val="nil"/>
              <w:right w:val="nil"/>
            </w:tcBorders>
            <w:shd w:val="clear" w:color="000000" w:fill="FFFFFF"/>
            <w:noWrap/>
            <w:vAlign w:val="center"/>
            <w:hideMark/>
          </w:tcPr>
          <w:p w14:paraId="47E6A8D7" w14:textId="77777777" w:rsidR="000D55ED" w:rsidRPr="000D55ED" w:rsidRDefault="000D55ED" w:rsidP="000D55ED">
            <w:pPr>
              <w:jc w:val="right"/>
              <w:rPr>
                <w:color w:val="000000"/>
                <w:sz w:val="22"/>
                <w:szCs w:val="22"/>
              </w:rPr>
            </w:pPr>
            <w:r w:rsidRPr="000D55ED">
              <w:rPr>
                <w:color w:val="000000"/>
                <w:sz w:val="22"/>
                <w:szCs w:val="22"/>
              </w:rPr>
              <w:t>0.0001</w:t>
            </w:r>
          </w:p>
        </w:tc>
        <w:tc>
          <w:tcPr>
            <w:tcW w:w="1035" w:type="dxa"/>
            <w:tcBorders>
              <w:top w:val="nil"/>
              <w:left w:val="nil"/>
              <w:bottom w:val="nil"/>
              <w:right w:val="nil"/>
            </w:tcBorders>
            <w:shd w:val="clear" w:color="000000" w:fill="FFFFFF"/>
            <w:noWrap/>
            <w:vAlign w:val="center"/>
            <w:hideMark/>
          </w:tcPr>
          <w:p w14:paraId="76E813CC" w14:textId="77777777" w:rsidR="000D55ED" w:rsidRPr="000D55ED" w:rsidRDefault="000D55ED" w:rsidP="000D55ED">
            <w:pPr>
              <w:jc w:val="right"/>
              <w:rPr>
                <w:color w:val="000000"/>
                <w:sz w:val="22"/>
                <w:szCs w:val="22"/>
              </w:rPr>
            </w:pPr>
            <w:r w:rsidRPr="000D55ED">
              <w:rPr>
                <w:color w:val="000000"/>
                <w:sz w:val="22"/>
                <w:szCs w:val="22"/>
              </w:rPr>
              <w:t>0.0000</w:t>
            </w:r>
          </w:p>
        </w:tc>
        <w:tc>
          <w:tcPr>
            <w:tcW w:w="1236" w:type="dxa"/>
            <w:tcBorders>
              <w:top w:val="nil"/>
              <w:left w:val="nil"/>
              <w:bottom w:val="nil"/>
              <w:right w:val="nil"/>
            </w:tcBorders>
            <w:shd w:val="clear" w:color="000000" w:fill="FFFFFF"/>
            <w:noWrap/>
            <w:vAlign w:val="center"/>
            <w:hideMark/>
          </w:tcPr>
          <w:p w14:paraId="404C7531" w14:textId="77777777" w:rsidR="000D55ED" w:rsidRPr="000D55ED" w:rsidRDefault="000D55ED" w:rsidP="000D55ED">
            <w:pPr>
              <w:jc w:val="right"/>
              <w:rPr>
                <w:color w:val="000000"/>
                <w:sz w:val="22"/>
                <w:szCs w:val="22"/>
              </w:rPr>
            </w:pPr>
            <w:r w:rsidRPr="000D55ED">
              <w:rPr>
                <w:color w:val="000000"/>
                <w:sz w:val="22"/>
                <w:szCs w:val="22"/>
              </w:rPr>
              <w:t>0.0001</w:t>
            </w:r>
          </w:p>
        </w:tc>
        <w:tc>
          <w:tcPr>
            <w:tcW w:w="1035" w:type="dxa"/>
            <w:tcBorders>
              <w:top w:val="nil"/>
              <w:left w:val="nil"/>
              <w:bottom w:val="nil"/>
              <w:right w:val="nil"/>
            </w:tcBorders>
            <w:shd w:val="clear" w:color="000000" w:fill="FFFFFF"/>
            <w:noWrap/>
            <w:vAlign w:val="center"/>
            <w:hideMark/>
          </w:tcPr>
          <w:p w14:paraId="5038AAD9" w14:textId="77777777" w:rsidR="000D55ED" w:rsidRPr="000D55ED" w:rsidRDefault="000D55ED" w:rsidP="000D55ED">
            <w:pPr>
              <w:jc w:val="right"/>
              <w:rPr>
                <w:color w:val="000000"/>
                <w:sz w:val="22"/>
                <w:szCs w:val="22"/>
              </w:rPr>
            </w:pPr>
            <w:r w:rsidRPr="000D55ED">
              <w:rPr>
                <w:color w:val="000000"/>
                <w:sz w:val="22"/>
                <w:szCs w:val="22"/>
              </w:rPr>
              <w:t>0.0000</w:t>
            </w:r>
          </w:p>
        </w:tc>
        <w:tc>
          <w:tcPr>
            <w:tcW w:w="1236" w:type="dxa"/>
            <w:tcBorders>
              <w:top w:val="nil"/>
              <w:left w:val="nil"/>
              <w:bottom w:val="nil"/>
              <w:right w:val="nil"/>
            </w:tcBorders>
            <w:shd w:val="clear" w:color="000000" w:fill="FFFFFF"/>
            <w:noWrap/>
            <w:vAlign w:val="center"/>
            <w:hideMark/>
          </w:tcPr>
          <w:p w14:paraId="28FF1CB4" w14:textId="77777777" w:rsidR="000D55ED" w:rsidRPr="000D55ED" w:rsidRDefault="000D55ED" w:rsidP="000D55ED">
            <w:pPr>
              <w:jc w:val="right"/>
              <w:rPr>
                <w:color w:val="000000"/>
                <w:sz w:val="22"/>
                <w:szCs w:val="22"/>
              </w:rPr>
            </w:pPr>
            <w:r w:rsidRPr="000D55ED">
              <w:rPr>
                <w:color w:val="000000"/>
                <w:sz w:val="22"/>
                <w:szCs w:val="22"/>
              </w:rPr>
              <w:t>0.0036</w:t>
            </w:r>
          </w:p>
        </w:tc>
      </w:tr>
      <w:tr w:rsidR="000D55ED" w:rsidRPr="00D618B7" w14:paraId="794663AA" w14:textId="77777777" w:rsidTr="000D55ED">
        <w:trPr>
          <w:trHeight w:val="250"/>
        </w:trPr>
        <w:tc>
          <w:tcPr>
            <w:tcW w:w="1136" w:type="dxa"/>
            <w:tcBorders>
              <w:top w:val="nil"/>
              <w:left w:val="nil"/>
              <w:bottom w:val="nil"/>
              <w:right w:val="nil"/>
            </w:tcBorders>
            <w:shd w:val="clear" w:color="000000" w:fill="FFFFFF"/>
            <w:vAlign w:val="center"/>
            <w:hideMark/>
          </w:tcPr>
          <w:p w14:paraId="490443B7" w14:textId="77777777" w:rsidR="000D55ED" w:rsidRPr="000D55ED" w:rsidRDefault="000D55ED" w:rsidP="000D55ED">
            <w:pPr>
              <w:jc w:val="right"/>
              <w:rPr>
                <w:color w:val="000000"/>
                <w:sz w:val="22"/>
                <w:szCs w:val="22"/>
              </w:rPr>
            </w:pPr>
            <w:r w:rsidRPr="000D55ED">
              <w:rPr>
                <w:color w:val="000000"/>
                <w:sz w:val="22"/>
                <w:szCs w:val="22"/>
              </w:rPr>
              <w:t>2</w:t>
            </w:r>
          </w:p>
        </w:tc>
        <w:tc>
          <w:tcPr>
            <w:tcW w:w="1035" w:type="dxa"/>
            <w:tcBorders>
              <w:top w:val="nil"/>
              <w:left w:val="nil"/>
              <w:bottom w:val="nil"/>
              <w:right w:val="nil"/>
            </w:tcBorders>
            <w:shd w:val="clear" w:color="000000" w:fill="FFFFFF"/>
            <w:noWrap/>
            <w:vAlign w:val="center"/>
            <w:hideMark/>
          </w:tcPr>
          <w:p w14:paraId="43A6A437" w14:textId="77777777" w:rsidR="000D55ED" w:rsidRPr="000D55ED" w:rsidRDefault="000D55ED" w:rsidP="000D55ED">
            <w:pPr>
              <w:jc w:val="right"/>
              <w:rPr>
                <w:color w:val="000000"/>
                <w:sz w:val="22"/>
                <w:szCs w:val="22"/>
              </w:rPr>
            </w:pPr>
            <w:r w:rsidRPr="000D55ED">
              <w:rPr>
                <w:color w:val="000000"/>
                <w:sz w:val="22"/>
                <w:szCs w:val="22"/>
              </w:rPr>
              <w:t>0.0171</w:t>
            </w:r>
          </w:p>
        </w:tc>
        <w:tc>
          <w:tcPr>
            <w:tcW w:w="1236" w:type="dxa"/>
            <w:tcBorders>
              <w:top w:val="nil"/>
              <w:left w:val="nil"/>
              <w:bottom w:val="nil"/>
              <w:right w:val="nil"/>
            </w:tcBorders>
            <w:shd w:val="clear" w:color="000000" w:fill="FFFFFF"/>
            <w:noWrap/>
            <w:vAlign w:val="center"/>
            <w:hideMark/>
          </w:tcPr>
          <w:p w14:paraId="6AF69890" w14:textId="77777777" w:rsidR="000D55ED" w:rsidRPr="000D55ED" w:rsidRDefault="000D55ED" w:rsidP="000D55ED">
            <w:pPr>
              <w:jc w:val="right"/>
              <w:rPr>
                <w:color w:val="000000"/>
                <w:sz w:val="22"/>
                <w:szCs w:val="22"/>
              </w:rPr>
            </w:pPr>
            <w:r w:rsidRPr="000D55ED">
              <w:rPr>
                <w:color w:val="000000"/>
                <w:sz w:val="22"/>
                <w:szCs w:val="22"/>
              </w:rPr>
              <w:t>0.0003</w:t>
            </w:r>
          </w:p>
        </w:tc>
        <w:tc>
          <w:tcPr>
            <w:tcW w:w="1035" w:type="dxa"/>
            <w:tcBorders>
              <w:top w:val="nil"/>
              <w:left w:val="nil"/>
              <w:bottom w:val="nil"/>
              <w:right w:val="nil"/>
            </w:tcBorders>
            <w:shd w:val="clear" w:color="000000" w:fill="FFFFFF"/>
            <w:noWrap/>
            <w:vAlign w:val="center"/>
            <w:hideMark/>
          </w:tcPr>
          <w:p w14:paraId="1147AA33" w14:textId="77777777" w:rsidR="000D55ED" w:rsidRPr="000D55ED" w:rsidRDefault="000D55ED" w:rsidP="000D55ED">
            <w:pPr>
              <w:jc w:val="right"/>
              <w:rPr>
                <w:color w:val="000000"/>
                <w:sz w:val="22"/>
                <w:szCs w:val="22"/>
              </w:rPr>
            </w:pPr>
            <w:r w:rsidRPr="000D55ED">
              <w:rPr>
                <w:color w:val="000000"/>
                <w:sz w:val="22"/>
                <w:szCs w:val="22"/>
              </w:rPr>
              <w:t>0.0000</w:t>
            </w:r>
          </w:p>
        </w:tc>
        <w:tc>
          <w:tcPr>
            <w:tcW w:w="1236" w:type="dxa"/>
            <w:tcBorders>
              <w:top w:val="nil"/>
              <w:left w:val="nil"/>
              <w:bottom w:val="nil"/>
              <w:right w:val="nil"/>
            </w:tcBorders>
            <w:shd w:val="clear" w:color="000000" w:fill="FFFFFF"/>
            <w:noWrap/>
            <w:vAlign w:val="center"/>
            <w:hideMark/>
          </w:tcPr>
          <w:p w14:paraId="055930EF" w14:textId="77777777" w:rsidR="000D55ED" w:rsidRPr="000D55ED" w:rsidRDefault="000D55ED" w:rsidP="000D55ED">
            <w:pPr>
              <w:jc w:val="right"/>
              <w:rPr>
                <w:color w:val="000000"/>
                <w:sz w:val="22"/>
                <w:szCs w:val="22"/>
              </w:rPr>
            </w:pPr>
            <w:r w:rsidRPr="000D55ED">
              <w:rPr>
                <w:color w:val="000000"/>
                <w:sz w:val="22"/>
                <w:szCs w:val="22"/>
              </w:rPr>
              <w:t>0.0004</w:t>
            </w:r>
          </w:p>
        </w:tc>
        <w:tc>
          <w:tcPr>
            <w:tcW w:w="1035" w:type="dxa"/>
            <w:tcBorders>
              <w:top w:val="nil"/>
              <w:left w:val="nil"/>
              <w:bottom w:val="nil"/>
              <w:right w:val="nil"/>
            </w:tcBorders>
            <w:shd w:val="clear" w:color="000000" w:fill="FFFFFF"/>
            <w:noWrap/>
            <w:vAlign w:val="center"/>
            <w:hideMark/>
          </w:tcPr>
          <w:p w14:paraId="49B70276" w14:textId="77777777" w:rsidR="000D55ED" w:rsidRPr="000D55ED" w:rsidRDefault="000D55ED" w:rsidP="000D55ED">
            <w:pPr>
              <w:jc w:val="right"/>
              <w:rPr>
                <w:color w:val="000000"/>
                <w:sz w:val="22"/>
                <w:szCs w:val="22"/>
              </w:rPr>
            </w:pPr>
            <w:r w:rsidRPr="000D55ED">
              <w:rPr>
                <w:color w:val="000000"/>
                <w:sz w:val="22"/>
                <w:szCs w:val="22"/>
              </w:rPr>
              <w:t>0.0010</w:t>
            </w:r>
          </w:p>
        </w:tc>
        <w:tc>
          <w:tcPr>
            <w:tcW w:w="1236" w:type="dxa"/>
            <w:tcBorders>
              <w:top w:val="nil"/>
              <w:left w:val="nil"/>
              <w:bottom w:val="nil"/>
              <w:right w:val="nil"/>
            </w:tcBorders>
            <w:shd w:val="clear" w:color="000000" w:fill="FFFFFF"/>
            <w:noWrap/>
            <w:vAlign w:val="center"/>
            <w:hideMark/>
          </w:tcPr>
          <w:p w14:paraId="0CE64735" w14:textId="77777777" w:rsidR="000D55ED" w:rsidRPr="000D55ED" w:rsidRDefault="000D55ED" w:rsidP="000D55ED">
            <w:pPr>
              <w:jc w:val="right"/>
              <w:rPr>
                <w:color w:val="000000"/>
                <w:sz w:val="22"/>
                <w:szCs w:val="22"/>
              </w:rPr>
            </w:pPr>
            <w:r w:rsidRPr="000D55ED">
              <w:rPr>
                <w:color w:val="000000"/>
                <w:sz w:val="22"/>
                <w:szCs w:val="22"/>
              </w:rPr>
              <w:t>0.0040</w:t>
            </w:r>
          </w:p>
        </w:tc>
      </w:tr>
      <w:tr w:rsidR="000D55ED" w:rsidRPr="00D618B7" w14:paraId="47480BBC" w14:textId="77777777" w:rsidTr="000D55ED">
        <w:trPr>
          <w:trHeight w:val="250"/>
        </w:trPr>
        <w:tc>
          <w:tcPr>
            <w:tcW w:w="1136" w:type="dxa"/>
            <w:tcBorders>
              <w:top w:val="nil"/>
              <w:left w:val="nil"/>
              <w:bottom w:val="nil"/>
              <w:right w:val="nil"/>
            </w:tcBorders>
            <w:shd w:val="clear" w:color="000000" w:fill="FFFFFF"/>
            <w:vAlign w:val="center"/>
            <w:hideMark/>
          </w:tcPr>
          <w:p w14:paraId="1C6A5F6E" w14:textId="77777777" w:rsidR="000D55ED" w:rsidRPr="000D55ED" w:rsidRDefault="000D55ED" w:rsidP="000D55ED">
            <w:pPr>
              <w:jc w:val="right"/>
              <w:rPr>
                <w:color w:val="000000"/>
                <w:sz w:val="22"/>
                <w:szCs w:val="22"/>
              </w:rPr>
            </w:pPr>
            <w:r w:rsidRPr="000D55ED">
              <w:rPr>
                <w:color w:val="000000"/>
                <w:sz w:val="22"/>
                <w:szCs w:val="22"/>
              </w:rPr>
              <w:t>3</w:t>
            </w:r>
          </w:p>
        </w:tc>
        <w:tc>
          <w:tcPr>
            <w:tcW w:w="1035" w:type="dxa"/>
            <w:tcBorders>
              <w:top w:val="nil"/>
              <w:left w:val="nil"/>
              <w:bottom w:val="nil"/>
              <w:right w:val="nil"/>
            </w:tcBorders>
            <w:shd w:val="clear" w:color="000000" w:fill="FFFFFF"/>
            <w:noWrap/>
            <w:vAlign w:val="center"/>
            <w:hideMark/>
          </w:tcPr>
          <w:p w14:paraId="37DBBD61" w14:textId="77777777" w:rsidR="000D55ED" w:rsidRPr="000D55ED" w:rsidRDefault="000D55ED" w:rsidP="000D55ED">
            <w:pPr>
              <w:jc w:val="right"/>
              <w:rPr>
                <w:color w:val="000000"/>
                <w:sz w:val="22"/>
                <w:szCs w:val="22"/>
              </w:rPr>
            </w:pPr>
            <w:r w:rsidRPr="000D55ED">
              <w:rPr>
                <w:color w:val="000000"/>
                <w:sz w:val="22"/>
                <w:szCs w:val="22"/>
              </w:rPr>
              <w:t>0.0082</w:t>
            </w:r>
          </w:p>
        </w:tc>
        <w:tc>
          <w:tcPr>
            <w:tcW w:w="1236" w:type="dxa"/>
            <w:tcBorders>
              <w:top w:val="nil"/>
              <w:left w:val="nil"/>
              <w:bottom w:val="nil"/>
              <w:right w:val="nil"/>
            </w:tcBorders>
            <w:shd w:val="clear" w:color="000000" w:fill="FFFFFF"/>
            <w:noWrap/>
            <w:vAlign w:val="center"/>
            <w:hideMark/>
          </w:tcPr>
          <w:p w14:paraId="03FCF17B" w14:textId="77777777" w:rsidR="000D55ED" w:rsidRPr="000D55ED" w:rsidRDefault="000D55ED" w:rsidP="000D55ED">
            <w:pPr>
              <w:jc w:val="right"/>
              <w:rPr>
                <w:color w:val="000000"/>
                <w:sz w:val="22"/>
                <w:szCs w:val="22"/>
              </w:rPr>
            </w:pPr>
            <w:r w:rsidRPr="000D55ED">
              <w:rPr>
                <w:color w:val="000000"/>
                <w:sz w:val="22"/>
                <w:szCs w:val="22"/>
              </w:rPr>
              <w:t>0.0003</w:t>
            </w:r>
          </w:p>
        </w:tc>
        <w:tc>
          <w:tcPr>
            <w:tcW w:w="1035" w:type="dxa"/>
            <w:tcBorders>
              <w:top w:val="nil"/>
              <w:left w:val="nil"/>
              <w:bottom w:val="nil"/>
              <w:right w:val="nil"/>
            </w:tcBorders>
            <w:shd w:val="clear" w:color="000000" w:fill="FFFFFF"/>
            <w:noWrap/>
            <w:vAlign w:val="center"/>
            <w:hideMark/>
          </w:tcPr>
          <w:p w14:paraId="19C8BADA" w14:textId="77777777" w:rsidR="000D55ED" w:rsidRPr="000D55ED" w:rsidRDefault="000D55ED" w:rsidP="000D55ED">
            <w:pPr>
              <w:jc w:val="right"/>
              <w:rPr>
                <w:color w:val="000000"/>
                <w:sz w:val="22"/>
                <w:szCs w:val="22"/>
              </w:rPr>
            </w:pPr>
            <w:r w:rsidRPr="000D55ED">
              <w:rPr>
                <w:color w:val="000000"/>
                <w:sz w:val="22"/>
                <w:szCs w:val="22"/>
              </w:rPr>
              <w:t>0.0001</w:t>
            </w:r>
          </w:p>
        </w:tc>
        <w:tc>
          <w:tcPr>
            <w:tcW w:w="1236" w:type="dxa"/>
            <w:tcBorders>
              <w:top w:val="nil"/>
              <w:left w:val="nil"/>
              <w:bottom w:val="nil"/>
              <w:right w:val="nil"/>
            </w:tcBorders>
            <w:shd w:val="clear" w:color="000000" w:fill="FFFFFF"/>
            <w:noWrap/>
            <w:vAlign w:val="center"/>
            <w:hideMark/>
          </w:tcPr>
          <w:p w14:paraId="44B4F564" w14:textId="77777777" w:rsidR="000D55ED" w:rsidRPr="000D55ED" w:rsidRDefault="000D55ED" w:rsidP="000D55ED">
            <w:pPr>
              <w:jc w:val="right"/>
              <w:rPr>
                <w:color w:val="000000"/>
                <w:sz w:val="22"/>
                <w:szCs w:val="22"/>
              </w:rPr>
            </w:pPr>
            <w:r w:rsidRPr="000D55ED">
              <w:rPr>
                <w:color w:val="000000"/>
                <w:sz w:val="22"/>
                <w:szCs w:val="22"/>
              </w:rPr>
              <w:t>0.0002</w:t>
            </w:r>
          </w:p>
        </w:tc>
        <w:tc>
          <w:tcPr>
            <w:tcW w:w="1035" w:type="dxa"/>
            <w:tcBorders>
              <w:top w:val="nil"/>
              <w:left w:val="nil"/>
              <w:bottom w:val="nil"/>
              <w:right w:val="nil"/>
            </w:tcBorders>
            <w:shd w:val="clear" w:color="000000" w:fill="FFFFFF"/>
            <w:noWrap/>
            <w:vAlign w:val="center"/>
            <w:hideMark/>
          </w:tcPr>
          <w:p w14:paraId="6D36E002" w14:textId="77777777" w:rsidR="000D55ED" w:rsidRPr="000D55ED" w:rsidRDefault="000D55ED" w:rsidP="000D55ED">
            <w:pPr>
              <w:jc w:val="right"/>
              <w:rPr>
                <w:color w:val="000000"/>
                <w:sz w:val="22"/>
                <w:szCs w:val="22"/>
              </w:rPr>
            </w:pPr>
            <w:r w:rsidRPr="000D55ED">
              <w:rPr>
                <w:color w:val="000000"/>
                <w:sz w:val="22"/>
                <w:szCs w:val="22"/>
              </w:rPr>
              <w:t>-0.0005</w:t>
            </w:r>
          </w:p>
        </w:tc>
        <w:tc>
          <w:tcPr>
            <w:tcW w:w="1236" w:type="dxa"/>
            <w:tcBorders>
              <w:top w:val="nil"/>
              <w:left w:val="nil"/>
              <w:bottom w:val="nil"/>
              <w:right w:val="nil"/>
            </w:tcBorders>
            <w:shd w:val="clear" w:color="000000" w:fill="FFFFFF"/>
            <w:noWrap/>
            <w:vAlign w:val="center"/>
            <w:hideMark/>
          </w:tcPr>
          <w:p w14:paraId="6D3C8F08" w14:textId="77777777" w:rsidR="000D55ED" w:rsidRPr="000D55ED" w:rsidRDefault="000D55ED" w:rsidP="000D55ED">
            <w:pPr>
              <w:jc w:val="right"/>
              <w:rPr>
                <w:color w:val="000000"/>
                <w:sz w:val="22"/>
                <w:szCs w:val="22"/>
              </w:rPr>
            </w:pPr>
            <w:r w:rsidRPr="000D55ED">
              <w:rPr>
                <w:color w:val="000000"/>
                <w:sz w:val="22"/>
                <w:szCs w:val="22"/>
              </w:rPr>
              <w:t>0.0041</w:t>
            </w:r>
          </w:p>
        </w:tc>
      </w:tr>
      <w:tr w:rsidR="000D55ED" w:rsidRPr="00D618B7" w14:paraId="1842E77E" w14:textId="77777777" w:rsidTr="000D55ED">
        <w:trPr>
          <w:trHeight w:val="250"/>
        </w:trPr>
        <w:tc>
          <w:tcPr>
            <w:tcW w:w="1136" w:type="dxa"/>
            <w:tcBorders>
              <w:top w:val="nil"/>
              <w:left w:val="nil"/>
              <w:bottom w:val="nil"/>
              <w:right w:val="nil"/>
            </w:tcBorders>
            <w:shd w:val="clear" w:color="000000" w:fill="FFFFFF"/>
            <w:vAlign w:val="center"/>
            <w:hideMark/>
          </w:tcPr>
          <w:p w14:paraId="31F6FF71" w14:textId="77777777" w:rsidR="000D55ED" w:rsidRPr="000D55ED" w:rsidRDefault="000D55ED" w:rsidP="000D55ED">
            <w:pPr>
              <w:jc w:val="right"/>
              <w:rPr>
                <w:color w:val="000000"/>
                <w:sz w:val="22"/>
                <w:szCs w:val="22"/>
              </w:rPr>
            </w:pPr>
            <w:r w:rsidRPr="000D55ED">
              <w:rPr>
                <w:color w:val="000000"/>
                <w:sz w:val="22"/>
                <w:szCs w:val="22"/>
              </w:rPr>
              <w:t>4</w:t>
            </w:r>
          </w:p>
        </w:tc>
        <w:tc>
          <w:tcPr>
            <w:tcW w:w="1035" w:type="dxa"/>
            <w:tcBorders>
              <w:top w:val="nil"/>
              <w:left w:val="nil"/>
              <w:bottom w:val="nil"/>
              <w:right w:val="nil"/>
            </w:tcBorders>
            <w:shd w:val="clear" w:color="000000" w:fill="FFFFFF"/>
            <w:noWrap/>
            <w:vAlign w:val="center"/>
            <w:hideMark/>
          </w:tcPr>
          <w:p w14:paraId="6BB26B37" w14:textId="77777777" w:rsidR="000D55ED" w:rsidRPr="000D55ED" w:rsidRDefault="000D55ED" w:rsidP="000D55ED">
            <w:pPr>
              <w:jc w:val="right"/>
              <w:rPr>
                <w:color w:val="000000"/>
                <w:sz w:val="22"/>
                <w:szCs w:val="22"/>
              </w:rPr>
            </w:pPr>
            <w:r w:rsidRPr="000D55ED">
              <w:rPr>
                <w:color w:val="000000"/>
                <w:sz w:val="22"/>
                <w:szCs w:val="22"/>
              </w:rPr>
              <w:t>0.0160</w:t>
            </w:r>
          </w:p>
        </w:tc>
        <w:tc>
          <w:tcPr>
            <w:tcW w:w="1236" w:type="dxa"/>
            <w:tcBorders>
              <w:top w:val="nil"/>
              <w:left w:val="nil"/>
              <w:bottom w:val="nil"/>
              <w:right w:val="nil"/>
            </w:tcBorders>
            <w:shd w:val="clear" w:color="000000" w:fill="FFFFFF"/>
            <w:noWrap/>
            <w:vAlign w:val="center"/>
            <w:hideMark/>
          </w:tcPr>
          <w:p w14:paraId="36C7FCAA" w14:textId="77777777" w:rsidR="000D55ED" w:rsidRPr="000D55ED" w:rsidRDefault="000D55ED" w:rsidP="000D55ED">
            <w:pPr>
              <w:jc w:val="right"/>
              <w:rPr>
                <w:color w:val="000000"/>
                <w:sz w:val="22"/>
                <w:szCs w:val="22"/>
              </w:rPr>
            </w:pPr>
            <w:r w:rsidRPr="000D55ED">
              <w:rPr>
                <w:color w:val="000000"/>
                <w:sz w:val="22"/>
                <w:szCs w:val="22"/>
              </w:rPr>
              <w:t>0.0005</w:t>
            </w:r>
          </w:p>
        </w:tc>
        <w:tc>
          <w:tcPr>
            <w:tcW w:w="1035" w:type="dxa"/>
            <w:tcBorders>
              <w:top w:val="nil"/>
              <w:left w:val="nil"/>
              <w:bottom w:val="nil"/>
              <w:right w:val="nil"/>
            </w:tcBorders>
            <w:shd w:val="clear" w:color="000000" w:fill="FFFFFF"/>
            <w:noWrap/>
            <w:vAlign w:val="center"/>
            <w:hideMark/>
          </w:tcPr>
          <w:p w14:paraId="3134DDF3" w14:textId="77777777" w:rsidR="000D55ED" w:rsidRPr="000D55ED" w:rsidRDefault="000D55ED" w:rsidP="000D55ED">
            <w:pPr>
              <w:jc w:val="right"/>
              <w:rPr>
                <w:color w:val="000000"/>
                <w:sz w:val="22"/>
                <w:szCs w:val="22"/>
              </w:rPr>
            </w:pPr>
            <w:r w:rsidRPr="000D55ED">
              <w:rPr>
                <w:color w:val="000000"/>
                <w:sz w:val="22"/>
                <w:szCs w:val="22"/>
              </w:rPr>
              <w:t>0.0001</w:t>
            </w:r>
          </w:p>
        </w:tc>
        <w:tc>
          <w:tcPr>
            <w:tcW w:w="1236" w:type="dxa"/>
            <w:tcBorders>
              <w:top w:val="nil"/>
              <w:left w:val="nil"/>
              <w:bottom w:val="nil"/>
              <w:right w:val="nil"/>
            </w:tcBorders>
            <w:shd w:val="clear" w:color="000000" w:fill="FFFFFF"/>
            <w:noWrap/>
            <w:vAlign w:val="center"/>
            <w:hideMark/>
          </w:tcPr>
          <w:p w14:paraId="54338519" w14:textId="77777777" w:rsidR="000D55ED" w:rsidRPr="000D55ED" w:rsidRDefault="000D55ED" w:rsidP="000D55ED">
            <w:pPr>
              <w:jc w:val="right"/>
              <w:rPr>
                <w:color w:val="000000"/>
                <w:sz w:val="22"/>
                <w:szCs w:val="22"/>
              </w:rPr>
            </w:pPr>
            <w:r w:rsidRPr="000D55ED">
              <w:rPr>
                <w:color w:val="000000"/>
                <w:sz w:val="22"/>
                <w:szCs w:val="22"/>
              </w:rPr>
              <w:t>0.0003</w:t>
            </w:r>
          </w:p>
        </w:tc>
        <w:tc>
          <w:tcPr>
            <w:tcW w:w="1035" w:type="dxa"/>
            <w:tcBorders>
              <w:top w:val="nil"/>
              <w:left w:val="nil"/>
              <w:bottom w:val="nil"/>
              <w:right w:val="nil"/>
            </w:tcBorders>
            <w:shd w:val="clear" w:color="000000" w:fill="FFFFFF"/>
            <w:noWrap/>
            <w:vAlign w:val="center"/>
            <w:hideMark/>
          </w:tcPr>
          <w:p w14:paraId="5785F768" w14:textId="77777777" w:rsidR="000D55ED" w:rsidRPr="000D55ED" w:rsidRDefault="000D55ED" w:rsidP="000D55ED">
            <w:pPr>
              <w:jc w:val="right"/>
              <w:rPr>
                <w:color w:val="000000"/>
                <w:sz w:val="22"/>
                <w:szCs w:val="22"/>
              </w:rPr>
            </w:pPr>
            <w:r w:rsidRPr="000D55ED">
              <w:rPr>
                <w:color w:val="000000"/>
                <w:sz w:val="22"/>
                <w:szCs w:val="22"/>
              </w:rPr>
              <w:t>0.0001</w:t>
            </w:r>
          </w:p>
        </w:tc>
        <w:tc>
          <w:tcPr>
            <w:tcW w:w="1236" w:type="dxa"/>
            <w:tcBorders>
              <w:top w:val="nil"/>
              <w:left w:val="nil"/>
              <w:bottom w:val="nil"/>
              <w:right w:val="nil"/>
            </w:tcBorders>
            <w:shd w:val="clear" w:color="000000" w:fill="FFFFFF"/>
            <w:noWrap/>
            <w:vAlign w:val="center"/>
            <w:hideMark/>
          </w:tcPr>
          <w:p w14:paraId="49713D21" w14:textId="77777777" w:rsidR="000D55ED" w:rsidRPr="000D55ED" w:rsidRDefault="000D55ED" w:rsidP="000D55ED">
            <w:pPr>
              <w:jc w:val="right"/>
              <w:rPr>
                <w:color w:val="000000"/>
                <w:sz w:val="22"/>
                <w:szCs w:val="22"/>
              </w:rPr>
            </w:pPr>
            <w:r w:rsidRPr="000D55ED">
              <w:rPr>
                <w:color w:val="000000"/>
                <w:sz w:val="22"/>
                <w:szCs w:val="22"/>
              </w:rPr>
              <w:t>0.0026</w:t>
            </w:r>
          </w:p>
        </w:tc>
      </w:tr>
      <w:tr w:rsidR="000D55ED" w:rsidRPr="00D618B7" w14:paraId="1517847B" w14:textId="77777777" w:rsidTr="000D55ED">
        <w:trPr>
          <w:trHeight w:val="263"/>
        </w:trPr>
        <w:tc>
          <w:tcPr>
            <w:tcW w:w="1136" w:type="dxa"/>
            <w:tcBorders>
              <w:top w:val="nil"/>
              <w:left w:val="nil"/>
              <w:bottom w:val="single" w:sz="8" w:space="0" w:color="auto"/>
              <w:right w:val="nil"/>
            </w:tcBorders>
            <w:shd w:val="clear" w:color="000000" w:fill="FFFFFF"/>
            <w:vAlign w:val="center"/>
            <w:hideMark/>
          </w:tcPr>
          <w:p w14:paraId="59B791B5" w14:textId="77777777" w:rsidR="000D55ED" w:rsidRPr="000D55ED" w:rsidRDefault="000D55ED" w:rsidP="000D55ED">
            <w:pPr>
              <w:jc w:val="right"/>
              <w:rPr>
                <w:color w:val="000000"/>
                <w:sz w:val="22"/>
                <w:szCs w:val="22"/>
              </w:rPr>
            </w:pPr>
            <w:r w:rsidRPr="000D55ED">
              <w:rPr>
                <w:color w:val="000000"/>
                <w:sz w:val="22"/>
                <w:szCs w:val="22"/>
              </w:rPr>
              <w:t>5</w:t>
            </w:r>
          </w:p>
        </w:tc>
        <w:tc>
          <w:tcPr>
            <w:tcW w:w="1035" w:type="dxa"/>
            <w:tcBorders>
              <w:top w:val="nil"/>
              <w:left w:val="nil"/>
              <w:bottom w:val="single" w:sz="8" w:space="0" w:color="auto"/>
              <w:right w:val="nil"/>
            </w:tcBorders>
            <w:shd w:val="clear" w:color="000000" w:fill="FFFFFF"/>
            <w:noWrap/>
            <w:vAlign w:val="center"/>
            <w:hideMark/>
          </w:tcPr>
          <w:p w14:paraId="725DAAC9" w14:textId="77777777" w:rsidR="000D55ED" w:rsidRPr="000D55ED" w:rsidRDefault="000D55ED" w:rsidP="000D55ED">
            <w:pPr>
              <w:jc w:val="right"/>
              <w:rPr>
                <w:color w:val="000000"/>
                <w:sz w:val="22"/>
                <w:szCs w:val="22"/>
              </w:rPr>
            </w:pPr>
            <w:r w:rsidRPr="000D55ED">
              <w:rPr>
                <w:color w:val="000000"/>
                <w:sz w:val="22"/>
                <w:szCs w:val="22"/>
              </w:rPr>
              <w:t>0.0089</w:t>
            </w:r>
          </w:p>
        </w:tc>
        <w:tc>
          <w:tcPr>
            <w:tcW w:w="1236" w:type="dxa"/>
            <w:tcBorders>
              <w:top w:val="nil"/>
              <w:left w:val="nil"/>
              <w:bottom w:val="single" w:sz="8" w:space="0" w:color="auto"/>
              <w:right w:val="nil"/>
            </w:tcBorders>
            <w:shd w:val="clear" w:color="000000" w:fill="FFFFFF"/>
            <w:noWrap/>
            <w:vAlign w:val="center"/>
            <w:hideMark/>
          </w:tcPr>
          <w:p w14:paraId="0E6DDFA7" w14:textId="77777777" w:rsidR="000D55ED" w:rsidRPr="000D55ED" w:rsidRDefault="000D55ED" w:rsidP="000D55ED">
            <w:pPr>
              <w:jc w:val="right"/>
              <w:rPr>
                <w:color w:val="000000"/>
                <w:sz w:val="22"/>
                <w:szCs w:val="22"/>
              </w:rPr>
            </w:pPr>
            <w:r w:rsidRPr="000D55ED">
              <w:rPr>
                <w:color w:val="000000"/>
                <w:sz w:val="22"/>
                <w:szCs w:val="22"/>
              </w:rPr>
              <w:t>0.0003</w:t>
            </w:r>
          </w:p>
        </w:tc>
        <w:tc>
          <w:tcPr>
            <w:tcW w:w="1035" w:type="dxa"/>
            <w:tcBorders>
              <w:top w:val="nil"/>
              <w:left w:val="nil"/>
              <w:bottom w:val="single" w:sz="8" w:space="0" w:color="auto"/>
              <w:right w:val="nil"/>
            </w:tcBorders>
            <w:shd w:val="clear" w:color="000000" w:fill="FFFFFF"/>
            <w:noWrap/>
            <w:vAlign w:val="center"/>
            <w:hideMark/>
          </w:tcPr>
          <w:p w14:paraId="2829BC3F" w14:textId="77777777" w:rsidR="000D55ED" w:rsidRPr="000D55ED" w:rsidRDefault="000D55ED" w:rsidP="000D55ED">
            <w:pPr>
              <w:jc w:val="right"/>
              <w:rPr>
                <w:color w:val="000000"/>
                <w:sz w:val="22"/>
                <w:szCs w:val="22"/>
              </w:rPr>
            </w:pPr>
            <w:r w:rsidRPr="000D55ED">
              <w:rPr>
                <w:color w:val="000000"/>
                <w:sz w:val="22"/>
                <w:szCs w:val="22"/>
              </w:rPr>
              <w:t>0.0004</w:t>
            </w:r>
          </w:p>
        </w:tc>
        <w:tc>
          <w:tcPr>
            <w:tcW w:w="1236" w:type="dxa"/>
            <w:tcBorders>
              <w:top w:val="nil"/>
              <w:left w:val="nil"/>
              <w:bottom w:val="single" w:sz="8" w:space="0" w:color="auto"/>
              <w:right w:val="nil"/>
            </w:tcBorders>
            <w:shd w:val="clear" w:color="000000" w:fill="FFFFFF"/>
            <w:noWrap/>
            <w:vAlign w:val="center"/>
            <w:hideMark/>
          </w:tcPr>
          <w:p w14:paraId="642787AA" w14:textId="77777777" w:rsidR="000D55ED" w:rsidRPr="000D55ED" w:rsidRDefault="000D55ED" w:rsidP="000D55ED">
            <w:pPr>
              <w:jc w:val="right"/>
              <w:rPr>
                <w:color w:val="000000"/>
                <w:sz w:val="22"/>
                <w:szCs w:val="22"/>
              </w:rPr>
            </w:pPr>
            <w:r w:rsidRPr="000D55ED">
              <w:rPr>
                <w:color w:val="000000"/>
                <w:sz w:val="22"/>
                <w:szCs w:val="22"/>
              </w:rPr>
              <w:t>0.0014</w:t>
            </w:r>
          </w:p>
        </w:tc>
        <w:tc>
          <w:tcPr>
            <w:tcW w:w="1035" w:type="dxa"/>
            <w:tcBorders>
              <w:top w:val="nil"/>
              <w:left w:val="nil"/>
              <w:bottom w:val="single" w:sz="8" w:space="0" w:color="auto"/>
              <w:right w:val="nil"/>
            </w:tcBorders>
            <w:shd w:val="clear" w:color="000000" w:fill="FFFFFF"/>
            <w:noWrap/>
            <w:vAlign w:val="center"/>
            <w:hideMark/>
          </w:tcPr>
          <w:p w14:paraId="5B8C693C" w14:textId="77777777" w:rsidR="000D55ED" w:rsidRPr="000D55ED" w:rsidRDefault="000D55ED" w:rsidP="000D55ED">
            <w:pPr>
              <w:jc w:val="right"/>
              <w:rPr>
                <w:color w:val="000000"/>
                <w:sz w:val="22"/>
                <w:szCs w:val="22"/>
              </w:rPr>
            </w:pPr>
            <w:r w:rsidRPr="000D55ED">
              <w:rPr>
                <w:color w:val="000000"/>
                <w:sz w:val="22"/>
                <w:szCs w:val="22"/>
              </w:rPr>
              <w:t>0.0002</w:t>
            </w:r>
          </w:p>
        </w:tc>
        <w:tc>
          <w:tcPr>
            <w:tcW w:w="1236" w:type="dxa"/>
            <w:tcBorders>
              <w:top w:val="nil"/>
              <w:left w:val="nil"/>
              <w:bottom w:val="single" w:sz="8" w:space="0" w:color="auto"/>
              <w:right w:val="nil"/>
            </w:tcBorders>
            <w:shd w:val="clear" w:color="000000" w:fill="FFFFFF"/>
            <w:noWrap/>
            <w:vAlign w:val="center"/>
            <w:hideMark/>
          </w:tcPr>
          <w:p w14:paraId="34AE12E4" w14:textId="77777777" w:rsidR="000D55ED" w:rsidRPr="000D55ED" w:rsidRDefault="000D55ED" w:rsidP="000D55ED">
            <w:pPr>
              <w:jc w:val="right"/>
              <w:rPr>
                <w:color w:val="000000"/>
                <w:sz w:val="22"/>
                <w:szCs w:val="22"/>
              </w:rPr>
            </w:pPr>
            <w:r w:rsidRPr="000D55ED">
              <w:rPr>
                <w:color w:val="000000"/>
                <w:sz w:val="22"/>
                <w:szCs w:val="22"/>
              </w:rPr>
              <w:t>0.0010</w:t>
            </w:r>
          </w:p>
        </w:tc>
      </w:tr>
    </w:tbl>
    <w:p w14:paraId="7600F175" w14:textId="77777777" w:rsidR="00E7168B" w:rsidRPr="00D618B7" w:rsidRDefault="00E7168B" w:rsidP="00E7168B">
      <w:pPr>
        <w:rPr>
          <w:i/>
          <w:iCs/>
        </w:rPr>
      </w:pPr>
    </w:p>
    <w:p w14:paraId="76C9EF87" w14:textId="27AF668A" w:rsidR="00E7168B" w:rsidRPr="00D618B7" w:rsidRDefault="00E7168B">
      <w:r w:rsidRPr="00D618B7">
        <w:rPr>
          <w:i/>
          <w:iCs/>
        </w:rPr>
        <w:t>Note</w:t>
      </w:r>
      <w:r w:rsidRPr="00D618B7">
        <w:t>: This table lists the estimated mean Rate and standard errors for toy-out-of-reach, toy-moving-into-reach, and toy-in-reach events for each week of observation around reach-onset by group.</w:t>
      </w:r>
    </w:p>
    <w:p w14:paraId="2E5306F4" w14:textId="515C5F8A" w:rsidR="00E7168B" w:rsidRPr="00D618B7" w:rsidRDefault="000D55ED">
      <w:r w:rsidRPr="00D618B7">
        <w:br w:type="page"/>
      </w:r>
    </w:p>
    <w:p w14:paraId="138C8B8D" w14:textId="18D33A9D" w:rsidR="00E7168B" w:rsidRPr="00940E58" w:rsidRDefault="00E7168B" w:rsidP="007C5074">
      <w:pPr>
        <w:pStyle w:val="Caption"/>
      </w:pPr>
      <w:bookmarkStart w:id="201" w:name="_Toc172716886"/>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58</w:t>
      </w:r>
      <w:r w:rsidR="00000000">
        <w:rPr>
          <w:noProof/>
        </w:rPr>
        <w:fldChar w:fldCharType="end"/>
      </w:r>
      <w:r w:rsidR="00940E58">
        <w:rPr>
          <w:noProof/>
        </w:rPr>
        <w:t>:</w:t>
      </w:r>
      <w:r w:rsidR="00205741" w:rsidRPr="00205741">
        <w:t xml:space="preserve"> </w:t>
      </w:r>
      <w:r w:rsidR="00205741">
        <w:t>Event rate</w:t>
      </w:r>
      <w:r w:rsidR="00205741" w:rsidRPr="00BA36EF">
        <w:t xml:space="preserve"> by</w:t>
      </w:r>
      <w:r w:rsidR="00674AB2">
        <w:t xml:space="preserve"> </w:t>
      </w:r>
      <w:r w:rsidR="00205741">
        <w:t>proximity</w:t>
      </w:r>
      <w:r w:rsidR="00674AB2">
        <w:t xml:space="preserve"> and type</w:t>
      </w:r>
      <w:r w:rsidR="00205741">
        <w:t xml:space="preserve"> by group</w:t>
      </w:r>
      <w:bookmarkEnd w:id="201"/>
    </w:p>
    <w:p w14:paraId="1E96F004" w14:textId="27BCF0F4" w:rsidR="00E7168B" w:rsidRPr="00D618B7" w:rsidRDefault="00E7168B" w:rsidP="00E7168B">
      <w:r w:rsidRPr="00D618B7">
        <w:t>Estimated Mean Rate of Events per Trial by Proximity</w:t>
      </w:r>
      <w:r w:rsidR="00205741">
        <w:t xml:space="preserve"> and</w:t>
      </w:r>
      <w:r w:rsidRPr="00D618B7">
        <w:t xml:space="preserve"> Type </w:t>
      </w:r>
      <w:r w:rsidR="00205741">
        <w:t>by</w:t>
      </w:r>
      <w:r w:rsidRPr="00D618B7">
        <w:t xml:space="preserve"> Group</w:t>
      </w:r>
    </w:p>
    <w:tbl>
      <w:tblPr>
        <w:tblW w:w="5000" w:type="pct"/>
        <w:tblLook w:val="04A0" w:firstRow="1" w:lastRow="0" w:firstColumn="1" w:lastColumn="0" w:noHBand="0" w:noVBand="1"/>
      </w:tblPr>
      <w:tblGrid>
        <w:gridCol w:w="1080"/>
        <w:gridCol w:w="1445"/>
        <w:gridCol w:w="1163"/>
        <w:gridCol w:w="1280"/>
        <w:gridCol w:w="1279"/>
        <w:gridCol w:w="698"/>
        <w:gridCol w:w="530"/>
        <w:gridCol w:w="1165"/>
      </w:tblGrid>
      <w:tr w:rsidR="00E7168B" w:rsidRPr="00D618B7" w14:paraId="41D76989" w14:textId="77777777" w:rsidTr="00674AB2">
        <w:trPr>
          <w:trHeight w:val="271"/>
        </w:trPr>
        <w:tc>
          <w:tcPr>
            <w:tcW w:w="625" w:type="pct"/>
            <w:tcBorders>
              <w:top w:val="single" w:sz="4" w:space="0" w:color="auto"/>
              <w:left w:val="nil"/>
              <w:bottom w:val="nil"/>
              <w:right w:val="nil"/>
            </w:tcBorders>
            <w:shd w:val="clear" w:color="000000" w:fill="FFFFFF"/>
            <w:vAlign w:val="center"/>
            <w:hideMark/>
          </w:tcPr>
          <w:p w14:paraId="1F828433" w14:textId="77777777" w:rsidR="00E7168B" w:rsidRPr="00D618B7" w:rsidRDefault="00E7168B" w:rsidP="004B11B7">
            <w:pPr>
              <w:rPr>
                <w:color w:val="000000"/>
              </w:rPr>
            </w:pPr>
            <w:r w:rsidRPr="00D618B7">
              <w:rPr>
                <w:color w:val="000000"/>
              </w:rPr>
              <w:t>Week</w:t>
            </w:r>
          </w:p>
        </w:tc>
        <w:tc>
          <w:tcPr>
            <w:tcW w:w="1509" w:type="pct"/>
            <w:gridSpan w:val="2"/>
            <w:tcBorders>
              <w:top w:val="single" w:sz="4" w:space="0" w:color="auto"/>
              <w:left w:val="nil"/>
              <w:bottom w:val="single" w:sz="8" w:space="0" w:color="auto"/>
              <w:right w:val="nil"/>
            </w:tcBorders>
            <w:shd w:val="clear" w:color="000000" w:fill="FFFFFF"/>
            <w:vAlign w:val="center"/>
            <w:hideMark/>
          </w:tcPr>
          <w:p w14:paraId="6D165B96" w14:textId="0305A9A8" w:rsidR="00E7168B" w:rsidRPr="00D618B7" w:rsidRDefault="00E7168B" w:rsidP="004B11B7">
            <w:pPr>
              <w:jc w:val="center"/>
              <w:rPr>
                <w:color w:val="000000"/>
              </w:rPr>
            </w:pPr>
            <w:r w:rsidRPr="00D618B7">
              <w:rPr>
                <w:color w:val="000000"/>
              </w:rPr>
              <w:t xml:space="preserve">     </w:t>
            </w:r>
            <w:r w:rsidR="00674AB2">
              <w:rPr>
                <w:color w:val="000000"/>
              </w:rPr>
              <w:t xml:space="preserve">    </w:t>
            </w:r>
            <w:r w:rsidRPr="00D618B7">
              <w:rPr>
                <w:color w:val="000000"/>
              </w:rPr>
              <w:t xml:space="preserve"> Toy-out-of-Reach</w:t>
            </w:r>
          </w:p>
        </w:tc>
        <w:tc>
          <w:tcPr>
            <w:tcW w:w="1885" w:type="pct"/>
            <w:gridSpan w:val="3"/>
            <w:tcBorders>
              <w:top w:val="single" w:sz="4" w:space="0" w:color="auto"/>
              <w:left w:val="nil"/>
              <w:bottom w:val="single" w:sz="8" w:space="0" w:color="auto"/>
              <w:right w:val="nil"/>
            </w:tcBorders>
            <w:shd w:val="clear" w:color="000000" w:fill="FFFFFF"/>
            <w:vAlign w:val="center"/>
            <w:hideMark/>
          </w:tcPr>
          <w:p w14:paraId="0DC47924" w14:textId="77777777" w:rsidR="00E7168B" w:rsidRPr="00D618B7" w:rsidRDefault="00E7168B" w:rsidP="004B11B7">
            <w:pPr>
              <w:jc w:val="center"/>
              <w:rPr>
                <w:color w:val="000000"/>
              </w:rPr>
            </w:pPr>
            <w:r w:rsidRPr="00D618B7">
              <w:rPr>
                <w:color w:val="000000"/>
              </w:rPr>
              <w:t>Toy-Moving-into-Reach</w:t>
            </w:r>
          </w:p>
        </w:tc>
        <w:tc>
          <w:tcPr>
            <w:tcW w:w="980" w:type="pct"/>
            <w:gridSpan w:val="2"/>
            <w:tcBorders>
              <w:top w:val="single" w:sz="4" w:space="0" w:color="auto"/>
              <w:left w:val="nil"/>
              <w:bottom w:val="single" w:sz="8" w:space="0" w:color="auto"/>
              <w:right w:val="nil"/>
            </w:tcBorders>
            <w:shd w:val="clear" w:color="000000" w:fill="FFFFFF"/>
            <w:vAlign w:val="center"/>
            <w:hideMark/>
          </w:tcPr>
          <w:p w14:paraId="45680011" w14:textId="77777777" w:rsidR="00E7168B" w:rsidRPr="00D618B7" w:rsidRDefault="00E7168B" w:rsidP="004B11B7">
            <w:pPr>
              <w:jc w:val="center"/>
              <w:rPr>
                <w:color w:val="000000"/>
              </w:rPr>
            </w:pPr>
            <w:r w:rsidRPr="00D618B7">
              <w:rPr>
                <w:color w:val="000000"/>
              </w:rPr>
              <w:t>Toy-in-Reach</w:t>
            </w:r>
          </w:p>
        </w:tc>
      </w:tr>
      <w:tr w:rsidR="00E7168B" w:rsidRPr="00D618B7" w14:paraId="07A854D0" w14:textId="77777777" w:rsidTr="00674AB2">
        <w:trPr>
          <w:trHeight w:val="271"/>
        </w:trPr>
        <w:tc>
          <w:tcPr>
            <w:tcW w:w="625" w:type="pct"/>
            <w:tcBorders>
              <w:top w:val="nil"/>
              <w:left w:val="nil"/>
              <w:bottom w:val="single" w:sz="8" w:space="0" w:color="auto"/>
              <w:right w:val="nil"/>
            </w:tcBorders>
            <w:shd w:val="clear" w:color="000000" w:fill="FFFFFF"/>
            <w:noWrap/>
            <w:vAlign w:val="bottom"/>
            <w:hideMark/>
          </w:tcPr>
          <w:p w14:paraId="7FF8930B" w14:textId="77777777" w:rsidR="00E7168B" w:rsidRPr="00D618B7" w:rsidRDefault="00E7168B" w:rsidP="004B11B7">
            <w:pPr>
              <w:rPr>
                <w:color w:val="000000"/>
              </w:rPr>
            </w:pPr>
            <w:r w:rsidRPr="00D618B7">
              <w:rPr>
                <w:color w:val="000000"/>
              </w:rPr>
              <w:t> </w:t>
            </w:r>
          </w:p>
        </w:tc>
        <w:tc>
          <w:tcPr>
            <w:tcW w:w="836" w:type="pct"/>
            <w:tcBorders>
              <w:top w:val="nil"/>
              <w:left w:val="nil"/>
              <w:bottom w:val="single" w:sz="8" w:space="0" w:color="auto"/>
              <w:right w:val="nil"/>
            </w:tcBorders>
            <w:shd w:val="clear" w:color="000000" w:fill="FFFFFF"/>
            <w:noWrap/>
            <w:vAlign w:val="center"/>
            <w:hideMark/>
          </w:tcPr>
          <w:p w14:paraId="7E2E0ADF" w14:textId="77777777" w:rsidR="00E7168B" w:rsidRPr="00D618B7" w:rsidRDefault="00E7168B" w:rsidP="004B11B7">
            <w:pPr>
              <w:jc w:val="right"/>
              <w:rPr>
                <w:color w:val="000000"/>
              </w:rPr>
            </w:pPr>
            <w:r w:rsidRPr="00D618B7">
              <w:rPr>
                <w:color w:val="000000"/>
              </w:rPr>
              <w:t>Mean</w:t>
            </w:r>
          </w:p>
        </w:tc>
        <w:tc>
          <w:tcPr>
            <w:tcW w:w="673" w:type="pct"/>
            <w:tcBorders>
              <w:top w:val="nil"/>
              <w:left w:val="nil"/>
              <w:bottom w:val="single" w:sz="8" w:space="0" w:color="auto"/>
              <w:right w:val="nil"/>
            </w:tcBorders>
            <w:shd w:val="clear" w:color="000000" w:fill="FFFFFF"/>
            <w:noWrap/>
            <w:vAlign w:val="center"/>
            <w:hideMark/>
          </w:tcPr>
          <w:p w14:paraId="47641335" w14:textId="77777777" w:rsidR="00E7168B" w:rsidRPr="00D618B7" w:rsidRDefault="00E7168B" w:rsidP="004B11B7">
            <w:pPr>
              <w:jc w:val="right"/>
              <w:rPr>
                <w:color w:val="000000"/>
              </w:rPr>
            </w:pPr>
            <w:r w:rsidRPr="00D618B7">
              <w:rPr>
                <w:color w:val="000000"/>
              </w:rPr>
              <w:t>Std. Error</w:t>
            </w:r>
          </w:p>
        </w:tc>
        <w:tc>
          <w:tcPr>
            <w:tcW w:w="741" w:type="pct"/>
            <w:tcBorders>
              <w:top w:val="nil"/>
              <w:left w:val="nil"/>
              <w:bottom w:val="single" w:sz="8" w:space="0" w:color="auto"/>
              <w:right w:val="nil"/>
            </w:tcBorders>
            <w:shd w:val="clear" w:color="000000" w:fill="FFFFFF"/>
            <w:noWrap/>
            <w:vAlign w:val="center"/>
            <w:hideMark/>
          </w:tcPr>
          <w:p w14:paraId="6541BE61" w14:textId="77777777" w:rsidR="00E7168B" w:rsidRPr="00D618B7" w:rsidRDefault="00E7168B" w:rsidP="004B11B7">
            <w:pPr>
              <w:jc w:val="right"/>
              <w:rPr>
                <w:color w:val="000000"/>
              </w:rPr>
            </w:pPr>
            <w:r w:rsidRPr="00D618B7">
              <w:rPr>
                <w:color w:val="000000"/>
              </w:rPr>
              <w:t>Mean</w:t>
            </w:r>
          </w:p>
        </w:tc>
        <w:tc>
          <w:tcPr>
            <w:tcW w:w="740" w:type="pct"/>
            <w:tcBorders>
              <w:top w:val="nil"/>
              <w:left w:val="nil"/>
              <w:bottom w:val="single" w:sz="8" w:space="0" w:color="auto"/>
              <w:right w:val="nil"/>
            </w:tcBorders>
            <w:shd w:val="clear" w:color="000000" w:fill="FFFFFF"/>
            <w:noWrap/>
            <w:vAlign w:val="center"/>
            <w:hideMark/>
          </w:tcPr>
          <w:p w14:paraId="26317F2F" w14:textId="77777777" w:rsidR="00E7168B" w:rsidRPr="00D618B7" w:rsidRDefault="00E7168B" w:rsidP="004B11B7">
            <w:pPr>
              <w:jc w:val="right"/>
              <w:rPr>
                <w:color w:val="000000"/>
              </w:rPr>
            </w:pPr>
            <w:r w:rsidRPr="00D618B7">
              <w:rPr>
                <w:color w:val="000000"/>
              </w:rPr>
              <w:t>Std. Error</w:t>
            </w:r>
          </w:p>
        </w:tc>
        <w:tc>
          <w:tcPr>
            <w:tcW w:w="711" w:type="pct"/>
            <w:gridSpan w:val="2"/>
            <w:tcBorders>
              <w:top w:val="nil"/>
              <w:left w:val="nil"/>
              <w:bottom w:val="single" w:sz="8" w:space="0" w:color="auto"/>
              <w:right w:val="nil"/>
            </w:tcBorders>
            <w:shd w:val="clear" w:color="000000" w:fill="FFFFFF"/>
            <w:noWrap/>
            <w:vAlign w:val="center"/>
            <w:hideMark/>
          </w:tcPr>
          <w:p w14:paraId="53E8EFC9" w14:textId="77777777" w:rsidR="00E7168B" w:rsidRPr="00D618B7" w:rsidRDefault="00E7168B" w:rsidP="004B11B7">
            <w:pPr>
              <w:jc w:val="right"/>
              <w:rPr>
                <w:color w:val="000000"/>
              </w:rPr>
            </w:pPr>
            <w:r w:rsidRPr="00D618B7">
              <w:rPr>
                <w:color w:val="000000"/>
              </w:rPr>
              <w:t>Mean</w:t>
            </w:r>
          </w:p>
        </w:tc>
        <w:tc>
          <w:tcPr>
            <w:tcW w:w="673" w:type="pct"/>
            <w:tcBorders>
              <w:top w:val="nil"/>
              <w:left w:val="nil"/>
              <w:bottom w:val="single" w:sz="8" w:space="0" w:color="auto"/>
              <w:right w:val="nil"/>
            </w:tcBorders>
            <w:shd w:val="clear" w:color="000000" w:fill="FFFFFF"/>
            <w:noWrap/>
            <w:vAlign w:val="center"/>
            <w:hideMark/>
          </w:tcPr>
          <w:p w14:paraId="2A43D753" w14:textId="77777777" w:rsidR="00E7168B" w:rsidRPr="00D618B7" w:rsidRDefault="00E7168B" w:rsidP="004B11B7">
            <w:pPr>
              <w:jc w:val="right"/>
              <w:rPr>
                <w:color w:val="000000"/>
              </w:rPr>
            </w:pPr>
            <w:r w:rsidRPr="00D618B7">
              <w:rPr>
                <w:color w:val="000000"/>
              </w:rPr>
              <w:t>Std. Error</w:t>
            </w:r>
          </w:p>
        </w:tc>
      </w:tr>
      <w:tr w:rsidR="00E7168B" w:rsidRPr="00D618B7" w14:paraId="6853F8C3" w14:textId="77777777" w:rsidTr="00674AB2">
        <w:trPr>
          <w:trHeight w:val="271"/>
        </w:trPr>
        <w:tc>
          <w:tcPr>
            <w:tcW w:w="625" w:type="pct"/>
            <w:tcBorders>
              <w:top w:val="nil"/>
              <w:left w:val="nil"/>
              <w:bottom w:val="nil"/>
              <w:right w:val="nil"/>
            </w:tcBorders>
            <w:shd w:val="clear" w:color="000000" w:fill="FFFFFF"/>
            <w:noWrap/>
            <w:vAlign w:val="bottom"/>
            <w:hideMark/>
          </w:tcPr>
          <w:p w14:paraId="5FCA51E1" w14:textId="77777777" w:rsidR="00E7168B" w:rsidRPr="00D618B7" w:rsidRDefault="00E7168B" w:rsidP="004B11B7">
            <w:pPr>
              <w:rPr>
                <w:color w:val="000000"/>
              </w:rPr>
            </w:pPr>
            <w:r w:rsidRPr="00D618B7">
              <w:rPr>
                <w:color w:val="000000"/>
              </w:rPr>
              <w:t> </w:t>
            </w:r>
          </w:p>
        </w:tc>
        <w:tc>
          <w:tcPr>
            <w:tcW w:w="4375" w:type="pct"/>
            <w:gridSpan w:val="7"/>
            <w:tcBorders>
              <w:top w:val="single" w:sz="8" w:space="0" w:color="auto"/>
              <w:left w:val="nil"/>
              <w:bottom w:val="nil"/>
              <w:right w:val="nil"/>
            </w:tcBorders>
            <w:shd w:val="clear" w:color="000000" w:fill="FFFFFF"/>
            <w:noWrap/>
            <w:vAlign w:val="center"/>
            <w:hideMark/>
          </w:tcPr>
          <w:p w14:paraId="6FB405EB" w14:textId="77777777" w:rsidR="00E7168B" w:rsidRPr="00D618B7" w:rsidRDefault="00E7168B" w:rsidP="004B11B7">
            <w:pPr>
              <w:jc w:val="center"/>
              <w:rPr>
                <w:color w:val="000000"/>
              </w:rPr>
            </w:pPr>
            <w:r w:rsidRPr="00D618B7">
              <w:rPr>
                <w:color w:val="000000"/>
              </w:rPr>
              <w:t>Early Reach Group</w:t>
            </w:r>
          </w:p>
        </w:tc>
      </w:tr>
      <w:tr w:rsidR="00E7168B" w:rsidRPr="00D618B7" w14:paraId="36765ACF" w14:textId="77777777" w:rsidTr="00674AB2">
        <w:trPr>
          <w:trHeight w:val="271"/>
        </w:trPr>
        <w:tc>
          <w:tcPr>
            <w:tcW w:w="625" w:type="pct"/>
            <w:tcBorders>
              <w:top w:val="nil"/>
              <w:left w:val="nil"/>
              <w:bottom w:val="nil"/>
              <w:right w:val="nil"/>
            </w:tcBorders>
            <w:shd w:val="clear" w:color="000000" w:fill="FFFFFF"/>
            <w:vAlign w:val="center"/>
            <w:hideMark/>
          </w:tcPr>
          <w:p w14:paraId="787B3C5C" w14:textId="77777777" w:rsidR="00E7168B" w:rsidRPr="00D618B7" w:rsidRDefault="00E7168B" w:rsidP="004B11B7">
            <w:pPr>
              <w:rPr>
                <w:color w:val="000000"/>
              </w:rPr>
            </w:pPr>
            <w:r w:rsidRPr="00D618B7">
              <w:rPr>
                <w:color w:val="000000"/>
              </w:rPr>
              <w:t>Face</w:t>
            </w:r>
          </w:p>
        </w:tc>
        <w:tc>
          <w:tcPr>
            <w:tcW w:w="836" w:type="pct"/>
            <w:tcBorders>
              <w:top w:val="nil"/>
              <w:left w:val="nil"/>
              <w:bottom w:val="nil"/>
              <w:right w:val="nil"/>
            </w:tcBorders>
            <w:shd w:val="clear" w:color="000000" w:fill="FFFFFF"/>
            <w:noWrap/>
            <w:vAlign w:val="center"/>
            <w:hideMark/>
          </w:tcPr>
          <w:p w14:paraId="2AC7885D" w14:textId="77777777" w:rsidR="00E7168B" w:rsidRPr="00D618B7" w:rsidRDefault="00E7168B" w:rsidP="004B11B7">
            <w:pPr>
              <w:jc w:val="right"/>
              <w:rPr>
                <w:color w:val="000000"/>
              </w:rPr>
            </w:pPr>
            <w:r w:rsidRPr="00D618B7">
              <w:rPr>
                <w:color w:val="000000"/>
              </w:rPr>
              <w:t>0.0057</w:t>
            </w:r>
          </w:p>
        </w:tc>
        <w:tc>
          <w:tcPr>
            <w:tcW w:w="673" w:type="pct"/>
            <w:tcBorders>
              <w:top w:val="nil"/>
              <w:left w:val="nil"/>
              <w:bottom w:val="nil"/>
              <w:right w:val="nil"/>
            </w:tcBorders>
            <w:shd w:val="clear" w:color="000000" w:fill="FFFFFF"/>
            <w:noWrap/>
            <w:vAlign w:val="center"/>
            <w:hideMark/>
          </w:tcPr>
          <w:p w14:paraId="43C723D6" w14:textId="77777777" w:rsidR="00E7168B" w:rsidRPr="00D618B7" w:rsidRDefault="00E7168B" w:rsidP="004B11B7">
            <w:pPr>
              <w:jc w:val="right"/>
              <w:rPr>
                <w:color w:val="000000"/>
              </w:rPr>
            </w:pPr>
            <w:r w:rsidRPr="00D618B7">
              <w:rPr>
                <w:color w:val="000000"/>
              </w:rPr>
              <w:t>0.0003</w:t>
            </w:r>
          </w:p>
        </w:tc>
        <w:tc>
          <w:tcPr>
            <w:tcW w:w="741" w:type="pct"/>
            <w:tcBorders>
              <w:top w:val="nil"/>
              <w:left w:val="nil"/>
              <w:bottom w:val="nil"/>
              <w:right w:val="nil"/>
            </w:tcBorders>
            <w:shd w:val="clear" w:color="000000" w:fill="FFFFFF"/>
            <w:noWrap/>
            <w:vAlign w:val="center"/>
            <w:hideMark/>
          </w:tcPr>
          <w:p w14:paraId="49B6B098" w14:textId="77777777" w:rsidR="00E7168B" w:rsidRPr="00D618B7" w:rsidRDefault="00E7168B" w:rsidP="004B11B7">
            <w:pPr>
              <w:jc w:val="right"/>
              <w:rPr>
                <w:color w:val="000000"/>
              </w:rPr>
            </w:pPr>
            <w:r w:rsidRPr="00D618B7">
              <w:rPr>
                <w:color w:val="000000"/>
              </w:rPr>
              <w:t>0.0001</w:t>
            </w:r>
          </w:p>
        </w:tc>
        <w:tc>
          <w:tcPr>
            <w:tcW w:w="740" w:type="pct"/>
            <w:tcBorders>
              <w:top w:val="nil"/>
              <w:left w:val="nil"/>
              <w:bottom w:val="nil"/>
              <w:right w:val="nil"/>
            </w:tcBorders>
            <w:shd w:val="clear" w:color="000000" w:fill="FFFFFF"/>
            <w:noWrap/>
            <w:vAlign w:val="center"/>
            <w:hideMark/>
          </w:tcPr>
          <w:p w14:paraId="00A1879F" w14:textId="77777777" w:rsidR="00E7168B" w:rsidRPr="00D618B7" w:rsidRDefault="00E7168B" w:rsidP="004B11B7">
            <w:pPr>
              <w:jc w:val="right"/>
              <w:rPr>
                <w:color w:val="000000"/>
              </w:rPr>
            </w:pPr>
            <w:r w:rsidRPr="00D618B7">
              <w:rPr>
                <w:color w:val="000000"/>
              </w:rPr>
              <w:t>0.0002</w:t>
            </w:r>
          </w:p>
        </w:tc>
        <w:tc>
          <w:tcPr>
            <w:tcW w:w="711" w:type="pct"/>
            <w:gridSpan w:val="2"/>
            <w:tcBorders>
              <w:top w:val="nil"/>
              <w:left w:val="nil"/>
              <w:bottom w:val="nil"/>
              <w:right w:val="nil"/>
            </w:tcBorders>
            <w:shd w:val="clear" w:color="000000" w:fill="FFFFFF"/>
            <w:noWrap/>
            <w:vAlign w:val="center"/>
            <w:hideMark/>
          </w:tcPr>
          <w:p w14:paraId="4FDC8E6A" w14:textId="77777777" w:rsidR="00E7168B" w:rsidRPr="00D618B7" w:rsidRDefault="00E7168B" w:rsidP="004B11B7">
            <w:pPr>
              <w:jc w:val="right"/>
              <w:rPr>
                <w:color w:val="000000"/>
              </w:rPr>
            </w:pPr>
            <w:r w:rsidRPr="00D618B7">
              <w:rPr>
                <w:color w:val="000000"/>
              </w:rPr>
              <w:t>0.0049</w:t>
            </w:r>
          </w:p>
        </w:tc>
        <w:tc>
          <w:tcPr>
            <w:tcW w:w="673" w:type="pct"/>
            <w:tcBorders>
              <w:top w:val="nil"/>
              <w:left w:val="nil"/>
              <w:bottom w:val="nil"/>
              <w:right w:val="nil"/>
            </w:tcBorders>
            <w:shd w:val="clear" w:color="000000" w:fill="FFFFFF"/>
            <w:noWrap/>
            <w:vAlign w:val="center"/>
            <w:hideMark/>
          </w:tcPr>
          <w:p w14:paraId="5B50666D" w14:textId="77777777" w:rsidR="00E7168B" w:rsidRPr="00D618B7" w:rsidRDefault="00E7168B" w:rsidP="004B11B7">
            <w:pPr>
              <w:jc w:val="right"/>
              <w:rPr>
                <w:color w:val="000000"/>
              </w:rPr>
            </w:pPr>
            <w:r w:rsidRPr="00D618B7">
              <w:rPr>
                <w:color w:val="000000"/>
              </w:rPr>
              <w:t>0.0014</w:t>
            </w:r>
          </w:p>
        </w:tc>
      </w:tr>
      <w:tr w:rsidR="00E7168B" w:rsidRPr="00D618B7" w14:paraId="74D40B84" w14:textId="77777777" w:rsidTr="00674AB2">
        <w:trPr>
          <w:trHeight w:val="271"/>
        </w:trPr>
        <w:tc>
          <w:tcPr>
            <w:tcW w:w="625" w:type="pct"/>
            <w:tcBorders>
              <w:top w:val="nil"/>
              <w:left w:val="nil"/>
              <w:bottom w:val="nil"/>
              <w:right w:val="nil"/>
            </w:tcBorders>
            <w:shd w:val="clear" w:color="000000" w:fill="FFFFFF"/>
            <w:vAlign w:val="center"/>
            <w:hideMark/>
          </w:tcPr>
          <w:p w14:paraId="758690A9" w14:textId="77777777" w:rsidR="00E7168B" w:rsidRPr="00D618B7" w:rsidRDefault="00E7168B" w:rsidP="004B11B7">
            <w:pPr>
              <w:rPr>
                <w:color w:val="000000"/>
              </w:rPr>
            </w:pPr>
            <w:r w:rsidRPr="00D618B7">
              <w:rPr>
                <w:color w:val="000000"/>
              </w:rPr>
              <w:t>Hand</w:t>
            </w:r>
          </w:p>
        </w:tc>
        <w:tc>
          <w:tcPr>
            <w:tcW w:w="836" w:type="pct"/>
            <w:tcBorders>
              <w:top w:val="nil"/>
              <w:left w:val="nil"/>
              <w:bottom w:val="nil"/>
              <w:right w:val="nil"/>
            </w:tcBorders>
            <w:shd w:val="clear" w:color="000000" w:fill="FFFFFF"/>
            <w:noWrap/>
            <w:vAlign w:val="center"/>
            <w:hideMark/>
          </w:tcPr>
          <w:p w14:paraId="46689EF4" w14:textId="77777777" w:rsidR="00E7168B" w:rsidRPr="00D618B7" w:rsidRDefault="00E7168B" w:rsidP="004B11B7">
            <w:pPr>
              <w:jc w:val="right"/>
              <w:rPr>
                <w:color w:val="000000"/>
              </w:rPr>
            </w:pPr>
            <w:r w:rsidRPr="00D618B7">
              <w:rPr>
                <w:color w:val="000000"/>
              </w:rPr>
              <w:t>0.0014</w:t>
            </w:r>
          </w:p>
        </w:tc>
        <w:tc>
          <w:tcPr>
            <w:tcW w:w="673" w:type="pct"/>
            <w:tcBorders>
              <w:top w:val="nil"/>
              <w:left w:val="nil"/>
              <w:bottom w:val="nil"/>
              <w:right w:val="nil"/>
            </w:tcBorders>
            <w:shd w:val="clear" w:color="000000" w:fill="FFFFFF"/>
            <w:noWrap/>
            <w:vAlign w:val="center"/>
            <w:hideMark/>
          </w:tcPr>
          <w:p w14:paraId="36A6BE59" w14:textId="77777777" w:rsidR="00E7168B" w:rsidRPr="00D618B7" w:rsidRDefault="00E7168B" w:rsidP="004B11B7">
            <w:pPr>
              <w:jc w:val="right"/>
              <w:rPr>
                <w:color w:val="000000"/>
              </w:rPr>
            </w:pPr>
            <w:r w:rsidRPr="00D618B7">
              <w:rPr>
                <w:color w:val="000000"/>
              </w:rPr>
              <w:t>0.0004</w:t>
            </w:r>
          </w:p>
        </w:tc>
        <w:tc>
          <w:tcPr>
            <w:tcW w:w="741" w:type="pct"/>
            <w:tcBorders>
              <w:top w:val="nil"/>
              <w:left w:val="nil"/>
              <w:bottom w:val="nil"/>
              <w:right w:val="nil"/>
            </w:tcBorders>
            <w:shd w:val="clear" w:color="000000" w:fill="FFFFFF"/>
            <w:noWrap/>
            <w:vAlign w:val="center"/>
            <w:hideMark/>
          </w:tcPr>
          <w:p w14:paraId="35E12FA7" w14:textId="77777777" w:rsidR="00E7168B" w:rsidRPr="00D618B7" w:rsidRDefault="00E7168B" w:rsidP="004B11B7">
            <w:pPr>
              <w:jc w:val="right"/>
              <w:rPr>
                <w:color w:val="000000"/>
              </w:rPr>
            </w:pPr>
            <w:r w:rsidRPr="00D618B7">
              <w:rPr>
                <w:color w:val="000000"/>
              </w:rPr>
              <w:t>0.0008</w:t>
            </w:r>
          </w:p>
        </w:tc>
        <w:tc>
          <w:tcPr>
            <w:tcW w:w="740" w:type="pct"/>
            <w:tcBorders>
              <w:top w:val="nil"/>
              <w:left w:val="nil"/>
              <w:bottom w:val="nil"/>
              <w:right w:val="nil"/>
            </w:tcBorders>
            <w:shd w:val="clear" w:color="000000" w:fill="FFFFFF"/>
            <w:noWrap/>
            <w:vAlign w:val="center"/>
            <w:hideMark/>
          </w:tcPr>
          <w:p w14:paraId="1AEDF2E9" w14:textId="77777777" w:rsidR="00E7168B" w:rsidRPr="00D618B7" w:rsidRDefault="00E7168B" w:rsidP="004B11B7">
            <w:pPr>
              <w:jc w:val="right"/>
              <w:rPr>
                <w:color w:val="000000"/>
              </w:rPr>
            </w:pPr>
            <w:r w:rsidRPr="00D618B7">
              <w:rPr>
                <w:color w:val="000000"/>
              </w:rPr>
              <w:t>0.0007</w:t>
            </w:r>
          </w:p>
        </w:tc>
        <w:tc>
          <w:tcPr>
            <w:tcW w:w="711" w:type="pct"/>
            <w:gridSpan w:val="2"/>
            <w:tcBorders>
              <w:top w:val="nil"/>
              <w:left w:val="nil"/>
              <w:bottom w:val="nil"/>
              <w:right w:val="nil"/>
            </w:tcBorders>
            <w:shd w:val="clear" w:color="000000" w:fill="FFFFFF"/>
            <w:noWrap/>
            <w:vAlign w:val="center"/>
            <w:hideMark/>
          </w:tcPr>
          <w:p w14:paraId="358C94EF" w14:textId="77777777" w:rsidR="00E7168B" w:rsidRPr="00D618B7" w:rsidRDefault="00E7168B" w:rsidP="004B11B7">
            <w:pPr>
              <w:jc w:val="right"/>
              <w:rPr>
                <w:color w:val="000000"/>
              </w:rPr>
            </w:pPr>
            <w:r w:rsidRPr="00D618B7">
              <w:rPr>
                <w:color w:val="000000"/>
              </w:rPr>
              <w:t>0.0010</w:t>
            </w:r>
          </w:p>
        </w:tc>
        <w:tc>
          <w:tcPr>
            <w:tcW w:w="673" w:type="pct"/>
            <w:tcBorders>
              <w:top w:val="nil"/>
              <w:left w:val="nil"/>
              <w:bottom w:val="nil"/>
              <w:right w:val="nil"/>
            </w:tcBorders>
            <w:shd w:val="clear" w:color="000000" w:fill="FFFFFF"/>
            <w:noWrap/>
            <w:vAlign w:val="center"/>
            <w:hideMark/>
          </w:tcPr>
          <w:p w14:paraId="6D3A68D1" w14:textId="77777777" w:rsidR="00E7168B" w:rsidRPr="00D618B7" w:rsidRDefault="00E7168B" w:rsidP="004B11B7">
            <w:pPr>
              <w:jc w:val="right"/>
              <w:rPr>
                <w:color w:val="000000"/>
              </w:rPr>
            </w:pPr>
            <w:r w:rsidRPr="00D618B7">
              <w:rPr>
                <w:color w:val="000000"/>
              </w:rPr>
              <w:t>0.0008</w:t>
            </w:r>
          </w:p>
        </w:tc>
      </w:tr>
      <w:tr w:rsidR="00E7168B" w:rsidRPr="00D618B7" w14:paraId="5E45C0C1" w14:textId="77777777" w:rsidTr="00674AB2">
        <w:trPr>
          <w:trHeight w:val="271"/>
        </w:trPr>
        <w:tc>
          <w:tcPr>
            <w:tcW w:w="625" w:type="pct"/>
            <w:tcBorders>
              <w:top w:val="nil"/>
              <w:left w:val="nil"/>
              <w:bottom w:val="single" w:sz="8" w:space="0" w:color="auto"/>
              <w:right w:val="nil"/>
            </w:tcBorders>
            <w:shd w:val="clear" w:color="000000" w:fill="FFFFFF"/>
            <w:vAlign w:val="center"/>
            <w:hideMark/>
          </w:tcPr>
          <w:p w14:paraId="05CAAEE2" w14:textId="77777777" w:rsidR="00E7168B" w:rsidRPr="00D618B7" w:rsidRDefault="00E7168B" w:rsidP="004B11B7">
            <w:pPr>
              <w:rPr>
                <w:color w:val="000000"/>
              </w:rPr>
            </w:pPr>
            <w:r w:rsidRPr="00D618B7">
              <w:rPr>
                <w:color w:val="000000"/>
              </w:rPr>
              <w:t>Mouth</w:t>
            </w:r>
          </w:p>
        </w:tc>
        <w:tc>
          <w:tcPr>
            <w:tcW w:w="836" w:type="pct"/>
            <w:tcBorders>
              <w:top w:val="nil"/>
              <w:left w:val="nil"/>
              <w:bottom w:val="single" w:sz="8" w:space="0" w:color="auto"/>
              <w:right w:val="nil"/>
            </w:tcBorders>
            <w:shd w:val="clear" w:color="000000" w:fill="FFFFFF"/>
            <w:noWrap/>
            <w:vAlign w:val="center"/>
            <w:hideMark/>
          </w:tcPr>
          <w:p w14:paraId="4BA3C52E" w14:textId="77777777" w:rsidR="00E7168B" w:rsidRPr="00D618B7" w:rsidRDefault="00E7168B" w:rsidP="004B11B7">
            <w:pPr>
              <w:jc w:val="right"/>
              <w:rPr>
                <w:color w:val="000000"/>
              </w:rPr>
            </w:pPr>
            <w:r w:rsidRPr="00D618B7">
              <w:rPr>
                <w:color w:val="000000"/>
              </w:rPr>
              <w:t>0.0232</w:t>
            </w:r>
          </w:p>
        </w:tc>
        <w:tc>
          <w:tcPr>
            <w:tcW w:w="673" w:type="pct"/>
            <w:tcBorders>
              <w:top w:val="nil"/>
              <w:left w:val="nil"/>
              <w:bottom w:val="single" w:sz="8" w:space="0" w:color="auto"/>
              <w:right w:val="nil"/>
            </w:tcBorders>
            <w:shd w:val="clear" w:color="000000" w:fill="FFFFFF"/>
            <w:noWrap/>
            <w:vAlign w:val="center"/>
            <w:hideMark/>
          </w:tcPr>
          <w:p w14:paraId="64D04E93" w14:textId="77777777" w:rsidR="00E7168B" w:rsidRPr="00D618B7" w:rsidRDefault="00E7168B" w:rsidP="004B11B7">
            <w:pPr>
              <w:jc w:val="right"/>
              <w:rPr>
                <w:color w:val="000000"/>
              </w:rPr>
            </w:pPr>
            <w:r w:rsidRPr="00D618B7">
              <w:rPr>
                <w:color w:val="000000"/>
              </w:rPr>
              <w:t>0.0032</w:t>
            </w:r>
          </w:p>
        </w:tc>
        <w:tc>
          <w:tcPr>
            <w:tcW w:w="741" w:type="pct"/>
            <w:tcBorders>
              <w:top w:val="nil"/>
              <w:left w:val="nil"/>
              <w:bottom w:val="single" w:sz="8" w:space="0" w:color="auto"/>
              <w:right w:val="nil"/>
            </w:tcBorders>
            <w:shd w:val="clear" w:color="000000" w:fill="FFFFFF"/>
            <w:noWrap/>
            <w:vAlign w:val="center"/>
            <w:hideMark/>
          </w:tcPr>
          <w:p w14:paraId="26634794" w14:textId="77777777" w:rsidR="00E7168B" w:rsidRPr="00D618B7" w:rsidRDefault="00E7168B" w:rsidP="004B11B7">
            <w:pPr>
              <w:jc w:val="right"/>
              <w:rPr>
                <w:color w:val="000000"/>
              </w:rPr>
            </w:pPr>
            <w:r w:rsidRPr="00D618B7">
              <w:rPr>
                <w:color w:val="000000"/>
              </w:rPr>
              <w:t>0.0007</w:t>
            </w:r>
          </w:p>
        </w:tc>
        <w:tc>
          <w:tcPr>
            <w:tcW w:w="740" w:type="pct"/>
            <w:tcBorders>
              <w:top w:val="nil"/>
              <w:left w:val="nil"/>
              <w:bottom w:val="single" w:sz="8" w:space="0" w:color="auto"/>
              <w:right w:val="nil"/>
            </w:tcBorders>
            <w:shd w:val="clear" w:color="000000" w:fill="FFFFFF"/>
            <w:noWrap/>
            <w:vAlign w:val="center"/>
            <w:hideMark/>
          </w:tcPr>
          <w:p w14:paraId="49BDBB01" w14:textId="77777777" w:rsidR="00E7168B" w:rsidRPr="00D618B7" w:rsidRDefault="00E7168B" w:rsidP="004B11B7">
            <w:pPr>
              <w:jc w:val="right"/>
              <w:rPr>
                <w:color w:val="000000"/>
              </w:rPr>
            </w:pPr>
            <w:r w:rsidRPr="00D618B7">
              <w:rPr>
                <w:color w:val="000000"/>
              </w:rPr>
              <w:t>0.0008</w:t>
            </w:r>
          </w:p>
        </w:tc>
        <w:tc>
          <w:tcPr>
            <w:tcW w:w="711" w:type="pct"/>
            <w:gridSpan w:val="2"/>
            <w:tcBorders>
              <w:top w:val="nil"/>
              <w:left w:val="nil"/>
              <w:bottom w:val="single" w:sz="8" w:space="0" w:color="auto"/>
              <w:right w:val="nil"/>
            </w:tcBorders>
            <w:shd w:val="clear" w:color="000000" w:fill="FFFFFF"/>
            <w:noWrap/>
            <w:vAlign w:val="center"/>
            <w:hideMark/>
          </w:tcPr>
          <w:p w14:paraId="0EBBDEB9" w14:textId="77777777" w:rsidR="00E7168B" w:rsidRPr="00D618B7" w:rsidRDefault="00E7168B" w:rsidP="004B11B7">
            <w:pPr>
              <w:jc w:val="right"/>
              <w:rPr>
                <w:color w:val="000000"/>
              </w:rPr>
            </w:pPr>
            <w:r w:rsidRPr="00D618B7">
              <w:rPr>
                <w:color w:val="000000"/>
              </w:rPr>
              <w:t>0.0010</w:t>
            </w:r>
          </w:p>
        </w:tc>
        <w:tc>
          <w:tcPr>
            <w:tcW w:w="673" w:type="pct"/>
            <w:tcBorders>
              <w:top w:val="nil"/>
              <w:left w:val="nil"/>
              <w:bottom w:val="single" w:sz="8" w:space="0" w:color="auto"/>
              <w:right w:val="nil"/>
            </w:tcBorders>
            <w:shd w:val="clear" w:color="000000" w:fill="FFFFFF"/>
            <w:noWrap/>
            <w:vAlign w:val="center"/>
            <w:hideMark/>
          </w:tcPr>
          <w:p w14:paraId="585C0C03" w14:textId="77777777" w:rsidR="00E7168B" w:rsidRPr="00D618B7" w:rsidRDefault="00E7168B" w:rsidP="004B11B7">
            <w:pPr>
              <w:jc w:val="right"/>
              <w:rPr>
                <w:color w:val="000000"/>
              </w:rPr>
            </w:pPr>
            <w:r w:rsidRPr="00D618B7">
              <w:rPr>
                <w:color w:val="000000"/>
              </w:rPr>
              <w:t>0.0007</w:t>
            </w:r>
          </w:p>
        </w:tc>
      </w:tr>
      <w:tr w:rsidR="00E7168B" w:rsidRPr="00D618B7" w14:paraId="167918BB" w14:textId="77777777" w:rsidTr="00674AB2">
        <w:trPr>
          <w:trHeight w:val="271"/>
        </w:trPr>
        <w:tc>
          <w:tcPr>
            <w:tcW w:w="625" w:type="pct"/>
            <w:tcBorders>
              <w:top w:val="nil"/>
              <w:left w:val="nil"/>
              <w:bottom w:val="nil"/>
              <w:right w:val="nil"/>
            </w:tcBorders>
            <w:shd w:val="clear" w:color="000000" w:fill="FFFFFF"/>
            <w:noWrap/>
            <w:vAlign w:val="bottom"/>
            <w:hideMark/>
          </w:tcPr>
          <w:p w14:paraId="35009B02" w14:textId="77777777" w:rsidR="00E7168B" w:rsidRPr="00D618B7" w:rsidRDefault="00E7168B" w:rsidP="004B11B7">
            <w:pPr>
              <w:rPr>
                <w:color w:val="000000"/>
              </w:rPr>
            </w:pPr>
            <w:r w:rsidRPr="00D618B7">
              <w:rPr>
                <w:color w:val="000000"/>
              </w:rPr>
              <w:t> </w:t>
            </w:r>
          </w:p>
        </w:tc>
        <w:tc>
          <w:tcPr>
            <w:tcW w:w="4375" w:type="pct"/>
            <w:gridSpan w:val="7"/>
            <w:tcBorders>
              <w:top w:val="single" w:sz="8" w:space="0" w:color="auto"/>
              <w:left w:val="nil"/>
              <w:bottom w:val="nil"/>
              <w:right w:val="nil"/>
            </w:tcBorders>
            <w:shd w:val="clear" w:color="000000" w:fill="FFFFFF"/>
            <w:noWrap/>
            <w:vAlign w:val="center"/>
            <w:hideMark/>
          </w:tcPr>
          <w:p w14:paraId="73476EF8" w14:textId="77777777" w:rsidR="00E7168B" w:rsidRPr="00D618B7" w:rsidRDefault="00E7168B" w:rsidP="004B11B7">
            <w:pPr>
              <w:jc w:val="center"/>
              <w:rPr>
                <w:color w:val="000000"/>
              </w:rPr>
            </w:pPr>
            <w:r w:rsidRPr="00D618B7">
              <w:rPr>
                <w:color w:val="000000"/>
              </w:rPr>
              <w:t>Late Reach Group</w:t>
            </w:r>
          </w:p>
        </w:tc>
      </w:tr>
      <w:tr w:rsidR="00E7168B" w:rsidRPr="00D618B7" w14:paraId="31FDBBDB" w14:textId="77777777" w:rsidTr="00674AB2">
        <w:trPr>
          <w:trHeight w:val="271"/>
        </w:trPr>
        <w:tc>
          <w:tcPr>
            <w:tcW w:w="625" w:type="pct"/>
            <w:tcBorders>
              <w:top w:val="nil"/>
              <w:left w:val="nil"/>
              <w:bottom w:val="nil"/>
              <w:right w:val="nil"/>
            </w:tcBorders>
            <w:shd w:val="clear" w:color="000000" w:fill="FFFFFF"/>
            <w:vAlign w:val="center"/>
            <w:hideMark/>
          </w:tcPr>
          <w:p w14:paraId="3EB6827E" w14:textId="77777777" w:rsidR="00E7168B" w:rsidRPr="00D618B7" w:rsidRDefault="00E7168B" w:rsidP="004B11B7">
            <w:pPr>
              <w:rPr>
                <w:color w:val="000000"/>
              </w:rPr>
            </w:pPr>
            <w:r w:rsidRPr="00D618B7">
              <w:rPr>
                <w:color w:val="000000"/>
              </w:rPr>
              <w:t>Face</w:t>
            </w:r>
          </w:p>
        </w:tc>
        <w:tc>
          <w:tcPr>
            <w:tcW w:w="836" w:type="pct"/>
            <w:tcBorders>
              <w:top w:val="nil"/>
              <w:left w:val="nil"/>
              <w:bottom w:val="nil"/>
              <w:right w:val="nil"/>
            </w:tcBorders>
            <w:shd w:val="clear" w:color="000000" w:fill="FFFFFF"/>
            <w:noWrap/>
            <w:vAlign w:val="center"/>
            <w:hideMark/>
          </w:tcPr>
          <w:p w14:paraId="7AB8FD54" w14:textId="77777777" w:rsidR="00E7168B" w:rsidRPr="00D618B7" w:rsidRDefault="00E7168B" w:rsidP="004B11B7">
            <w:pPr>
              <w:jc w:val="right"/>
              <w:rPr>
                <w:color w:val="000000"/>
              </w:rPr>
            </w:pPr>
            <w:r w:rsidRPr="00D618B7">
              <w:rPr>
                <w:color w:val="000000"/>
              </w:rPr>
              <w:t>0.0008</w:t>
            </w:r>
          </w:p>
        </w:tc>
        <w:tc>
          <w:tcPr>
            <w:tcW w:w="673" w:type="pct"/>
            <w:tcBorders>
              <w:top w:val="nil"/>
              <w:left w:val="nil"/>
              <w:bottom w:val="nil"/>
              <w:right w:val="nil"/>
            </w:tcBorders>
            <w:shd w:val="clear" w:color="000000" w:fill="FFFFFF"/>
            <w:noWrap/>
            <w:vAlign w:val="center"/>
            <w:hideMark/>
          </w:tcPr>
          <w:p w14:paraId="25DB6C63" w14:textId="77777777" w:rsidR="00E7168B" w:rsidRPr="00D618B7" w:rsidRDefault="00E7168B" w:rsidP="004B11B7">
            <w:pPr>
              <w:jc w:val="right"/>
              <w:rPr>
                <w:color w:val="000000"/>
              </w:rPr>
            </w:pPr>
            <w:r w:rsidRPr="00D618B7">
              <w:rPr>
                <w:color w:val="000000"/>
              </w:rPr>
              <w:t>0.0005</w:t>
            </w:r>
          </w:p>
        </w:tc>
        <w:tc>
          <w:tcPr>
            <w:tcW w:w="741" w:type="pct"/>
            <w:tcBorders>
              <w:top w:val="nil"/>
              <w:left w:val="nil"/>
              <w:bottom w:val="nil"/>
              <w:right w:val="nil"/>
            </w:tcBorders>
            <w:shd w:val="clear" w:color="000000" w:fill="FFFFFF"/>
            <w:noWrap/>
            <w:vAlign w:val="center"/>
            <w:hideMark/>
          </w:tcPr>
          <w:p w14:paraId="6DD9E8F4" w14:textId="77777777" w:rsidR="00E7168B" w:rsidRPr="00D618B7" w:rsidRDefault="00E7168B" w:rsidP="004B11B7">
            <w:pPr>
              <w:jc w:val="right"/>
              <w:rPr>
                <w:color w:val="000000"/>
              </w:rPr>
            </w:pPr>
            <w:r w:rsidRPr="00D618B7">
              <w:rPr>
                <w:color w:val="000000"/>
              </w:rPr>
              <w:t>0.0002</w:t>
            </w:r>
          </w:p>
        </w:tc>
        <w:tc>
          <w:tcPr>
            <w:tcW w:w="740" w:type="pct"/>
            <w:tcBorders>
              <w:top w:val="nil"/>
              <w:left w:val="nil"/>
              <w:bottom w:val="nil"/>
              <w:right w:val="nil"/>
            </w:tcBorders>
            <w:shd w:val="clear" w:color="000000" w:fill="FFFFFF"/>
            <w:noWrap/>
            <w:vAlign w:val="center"/>
            <w:hideMark/>
          </w:tcPr>
          <w:p w14:paraId="5BCAD46C" w14:textId="77777777" w:rsidR="00E7168B" w:rsidRPr="00D618B7" w:rsidRDefault="00E7168B" w:rsidP="004B11B7">
            <w:pPr>
              <w:jc w:val="right"/>
              <w:rPr>
                <w:color w:val="000000"/>
              </w:rPr>
            </w:pPr>
            <w:r w:rsidRPr="00D618B7">
              <w:rPr>
                <w:color w:val="000000"/>
              </w:rPr>
              <w:t>0.0002</w:t>
            </w:r>
          </w:p>
        </w:tc>
        <w:tc>
          <w:tcPr>
            <w:tcW w:w="711" w:type="pct"/>
            <w:gridSpan w:val="2"/>
            <w:tcBorders>
              <w:top w:val="nil"/>
              <w:left w:val="nil"/>
              <w:bottom w:val="nil"/>
              <w:right w:val="nil"/>
            </w:tcBorders>
            <w:shd w:val="clear" w:color="000000" w:fill="FFFFFF"/>
            <w:noWrap/>
            <w:vAlign w:val="center"/>
            <w:hideMark/>
          </w:tcPr>
          <w:p w14:paraId="0F440FC6" w14:textId="77777777" w:rsidR="00E7168B" w:rsidRPr="00D618B7" w:rsidRDefault="00E7168B" w:rsidP="004B11B7">
            <w:pPr>
              <w:jc w:val="right"/>
              <w:rPr>
                <w:color w:val="000000"/>
              </w:rPr>
            </w:pPr>
            <w:r w:rsidRPr="00D618B7">
              <w:rPr>
                <w:color w:val="000000"/>
              </w:rPr>
              <w:t>0.0015</w:t>
            </w:r>
          </w:p>
        </w:tc>
        <w:tc>
          <w:tcPr>
            <w:tcW w:w="673" w:type="pct"/>
            <w:tcBorders>
              <w:top w:val="nil"/>
              <w:left w:val="nil"/>
              <w:bottom w:val="nil"/>
              <w:right w:val="nil"/>
            </w:tcBorders>
            <w:shd w:val="clear" w:color="000000" w:fill="FFFFFF"/>
            <w:noWrap/>
            <w:vAlign w:val="center"/>
            <w:hideMark/>
          </w:tcPr>
          <w:p w14:paraId="411DDEEB" w14:textId="77777777" w:rsidR="00E7168B" w:rsidRPr="00D618B7" w:rsidRDefault="00E7168B" w:rsidP="004B11B7">
            <w:pPr>
              <w:jc w:val="right"/>
              <w:rPr>
                <w:color w:val="000000"/>
              </w:rPr>
            </w:pPr>
            <w:r w:rsidRPr="00D618B7">
              <w:rPr>
                <w:color w:val="000000"/>
              </w:rPr>
              <w:t>0.0011</w:t>
            </w:r>
          </w:p>
        </w:tc>
      </w:tr>
      <w:tr w:rsidR="00E7168B" w:rsidRPr="00D618B7" w14:paraId="5BDC77C1" w14:textId="77777777" w:rsidTr="00674AB2">
        <w:trPr>
          <w:trHeight w:val="271"/>
        </w:trPr>
        <w:tc>
          <w:tcPr>
            <w:tcW w:w="625" w:type="pct"/>
            <w:tcBorders>
              <w:top w:val="nil"/>
              <w:left w:val="nil"/>
              <w:bottom w:val="nil"/>
              <w:right w:val="nil"/>
            </w:tcBorders>
            <w:shd w:val="clear" w:color="000000" w:fill="FFFFFF"/>
            <w:vAlign w:val="center"/>
            <w:hideMark/>
          </w:tcPr>
          <w:p w14:paraId="6E1C9C45" w14:textId="77777777" w:rsidR="00E7168B" w:rsidRPr="00D618B7" w:rsidRDefault="00E7168B" w:rsidP="004B11B7">
            <w:pPr>
              <w:rPr>
                <w:color w:val="000000"/>
              </w:rPr>
            </w:pPr>
            <w:r w:rsidRPr="00D618B7">
              <w:rPr>
                <w:color w:val="000000"/>
              </w:rPr>
              <w:t>Hand</w:t>
            </w:r>
          </w:p>
        </w:tc>
        <w:tc>
          <w:tcPr>
            <w:tcW w:w="836" w:type="pct"/>
            <w:tcBorders>
              <w:top w:val="nil"/>
              <w:left w:val="nil"/>
              <w:bottom w:val="nil"/>
              <w:right w:val="nil"/>
            </w:tcBorders>
            <w:shd w:val="clear" w:color="000000" w:fill="FFFFFF"/>
            <w:noWrap/>
            <w:vAlign w:val="center"/>
            <w:hideMark/>
          </w:tcPr>
          <w:p w14:paraId="5AA3E97E" w14:textId="77777777" w:rsidR="00E7168B" w:rsidRPr="00D618B7" w:rsidRDefault="00E7168B" w:rsidP="004B11B7">
            <w:pPr>
              <w:jc w:val="right"/>
              <w:rPr>
                <w:color w:val="000000"/>
              </w:rPr>
            </w:pPr>
            <w:r w:rsidRPr="00D618B7">
              <w:rPr>
                <w:color w:val="000000"/>
              </w:rPr>
              <w:t>0.0006</w:t>
            </w:r>
          </w:p>
        </w:tc>
        <w:tc>
          <w:tcPr>
            <w:tcW w:w="673" w:type="pct"/>
            <w:tcBorders>
              <w:top w:val="nil"/>
              <w:left w:val="nil"/>
              <w:bottom w:val="nil"/>
              <w:right w:val="nil"/>
            </w:tcBorders>
            <w:shd w:val="clear" w:color="000000" w:fill="FFFFFF"/>
            <w:noWrap/>
            <w:vAlign w:val="center"/>
            <w:hideMark/>
          </w:tcPr>
          <w:p w14:paraId="5D416C4D" w14:textId="77777777" w:rsidR="00E7168B" w:rsidRPr="00D618B7" w:rsidRDefault="00E7168B" w:rsidP="004B11B7">
            <w:pPr>
              <w:jc w:val="right"/>
              <w:rPr>
                <w:color w:val="000000"/>
              </w:rPr>
            </w:pPr>
            <w:r w:rsidRPr="00D618B7">
              <w:rPr>
                <w:color w:val="000000"/>
              </w:rPr>
              <w:t>0.0007</w:t>
            </w:r>
          </w:p>
        </w:tc>
        <w:tc>
          <w:tcPr>
            <w:tcW w:w="741" w:type="pct"/>
            <w:tcBorders>
              <w:top w:val="nil"/>
              <w:left w:val="nil"/>
              <w:bottom w:val="nil"/>
              <w:right w:val="nil"/>
            </w:tcBorders>
            <w:shd w:val="clear" w:color="000000" w:fill="FFFFFF"/>
            <w:noWrap/>
            <w:vAlign w:val="center"/>
            <w:hideMark/>
          </w:tcPr>
          <w:p w14:paraId="31E4A489" w14:textId="77777777" w:rsidR="00E7168B" w:rsidRPr="00D618B7" w:rsidRDefault="00E7168B" w:rsidP="004B11B7">
            <w:pPr>
              <w:jc w:val="right"/>
              <w:rPr>
                <w:color w:val="000000"/>
              </w:rPr>
            </w:pPr>
            <w:r w:rsidRPr="00D618B7">
              <w:rPr>
                <w:color w:val="000000"/>
              </w:rPr>
              <w:t>0.0000</w:t>
            </w:r>
          </w:p>
        </w:tc>
        <w:tc>
          <w:tcPr>
            <w:tcW w:w="740" w:type="pct"/>
            <w:tcBorders>
              <w:top w:val="nil"/>
              <w:left w:val="nil"/>
              <w:bottom w:val="nil"/>
              <w:right w:val="nil"/>
            </w:tcBorders>
            <w:shd w:val="clear" w:color="000000" w:fill="FFFFFF"/>
            <w:noWrap/>
            <w:vAlign w:val="center"/>
            <w:hideMark/>
          </w:tcPr>
          <w:p w14:paraId="2B88D817" w14:textId="77777777" w:rsidR="00E7168B" w:rsidRPr="00D618B7" w:rsidRDefault="00E7168B" w:rsidP="004B11B7">
            <w:pPr>
              <w:jc w:val="right"/>
              <w:rPr>
                <w:color w:val="000000"/>
              </w:rPr>
            </w:pPr>
            <w:r w:rsidRPr="00D618B7">
              <w:rPr>
                <w:color w:val="000000"/>
              </w:rPr>
              <w:t>0.0001</w:t>
            </w:r>
          </w:p>
        </w:tc>
        <w:tc>
          <w:tcPr>
            <w:tcW w:w="711" w:type="pct"/>
            <w:gridSpan w:val="2"/>
            <w:tcBorders>
              <w:top w:val="nil"/>
              <w:left w:val="nil"/>
              <w:bottom w:val="nil"/>
              <w:right w:val="nil"/>
            </w:tcBorders>
            <w:shd w:val="clear" w:color="000000" w:fill="FFFFFF"/>
            <w:noWrap/>
            <w:vAlign w:val="center"/>
            <w:hideMark/>
          </w:tcPr>
          <w:p w14:paraId="3BD6A64C" w14:textId="77777777" w:rsidR="00E7168B" w:rsidRPr="00D618B7" w:rsidRDefault="00E7168B" w:rsidP="004B11B7">
            <w:pPr>
              <w:jc w:val="right"/>
              <w:rPr>
                <w:color w:val="000000"/>
              </w:rPr>
            </w:pPr>
            <w:r w:rsidRPr="00D618B7">
              <w:rPr>
                <w:color w:val="000000"/>
              </w:rPr>
              <w:t>0.0001</w:t>
            </w:r>
          </w:p>
        </w:tc>
        <w:tc>
          <w:tcPr>
            <w:tcW w:w="673" w:type="pct"/>
            <w:tcBorders>
              <w:top w:val="nil"/>
              <w:left w:val="nil"/>
              <w:bottom w:val="nil"/>
              <w:right w:val="nil"/>
            </w:tcBorders>
            <w:shd w:val="clear" w:color="000000" w:fill="FFFFFF"/>
            <w:noWrap/>
            <w:vAlign w:val="center"/>
            <w:hideMark/>
          </w:tcPr>
          <w:p w14:paraId="34B69770" w14:textId="77777777" w:rsidR="00E7168B" w:rsidRPr="00D618B7" w:rsidRDefault="00E7168B" w:rsidP="004B11B7">
            <w:pPr>
              <w:jc w:val="right"/>
              <w:rPr>
                <w:color w:val="000000"/>
              </w:rPr>
            </w:pPr>
            <w:r w:rsidRPr="00D618B7">
              <w:rPr>
                <w:color w:val="000000"/>
              </w:rPr>
              <w:t>0.0001</w:t>
            </w:r>
          </w:p>
        </w:tc>
      </w:tr>
      <w:tr w:rsidR="00E7168B" w:rsidRPr="00D618B7" w14:paraId="54E3E9C9" w14:textId="77777777" w:rsidTr="00674AB2">
        <w:trPr>
          <w:trHeight w:val="271"/>
        </w:trPr>
        <w:tc>
          <w:tcPr>
            <w:tcW w:w="625" w:type="pct"/>
            <w:tcBorders>
              <w:top w:val="nil"/>
              <w:left w:val="nil"/>
              <w:bottom w:val="single" w:sz="8" w:space="0" w:color="auto"/>
              <w:right w:val="nil"/>
            </w:tcBorders>
            <w:shd w:val="clear" w:color="000000" w:fill="FFFFFF"/>
            <w:vAlign w:val="center"/>
            <w:hideMark/>
          </w:tcPr>
          <w:p w14:paraId="33EB1FAD" w14:textId="77777777" w:rsidR="00E7168B" w:rsidRPr="00D618B7" w:rsidRDefault="00E7168B" w:rsidP="004B11B7">
            <w:pPr>
              <w:rPr>
                <w:color w:val="000000"/>
              </w:rPr>
            </w:pPr>
            <w:r w:rsidRPr="00D618B7">
              <w:rPr>
                <w:color w:val="000000"/>
              </w:rPr>
              <w:t>Mouth</w:t>
            </w:r>
          </w:p>
        </w:tc>
        <w:tc>
          <w:tcPr>
            <w:tcW w:w="836" w:type="pct"/>
            <w:tcBorders>
              <w:top w:val="nil"/>
              <w:left w:val="nil"/>
              <w:bottom w:val="single" w:sz="8" w:space="0" w:color="auto"/>
              <w:right w:val="nil"/>
            </w:tcBorders>
            <w:shd w:val="clear" w:color="000000" w:fill="FFFFFF"/>
            <w:noWrap/>
            <w:vAlign w:val="center"/>
            <w:hideMark/>
          </w:tcPr>
          <w:p w14:paraId="5E2AED4A" w14:textId="77777777" w:rsidR="00E7168B" w:rsidRPr="00D618B7" w:rsidRDefault="00E7168B" w:rsidP="004B11B7">
            <w:pPr>
              <w:jc w:val="right"/>
              <w:rPr>
                <w:color w:val="000000"/>
              </w:rPr>
            </w:pPr>
            <w:r w:rsidRPr="00D618B7">
              <w:rPr>
                <w:color w:val="000000"/>
              </w:rPr>
              <w:t>0.0174</w:t>
            </w:r>
          </w:p>
        </w:tc>
        <w:tc>
          <w:tcPr>
            <w:tcW w:w="673" w:type="pct"/>
            <w:tcBorders>
              <w:top w:val="nil"/>
              <w:left w:val="nil"/>
              <w:bottom w:val="single" w:sz="8" w:space="0" w:color="auto"/>
              <w:right w:val="nil"/>
            </w:tcBorders>
            <w:shd w:val="clear" w:color="000000" w:fill="FFFFFF"/>
            <w:noWrap/>
            <w:vAlign w:val="center"/>
            <w:hideMark/>
          </w:tcPr>
          <w:p w14:paraId="2FDE07A0" w14:textId="77777777" w:rsidR="00E7168B" w:rsidRPr="00D618B7" w:rsidRDefault="00E7168B" w:rsidP="004B11B7">
            <w:pPr>
              <w:jc w:val="right"/>
              <w:rPr>
                <w:color w:val="000000"/>
              </w:rPr>
            </w:pPr>
            <w:r w:rsidRPr="00D618B7">
              <w:rPr>
                <w:color w:val="000000"/>
              </w:rPr>
              <w:t>0.0019</w:t>
            </w:r>
          </w:p>
        </w:tc>
        <w:tc>
          <w:tcPr>
            <w:tcW w:w="741" w:type="pct"/>
            <w:tcBorders>
              <w:top w:val="nil"/>
              <w:left w:val="nil"/>
              <w:bottom w:val="single" w:sz="8" w:space="0" w:color="auto"/>
              <w:right w:val="nil"/>
            </w:tcBorders>
            <w:shd w:val="clear" w:color="000000" w:fill="FFFFFF"/>
            <w:noWrap/>
            <w:vAlign w:val="center"/>
            <w:hideMark/>
          </w:tcPr>
          <w:p w14:paraId="73D7537F" w14:textId="77777777" w:rsidR="00E7168B" w:rsidRPr="00D618B7" w:rsidRDefault="00E7168B" w:rsidP="004B11B7">
            <w:pPr>
              <w:jc w:val="right"/>
              <w:rPr>
                <w:color w:val="000000"/>
              </w:rPr>
            </w:pPr>
            <w:r w:rsidRPr="00D618B7">
              <w:rPr>
                <w:color w:val="000000"/>
              </w:rPr>
              <w:t>0.0002</w:t>
            </w:r>
          </w:p>
        </w:tc>
        <w:tc>
          <w:tcPr>
            <w:tcW w:w="740" w:type="pct"/>
            <w:tcBorders>
              <w:top w:val="nil"/>
              <w:left w:val="nil"/>
              <w:bottom w:val="single" w:sz="8" w:space="0" w:color="auto"/>
              <w:right w:val="nil"/>
            </w:tcBorders>
            <w:shd w:val="clear" w:color="000000" w:fill="FFFFFF"/>
            <w:noWrap/>
            <w:vAlign w:val="center"/>
            <w:hideMark/>
          </w:tcPr>
          <w:p w14:paraId="26AB2F31" w14:textId="77777777" w:rsidR="00E7168B" w:rsidRPr="00D618B7" w:rsidRDefault="00E7168B" w:rsidP="004B11B7">
            <w:pPr>
              <w:jc w:val="right"/>
              <w:rPr>
                <w:color w:val="000000"/>
              </w:rPr>
            </w:pPr>
            <w:r w:rsidRPr="00D618B7">
              <w:rPr>
                <w:color w:val="000000"/>
              </w:rPr>
              <w:t>0.0000</w:t>
            </w:r>
          </w:p>
        </w:tc>
        <w:tc>
          <w:tcPr>
            <w:tcW w:w="711" w:type="pct"/>
            <w:gridSpan w:val="2"/>
            <w:tcBorders>
              <w:top w:val="nil"/>
              <w:left w:val="nil"/>
              <w:bottom w:val="single" w:sz="8" w:space="0" w:color="auto"/>
              <w:right w:val="nil"/>
            </w:tcBorders>
            <w:shd w:val="clear" w:color="000000" w:fill="FFFFFF"/>
            <w:noWrap/>
            <w:vAlign w:val="center"/>
            <w:hideMark/>
          </w:tcPr>
          <w:p w14:paraId="103E2E9D" w14:textId="77777777" w:rsidR="00E7168B" w:rsidRPr="00D618B7" w:rsidRDefault="00E7168B" w:rsidP="004B11B7">
            <w:pPr>
              <w:jc w:val="right"/>
              <w:rPr>
                <w:color w:val="000000"/>
              </w:rPr>
            </w:pPr>
            <w:r w:rsidRPr="00D618B7">
              <w:rPr>
                <w:color w:val="000000"/>
              </w:rPr>
              <w:t>-0.0001</w:t>
            </w:r>
          </w:p>
        </w:tc>
        <w:tc>
          <w:tcPr>
            <w:tcW w:w="673" w:type="pct"/>
            <w:tcBorders>
              <w:top w:val="nil"/>
              <w:left w:val="nil"/>
              <w:bottom w:val="single" w:sz="8" w:space="0" w:color="auto"/>
              <w:right w:val="nil"/>
            </w:tcBorders>
            <w:shd w:val="clear" w:color="000000" w:fill="FFFFFF"/>
            <w:noWrap/>
            <w:vAlign w:val="center"/>
            <w:hideMark/>
          </w:tcPr>
          <w:p w14:paraId="3C8EFF46" w14:textId="77777777" w:rsidR="00E7168B" w:rsidRPr="00D618B7" w:rsidRDefault="00E7168B" w:rsidP="004B11B7">
            <w:pPr>
              <w:jc w:val="right"/>
              <w:rPr>
                <w:color w:val="000000"/>
              </w:rPr>
            </w:pPr>
            <w:r w:rsidRPr="00D618B7">
              <w:rPr>
                <w:color w:val="000000"/>
              </w:rPr>
              <w:t>0.0001</w:t>
            </w:r>
          </w:p>
        </w:tc>
      </w:tr>
    </w:tbl>
    <w:p w14:paraId="468C9731" w14:textId="77777777" w:rsidR="00E7168B" w:rsidRPr="00D618B7" w:rsidRDefault="00E7168B" w:rsidP="00E7168B"/>
    <w:p w14:paraId="1A90FE1B" w14:textId="5FAE8ABE" w:rsidR="00E7168B" w:rsidRPr="00D618B7" w:rsidRDefault="00E7168B" w:rsidP="00E7168B">
      <w:r w:rsidRPr="00D618B7">
        <w:rPr>
          <w:i/>
          <w:iCs/>
        </w:rPr>
        <w:t>Note</w:t>
      </w:r>
      <w:r w:rsidRPr="00D618B7">
        <w:t>: This table lists the estimated mean Rate and standard errors for face, hand, and mouth events by toy-out-of-reach, toy-moving-into-reach, and toy-in-reach by group.</w:t>
      </w:r>
    </w:p>
    <w:p w14:paraId="460D8CD7" w14:textId="77777777" w:rsidR="00E7168B" w:rsidRPr="00D618B7" w:rsidRDefault="00E7168B">
      <w:r w:rsidRPr="00D618B7">
        <w:br w:type="page"/>
      </w:r>
    </w:p>
    <w:p w14:paraId="33B34C6D" w14:textId="26E8FB88" w:rsidR="00E7168B" w:rsidRPr="00D618B7" w:rsidRDefault="00E7168B" w:rsidP="007C5074">
      <w:pPr>
        <w:pStyle w:val="Caption"/>
      </w:pPr>
      <w:bookmarkStart w:id="202" w:name="_Toc172716887"/>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59</w:t>
      </w:r>
      <w:r w:rsidR="00000000">
        <w:rPr>
          <w:noProof/>
        </w:rPr>
        <w:fldChar w:fldCharType="end"/>
      </w:r>
      <w:r w:rsidR="00940E58">
        <w:rPr>
          <w:noProof/>
        </w:rPr>
        <w:t>:</w:t>
      </w:r>
      <w:r w:rsidR="00674AB2" w:rsidRPr="00674AB2">
        <w:t xml:space="preserve"> </w:t>
      </w:r>
      <w:r w:rsidR="00674AB2">
        <w:t>Event rate</w:t>
      </w:r>
      <w:r w:rsidR="00674AB2" w:rsidRPr="00BA36EF">
        <w:t xml:space="preserve"> by </w:t>
      </w:r>
      <w:r w:rsidR="00674AB2">
        <w:t>type, proximity, and week for early group</w:t>
      </w:r>
      <w:bookmarkEnd w:id="202"/>
    </w:p>
    <w:p w14:paraId="4682D834" w14:textId="257925FE" w:rsidR="00E7168B" w:rsidRPr="00D618B7" w:rsidRDefault="00E7168B" w:rsidP="00E7168B">
      <w:r w:rsidRPr="00D618B7">
        <w:t>Estimated Mean Rate of Event per Trial by Type, Proximity, and Week for the Early Reach Group</w:t>
      </w:r>
    </w:p>
    <w:tbl>
      <w:tblPr>
        <w:tblW w:w="8925" w:type="dxa"/>
        <w:tblLook w:val="04A0" w:firstRow="1" w:lastRow="0" w:firstColumn="1" w:lastColumn="0" w:noHBand="0" w:noVBand="1"/>
      </w:tblPr>
      <w:tblGrid>
        <w:gridCol w:w="1349"/>
        <w:gridCol w:w="1041"/>
        <w:gridCol w:w="1106"/>
        <w:gridCol w:w="1573"/>
        <w:gridCol w:w="1095"/>
        <w:gridCol w:w="1628"/>
        <w:gridCol w:w="1133"/>
      </w:tblGrid>
      <w:tr w:rsidR="00E7168B" w:rsidRPr="00D618B7" w14:paraId="131234B8" w14:textId="77777777" w:rsidTr="00E7168B">
        <w:trPr>
          <w:trHeight w:val="269"/>
        </w:trPr>
        <w:tc>
          <w:tcPr>
            <w:tcW w:w="1349" w:type="dxa"/>
            <w:tcBorders>
              <w:top w:val="single" w:sz="18" w:space="0" w:color="auto"/>
              <w:left w:val="nil"/>
              <w:bottom w:val="nil"/>
              <w:right w:val="nil"/>
            </w:tcBorders>
            <w:shd w:val="clear" w:color="000000" w:fill="FFFFFF"/>
            <w:vAlign w:val="center"/>
            <w:hideMark/>
          </w:tcPr>
          <w:p w14:paraId="24AD13AA" w14:textId="77777777" w:rsidR="00E7168B" w:rsidRPr="00D618B7" w:rsidRDefault="00E7168B" w:rsidP="004B11B7">
            <w:pPr>
              <w:rPr>
                <w:color w:val="000000"/>
                <w:sz w:val="20"/>
                <w:szCs w:val="20"/>
              </w:rPr>
            </w:pPr>
            <w:r w:rsidRPr="00D618B7">
              <w:rPr>
                <w:color w:val="000000"/>
                <w:sz w:val="20"/>
                <w:szCs w:val="20"/>
              </w:rPr>
              <w:t>Week</w:t>
            </w:r>
          </w:p>
        </w:tc>
        <w:tc>
          <w:tcPr>
            <w:tcW w:w="2147" w:type="dxa"/>
            <w:gridSpan w:val="2"/>
            <w:tcBorders>
              <w:top w:val="single" w:sz="18" w:space="0" w:color="auto"/>
              <w:left w:val="nil"/>
              <w:bottom w:val="single" w:sz="18" w:space="0" w:color="auto"/>
              <w:right w:val="nil"/>
            </w:tcBorders>
            <w:shd w:val="clear" w:color="000000" w:fill="FFFFFF"/>
            <w:vAlign w:val="center"/>
            <w:hideMark/>
          </w:tcPr>
          <w:p w14:paraId="1ED83342" w14:textId="77777777" w:rsidR="00E7168B" w:rsidRPr="00D618B7" w:rsidRDefault="00E7168B" w:rsidP="004B11B7">
            <w:pPr>
              <w:jc w:val="center"/>
              <w:rPr>
                <w:color w:val="000000"/>
                <w:sz w:val="20"/>
                <w:szCs w:val="20"/>
              </w:rPr>
            </w:pPr>
            <w:r w:rsidRPr="00D618B7">
              <w:rPr>
                <w:color w:val="000000"/>
                <w:sz w:val="20"/>
                <w:szCs w:val="20"/>
              </w:rPr>
              <w:t>Face</w:t>
            </w:r>
          </w:p>
        </w:tc>
        <w:tc>
          <w:tcPr>
            <w:tcW w:w="2668" w:type="dxa"/>
            <w:gridSpan w:val="2"/>
            <w:tcBorders>
              <w:top w:val="single" w:sz="18" w:space="0" w:color="auto"/>
              <w:left w:val="nil"/>
              <w:bottom w:val="single" w:sz="18" w:space="0" w:color="auto"/>
              <w:right w:val="nil"/>
            </w:tcBorders>
            <w:shd w:val="clear" w:color="000000" w:fill="FFFFFF"/>
            <w:vAlign w:val="center"/>
            <w:hideMark/>
          </w:tcPr>
          <w:p w14:paraId="67331DED" w14:textId="77777777" w:rsidR="00E7168B" w:rsidRPr="00D618B7" w:rsidRDefault="00E7168B" w:rsidP="004B11B7">
            <w:pPr>
              <w:jc w:val="center"/>
              <w:rPr>
                <w:color w:val="000000"/>
                <w:sz w:val="20"/>
                <w:szCs w:val="20"/>
              </w:rPr>
            </w:pPr>
            <w:r w:rsidRPr="00D618B7">
              <w:rPr>
                <w:color w:val="000000"/>
                <w:sz w:val="20"/>
                <w:szCs w:val="20"/>
              </w:rPr>
              <w:t xml:space="preserve">              Hand</w:t>
            </w:r>
          </w:p>
        </w:tc>
        <w:tc>
          <w:tcPr>
            <w:tcW w:w="2761" w:type="dxa"/>
            <w:gridSpan w:val="2"/>
            <w:tcBorders>
              <w:top w:val="single" w:sz="18" w:space="0" w:color="auto"/>
              <w:left w:val="nil"/>
              <w:bottom w:val="single" w:sz="18" w:space="0" w:color="auto"/>
              <w:right w:val="nil"/>
            </w:tcBorders>
            <w:shd w:val="clear" w:color="000000" w:fill="FFFFFF"/>
            <w:vAlign w:val="center"/>
            <w:hideMark/>
          </w:tcPr>
          <w:p w14:paraId="2F0FFAB8" w14:textId="77777777" w:rsidR="00E7168B" w:rsidRPr="00D618B7" w:rsidRDefault="00E7168B" w:rsidP="004B11B7">
            <w:pPr>
              <w:jc w:val="center"/>
              <w:rPr>
                <w:color w:val="000000"/>
                <w:sz w:val="20"/>
                <w:szCs w:val="20"/>
              </w:rPr>
            </w:pPr>
            <w:r w:rsidRPr="00D618B7">
              <w:rPr>
                <w:color w:val="000000"/>
                <w:sz w:val="20"/>
                <w:szCs w:val="20"/>
              </w:rPr>
              <w:t xml:space="preserve">                Mouth</w:t>
            </w:r>
          </w:p>
        </w:tc>
      </w:tr>
      <w:tr w:rsidR="00E7168B" w:rsidRPr="00D618B7" w14:paraId="24FB7573" w14:textId="77777777" w:rsidTr="00E7168B">
        <w:trPr>
          <w:trHeight w:val="269"/>
        </w:trPr>
        <w:tc>
          <w:tcPr>
            <w:tcW w:w="1349" w:type="dxa"/>
            <w:tcBorders>
              <w:top w:val="nil"/>
              <w:left w:val="nil"/>
              <w:bottom w:val="single" w:sz="18" w:space="0" w:color="auto"/>
              <w:right w:val="nil"/>
            </w:tcBorders>
            <w:shd w:val="clear" w:color="000000" w:fill="FFFFFF"/>
            <w:noWrap/>
            <w:vAlign w:val="bottom"/>
            <w:hideMark/>
          </w:tcPr>
          <w:p w14:paraId="3C7D4272" w14:textId="77777777" w:rsidR="00E7168B" w:rsidRPr="00D618B7" w:rsidRDefault="00E7168B" w:rsidP="004B11B7">
            <w:pPr>
              <w:rPr>
                <w:color w:val="000000"/>
                <w:sz w:val="20"/>
                <w:szCs w:val="20"/>
              </w:rPr>
            </w:pPr>
            <w:r w:rsidRPr="00D618B7">
              <w:rPr>
                <w:color w:val="000000"/>
                <w:sz w:val="20"/>
                <w:szCs w:val="20"/>
              </w:rPr>
              <w:t> </w:t>
            </w:r>
          </w:p>
        </w:tc>
        <w:tc>
          <w:tcPr>
            <w:tcW w:w="1041" w:type="dxa"/>
            <w:tcBorders>
              <w:top w:val="single" w:sz="18" w:space="0" w:color="auto"/>
              <w:left w:val="nil"/>
              <w:bottom w:val="single" w:sz="18" w:space="0" w:color="auto"/>
              <w:right w:val="nil"/>
            </w:tcBorders>
            <w:shd w:val="clear" w:color="000000" w:fill="FFFFFF"/>
            <w:noWrap/>
            <w:vAlign w:val="center"/>
            <w:hideMark/>
          </w:tcPr>
          <w:p w14:paraId="2C6AF3D2" w14:textId="77777777" w:rsidR="00E7168B" w:rsidRPr="00D618B7" w:rsidRDefault="00E7168B" w:rsidP="004B11B7">
            <w:pPr>
              <w:jc w:val="right"/>
              <w:rPr>
                <w:color w:val="000000"/>
                <w:sz w:val="20"/>
                <w:szCs w:val="20"/>
              </w:rPr>
            </w:pPr>
            <w:r w:rsidRPr="00D618B7">
              <w:rPr>
                <w:color w:val="000000"/>
                <w:sz w:val="20"/>
                <w:szCs w:val="20"/>
              </w:rPr>
              <w:t>Mean</w:t>
            </w:r>
          </w:p>
        </w:tc>
        <w:tc>
          <w:tcPr>
            <w:tcW w:w="1106" w:type="dxa"/>
            <w:tcBorders>
              <w:top w:val="single" w:sz="18" w:space="0" w:color="auto"/>
              <w:left w:val="nil"/>
              <w:bottom w:val="single" w:sz="18" w:space="0" w:color="auto"/>
              <w:right w:val="nil"/>
            </w:tcBorders>
            <w:shd w:val="clear" w:color="000000" w:fill="FFFFFF"/>
            <w:noWrap/>
            <w:vAlign w:val="center"/>
            <w:hideMark/>
          </w:tcPr>
          <w:p w14:paraId="1E18820D" w14:textId="77777777" w:rsidR="00E7168B" w:rsidRPr="00D618B7" w:rsidRDefault="00E7168B" w:rsidP="004B11B7">
            <w:pPr>
              <w:jc w:val="right"/>
              <w:rPr>
                <w:color w:val="000000"/>
                <w:sz w:val="20"/>
                <w:szCs w:val="20"/>
              </w:rPr>
            </w:pPr>
            <w:r w:rsidRPr="00D618B7">
              <w:rPr>
                <w:color w:val="000000"/>
                <w:sz w:val="20"/>
                <w:szCs w:val="20"/>
              </w:rPr>
              <w:t>Std. Error</w:t>
            </w:r>
          </w:p>
        </w:tc>
        <w:tc>
          <w:tcPr>
            <w:tcW w:w="1573" w:type="dxa"/>
            <w:tcBorders>
              <w:top w:val="single" w:sz="18" w:space="0" w:color="auto"/>
              <w:left w:val="nil"/>
              <w:bottom w:val="single" w:sz="18" w:space="0" w:color="auto"/>
              <w:right w:val="nil"/>
            </w:tcBorders>
            <w:shd w:val="clear" w:color="000000" w:fill="FFFFFF"/>
            <w:noWrap/>
            <w:vAlign w:val="center"/>
            <w:hideMark/>
          </w:tcPr>
          <w:p w14:paraId="2D42007E" w14:textId="77777777" w:rsidR="00E7168B" w:rsidRPr="00D618B7" w:rsidRDefault="00E7168B" w:rsidP="004B11B7">
            <w:pPr>
              <w:jc w:val="right"/>
              <w:rPr>
                <w:color w:val="000000"/>
                <w:sz w:val="20"/>
                <w:szCs w:val="20"/>
              </w:rPr>
            </w:pPr>
            <w:r w:rsidRPr="00D618B7">
              <w:rPr>
                <w:color w:val="000000"/>
                <w:sz w:val="20"/>
                <w:szCs w:val="20"/>
              </w:rPr>
              <w:t>Mean</w:t>
            </w:r>
          </w:p>
        </w:tc>
        <w:tc>
          <w:tcPr>
            <w:tcW w:w="1095" w:type="dxa"/>
            <w:tcBorders>
              <w:top w:val="single" w:sz="18" w:space="0" w:color="auto"/>
              <w:left w:val="nil"/>
              <w:bottom w:val="single" w:sz="18" w:space="0" w:color="auto"/>
              <w:right w:val="nil"/>
            </w:tcBorders>
            <w:shd w:val="clear" w:color="000000" w:fill="FFFFFF"/>
            <w:noWrap/>
            <w:vAlign w:val="center"/>
            <w:hideMark/>
          </w:tcPr>
          <w:p w14:paraId="5819BE75" w14:textId="77777777" w:rsidR="00E7168B" w:rsidRPr="00D618B7" w:rsidRDefault="00E7168B" w:rsidP="004B11B7">
            <w:pPr>
              <w:jc w:val="right"/>
              <w:rPr>
                <w:color w:val="000000"/>
                <w:sz w:val="20"/>
                <w:szCs w:val="20"/>
              </w:rPr>
            </w:pPr>
            <w:r w:rsidRPr="00D618B7">
              <w:rPr>
                <w:color w:val="000000"/>
                <w:sz w:val="20"/>
                <w:szCs w:val="20"/>
              </w:rPr>
              <w:t>Std. Error</w:t>
            </w:r>
          </w:p>
        </w:tc>
        <w:tc>
          <w:tcPr>
            <w:tcW w:w="1628" w:type="dxa"/>
            <w:tcBorders>
              <w:top w:val="single" w:sz="18" w:space="0" w:color="auto"/>
              <w:left w:val="nil"/>
              <w:bottom w:val="single" w:sz="18" w:space="0" w:color="auto"/>
              <w:right w:val="nil"/>
            </w:tcBorders>
            <w:shd w:val="clear" w:color="000000" w:fill="FFFFFF"/>
            <w:noWrap/>
            <w:vAlign w:val="center"/>
            <w:hideMark/>
          </w:tcPr>
          <w:p w14:paraId="6EAC82CA" w14:textId="77777777" w:rsidR="00E7168B" w:rsidRPr="00D618B7" w:rsidRDefault="00E7168B" w:rsidP="004B11B7">
            <w:pPr>
              <w:jc w:val="right"/>
              <w:rPr>
                <w:color w:val="000000"/>
                <w:sz w:val="20"/>
                <w:szCs w:val="20"/>
              </w:rPr>
            </w:pPr>
            <w:r w:rsidRPr="00D618B7">
              <w:rPr>
                <w:color w:val="000000"/>
                <w:sz w:val="20"/>
                <w:szCs w:val="20"/>
              </w:rPr>
              <w:t>Mean</w:t>
            </w:r>
          </w:p>
        </w:tc>
        <w:tc>
          <w:tcPr>
            <w:tcW w:w="1133" w:type="dxa"/>
            <w:tcBorders>
              <w:top w:val="single" w:sz="18" w:space="0" w:color="auto"/>
              <w:left w:val="nil"/>
              <w:bottom w:val="single" w:sz="18" w:space="0" w:color="auto"/>
              <w:right w:val="nil"/>
            </w:tcBorders>
            <w:shd w:val="clear" w:color="000000" w:fill="FFFFFF"/>
            <w:noWrap/>
            <w:vAlign w:val="center"/>
            <w:hideMark/>
          </w:tcPr>
          <w:p w14:paraId="6B227BFC" w14:textId="77777777" w:rsidR="00E7168B" w:rsidRPr="00D618B7" w:rsidRDefault="00E7168B" w:rsidP="004B11B7">
            <w:pPr>
              <w:jc w:val="right"/>
              <w:rPr>
                <w:color w:val="000000"/>
                <w:sz w:val="20"/>
                <w:szCs w:val="20"/>
              </w:rPr>
            </w:pPr>
            <w:r w:rsidRPr="00D618B7">
              <w:rPr>
                <w:color w:val="000000"/>
                <w:sz w:val="20"/>
                <w:szCs w:val="20"/>
              </w:rPr>
              <w:t>Std. Error</w:t>
            </w:r>
          </w:p>
        </w:tc>
      </w:tr>
      <w:tr w:rsidR="00E7168B" w:rsidRPr="00D618B7" w14:paraId="79FE2A8A" w14:textId="77777777" w:rsidTr="00E7168B">
        <w:trPr>
          <w:trHeight w:val="269"/>
        </w:trPr>
        <w:tc>
          <w:tcPr>
            <w:tcW w:w="1349" w:type="dxa"/>
            <w:tcBorders>
              <w:top w:val="single" w:sz="18" w:space="0" w:color="auto"/>
              <w:left w:val="nil"/>
              <w:bottom w:val="nil"/>
              <w:right w:val="nil"/>
            </w:tcBorders>
            <w:shd w:val="clear" w:color="000000" w:fill="FFFFFF"/>
            <w:noWrap/>
            <w:vAlign w:val="bottom"/>
            <w:hideMark/>
          </w:tcPr>
          <w:p w14:paraId="5DD57CD7" w14:textId="77777777" w:rsidR="00E7168B" w:rsidRPr="00D618B7" w:rsidRDefault="00E7168B" w:rsidP="004B11B7">
            <w:pPr>
              <w:rPr>
                <w:color w:val="000000"/>
                <w:sz w:val="20"/>
                <w:szCs w:val="20"/>
              </w:rPr>
            </w:pPr>
            <w:r w:rsidRPr="00D618B7">
              <w:rPr>
                <w:color w:val="000000"/>
                <w:sz w:val="20"/>
                <w:szCs w:val="20"/>
              </w:rPr>
              <w:t> </w:t>
            </w:r>
          </w:p>
        </w:tc>
        <w:tc>
          <w:tcPr>
            <w:tcW w:w="7576" w:type="dxa"/>
            <w:gridSpan w:val="6"/>
            <w:tcBorders>
              <w:top w:val="single" w:sz="18" w:space="0" w:color="auto"/>
              <w:left w:val="nil"/>
              <w:bottom w:val="nil"/>
              <w:right w:val="nil"/>
            </w:tcBorders>
            <w:shd w:val="clear" w:color="000000" w:fill="FFFFFF"/>
            <w:noWrap/>
            <w:vAlign w:val="center"/>
            <w:hideMark/>
          </w:tcPr>
          <w:p w14:paraId="6223298E" w14:textId="77777777" w:rsidR="00E7168B" w:rsidRPr="00D618B7" w:rsidRDefault="00E7168B" w:rsidP="004B11B7">
            <w:pPr>
              <w:jc w:val="center"/>
              <w:rPr>
                <w:color w:val="000000"/>
                <w:sz w:val="20"/>
                <w:szCs w:val="20"/>
              </w:rPr>
            </w:pPr>
            <w:r w:rsidRPr="00D618B7">
              <w:rPr>
                <w:color w:val="000000"/>
                <w:sz w:val="20"/>
                <w:szCs w:val="20"/>
              </w:rPr>
              <w:t>Toy-out-of-Reach</w:t>
            </w:r>
          </w:p>
        </w:tc>
      </w:tr>
      <w:tr w:rsidR="00E7168B" w:rsidRPr="00D618B7" w14:paraId="4A067187" w14:textId="77777777" w:rsidTr="00E7168B">
        <w:trPr>
          <w:trHeight w:val="269"/>
        </w:trPr>
        <w:tc>
          <w:tcPr>
            <w:tcW w:w="1349" w:type="dxa"/>
            <w:tcBorders>
              <w:top w:val="nil"/>
              <w:left w:val="nil"/>
              <w:bottom w:val="nil"/>
              <w:right w:val="nil"/>
            </w:tcBorders>
            <w:shd w:val="clear" w:color="000000" w:fill="FFFFFF"/>
            <w:vAlign w:val="center"/>
            <w:hideMark/>
          </w:tcPr>
          <w:p w14:paraId="26B2D6F0" w14:textId="77777777" w:rsidR="00E7168B" w:rsidRPr="00D618B7" w:rsidRDefault="00E7168B" w:rsidP="004B11B7">
            <w:pPr>
              <w:jc w:val="right"/>
              <w:rPr>
                <w:color w:val="000000"/>
                <w:sz w:val="20"/>
                <w:szCs w:val="20"/>
              </w:rPr>
            </w:pPr>
            <w:r w:rsidRPr="00D618B7">
              <w:rPr>
                <w:color w:val="000000"/>
                <w:sz w:val="20"/>
                <w:szCs w:val="20"/>
              </w:rPr>
              <w:t>-5</w:t>
            </w:r>
          </w:p>
        </w:tc>
        <w:tc>
          <w:tcPr>
            <w:tcW w:w="1041" w:type="dxa"/>
            <w:tcBorders>
              <w:top w:val="nil"/>
              <w:left w:val="nil"/>
              <w:bottom w:val="nil"/>
              <w:right w:val="nil"/>
            </w:tcBorders>
            <w:shd w:val="clear" w:color="000000" w:fill="FFFFFF"/>
            <w:noWrap/>
            <w:vAlign w:val="center"/>
            <w:hideMark/>
          </w:tcPr>
          <w:p w14:paraId="35EC70C2" w14:textId="77777777" w:rsidR="00E7168B" w:rsidRPr="00D618B7" w:rsidRDefault="00E7168B" w:rsidP="004B11B7">
            <w:pPr>
              <w:jc w:val="right"/>
              <w:rPr>
                <w:color w:val="000000"/>
                <w:sz w:val="20"/>
                <w:szCs w:val="20"/>
              </w:rPr>
            </w:pPr>
            <w:r w:rsidRPr="00D618B7">
              <w:rPr>
                <w:color w:val="000000"/>
                <w:sz w:val="20"/>
                <w:szCs w:val="20"/>
              </w:rPr>
              <w:t>0.0423</w:t>
            </w:r>
          </w:p>
        </w:tc>
        <w:tc>
          <w:tcPr>
            <w:tcW w:w="1106" w:type="dxa"/>
            <w:tcBorders>
              <w:top w:val="nil"/>
              <w:left w:val="nil"/>
              <w:bottom w:val="nil"/>
              <w:right w:val="nil"/>
            </w:tcBorders>
            <w:shd w:val="clear" w:color="000000" w:fill="FFFFFF"/>
            <w:noWrap/>
            <w:vAlign w:val="center"/>
            <w:hideMark/>
          </w:tcPr>
          <w:p w14:paraId="4AAE8576" w14:textId="77777777" w:rsidR="00E7168B" w:rsidRPr="00D618B7" w:rsidRDefault="00E7168B" w:rsidP="004B11B7">
            <w:pPr>
              <w:jc w:val="right"/>
              <w:rPr>
                <w:color w:val="000000"/>
                <w:sz w:val="20"/>
                <w:szCs w:val="20"/>
              </w:rPr>
            </w:pPr>
            <w:r w:rsidRPr="00D618B7">
              <w:rPr>
                <w:color w:val="000000"/>
                <w:sz w:val="20"/>
                <w:szCs w:val="20"/>
              </w:rPr>
              <w:t>0.0009</w:t>
            </w:r>
          </w:p>
        </w:tc>
        <w:tc>
          <w:tcPr>
            <w:tcW w:w="1573" w:type="dxa"/>
            <w:tcBorders>
              <w:top w:val="nil"/>
              <w:left w:val="nil"/>
              <w:bottom w:val="nil"/>
              <w:right w:val="nil"/>
            </w:tcBorders>
            <w:shd w:val="clear" w:color="000000" w:fill="FFFFFF"/>
            <w:noWrap/>
            <w:vAlign w:val="center"/>
            <w:hideMark/>
          </w:tcPr>
          <w:p w14:paraId="2442E88B" w14:textId="77777777" w:rsidR="00E7168B" w:rsidRPr="00D618B7" w:rsidRDefault="00E7168B" w:rsidP="004B11B7">
            <w:pPr>
              <w:jc w:val="right"/>
              <w:rPr>
                <w:color w:val="000000"/>
                <w:sz w:val="20"/>
                <w:szCs w:val="20"/>
              </w:rPr>
            </w:pPr>
            <w:r w:rsidRPr="00D618B7">
              <w:rPr>
                <w:color w:val="000000"/>
                <w:sz w:val="20"/>
                <w:szCs w:val="20"/>
              </w:rPr>
              <w:t>0.0015</w:t>
            </w:r>
          </w:p>
        </w:tc>
        <w:tc>
          <w:tcPr>
            <w:tcW w:w="1095" w:type="dxa"/>
            <w:tcBorders>
              <w:top w:val="nil"/>
              <w:left w:val="nil"/>
              <w:bottom w:val="nil"/>
              <w:right w:val="nil"/>
            </w:tcBorders>
            <w:shd w:val="clear" w:color="000000" w:fill="FFFFFF"/>
            <w:noWrap/>
            <w:vAlign w:val="center"/>
            <w:hideMark/>
          </w:tcPr>
          <w:p w14:paraId="35DFECD2" w14:textId="77777777" w:rsidR="00E7168B" w:rsidRPr="00D618B7" w:rsidRDefault="00E7168B" w:rsidP="004B11B7">
            <w:pPr>
              <w:jc w:val="right"/>
              <w:rPr>
                <w:color w:val="000000"/>
                <w:sz w:val="20"/>
                <w:szCs w:val="20"/>
              </w:rPr>
            </w:pPr>
            <w:r w:rsidRPr="00D618B7">
              <w:rPr>
                <w:color w:val="000000"/>
                <w:sz w:val="20"/>
                <w:szCs w:val="20"/>
              </w:rPr>
              <w:t>0.0008</w:t>
            </w:r>
          </w:p>
        </w:tc>
        <w:tc>
          <w:tcPr>
            <w:tcW w:w="1628" w:type="dxa"/>
            <w:tcBorders>
              <w:top w:val="nil"/>
              <w:left w:val="nil"/>
              <w:bottom w:val="nil"/>
              <w:right w:val="nil"/>
            </w:tcBorders>
            <w:shd w:val="clear" w:color="000000" w:fill="FFFFFF"/>
            <w:noWrap/>
            <w:vAlign w:val="center"/>
            <w:hideMark/>
          </w:tcPr>
          <w:p w14:paraId="6A8D0356" w14:textId="77777777" w:rsidR="00E7168B" w:rsidRPr="00D618B7" w:rsidRDefault="00E7168B" w:rsidP="004B11B7">
            <w:pPr>
              <w:jc w:val="right"/>
              <w:rPr>
                <w:color w:val="000000"/>
                <w:sz w:val="20"/>
                <w:szCs w:val="20"/>
              </w:rPr>
            </w:pPr>
            <w:r w:rsidRPr="00D618B7">
              <w:rPr>
                <w:color w:val="000000"/>
                <w:sz w:val="20"/>
                <w:szCs w:val="20"/>
              </w:rPr>
              <w:t>0.0124</w:t>
            </w:r>
          </w:p>
        </w:tc>
        <w:tc>
          <w:tcPr>
            <w:tcW w:w="1133" w:type="dxa"/>
            <w:tcBorders>
              <w:top w:val="nil"/>
              <w:left w:val="nil"/>
              <w:bottom w:val="nil"/>
              <w:right w:val="nil"/>
            </w:tcBorders>
            <w:shd w:val="clear" w:color="000000" w:fill="FFFFFF"/>
            <w:noWrap/>
            <w:vAlign w:val="center"/>
            <w:hideMark/>
          </w:tcPr>
          <w:p w14:paraId="3EC5EC49" w14:textId="77777777" w:rsidR="00E7168B" w:rsidRPr="00D618B7" w:rsidRDefault="00E7168B" w:rsidP="004B11B7">
            <w:pPr>
              <w:jc w:val="right"/>
              <w:rPr>
                <w:color w:val="000000"/>
                <w:sz w:val="20"/>
                <w:szCs w:val="20"/>
              </w:rPr>
            </w:pPr>
            <w:r w:rsidRPr="00D618B7">
              <w:rPr>
                <w:color w:val="000000"/>
                <w:sz w:val="20"/>
                <w:szCs w:val="20"/>
              </w:rPr>
              <w:t>0.0023</w:t>
            </w:r>
          </w:p>
        </w:tc>
      </w:tr>
      <w:tr w:rsidR="00E7168B" w:rsidRPr="00D618B7" w14:paraId="2B039B65" w14:textId="77777777" w:rsidTr="00E7168B">
        <w:trPr>
          <w:trHeight w:val="269"/>
        </w:trPr>
        <w:tc>
          <w:tcPr>
            <w:tcW w:w="1349" w:type="dxa"/>
            <w:tcBorders>
              <w:top w:val="nil"/>
              <w:left w:val="nil"/>
              <w:bottom w:val="nil"/>
              <w:right w:val="nil"/>
            </w:tcBorders>
            <w:shd w:val="clear" w:color="000000" w:fill="FFFFFF"/>
            <w:vAlign w:val="center"/>
            <w:hideMark/>
          </w:tcPr>
          <w:p w14:paraId="743E2D0B" w14:textId="77777777" w:rsidR="00E7168B" w:rsidRPr="00D618B7" w:rsidRDefault="00E7168B" w:rsidP="004B11B7">
            <w:pPr>
              <w:jc w:val="right"/>
              <w:rPr>
                <w:color w:val="000000"/>
                <w:sz w:val="20"/>
                <w:szCs w:val="20"/>
              </w:rPr>
            </w:pPr>
            <w:r w:rsidRPr="00D618B7">
              <w:rPr>
                <w:color w:val="000000"/>
                <w:sz w:val="20"/>
                <w:szCs w:val="20"/>
              </w:rPr>
              <w:t>-4</w:t>
            </w:r>
          </w:p>
        </w:tc>
        <w:tc>
          <w:tcPr>
            <w:tcW w:w="1041" w:type="dxa"/>
            <w:tcBorders>
              <w:top w:val="nil"/>
              <w:left w:val="nil"/>
              <w:bottom w:val="nil"/>
              <w:right w:val="nil"/>
            </w:tcBorders>
            <w:shd w:val="clear" w:color="000000" w:fill="FFFFFF"/>
            <w:noWrap/>
            <w:vAlign w:val="center"/>
            <w:hideMark/>
          </w:tcPr>
          <w:p w14:paraId="1052F982" w14:textId="77777777" w:rsidR="00E7168B" w:rsidRPr="00D618B7" w:rsidRDefault="00E7168B" w:rsidP="004B11B7">
            <w:pPr>
              <w:jc w:val="right"/>
              <w:rPr>
                <w:color w:val="000000"/>
                <w:sz w:val="20"/>
                <w:szCs w:val="20"/>
              </w:rPr>
            </w:pPr>
            <w:r w:rsidRPr="00D618B7">
              <w:rPr>
                <w:color w:val="000000"/>
                <w:sz w:val="20"/>
                <w:szCs w:val="20"/>
              </w:rPr>
              <w:t>0.0032</w:t>
            </w:r>
          </w:p>
        </w:tc>
        <w:tc>
          <w:tcPr>
            <w:tcW w:w="1106" w:type="dxa"/>
            <w:tcBorders>
              <w:top w:val="nil"/>
              <w:left w:val="nil"/>
              <w:bottom w:val="nil"/>
              <w:right w:val="nil"/>
            </w:tcBorders>
            <w:shd w:val="clear" w:color="000000" w:fill="FFFFFF"/>
            <w:noWrap/>
            <w:vAlign w:val="center"/>
            <w:hideMark/>
          </w:tcPr>
          <w:p w14:paraId="5A3AA31A" w14:textId="77777777" w:rsidR="00E7168B" w:rsidRPr="00D618B7" w:rsidRDefault="00E7168B" w:rsidP="004B11B7">
            <w:pPr>
              <w:jc w:val="right"/>
              <w:rPr>
                <w:color w:val="000000"/>
                <w:sz w:val="20"/>
                <w:szCs w:val="20"/>
              </w:rPr>
            </w:pPr>
            <w:r w:rsidRPr="00D618B7">
              <w:rPr>
                <w:color w:val="000000"/>
                <w:sz w:val="20"/>
                <w:szCs w:val="20"/>
              </w:rPr>
              <w:t>0.0027</w:t>
            </w:r>
          </w:p>
        </w:tc>
        <w:tc>
          <w:tcPr>
            <w:tcW w:w="1573" w:type="dxa"/>
            <w:tcBorders>
              <w:top w:val="nil"/>
              <w:left w:val="nil"/>
              <w:bottom w:val="nil"/>
              <w:right w:val="nil"/>
            </w:tcBorders>
            <w:shd w:val="clear" w:color="000000" w:fill="FFFFFF"/>
            <w:noWrap/>
            <w:vAlign w:val="center"/>
            <w:hideMark/>
          </w:tcPr>
          <w:p w14:paraId="1690031A" w14:textId="77777777" w:rsidR="00E7168B" w:rsidRPr="00D618B7" w:rsidRDefault="00E7168B" w:rsidP="004B11B7">
            <w:pPr>
              <w:jc w:val="right"/>
              <w:rPr>
                <w:color w:val="000000"/>
                <w:sz w:val="20"/>
                <w:szCs w:val="20"/>
              </w:rPr>
            </w:pPr>
            <w:r w:rsidRPr="00D618B7">
              <w:rPr>
                <w:color w:val="000000"/>
                <w:sz w:val="20"/>
                <w:szCs w:val="20"/>
              </w:rPr>
              <w:t>-0.0014</w:t>
            </w:r>
          </w:p>
        </w:tc>
        <w:tc>
          <w:tcPr>
            <w:tcW w:w="1095" w:type="dxa"/>
            <w:tcBorders>
              <w:top w:val="nil"/>
              <w:left w:val="nil"/>
              <w:bottom w:val="nil"/>
              <w:right w:val="nil"/>
            </w:tcBorders>
            <w:shd w:val="clear" w:color="000000" w:fill="FFFFFF"/>
            <w:noWrap/>
            <w:vAlign w:val="center"/>
            <w:hideMark/>
          </w:tcPr>
          <w:p w14:paraId="2DD3AA14" w14:textId="77777777" w:rsidR="00E7168B" w:rsidRPr="00D618B7" w:rsidRDefault="00E7168B" w:rsidP="004B11B7">
            <w:pPr>
              <w:jc w:val="right"/>
              <w:rPr>
                <w:color w:val="000000"/>
                <w:sz w:val="20"/>
                <w:szCs w:val="20"/>
              </w:rPr>
            </w:pPr>
            <w:r w:rsidRPr="00D618B7">
              <w:rPr>
                <w:color w:val="000000"/>
                <w:sz w:val="20"/>
                <w:szCs w:val="20"/>
              </w:rPr>
              <w:t>0.0008</w:t>
            </w:r>
          </w:p>
        </w:tc>
        <w:tc>
          <w:tcPr>
            <w:tcW w:w="1628" w:type="dxa"/>
            <w:tcBorders>
              <w:top w:val="nil"/>
              <w:left w:val="nil"/>
              <w:bottom w:val="nil"/>
              <w:right w:val="nil"/>
            </w:tcBorders>
            <w:shd w:val="clear" w:color="000000" w:fill="FFFFFF"/>
            <w:noWrap/>
            <w:vAlign w:val="center"/>
            <w:hideMark/>
          </w:tcPr>
          <w:p w14:paraId="2C308C7F" w14:textId="77777777" w:rsidR="00E7168B" w:rsidRPr="00D618B7" w:rsidRDefault="00E7168B" w:rsidP="004B11B7">
            <w:pPr>
              <w:jc w:val="right"/>
              <w:rPr>
                <w:color w:val="000000"/>
                <w:sz w:val="20"/>
                <w:szCs w:val="20"/>
              </w:rPr>
            </w:pPr>
            <w:r w:rsidRPr="00D618B7">
              <w:rPr>
                <w:color w:val="000000"/>
                <w:sz w:val="20"/>
                <w:szCs w:val="20"/>
              </w:rPr>
              <w:t>0.0086</w:t>
            </w:r>
          </w:p>
        </w:tc>
        <w:tc>
          <w:tcPr>
            <w:tcW w:w="1133" w:type="dxa"/>
            <w:tcBorders>
              <w:top w:val="nil"/>
              <w:left w:val="nil"/>
              <w:bottom w:val="nil"/>
              <w:right w:val="nil"/>
            </w:tcBorders>
            <w:shd w:val="clear" w:color="000000" w:fill="FFFFFF"/>
            <w:noWrap/>
            <w:vAlign w:val="center"/>
            <w:hideMark/>
          </w:tcPr>
          <w:p w14:paraId="5D8AA5B3" w14:textId="77777777" w:rsidR="00E7168B" w:rsidRPr="00D618B7" w:rsidRDefault="00E7168B" w:rsidP="004B11B7">
            <w:pPr>
              <w:jc w:val="right"/>
              <w:rPr>
                <w:color w:val="000000"/>
                <w:sz w:val="20"/>
                <w:szCs w:val="20"/>
              </w:rPr>
            </w:pPr>
            <w:r w:rsidRPr="00D618B7">
              <w:rPr>
                <w:color w:val="000000"/>
                <w:sz w:val="20"/>
                <w:szCs w:val="20"/>
              </w:rPr>
              <w:t>0.0078</w:t>
            </w:r>
          </w:p>
        </w:tc>
      </w:tr>
      <w:tr w:rsidR="00E7168B" w:rsidRPr="00D618B7" w14:paraId="28B8BDB7" w14:textId="77777777" w:rsidTr="00E7168B">
        <w:trPr>
          <w:trHeight w:val="269"/>
        </w:trPr>
        <w:tc>
          <w:tcPr>
            <w:tcW w:w="1349" w:type="dxa"/>
            <w:tcBorders>
              <w:top w:val="nil"/>
              <w:left w:val="nil"/>
              <w:bottom w:val="nil"/>
              <w:right w:val="nil"/>
            </w:tcBorders>
            <w:shd w:val="clear" w:color="000000" w:fill="FFFFFF"/>
            <w:vAlign w:val="center"/>
            <w:hideMark/>
          </w:tcPr>
          <w:p w14:paraId="446D4397" w14:textId="77777777" w:rsidR="00E7168B" w:rsidRPr="00D618B7" w:rsidRDefault="00E7168B" w:rsidP="004B11B7">
            <w:pPr>
              <w:jc w:val="right"/>
              <w:rPr>
                <w:color w:val="000000"/>
                <w:sz w:val="20"/>
                <w:szCs w:val="20"/>
              </w:rPr>
            </w:pPr>
            <w:r w:rsidRPr="00D618B7">
              <w:rPr>
                <w:color w:val="000000"/>
                <w:sz w:val="20"/>
                <w:szCs w:val="20"/>
              </w:rPr>
              <w:t>-3</w:t>
            </w:r>
          </w:p>
        </w:tc>
        <w:tc>
          <w:tcPr>
            <w:tcW w:w="1041" w:type="dxa"/>
            <w:tcBorders>
              <w:top w:val="nil"/>
              <w:left w:val="nil"/>
              <w:bottom w:val="nil"/>
              <w:right w:val="nil"/>
            </w:tcBorders>
            <w:shd w:val="clear" w:color="000000" w:fill="FFFFFF"/>
            <w:noWrap/>
            <w:vAlign w:val="center"/>
            <w:hideMark/>
          </w:tcPr>
          <w:p w14:paraId="2EC6BFCA" w14:textId="77777777" w:rsidR="00E7168B" w:rsidRPr="00D618B7" w:rsidRDefault="00E7168B" w:rsidP="004B11B7">
            <w:pPr>
              <w:jc w:val="right"/>
              <w:rPr>
                <w:color w:val="000000"/>
                <w:sz w:val="20"/>
                <w:szCs w:val="20"/>
              </w:rPr>
            </w:pPr>
            <w:r w:rsidRPr="00D618B7">
              <w:rPr>
                <w:color w:val="000000"/>
                <w:sz w:val="20"/>
                <w:szCs w:val="20"/>
              </w:rPr>
              <w:t>0.0098</w:t>
            </w:r>
          </w:p>
        </w:tc>
        <w:tc>
          <w:tcPr>
            <w:tcW w:w="1106" w:type="dxa"/>
            <w:tcBorders>
              <w:top w:val="nil"/>
              <w:left w:val="nil"/>
              <w:bottom w:val="nil"/>
              <w:right w:val="nil"/>
            </w:tcBorders>
            <w:shd w:val="clear" w:color="000000" w:fill="FFFFFF"/>
            <w:noWrap/>
            <w:vAlign w:val="center"/>
            <w:hideMark/>
          </w:tcPr>
          <w:p w14:paraId="19B86A3F" w14:textId="77777777" w:rsidR="00E7168B" w:rsidRPr="00D618B7" w:rsidRDefault="00E7168B" w:rsidP="004B11B7">
            <w:pPr>
              <w:jc w:val="right"/>
              <w:rPr>
                <w:color w:val="000000"/>
                <w:sz w:val="20"/>
                <w:szCs w:val="20"/>
              </w:rPr>
            </w:pPr>
            <w:r w:rsidRPr="00D618B7">
              <w:rPr>
                <w:color w:val="000000"/>
                <w:sz w:val="20"/>
                <w:szCs w:val="20"/>
              </w:rPr>
              <w:t>0.0046</w:t>
            </w:r>
          </w:p>
        </w:tc>
        <w:tc>
          <w:tcPr>
            <w:tcW w:w="1573" w:type="dxa"/>
            <w:tcBorders>
              <w:top w:val="nil"/>
              <w:left w:val="nil"/>
              <w:bottom w:val="nil"/>
              <w:right w:val="nil"/>
            </w:tcBorders>
            <w:shd w:val="clear" w:color="000000" w:fill="FFFFFF"/>
            <w:noWrap/>
            <w:vAlign w:val="center"/>
            <w:hideMark/>
          </w:tcPr>
          <w:p w14:paraId="52D0BFC3" w14:textId="77777777" w:rsidR="00E7168B" w:rsidRPr="00D618B7" w:rsidRDefault="00E7168B" w:rsidP="004B11B7">
            <w:pPr>
              <w:jc w:val="right"/>
              <w:rPr>
                <w:color w:val="000000"/>
                <w:sz w:val="20"/>
                <w:szCs w:val="20"/>
              </w:rPr>
            </w:pPr>
            <w:r w:rsidRPr="00D618B7">
              <w:rPr>
                <w:color w:val="000000"/>
                <w:sz w:val="20"/>
                <w:szCs w:val="20"/>
              </w:rPr>
              <w:t>0.0001</w:t>
            </w:r>
          </w:p>
        </w:tc>
        <w:tc>
          <w:tcPr>
            <w:tcW w:w="1095" w:type="dxa"/>
            <w:tcBorders>
              <w:top w:val="nil"/>
              <w:left w:val="nil"/>
              <w:bottom w:val="nil"/>
              <w:right w:val="nil"/>
            </w:tcBorders>
            <w:shd w:val="clear" w:color="000000" w:fill="FFFFFF"/>
            <w:noWrap/>
            <w:vAlign w:val="center"/>
            <w:hideMark/>
          </w:tcPr>
          <w:p w14:paraId="2D59839E" w14:textId="77777777" w:rsidR="00E7168B" w:rsidRPr="00D618B7" w:rsidRDefault="00E7168B" w:rsidP="004B11B7">
            <w:pPr>
              <w:jc w:val="right"/>
              <w:rPr>
                <w:color w:val="000000"/>
                <w:sz w:val="20"/>
                <w:szCs w:val="20"/>
              </w:rPr>
            </w:pPr>
            <w:r w:rsidRPr="00D618B7">
              <w:rPr>
                <w:color w:val="000000"/>
                <w:sz w:val="20"/>
                <w:szCs w:val="20"/>
              </w:rPr>
              <w:t>0.0001</w:t>
            </w:r>
          </w:p>
        </w:tc>
        <w:tc>
          <w:tcPr>
            <w:tcW w:w="1628" w:type="dxa"/>
            <w:tcBorders>
              <w:top w:val="nil"/>
              <w:left w:val="nil"/>
              <w:bottom w:val="nil"/>
              <w:right w:val="nil"/>
            </w:tcBorders>
            <w:shd w:val="clear" w:color="000000" w:fill="FFFFFF"/>
            <w:noWrap/>
            <w:vAlign w:val="center"/>
            <w:hideMark/>
          </w:tcPr>
          <w:p w14:paraId="5E1B0DD4" w14:textId="77777777" w:rsidR="00E7168B" w:rsidRPr="00D618B7" w:rsidRDefault="00E7168B" w:rsidP="004B11B7">
            <w:pPr>
              <w:jc w:val="right"/>
              <w:rPr>
                <w:color w:val="000000"/>
                <w:sz w:val="20"/>
                <w:szCs w:val="20"/>
              </w:rPr>
            </w:pPr>
            <w:r w:rsidRPr="00D618B7">
              <w:rPr>
                <w:color w:val="000000"/>
                <w:sz w:val="20"/>
                <w:szCs w:val="20"/>
              </w:rPr>
              <w:t>0.0329</w:t>
            </w:r>
          </w:p>
        </w:tc>
        <w:tc>
          <w:tcPr>
            <w:tcW w:w="1133" w:type="dxa"/>
            <w:tcBorders>
              <w:top w:val="nil"/>
              <w:left w:val="nil"/>
              <w:bottom w:val="nil"/>
              <w:right w:val="nil"/>
            </w:tcBorders>
            <w:shd w:val="clear" w:color="000000" w:fill="FFFFFF"/>
            <w:noWrap/>
            <w:vAlign w:val="center"/>
            <w:hideMark/>
          </w:tcPr>
          <w:p w14:paraId="4EEE5827" w14:textId="77777777" w:rsidR="00E7168B" w:rsidRPr="00D618B7" w:rsidRDefault="00E7168B" w:rsidP="004B11B7">
            <w:pPr>
              <w:jc w:val="right"/>
              <w:rPr>
                <w:color w:val="000000"/>
                <w:sz w:val="20"/>
                <w:szCs w:val="20"/>
              </w:rPr>
            </w:pPr>
            <w:r w:rsidRPr="00D618B7">
              <w:rPr>
                <w:color w:val="000000"/>
                <w:sz w:val="20"/>
                <w:szCs w:val="20"/>
              </w:rPr>
              <w:t>0.0131</w:t>
            </w:r>
          </w:p>
        </w:tc>
      </w:tr>
      <w:tr w:rsidR="00E7168B" w:rsidRPr="00D618B7" w14:paraId="7E63918F" w14:textId="77777777" w:rsidTr="00E7168B">
        <w:trPr>
          <w:trHeight w:val="269"/>
        </w:trPr>
        <w:tc>
          <w:tcPr>
            <w:tcW w:w="1349" w:type="dxa"/>
            <w:tcBorders>
              <w:top w:val="nil"/>
              <w:left w:val="nil"/>
              <w:bottom w:val="nil"/>
              <w:right w:val="nil"/>
            </w:tcBorders>
            <w:shd w:val="clear" w:color="000000" w:fill="FFFFFF"/>
            <w:vAlign w:val="center"/>
            <w:hideMark/>
          </w:tcPr>
          <w:p w14:paraId="5252DE63" w14:textId="77777777" w:rsidR="00E7168B" w:rsidRPr="00D618B7" w:rsidRDefault="00E7168B" w:rsidP="004B11B7">
            <w:pPr>
              <w:jc w:val="right"/>
              <w:rPr>
                <w:color w:val="000000"/>
                <w:sz w:val="20"/>
                <w:szCs w:val="20"/>
              </w:rPr>
            </w:pPr>
            <w:r w:rsidRPr="00D618B7">
              <w:rPr>
                <w:color w:val="000000"/>
                <w:sz w:val="20"/>
                <w:szCs w:val="20"/>
              </w:rPr>
              <w:t>-2</w:t>
            </w:r>
          </w:p>
        </w:tc>
        <w:tc>
          <w:tcPr>
            <w:tcW w:w="1041" w:type="dxa"/>
            <w:tcBorders>
              <w:top w:val="nil"/>
              <w:left w:val="nil"/>
              <w:bottom w:val="nil"/>
              <w:right w:val="nil"/>
            </w:tcBorders>
            <w:shd w:val="clear" w:color="000000" w:fill="FFFFFF"/>
            <w:noWrap/>
            <w:vAlign w:val="center"/>
            <w:hideMark/>
          </w:tcPr>
          <w:p w14:paraId="502A4BB0" w14:textId="77777777" w:rsidR="00E7168B" w:rsidRPr="00D618B7" w:rsidRDefault="00E7168B" w:rsidP="004B11B7">
            <w:pPr>
              <w:jc w:val="right"/>
              <w:rPr>
                <w:color w:val="000000"/>
                <w:sz w:val="20"/>
                <w:szCs w:val="20"/>
              </w:rPr>
            </w:pPr>
            <w:r w:rsidRPr="00D618B7">
              <w:rPr>
                <w:color w:val="000000"/>
                <w:sz w:val="20"/>
                <w:szCs w:val="20"/>
              </w:rPr>
              <w:t>0.0002</w:t>
            </w:r>
          </w:p>
        </w:tc>
        <w:tc>
          <w:tcPr>
            <w:tcW w:w="1106" w:type="dxa"/>
            <w:tcBorders>
              <w:top w:val="nil"/>
              <w:left w:val="nil"/>
              <w:bottom w:val="nil"/>
              <w:right w:val="nil"/>
            </w:tcBorders>
            <w:shd w:val="clear" w:color="000000" w:fill="FFFFFF"/>
            <w:noWrap/>
            <w:vAlign w:val="center"/>
            <w:hideMark/>
          </w:tcPr>
          <w:p w14:paraId="01A682F9" w14:textId="77777777" w:rsidR="00E7168B" w:rsidRPr="00D618B7" w:rsidRDefault="00E7168B" w:rsidP="004B11B7">
            <w:pPr>
              <w:jc w:val="right"/>
              <w:rPr>
                <w:color w:val="000000"/>
                <w:sz w:val="20"/>
                <w:szCs w:val="20"/>
              </w:rPr>
            </w:pPr>
            <w:r w:rsidRPr="00D618B7">
              <w:rPr>
                <w:color w:val="000000"/>
                <w:sz w:val="20"/>
                <w:szCs w:val="20"/>
              </w:rPr>
              <w:t>0.0008</w:t>
            </w:r>
          </w:p>
        </w:tc>
        <w:tc>
          <w:tcPr>
            <w:tcW w:w="1573" w:type="dxa"/>
            <w:tcBorders>
              <w:top w:val="nil"/>
              <w:left w:val="nil"/>
              <w:bottom w:val="nil"/>
              <w:right w:val="nil"/>
            </w:tcBorders>
            <w:shd w:val="clear" w:color="000000" w:fill="FFFFFF"/>
            <w:noWrap/>
            <w:vAlign w:val="center"/>
            <w:hideMark/>
          </w:tcPr>
          <w:p w14:paraId="6BFB2A60" w14:textId="77777777" w:rsidR="00E7168B" w:rsidRPr="00D618B7" w:rsidRDefault="00E7168B" w:rsidP="004B11B7">
            <w:pPr>
              <w:jc w:val="right"/>
              <w:rPr>
                <w:color w:val="000000"/>
                <w:sz w:val="20"/>
                <w:szCs w:val="20"/>
              </w:rPr>
            </w:pPr>
            <w:r w:rsidRPr="00D618B7">
              <w:rPr>
                <w:color w:val="000000"/>
                <w:sz w:val="20"/>
                <w:szCs w:val="20"/>
              </w:rPr>
              <w:t>-0.0009</w:t>
            </w:r>
          </w:p>
        </w:tc>
        <w:tc>
          <w:tcPr>
            <w:tcW w:w="1095" w:type="dxa"/>
            <w:tcBorders>
              <w:top w:val="nil"/>
              <w:left w:val="nil"/>
              <w:bottom w:val="nil"/>
              <w:right w:val="nil"/>
            </w:tcBorders>
            <w:shd w:val="clear" w:color="000000" w:fill="FFFFFF"/>
            <w:noWrap/>
            <w:vAlign w:val="center"/>
            <w:hideMark/>
          </w:tcPr>
          <w:p w14:paraId="1D958D41" w14:textId="77777777" w:rsidR="00E7168B" w:rsidRPr="00D618B7" w:rsidRDefault="00E7168B" w:rsidP="004B11B7">
            <w:pPr>
              <w:jc w:val="right"/>
              <w:rPr>
                <w:color w:val="000000"/>
                <w:sz w:val="20"/>
                <w:szCs w:val="20"/>
              </w:rPr>
            </w:pPr>
            <w:r w:rsidRPr="00D618B7">
              <w:rPr>
                <w:color w:val="000000"/>
                <w:sz w:val="20"/>
                <w:szCs w:val="20"/>
              </w:rPr>
              <w:t>0.0010</w:t>
            </w:r>
          </w:p>
        </w:tc>
        <w:tc>
          <w:tcPr>
            <w:tcW w:w="1628" w:type="dxa"/>
            <w:tcBorders>
              <w:top w:val="nil"/>
              <w:left w:val="nil"/>
              <w:bottom w:val="nil"/>
              <w:right w:val="nil"/>
            </w:tcBorders>
            <w:shd w:val="clear" w:color="000000" w:fill="FFFFFF"/>
            <w:noWrap/>
            <w:vAlign w:val="center"/>
            <w:hideMark/>
          </w:tcPr>
          <w:p w14:paraId="0D58B6AE" w14:textId="77777777" w:rsidR="00E7168B" w:rsidRPr="00D618B7" w:rsidRDefault="00E7168B" w:rsidP="004B11B7">
            <w:pPr>
              <w:jc w:val="right"/>
              <w:rPr>
                <w:color w:val="000000"/>
                <w:sz w:val="20"/>
                <w:szCs w:val="20"/>
              </w:rPr>
            </w:pPr>
            <w:r w:rsidRPr="00D618B7">
              <w:rPr>
                <w:color w:val="000000"/>
                <w:sz w:val="20"/>
                <w:szCs w:val="20"/>
              </w:rPr>
              <w:t>0.0275</w:t>
            </w:r>
          </w:p>
        </w:tc>
        <w:tc>
          <w:tcPr>
            <w:tcW w:w="1133" w:type="dxa"/>
            <w:tcBorders>
              <w:top w:val="nil"/>
              <w:left w:val="nil"/>
              <w:bottom w:val="nil"/>
              <w:right w:val="nil"/>
            </w:tcBorders>
            <w:shd w:val="clear" w:color="000000" w:fill="FFFFFF"/>
            <w:noWrap/>
            <w:vAlign w:val="center"/>
            <w:hideMark/>
          </w:tcPr>
          <w:p w14:paraId="1F64F04E" w14:textId="77777777" w:rsidR="00E7168B" w:rsidRPr="00D618B7" w:rsidRDefault="00E7168B" w:rsidP="004B11B7">
            <w:pPr>
              <w:jc w:val="right"/>
              <w:rPr>
                <w:color w:val="000000"/>
                <w:sz w:val="20"/>
                <w:szCs w:val="20"/>
              </w:rPr>
            </w:pPr>
            <w:r w:rsidRPr="00D618B7">
              <w:rPr>
                <w:color w:val="000000"/>
                <w:sz w:val="20"/>
                <w:szCs w:val="20"/>
              </w:rPr>
              <w:t>0.0151</w:t>
            </w:r>
          </w:p>
        </w:tc>
      </w:tr>
      <w:tr w:rsidR="00E7168B" w:rsidRPr="00D618B7" w14:paraId="0A99E472" w14:textId="77777777" w:rsidTr="00E7168B">
        <w:trPr>
          <w:trHeight w:val="269"/>
        </w:trPr>
        <w:tc>
          <w:tcPr>
            <w:tcW w:w="1349" w:type="dxa"/>
            <w:tcBorders>
              <w:top w:val="nil"/>
              <w:left w:val="nil"/>
              <w:bottom w:val="nil"/>
              <w:right w:val="nil"/>
            </w:tcBorders>
            <w:shd w:val="clear" w:color="000000" w:fill="FFFFFF"/>
            <w:vAlign w:val="center"/>
            <w:hideMark/>
          </w:tcPr>
          <w:p w14:paraId="4CD4281D" w14:textId="77777777" w:rsidR="00E7168B" w:rsidRPr="00D618B7" w:rsidRDefault="00E7168B" w:rsidP="004B11B7">
            <w:pPr>
              <w:jc w:val="right"/>
              <w:rPr>
                <w:color w:val="000000"/>
                <w:sz w:val="20"/>
                <w:szCs w:val="20"/>
              </w:rPr>
            </w:pPr>
            <w:r w:rsidRPr="00D618B7">
              <w:rPr>
                <w:color w:val="000000"/>
                <w:sz w:val="20"/>
                <w:szCs w:val="20"/>
              </w:rPr>
              <w:t>-1</w:t>
            </w:r>
          </w:p>
        </w:tc>
        <w:tc>
          <w:tcPr>
            <w:tcW w:w="1041" w:type="dxa"/>
            <w:tcBorders>
              <w:top w:val="nil"/>
              <w:left w:val="nil"/>
              <w:bottom w:val="nil"/>
              <w:right w:val="nil"/>
            </w:tcBorders>
            <w:shd w:val="clear" w:color="000000" w:fill="FFFFFF"/>
            <w:noWrap/>
            <w:vAlign w:val="center"/>
            <w:hideMark/>
          </w:tcPr>
          <w:p w14:paraId="0213C278" w14:textId="77777777" w:rsidR="00E7168B" w:rsidRPr="00D618B7" w:rsidRDefault="00E7168B" w:rsidP="004B11B7">
            <w:pPr>
              <w:jc w:val="right"/>
              <w:rPr>
                <w:color w:val="000000"/>
                <w:sz w:val="20"/>
                <w:szCs w:val="20"/>
              </w:rPr>
            </w:pPr>
            <w:r w:rsidRPr="00D618B7">
              <w:rPr>
                <w:color w:val="000000"/>
                <w:sz w:val="20"/>
                <w:szCs w:val="20"/>
              </w:rPr>
              <w:t>0.0041</w:t>
            </w:r>
          </w:p>
        </w:tc>
        <w:tc>
          <w:tcPr>
            <w:tcW w:w="1106" w:type="dxa"/>
            <w:tcBorders>
              <w:top w:val="nil"/>
              <w:left w:val="nil"/>
              <w:bottom w:val="nil"/>
              <w:right w:val="nil"/>
            </w:tcBorders>
            <w:shd w:val="clear" w:color="000000" w:fill="FFFFFF"/>
            <w:noWrap/>
            <w:vAlign w:val="center"/>
            <w:hideMark/>
          </w:tcPr>
          <w:p w14:paraId="4B183894" w14:textId="77777777" w:rsidR="00E7168B" w:rsidRPr="00D618B7" w:rsidRDefault="00E7168B" w:rsidP="004B11B7">
            <w:pPr>
              <w:jc w:val="right"/>
              <w:rPr>
                <w:color w:val="000000"/>
                <w:sz w:val="20"/>
                <w:szCs w:val="20"/>
              </w:rPr>
            </w:pPr>
            <w:r w:rsidRPr="00D618B7">
              <w:rPr>
                <w:color w:val="000000"/>
                <w:sz w:val="20"/>
                <w:szCs w:val="20"/>
              </w:rPr>
              <w:t>0.0038</w:t>
            </w:r>
          </w:p>
        </w:tc>
        <w:tc>
          <w:tcPr>
            <w:tcW w:w="1573" w:type="dxa"/>
            <w:tcBorders>
              <w:top w:val="nil"/>
              <w:left w:val="nil"/>
              <w:bottom w:val="nil"/>
              <w:right w:val="nil"/>
            </w:tcBorders>
            <w:shd w:val="clear" w:color="000000" w:fill="FFFFFF"/>
            <w:noWrap/>
            <w:vAlign w:val="center"/>
            <w:hideMark/>
          </w:tcPr>
          <w:p w14:paraId="7B3F6E71" w14:textId="77777777" w:rsidR="00E7168B" w:rsidRPr="00D618B7" w:rsidRDefault="00E7168B" w:rsidP="004B11B7">
            <w:pPr>
              <w:jc w:val="right"/>
              <w:rPr>
                <w:color w:val="000000"/>
                <w:sz w:val="20"/>
                <w:szCs w:val="20"/>
              </w:rPr>
            </w:pPr>
            <w:r w:rsidRPr="00D618B7">
              <w:rPr>
                <w:color w:val="000000"/>
                <w:sz w:val="20"/>
                <w:szCs w:val="20"/>
              </w:rPr>
              <w:t>0.0022</w:t>
            </w:r>
          </w:p>
        </w:tc>
        <w:tc>
          <w:tcPr>
            <w:tcW w:w="1095" w:type="dxa"/>
            <w:tcBorders>
              <w:top w:val="nil"/>
              <w:left w:val="nil"/>
              <w:bottom w:val="nil"/>
              <w:right w:val="nil"/>
            </w:tcBorders>
            <w:shd w:val="clear" w:color="000000" w:fill="FFFFFF"/>
            <w:noWrap/>
            <w:vAlign w:val="center"/>
            <w:hideMark/>
          </w:tcPr>
          <w:p w14:paraId="4B7CCC60" w14:textId="77777777" w:rsidR="00E7168B" w:rsidRPr="00D618B7" w:rsidRDefault="00E7168B" w:rsidP="004B11B7">
            <w:pPr>
              <w:jc w:val="right"/>
              <w:rPr>
                <w:color w:val="000000"/>
                <w:sz w:val="20"/>
                <w:szCs w:val="20"/>
              </w:rPr>
            </w:pPr>
            <w:r w:rsidRPr="00D618B7">
              <w:rPr>
                <w:color w:val="000000"/>
                <w:sz w:val="20"/>
                <w:szCs w:val="20"/>
              </w:rPr>
              <w:t>0.0016</w:t>
            </w:r>
          </w:p>
        </w:tc>
        <w:tc>
          <w:tcPr>
            <w:tcW w:w="1628" w:type="dxa"/>
            <w:tcBorders>
              <w:top w:val="nil"/>
              <w:left w:val="nil"/>
              <w:bottom w:val="nil"/>
              <w:right w:val="nil"/>
            </w:tcBorders>
            <w:shd w:val="clear" w:color="000000" w:fill="FFFFFF"/>
            <w:noWrap/>
            <w:vAlign w:val="center"/>
            <w:hideMark/>
          </w:tcPr>
          <w:p w14:paraId="0DB96B4D" w14:textId="77777777" w:rsidR="00E7168B" w:rsidRPr="00D618B7" w:rsidRDefault="00E7168B" w:rsidP="004B11B7">
            <w:pPr>
              <w:jc w:val="right"/>
              <w:rPr>
                <w:color w:val="000000"/>
                <w:sz w:val="20"/>
                <w:szCs w:val="20"/>
              </w:rPr>
            </w:pPr>
            <w:r w:rsidRPr="00D618B7">
              <w:rPr>
                <w:color w:val="000000"/>
                <w:sz w:val="20"/>
                <w:szCs w:val="20"/>
              </w:rPr>
              <w:t>0.0510</w:t>
            </w:r>
          </w:p>
        </w:tc>
        <w:tc>
          <w:tcPr>
            <w:tcW w:w="1133" w:type="dxa"/>
            <w:tcBorders>
              <w:top w:val="nil"/>
              <w:left w:val="nil"/>
              <w:bottom w:val="nil"/>
              <w:right w:val="nil"/>
            </w:tcBorders>
            <w:shd w:val="clear" w:color="000000" w:fill="FFFFFF"/>
            <w:noWrap/>
            <w:vAlign w:val="center"/>
            <w:hideMark/>
          </w:tcPr>
          <w:p w14:paraId="1D561615" w14:textId="77777777" w:rsidR="00E7168B" w:rsidRPr="00D618B7" w:rsidRDefault="00E7168B" w:rsidP="004B11B7">
            <w:pPr>
              <w:jc w:val="right"/>
              <w:rPr>
                <w:color w:val="000000"/>
                <w:sz w:val="20"/>
                <w:szCs w:val="20"/>
              </w:rPr>
            </w:pPr>
            <w:r w:rsidRPr="00D618B7">
              <w:rPr>
                <w:color w:val="000000"/>
                <w:sz w:val="20"/>
                <w:szCs w:val="20"/>
              </w:rPr>
              <w:t>0.0071</w:t>
            </w:r>
          </w:p>
        </w:tc>
      </w:tr>
      <w:tr w:rsidR="00E7168B" w:rsidRPr="00D618B7" w14:paraId="71864B27" w14:textId="77777777" w:rsidTr="00E7168B">
        <w:trPr>
          <w:trHeight w:val="269"/>
        </w:trPr>
        <w:tc>
          <w:tcPr>
            <w:tcW w:w="1349" w:type="dxa"/>
            <w:tcBorders>
              <w:top w:val="nil"/>
              <w:left w:val="nil"/>
              <w:bottom w:val="nil"/>
              <w:right w:val="nil"/>
            </w:tcBorders>
            <w:shd w:val="clear" w:color="000000" w:fill="FFFFFF"/>
            <w:vAlign w:val="center"/>
            <w:hideMark/>
          </w:tcPr>
          <w:p w14:paraId="4CDDA176" w14:textId="77777777" w:rsidR="00E7168B" w:rsidRPr="00D618B7" w:rsidRDefault="00E7168B" w:rsidP="004B11B7">
            <w:pPr>
              <w:jc w:val="right"/>
              <w:rPr>
                <w:color w:val="000000"/>
                <w:sz w:val="20"/>
                <w:szCs w:val="20"/>
              </w:rPr>
            </w:pPr>
            <w:r w:rsidRPr="00D618B7">
              <w:rPr>
                <w:color w:val="000000"/>
                <w:sz w:val="20"/>
                <w:szCs w:val="20"/>
              </w:rPr>
              <w:t>0</w:t>
            </w:r>
          </w:p>
        </w:tc>
        <w:tc>
          <w:tcPr>
            <w:tcW w:w="1041" w:type="dxa"/>
            <w:tcBorders>
              <w:top w:val="nil"/>
              <w:left w:val="nil"/>
              <w:bottom w:val="nil"/>
              <w:right w:val="nil"/>
            </w:tcBorders>
            <w:shd w:val="clear" w:color="000000" w:fill="FFFFFF"/>
            <w:noWrap/>
            <w:vAlign w:val="center"/>
            <w:hideMark/>
          </w:tcPr>
          <w:p w14:paraId="6D88009C" w14:textId="77777777" w:rsidR="00E7168B" w:rsidRPr="00D618B7" w:rsidRDefault="00E7168B" w:rsidP="004B11B7">
            <w:pPr>
              <w:jc w:val="right"/>
              <w:rPr>
                <w:color w:val="000000"/>
                <w:sz w:val="20"/>
                <w:szCs w:val="20"/>
              </w:rPr>
            </w:pPr>
            <w:r w:rsidRPr="00D618B7">
              <w:rPr>
                <w:color w:val="000000"/>
                <w:sz w:val="20"/>
                <w:szCs w:val="20"/>
              </w:rPr>
              <w:t>0.0000</w:t>
            </w:r>
          </w:p>
        </w:tc>
        <w:tc>
          <w:tcPr>
            <w:tcW w:w="1106" w:type="dxa"/>
            <w:tcBorders>
              <w:top w:val="nil"/>
              <w:left w:val="nil"/>
              <w:bottom w:val="nil"/>
              <w:right w:val="nil"/>
            </w:tcBorders>
            <w:shd w:val="clear" w:color="000000" w:fill="FFFFFF"/>
            <w:noWrap/>
            <w:vAlign w:val="center"/>
            <w:hideMark/>
          </w:tcPr>
          <w:p w14:paraId="158C4B39" w14:textId="77777777" w:rsidR="00E7168B" w:rsidRPr="00D618B7" w:rsidRDefault="00E7168B" w:rsidP="004B11B7">
            <w:pPr>
              <w:jc w:val="right"/>
              <w:rPr>
                <w:color w:val="000000"/>
                <w:sz w:val="20"/>
                <w:szCs w:val="20"/>
              </w:rPr>
            </w:pPr>
            <w:r w:rsidRPr="00D618B7">
              <w:rPr>
                <w:color w:val="000000"/>
                <w:sz w:val="20"/>
                <w:szCs w:val="20"/>
              </w:rPr>
              <w:t>0.0003</w:t>
            </w:r>
          </w:p>
        </w:tc>
        <w:tc>
          <w:tcPr>
            <w:tcW w:w="1573" w:type="dxa"/>
            <w:tcBorders>
              <w:top w:val="nil"/>
              <w:left w:val="nil"/>
              <w:bottom w:val="nil"/>
              <w:right w:val="nil"/>
            </w:tcBorders>
            <w:shd w:val="clear" w:color="000000" w:fill="FFFFFF"/>
            <w:noWrap/>
            <w:vAlign w:val="center"/>
            <w:hideMark/>
          </w:tcPr>
          <w:p w14:paraId="422E8892" w14:textId="77777777" w:rsidR="00E7168B" w:rsidRPr="00D618B7" w:rsidRDefault="00E7168B" w:rsidP="004B11B7">
            <w:pPr>
              <w:jc w:val="right"/>
              <w:rPr>
                <w:color w:val="000000"/>
                <w:sz w:val="20"/>
                <w:szCs w:val="20"/>
              </w:rPr>
            </w:pPr>
            <w:r w:rsidRPr="00D618B7">
              <w:rPr>
                <w:color w:val="000000"/>
                <w:sz w:val="20"/>
                <w:szCs w:val="20"/>
              </w:rPr>
              <w:t>-0.0002</w:t>
            </w:r>
          </w:p>
        </w:tc>
        <w:tc>
          <w:tcPr>
            <w:tcW w:w="1095" w:type="dxa"/>
            <w:tcBorders>
              <w:top w:val="nil"/>
              <w:left w:val="nil"/>
              <w:bottom w:val="nil"/>
              <w:right w:val="nil"/>
            </w:tcBorders>
            <w:shd w:val="clear" w:color="000000" w:fill="FFFFFF"/>
            <w:noWrap/>
            <w:vAlign w:val="center"/>
            <w:hideMark/>
          </w:tcPr>
          <w:p w14:paraId="0E3A3218" w14:textId="77777777" w:rsidR="00E7168B" w:rsidRPr="00D618B7" w:rsidRDefault="00E7168B" w:rsidP="004B11B7">
            <w:pPr>
              <w:jc w:val="right"/>
              <w:rPr>
                <w:color w:val="000000"/>
                <w:sz w:val="20"/>
                <w:szCs w:val="20"/>
              </w:rPr>
            </w:pPr>
            <w:r w:rsidRPr="00D618B7">
              <w:rPr>
                <w:color w:val="000000"/>
                <w:sz w:val="20"/>
                <w:szCs w:val="20"/>
              </w:rPr>
              <w:t>0.0004</w:t>
            </w:r>
          </w:p>
        </w:tc>
        <w:tc>
          <w:tcPr>
            <w:tcW w:w="1628" w:type="dxa"/>
            <w:tcBorders>
              <w:top w:val="nil"/>
              <w:left w:val="nil"/>
              <w:bottom w:val="nil"/>
              <w:right w:val="nil"/>
            </w:tcBorders>
            <w:shd w:val="clear" w:color="000000" w:fill="FFFFFF"/>
            <w:noWrap/>
            <w:vAlign w:val="center"/>
            <w:hideMark/>
          </w:tcPr>
          <w:p w14:paraId="69A06928" w14:textId="77777777" w:rsidR="00E7168B" w:rsidRPr="00D618B7" w:rsidRDefault="00E7168B" w:rsidP="004B11B7">
            <w:pPr>
              <w:jc w:val="right"/>
              <w:rPr>
                <w:color w:val="000000"/>
                <w:sz w:val="20"/>
                <w:szCs w:val="20"/>
              </w:rPr>
            </w:pPr>
            <w:r w:rsidRPr="00D618B7">
              <w:rPr>
                <w:color w:val="000000"/>
                <w:sz w:val="20"/>
                <w:szCs w:val="20"/>
              </w:rPr>
              <w:t>0.0372</w:t>
            </w:r>
          </w:p>
        </w:tc>
        <w:tc>
          <w:tcPr>
            <w:tcW w:w="1133" w:type="dxa"/>
            <w:tcBorders>
              <w:top w:val="nil"/>
              <w:left w:val="nil"/>
              <w:bottom w:val="nil"/>
              <w:right w:val="nil"/>
            </w:tcBorders>
            <w:shd w:val="clear" w:color="000000" w:fill="FFFFFF"/>
            <w:noWrap/>
            <w:vAlign w:val="center"/>
            <w:hideMark/>
          </w:tcPr>
          <w:p w14:paraId="49EF0457" w14:textId="77777777" w:rsidR="00E7168B" w:rsidRPr="00D618B7" w:rsidRDefault="00E7168B" w:rsidP="004B11B7">
            <w:pPr>
              <w:jc w:val="right"/>
              <w:rPr>
                <w:color w:val="000000"/>
                <w:sz w:val="20"/>
                <w:szCs w:val="20"/>
              </w:rPr>
            </w:pPr>
            <w:r w:rsidRPr="00D618B7">
              <w:rPr>
                <w:color w:val="000000"/>
                <w:sz w:val="20"/>
                <w:szCs w:val="20"/>
              </w:rPr>
              <w:t>0.0132</w:t>
            </w:r>
          </w:p>
        </w:tc>
      </w:tr>
      <w:tr w:rsidR="00E7168B" w:rsidRPr="00D618B7" w14:paraId="49D9EB53" w14:textId="77777777" w:rsidTr="00E7168B">
        <w:trPr>
          <w:trHeight w:val="269"/>
        </w:trPr>
        <w:tc>
          <w:tcPr>
            <w:tcW w:w="1349" w:type="dxa"/>
            <w:tcBorders>
              <w:top w:val="nil"/>
              <w:left w:val="nil"/>
              <w:bottom w:val="nil"/>
              <w:right w:val="nil"/>
            </w:tcBorders>
            <w:shd w:val="clear" w:color="000000" w:fill="FFFFFF"/>
            <w:vAlign w:val="center"/>
            <w:hideMark/>
          </w:tcPr>
          <w:p w14:paraId="47FE174C" w14:textId="77777777" w:rsidR="00E7168B" w:rsidRPr="00D618B7" w:rsidRDefault="00E7168B" w:rsidP="004B11B7">
            <w:pPr>
              <w:jc w:val="right"/>
              <w:rPr>
                <w:color w:val="000000"/>
                <w:sz w:val="20"/>
                <w:szCs w:val="20"/>
              </w:rPr>
            </w:pPr>
            <w:r w:rsidRPr="00D618B7">
              <w:rPr>
                <w:color w:val="000000"/>
                <w:sz w:val="20"/>
                <w:szCs w:val="20"/>
              </w:rPr>
              <w:t>1</w:t>
            </w:r>
          </w:p>
        </w:tc>
        <w:tc>
          <w:tcPr>
            <w:tcW w:w="1041" w:type="dxa"/>
            <w:tcBorders>
              <w:top w:val="nil"/>
              <w:left w:val="nil"/>
              <w:bottom w:val="nil"/>
              <w:right w:val="nil"/>
            </w:tcBorders>
            <w:shd w:val="clear" w:color="000000" w:fill="FFFFFF"/>
            <w:noWrap/>
            <w:vAlign w:val="center"/>
            <w:hideMark/>
          </w:tcPr>
          <w:p w14:paraId="79D08976" w14:textId="77777777" w:rsidR="00E7168B" w:rsidRPr="00D618B7" w:rsidRDefault="00E7168B" w:rsidP="004B11B7">
            <w:pPr>
              <w:jc w:val="right"/>
              <w:rPr>
                <w:color w:val="000000"/>
                <w:sz w:val="20"/>
                <w:szCs w:val="20"/>
              </w:rPr>
            </w:pPr>
            <w:r w:rsidRPr="00D618B7">
              <w:rPr>
                <w:color w:val="000000"/>
                <w:sz w:val="20"/>
                <w:szCs w:val="20"/>
              </w:rPr>
              <w:t>0.0040</w:t>
            </w:r>
          </w:p>
        </w:tc>
        <w:tc>
          <w:tcPr>
            <w:tcW w:w="1106" w:type="dxa"/>
            <w:tcBorders>
              <w:top w:val="nil"/>
              <w:left w:val="nil"/>
              <w:bottom w:val="nil"/>
              <w:right w:val="nil"/>
            </w:tcBorders>
            <w:shd w:val="clear" w:color="000000" w:fill="FFFFFF"/>
            <w:noWrap/>
            <w:vAlign w:val="center"/>
            <w:hideMark/>
          </w:tcPr>
          <w:p w14:paraId="50365F50" w14:textId="77777777" w:rsidR="00E7168B" w:rsidRPr="00D618B7" w:rsidRDefault="00E7168B" w:rsidP="004B11B7">
            <w:pPr>
              <w:jc w:val="right"/>
              <w:rPr>
                <w:color w:val="000000"/>
                <w:sz w:val="20"/>
                <w:szCs w:val="20"/>
              </w:rPr>
            </w:pPr>
            <w:r w:rsidRPr="00D618B7">
              <w:rPr>
                <w:color w:val="000000"/>
                <w:sz w:val="20"/>
                <w:szCs w:val="20"/>
              </w:rPr>
              <w:t>0.0013</w:t>
            </w:r>
          </w:p>
        </w:tc>
        <w:tc>
          <w:tcPr>
            <w:tcW w:w="1573" w:type="dxa"/>
            <w:tcBorders>
              <w:top w:val="nil"/>
              <w:left w:val="nil"/>
              <w:bottom w:val="nil"/>
              <w:right w:val="nil"/>
            </w:tcBorders>
            <w:shd w:val="clear" w:color="000000" w:fill="FFFFFF"/>
            <w:noWrap/>
            <w:vAlign w:val="center"/>
            <w:hideMark/>
          </w:tcPr>
          <w:p w14:paraId="50F36C2F" w14:textId="77777777" w:rsidR="00E7168B" w:rsidRPr="00D618B7" w:rsidRDefault="00E7168B" w:rsidP="004B11B7">
            <w:pPr>
              <w:jc w:val="right"/>
              <w:rPr>
                <w:color w:val="000000"/>
                <w:sz w:val="20"/>
                <w:szCs w:val="20"/>
              </w:rPr>
            </w:pPr>
            <w:r w:rsidRPr="00D618B7">
              <w:rPr>
                <w:color w:val="000000"/>
                <w:sz w:val="20"/>
                <w:szCs w:val="20"/>
              </w:rPr>
              <w:t>0.0099</w:t>
            </w:r>
          </w:p>
        </w:tc>
        <w:tc>
          <w:tcPr>
            <w:tcW w:w="1095" w:type="dxa"/>
            <w:tcBorders>
              <w:top w:val="nil"/>
              <w:left w:val="nil"/>
              <w:bottom w:val="nil"/>
              <w:right w:val="nil"/>
            </w:tcBorders>
            <w:shd w:val="clear" w:color="000000" w:fill="FFFFFF"/>
            <w:noWrap/>
            <w:vAlign w:val="center"/>
            <w:hideMark/>
          </w:tcPr>
          <w:p w14:paraId="258A2509" w14:textId="77777777" w:rsidR="00E7168B" w:rsidRPr="00D618B7" w:rsidRDefault="00E7168B" w:rsidP="004B11B7">
            <w:pPr>
              <w:jc w:val="right"/>
              <w:rPr>
                <w:color w:val="000000"/>
                <w:sz w:val="20"/>
                <w:szCs w:val="20"/>
              </w:rPr>
            </w:pPr>
            <w:r w:rsidRPr="00D618B7">
              <w:rPr>
                <w:color w:val="000000"/>
                <w:sz w:val="20"/>
                <w:szCs w:val="20"/>
              </w:rPr>
              <w:t>0.0023</w:t>
            </w:r>
          </w:p>
        </w:tc>
        <w:tc>
          <w:tcPr>
            <w:tcW w:w="1628" w:type="dxa"/>
            <w:tcBorders>
              <w:top w:val="nil"/>
              <w:left w:val="nil"/>
              <w:bottom w:val="nil"/>
              <w:right w:val="nil"/>
            </w:tcBorders>
            <w:shd w:val="clear" w:color="000000" w:fill="FFFFFF"/>
            <w:noWrap/>
            <w:vAlign w:val="center"/>
            <w:hideMark/>
          </w:tcPr>
          <w:p w14:paraId="3FBB9B91" w14:textId="77777777" w:rsidR="00E7168B" w:rsidRPr="00D618B7" w:rsidRDefault="00E7168B" w:rsidP="004B11B7">
            <w:pPr>
              <w:jc w:val="right"/>
              <w:rPr>
                <w:color w:val="000000"/>
                <w:sz w:val="20"/>
                <w:szCs w:val="20"/>
              </w:rPr>
            </w:pPr>
            <w:r w:rsidRPr="00D618B7">
              <w:rPr>
                <w:color w:val="000000"/>
                <w:sz w:val="20"/>
                <w:szCs w:val="20"/>
              </w:rPr>
              <w:t>0.0293</w:t>
            </w:r>
          </w:p>
        </w:tc>
        <w:tc>
          <w:tcPr>
            <w:tcW w:w="1133" w:type="dxa"/>
            <w:tcBorders>
              <w:top w:val="nil"/>
              <w:left w:val="nil"/>
              <w:bottom w:val="nil"/>
              <w:right w:val="nil"/>
            </w:tcBorders>
            <w:shd w:val="clear" w:color="000000" w:fill="FFFFFF"/>
            <w:noWrap/>
            <w:vAlign w:val="center"/>
            <w:hideMark/>
          </w:tcPr>
          <w:p w14:paraId="1B4BE697" w14:textId="77777777" w:rsidR="00E7168B" w:rsidRPr="00D618B7" w:rsidRDefault="00E7168B" w:rsidP="004B11B7">
            <w:pPr>
              <w:jc w:val="right"/>
              <w:rPr>
                <w:color w:val="000000"/>
                <w:sz w:val="20"/>
                <w:szCs w:val="20"/>
              </w:rPr>
            </w:pPr>
            <w:r w:rsidRPr="00D618B7">
              <w:rPr>
                <w:color w:val="000000"/>
                <w:sz w:val="20"/>
                <w:szCs w:val="20"/>
              </w:rPr>
              <w:t>0.0109</w:t>
            </w:r>
          </w:p>
        </w:tc>
      </w:tr>
      <w:tr w:rsidR="00E7168B" w:rsidRPr="00D618B7" w14:paraId="1D228BA0" w14:textId="77777777" w:rsidTr="00E7168B">
        <w:trPr>
          <w:trHeight w:val="269"/>
        </w:trPr>
        <w:tc>
          <w:tcPr>
            <w:tcW w:w="1349" w:type="dxa"/>
            <w:tcBorders>
              <w:top w:val="nil"/>
              <w:left w:val="nil"/>
              <w:bottom w:val="nil"/>
              <w:right w:val="nil"/>
            </w:tcBorders>
            <w:shd w:val="clear" w:color="000000" w:fill="FFFFFF"/>
            <w:vAlign w:val="center"/>
            <w:hideMark/>
          </w:tcPr>
          <w:p w14:paraId="48259908" w14:textId="77777777" w:rsidR="00E7168B" w:rsidRPr="00D618B7" w:rsidRDefault="00E7168B" w:rsidP="004B11B7">
            <w:pPr>
              <w:jc w:val="right"/>
              <w:rPr>
                <w:color w:val="000000"/>
                <w:sz w:val="20"/>
                <w:szCs w:val="20"/>
              </w:rPr>
            </w:pPr>
            <w:r w:rsidRPr="00D618B7">
              <w:rPr>
                <w:color w:val="000000"/>
                <w:sz w:val="20"/>
                <w:szCs w:val="20"/>
              </w:rPr>
              <w:t>2</w:t>
            </w:r>
          </w:p>
        </w:tc>
        <w:tc>
          <w:tcPr>
            <w:tcW w:w="1041" w:type="dxa"/>
            <w:tcBorders>
              <w:top w:val="nil"/>
              <w:left w:val="nil"/>
              <w:bottom w:val="nil"/>
              <w:right w:val="nil"/>
            </w:tcBorders>
            <w:shd w:val="clear" w:color="000000" w:fill="FFFFFF"/>
            <w:noWrap/>
            <w:vAlign w:val="center"/>
            <w:hideMark/>
          </w:tcPr>
          <w:p w14:paraId="656CA57D" w14:textId="77777777" w:rsidR="00E7168B" w:rsidRPr="00D618B7" w:rsidRDefault="00E7168B" w:rsidP="004B11B7">
            <w:pPr>
              <w:jc w:val="right"/>
              <w:rPr>
                <w:color w:val="000000"/>
                <w:sz w:val="20"/>
                <w:szCs w:val="20"/>
              </w:rPr>
            </w:pPr>
            <w:r w:rsidRPr="00D618B7">
              <w:rPr>
                <w:color w:val="000000"/>
                <w:sz w:val="20"/>
                <w:szCs w:val="20"/>
              </w:rPr>
              <w:t>-0.0025</w:t>
            </w:r>
          </w:p>
        </w:tc>
        <w:tc>
          <w:tcPr>
            <w:tcW w:w="1106" w:type="dxa"/>
            <w:tcBorders>
              <w:top w:val="nil"/>
              <w:left w:val="nil"/>
              <w:bottom w:val="nil"/>
              <w:right w:val="nil"/>
            </w:tcBorders>
            <w:shd w:val="clear" w:color="000000" w:fill="FFFFFF"/>
            <w:noWrap/>
            <w:vAlign w:val="center"/>
            <w:hideMark/>
          </w:tcPr>
          <w:p w14:paraId="1415A798" w14:textId="77777777" w:rsidR="00E7168B" w:rsidRPr="00D618B7" w:rsidRDefault="00E7168B" w:rsidP="004B11B7">
            <w:pPr>
              <w:jc w:val="right"/>
              <w:rPr>
                <w:color w:val="000000"/>
                <w:sz w:val="20"/>
                <w:szCs w:val="20"/>
              </w:rPr>
            </w:pPr>
            <w:r w:rsidRPr="00D618B7">
              <w:rPr>
                <w:color w:val="000000"/>
                <w:sz w:val="20"/>
                <w:szCs w:val="20"/>
              </w:rPr>
              <w:t>0.0006</w:t>
            </w:r>
          </w:p>
        </w:tc>
        <w:tc>
          <w:tcPr>
            <w:tcW w:w="1573" w:type="dxa"/>
            <w:tcBorders>
              <w:top w:val="nil"/>
              <w:left w:val="nil"/>
              <w:bottom w:val="nil"/>
              <w:right w:val="nil"/>
            </w:tcBorders>
            <w:shd w:val="clear" w:color="000000" w:fill="FFFFFF"/>
            <w:noWrap/>
            <w:vAlign w:val="center"/>
            <w:hideMark/>
          </w:tcPr>
          <w:p w14:paraId="1DCB3D60" w14:textId="77777777" w:rsidR="00E7168B" w:rsidRPr="00D618B7" w:rsidRDefault="00E7168B" w:rsidP="004B11B7">
            <w:pPr>
              <w:jc w:val="right"/>
              <w:rPr>
                <w:color w:val="000000"/>
                <w:sz w:val="20"/>
                <w:szCs w:val="20"/>
              </w:rPr>
            </w:pPr>
            <w:r w:rsidRPr="00D618B7">
              <w:rPr>
                <w:color w:val="000000"/>
                <w:sz w:val="20"/>
                <w:szCs w:val="20"/>
              </w:rPr>
              <w:t>-0.0028</w:t>
            </w:r>
          </w:p>
        </w:tc>
        <w:tc>
          <w:tcPr>
            <w:tcW w:w="1095" w:type="dxa"/>
            <w:tcBorders>
              <w:top w:val="nil"/>
              <w:left w:val="nil"/>
              <w:bottom w:val="nil"/>
              <w:right w:val="nil"/>
            </w:tcBorders>
            <w:shd w:val="clear" w:color="000000" w:fill="FFFFFF"/>
            <w:noWrap/>
            <w:vAlign w:val="center"/>
            <w:hideMark/>
          </w:tcPr>
          <w:p w14:paraId="18FE4679" w14:textId="77777777" w:rsidR="00E7168B" w:rsidRPr="00D618B7" w:rsidRDefault="00E7168B" w:rsidP="004B11B7">
            <w:pPr>
              <w:jc w:val="right"/>
              <w:rPr>
                <w:color w:val="000000"/>
                <w:sz w:val="20"/>
                <w:szCs w:val="20"/>
              </w:rPr>
            </w:pPr>
            <w:r w:rsidRPr="00D618B7">
              <w:rPr>
                <w:color w:val="000000"/>
                <w:sz w:val="20"/>
                <w:szCs w:val="20"/>
              </w:rPr>
              <w:t>0.0008</w:t>
            </w:r>
          </w:p>
        </w:tc>
        <w:tc>
          <w:tcPr>
            <w:tcW w:w="1628" w:type="dxa"/>
            <w:tcBorders>
              <w:top w:val="nil"/>
              <w:left w:val="nil"/>
              <w:bottom w:val="nil"/>
              <w:right w:val="nil"/>
            </w:tcBorders>
            <w:shd w:val="clear" w:color="000000" w:fill="FFFFFF"/>
            <w:noWrap/>
            <w:vAlign w:val="center"/>
            <w:hideMark/>
          </w:tcPr>
          <w:p w14:paraId="6DE24514" w14:textId="77777777" w:rsidR="00E7168B" w:rsidRPr="00D618B7" w:rsidRDefault="00E7168B" w:rsidP="004B11B7">
            <w:pPr>
              <w:jc w:val="right"/>
              <w:rPr>
                <w:color w:val="000000"/>
                <w:sz w:val="20"/>
                <w:szCs w:val="20"/>
              </w:rPr>
            </w:pPr>
            <w:r w:rsidRPr="00D618B7">
              <w:rPr>
                <w:color w:val="000000"/>
                <w:sz w:val="20"/>
                <w:szCs w:val="20"/>
              </w:rPr>
              <w:t>0.0136</w:t>
            </w:r>
          </w:p>
        </w:tc>
        <w:tc>
          <w:tcPr>
            <w:tcW w:w="1133" w:type="dxa"/>
            <w:tcBorders>
              <w:top w:val="nil"/>
              <w:left w:val="nil"/>
              <w:bottom w:val="nil"/>
              <w:right w:val="nil"/>
            </w:tcBorders>
            <w:shd w:val="clear" w:color="000000" w:fill="FFFFFF"/>
            <w:noWrap/>
            <w:vAlign w:val="center"/>
            <w:hideMark/>
          </w:tcPr>
          <w:p w14:paraId="1C810827" w14:textId="77777777" w:rsidR="00E7168B" w:rsidRPr="00D618B7" w:rsidRDefault="00E7168B" w:rsidP="004B11B7">
            <w:pPr>
              <w:jc w:val="right"/>
              <w:rPr>
                <w:color w:val="000000"/>
                <w:sz w:val="20"/>
                <w:szCs w:val="20"/>
              </w:rPr>
            </w:pPr>
            <w:r w:rsidRPr="00D618B7">
              <w:rPr>
                <w:color w:val="000000"/>
                <w:sz w:val="20"/>
                <w:szCs w:val="20"/>
              </w:rPr>
              <w:t>0.0027</w:t>
            </w:r>
          </w:p>
        </w:tc>
      </w:tr>
      <w:tr w:rsidR="00E7168B" w:rsidRPr="00D618B7" w14:paraId="791146C6" w14:textId="77777777" w:rsidTr="00E7168B">
        <w:trPr>
          <w:trHeight w:val="269"/>
        </w:trPr>
        <w:tc>
          <w:tcPr>
            <w:tcW w:w="1349" w:type="dxa"/>
            <w:tcBorders>
              <w:top w:val="nil"/>
              <w:left w:val="nil"/>
              <w:bottom w:val="nil"/>
              <w:right w:val="nil"/>
            </w:tcBorders>
            <w:shd w:val="clear" w:color="000000" w:fill="FFFFFF"/>
            <w:vAlign w:val="center"/>
            <w:hideMark/>
          </w:tcPr>
          <w:p w14:paraId="5153293A" w14:textId="77777777" w:rsidR="00E7168B" w:rsidRPr="00D618B7" w:rsidRDefault="00E7168B" w:rsidP="004B11B7">
            <w:pPr>
              <w:jc w:val="right"/>
              <w:rPr>
                <w:color w:val="000000"/>
                <w:sz w:val="20"/>
                <w:szCs w:val="20"/>
              </w:rPr>
            </w:pPr>
            <w:r w:rsidRPr="00D618B7">
              <w:rPr>
                <w:color w:val="000000"/>
                <w:sz w:val="20"/>
                <w:szCs w:val="20"/>
              </w:rPr>
              <w:t>3</w:t>
            </w:r>
          </w:p>
        </w:tc>
        <w:tc>
          <w:tcPr>
            <w:tcW w:w="1041" w:type="dxa"/>
            <w:tcBorders>
              <w:top w:val="nil"/>
              <w:left w:val="nil"/>
              <w:bottom w:val="nil"/>
              <w:right w:val="nil"/>
            </w:tcBorders>
            <w:shd w:val="clear" w:color="000000" w:fill="FFFFFF"/>
            <w:noWrap/>
            <w:vAlign w:val="center"/>
            <w:hideMark/>
          </w:tcPr>
          <w:p w14:paraId="7E61876F" w14:textId="77777777" w:rsidR="00E7168B" w:rsidRPr="00D618B7" w:rsidRDefault="00E7168B" w:rsidP="004B11B7">
            <w:pPr>
              <w:jc w:val="right"/>
              <w:rPr>
                <w:color w:val="000000"/>
                <w:sz w:val="20"/>
                <w:szCs w:val="20"/>
              </w:rPr>
            </w:pPr>
            <w:r w:rsidRPr="00D618B7">
              <w:rPr>
                <w:color w:val="000000"/>
                <w:sz w:val="20"/>
                <w:szCs w:val="20"/>
              </w:rPr>
              <w:t>0.0019</w:t>
            </w:r>
          </w:p>
        </w:tc>
        <w:tc>
          <w:tcPr>
            <w:tcW w:w="1106" w:type="dxa"/>
            <w:tcBorders>
              <w:top w:val="nil"/>
              <w:left w:val="nil"/>
              <w:bottom w:val="nil"/>
              <w:right w:val="nil"/>
            </w:tcBorders>
            <w:shd w:val="clear" w:color="000000" w:fill="FFFFFF"/>
            <w:noWrap/>
            <w:vAlign w:val="center"/>
            <w:hideMark/>
          </w:tcPr>
          <w:p w14:paraId="7E95A6B4" w14:textId="77777777" w:rsidR="00E7168B" w:rsidRPr="00D618B7" w:rsidRDefault="00E7168B" w:rsidP="004B11B7">
            <w:pPr>
              <w:jc w:val="right"/>
              <w:rPr>
                <w:color w:val="000000"/>
                <w:sz w:val="20"/>
                <w:szCs w:val="20"/>
              </w:rPr>
            </w:pPr>
            <w:r w:rsidRPr="00D618B7">
              <w:rPr>
                <w:color w:val="000000"/>
                <w:sz w:val="20"/>
                <w:szCs w:val="20"/>
              </w:rPr>
              <w:t>0.0006</w:t>
            </w:r>
          </w:p>
        </w:tc>
        <w:tc>
          <w:tcPr>
            <w:tcW w:w="1573" w:type="dxa"/>
            <w:tcBorders>
              <w:top w:val="nil"/>
              <w:left w:val="nil"/>
              <w:bottom w:val="nil"/>
              <w:right w:val="nil"/>
            </w:tcBorders>
            <w:shd w:val="clear" w:color="000000" w:fill="FFFFFF"/>
            <w:noWrap/>
            <w:vAlign w:val="center"/>
            <w:hideMark/>
          </w:tcPr>
          <w:p w14:paraId="4E29517C" w14:textId="77777777" w:rsidR="00E7168B" w:rsidRPr="00D618B7" w:rsidRDefault="00E7168B" w:rsidP="004B11B7">
            <w:pPr>
              <w:jc w:val="right"/>
              <w:rPr>
                <w:color w:val="000000"/>
                <w:sz w:val="20"/>
                <w:szCs w:val="20"/>
              </w:rPr>
            </w:pPr>
            <w:r w:rsidRPr="00D618B7">
              <w:rPr>
                <w:color w:val="000000"/>
                <w:sz w:val="20"/>
                <w:szCs w:val="20"/>
              </w:rPr>
              <w:t>0.0018</w:t>
            </w:r>
          </w:p>
        </w:tc>
        <w:tc>
          <w:tcPr>
            <w:tcW w:w="1095" w:type="dxa"/>
            <w:tcBorders>
              <w:top w:val="nil"/>
              <w:left w:val="nil"/>
              <w:bottom w:val="nil"/>
              <w:right w:val="nil"/>
            </w:tcBorders>
            <w:shd w:val="clear" w:color="000000" w:fill="FFFFFF"/>
            <w:noWrap/>
            <w:vAlign w:val="center"/>
            <w:hideMark/>
          </w:tcPr>
          <w:p w14:paraId="2227D2E6" w14:textId="77777777" w:rsidR="00E7168B" w:rsidRPr="00D618B7" w:rsidRDefault="00E7168B" w:rsidP="004B11B7">
            <w:pPr>
              <w:jc w:val="right"/>
              <w:rPr>
                <w:color w:val="000000"/>
                <w:sz w:val="20"/>
                <w:szCs w:val="20"/>
              </w:rPr>
            </w:pPr>
            <w:r w:rsidRPr="00D618B7">
              <w:rPr>
                <w:color w:val="000000"/>
                <w:sz w:val="20"/>
                <w:szCs w:val="20"/>
              </w:rPr>
              <w:t>0.0011</w:t>
            </w:r>
          </w:p>
        </w:tc>
        <w:tc>
          <w:tcPr>
            <w:tcW w:w="1628" w:type="dxa"/>
            <w:tcBorders>
              <w:top w:val="nil"/>
              <w:left w:val="nil"/>
              <w:bottom w:val="nil"/>
              <w:right w:val="nil"/>
            </w:tcBorders>
            <w:shd w:val="clear" w:color="000000" w:fill="FFFFFF"/>
            <w:noWrap/>
            <w:vAlign w:val="center"/>
            <w:hideMark/>
          </w:tcPr>
          <w:p w14:paraId="6CD274A7" w14:textId="77777777" w:rsidR="00E7168B" w:rsidRPr="00D618B7" w:rsidRDefault="00E7168B" w:rsidP="004B11B7">
            <w:pPr>
              <w:jc w:val="right"/>
              <w:rPr>
                <w:color w:val="000000"/>
                <w:sz w:val="20"/>
                <w:szCs w:val="20"/>
              </w:rPr>
            </w:pPr>
            <w:r w:rsidRPr="00D618B7">
              <w:rPr>
                <w:color w:val="000000"/>
                <w:sz w:val="20"/>
                <w:szCs w:val="20"/>
              </w:rPr>
              <w:t>0.0134</w:t>
            </w:r>
          </w:p>
        </w:tc>
        <w:tc>
          <w:tcPr>
            <w:tcW w:w="1133" w:type="dxa"/>
            <w:tcBorders>
              <w:top w:val="nil"/>
              <w:left w:val="nil"/>
              <w:bottom w:val="nil"/>
              <w:right w:val="nil"/>
            </w:tcBorders>
            <w:shd w:val="clear" w:color="000000" w:fill="FFFFFF"/>
            <w:noWrap/>
            <w:vAlign w:val="center"/>
            <w:hideMark/>
          </w:tcPr>
          <w:p w14:paraId="60D22639" w14:textId="77777777" w:rsidR="00E7168B" w:rsidRPr="00D618B7" w:rsidRDefault="00E7168B" w:rsidP="004B11B7">
            <w:pPr>
              <w:jc w:val="right"/>
              <w:rPr>
                <w:color w:val="000000"/>
                <w:sz w:val="20"/>
                <w:szCs w:val="20"/>
              </w:rPr>
            </w:pPr>
            <w:r w:rsidRPr="00D618B7">
              <w:rPr>
                <w:color w:val="000000"/>
                <w:sz w:val="20"/>
                <w:szCs w:val="20"/>
              </w:rPr>
              <w:t>0.0088</w:t>
            </w:r>
          </w:p>
        </w:tc>
      </w:tr>
      <w:tr w:rsidR="00E7168B" w:rsidRPr="00D618B7" w14:paraId="4D280BE2" w14:textId="77777777" w:rsidTr="00E7168B">
        <w:trPr>
          <w:trHeight w:val="269"/>
        </w:trPr>
        <w:tc>
          <w:tcPr>
            <w:tcW w:w="1349" w:type="dxa"/>
            <w:tcBorders>
              <w:top w:val="nil"/>
              <w:left w:val="nil"/>
              <w:right w:val="nil"/>
            </w:tcBorders>
            <w:shd w:val="clear" w:color="000000" w:fill="FFFFFF"/>
            <w:vAlign w:val="center"/>
            <w:hideMark/>
          </w:tcPr>
          <w:p w14:paraId="26D5139D" w14:textId="77777777" w:rsidR="00E7168B" w:rsidRPr="00D618B7" w:rsidRDefault="00E7168B" w:rsidP="004B11B7">
            <w:pPr>
              <w:jc w:val="right"/>
              <w:rPr>
                <w:color w:val="000000"/>
                <w:sz w:val="20"/>
                <w:szCs w:val="20"/>
              </w:rPr>
            </w:pPr>
            <w:r w:rsidRPr="00D618B7">
              <w:rPr>
                <w:color w:val="000000"/>
                <w:sz w:val="20"/>
                <w:szCs w:val="20"/>
              </w:rPr>
              <w:t>4</w:t>
            </w:r>
          </w:p>
        </w:tc>
        <w:tc>
          <w:tcPr>
            <w:tcW w:w="1041" w:type="dxa"/>
            <w:tcBorders>
              <w:top w:val="nil"/>
              <w:left w:val="nil"/>
              <w:right w:val="nil"/>
            </w:tcBorders>
            <w:shd w:val="clear" w:color="000000" w:fill="FFFFFF"/>
            <w:noWrap/>
            <w:vAlign w:val="center"/>
            <w:hideMark/>
          </w:tcPr>
          <w:p w14:paraId="575E4746" w14:textId="77777777" w:rsidR="00E7168B" w:rsidRPr="00D618B7" w:rsidRDefault="00E7168B" w:rsidP="004B11B7">
            <w:pPr>
              <w:jc w:val="right"/>
              <w:rPr>
                <w:color w:val="000000"/>
                <w:sz w:val="20"/>
                <w:szCs w:val="20"/>
              </w:rPr>
            </w:pPr>
            <w:r w:rsidRPr="00D618B7">
              <w:rPr>
                <w:color w:val="000000"/>
                <w:sz w:val="20"/>
                <w:szCs w:val="20"/>
              </w:rPr>
              <w:t>-0.0004</w:t>
            </w:r>
          </w:p>
        </w:tc>
        <w:tc>
          <w:tcPr>
            <w:tcW w:w="1106" w:type="dxa"/>
            <w:tcBorders>
              <w:top w:val="nil"/>
              <w:left w:val="nil"/>
              <w:right w:val="nil"/>
            </w:tcBorders>
            <w:shd w:val="clear" w:color="000000" w:fill="FFFFFF"/>
            <w:noWrap/>
            <w:vAlign w:val="center"/>
            <w:hideMark/>
          </w:tcPr>
          <w:p w14:paraId="56E12F15" w14:textId="77777777" w:rsidR="00E7168B" w:rsidRPr="00D618B7" w:rsidRDefault="00E7168B" w:rsidP="004B11B7">
            <w:pPr>
              <w:jc w:val="right"/>
              <w:rPr>
                <w:color w:val="000000"/>
                <w:sz w:val="20"/>
                <w:szCs w:val="20"/>
              </w:rPr>
            </w:pPr>
            <w:r w:rsidRPr="00D618B7">
              <w:rPr>
                <w:color w:val="000000"/>
                <w:sz w:val="20"/>
                <w:szCs w:val="20"/>
              </w:rPr>
              <w:t>0.0001</w:t>
            </w:r>
          </w:p>
        </w:tc>
        <w:tc>
          <w:tcPr>
            <w:tcW w:w="1573" w:type="dxa"/>
            <w:tcBorders>
              <w:top w:val="nil"/>
              <w:left w:val="nil"/>
              <w:right w:val="nil"/>
            </w:tcBorders>
            <w:shd w:val="clear" w:color="000000" w:fill="FFFFFF"/>
            <w:noWrap/>
            <w:vAlign w:val="center"/>
            <w:hideMark/>
          </w:tcPr>
          <w:p w14:paraId="17D80CA0" w14:textId="77777777" w:rsidR="00E7168B" w:rsidRPr="00D618B7" w:rsidRDefault="00E7168B" w:rsidP="004B11B7">
            <w:pPr>
              <w:jc w:val="right"/>
              <w:rPr>
                <w:color w:val="000000"/>
                <w:sz w:val="20"/>
                <w:szCs w:val="20"/>
              </w:rPr>
            </w:pPr>
            <w:r w:rsidRPr="00D618B7">
              <w:rPr>
                <w:color w:val="000000"/>
                <w:sz w:val="20"/>
                <w:szCs w:val="20"/>
              </w:rPr>
              <w:t>0.0039</w:t>
            </w:r>
          </w:p>
        </w:tc>
        <w:tc>
          <w:tcPr>
            <w:tcW w:w="1095" w:type="dxa"/>
            <w:tcBorders>
              <w:top w:val="nil"/>
              <w:left w:val="nil"/>
              <w:right w:val="nil"/>
            </w:tcBorders>
            <w:shd w:val="clear" w:color="000000" w:fill="FFFFFF"/>
            <w:noWrap/>
            <w:vAlign w:val="center"/>
            <w:hideMark/>
          </w:tcPr>
          <w:p w14:paraId="5669215A" w14:textId="77777777" w:rsidR="00E7168B" w:rsidRPr="00D618B7" w:rsidRDefault="00E7168B" w:rsidP="004B11B7">
            <w:pPr>
              <w:jc w:val="right"/>
              <w:rPr>
                <w:color w:val="000000"/>
                <w:sz w:val="20"/>
                <w:szCs w:val="20"/>
              </w:rPr>
            </w:pPr>
            <w:r w:rsidRPr="00D618B7">
              <w:rPr>
                <w:color w:val="000000"/>
                <w:sz w:val="20"/>
                <w:szCs w:val="20"/>
              </w:rPr>
              <w:t>0.0025</w:t>
            </w:r>
          </w:p>
        </w:tc>
        <w:tc>
          <w:tcPr>
            <w:tcW w:w="1628" w:type="dxa"/>
            <w:tcBorders>
              <w:top w:val="nil"/>
              <w:left w:val="nil"/>
              <w:right w:val="nil"/>
            </w:tcBorders>
            <w:shd w:val="clear" w:color="000000" w:fill="FFFFFF"/>
            <w:noWrap/>
            <w:vAlign w:val="center"/>
            <w:hideMark/>
          </w:tcPr>
          <w:p w14:paraId="1A3161A0" w14:textId="77777777" w:rsidR="00E7168B" w:rsidRPr="00D618B7" w:rsidRDefault="00E7168B" w:rsidP="004B11B7">
            <w:pPr>
              <w:jc w:val="right"/>
              <w:rPr>
                <w:color w:val="000000"/>
                <w:sz w:val="20"/>
                <w:szCs w:val="20"/>
              </w:rPr>
            </w:pPr>
            <w:r w:rsidRPr="00D618B7">
              <w:rPr>
                <w:color w:val="000000"/>
                <w:sz w:val="20"/>
                <w:szCs w:val="20"/>
              </w:rPr>
              <w:t>0.0275</w:t>
            </w:r>
          </w:p>
        </w:tc>
        <w:tc>
          <w:tcPr>
            <w:tcW w:w="1133" w:type="dxa"/>
            <w:tcBorders>
              <w:top w:val="nil"/>
              <w:left w:val="nil"/>
              <w:right w:val="nil"/>
            </w:tcBorders>
            <w:shd w:val="clear" w:color="000000" w:fill="FFFFFF"/>
            <w:noWrap/>
            <w:vAlign w:val="center"/>
            <w:hideMark/>
          </w:tcPr>
          <w:p w14:paraId="737AE820" w14:textId="77777777" w:rsidR="00E7168B" w:rsidRPr="00D618B7" w:rsidRDefault="00E7168B" w:rsidP="004B11B7">
            <w:pPr>
              <w:jc w:val="right"/>
              <w:rPr>
                <w:color w:val="000000"/>
                <w:sz w:val="20"/>
                <w:szCs w:val="20"/>
              </w:rPr>
            </w:pPr>
            <w:r w:rsidRPr="00D618B7">
              <w:rPr>
                <w:color w:val="000000"/>
                <w:sz w:val="20"/>
                <w:szCs w:val="20"/>
              </w:rPr>
              <w:t>0.0191</w:t>
            </w:r>
          </w:p>
        </w:tc>
      </w:tr>
      <w:tr w:rsidR="00E7168B" w:rsidRPr="00D618B7" w14:paraId="10DF4384" w14:textId="77777777" w:rsidTr="00E7168B">
        <w:trPr>
          <w:trHeight w:val="269"/>
        </w:trPr>
        <w:tc>
          <w:tcPr>
            <w:tcW w:w="1349" w:type="dxa"/>
            <w:tcBorders>
              <w:top w:val="nil"/>
              <w:left w:val="nil"/>
              <w:bottom w:val="single" w:sz="18" w:space="0" w:color="auto"/>
              <w:right w:val="nil"/>
            </w:tcBorders>
            <w:shd w:val="clear" w:color="000000" w:fill="FFFFFF"/>
            <w:vAlign w:val="center"/>
            <w:hideMark/>
          </w:tcPr>
          <w:p w14:paraId="145CCB79" w14:textId="77777777" w:rsidR="00E7168B" w:rsidRPr="00D618B7" w:rsidRDefault="00E7168B" w:rsidP="004B11B7">
            <w:pPr>
              <w:jc w:val="right"/>
              <w:rPr>
                <w:color w:val="000000"/>
                <w:sz w:val="20"/>
                <w:szCs w:val="20"/>
              </w:rPr>
            </w:pPr>
            <w:r w:rsidRPr="00D618B7">
              <w:rPr>
                <w:color w:val="000000"/>
                <w:sz w:val="20"/>
                <w:szCs w:val="20"/>
              </w:rPr>
              <w:t>5</w:t>
            </w:r>
          </w:p>
        </w:tc>
        <w:tc>
          <w:tcPr>
            <w:tcW w:w="1041" w:type="dxa"/>
            <w:tcBorders>
              <w:top w:val="nil"/>
              <w:left w:val="nil"/>
              <w:bottom w:val="single" w:sz="18" w:space="0" w:color="auto"/>
              <w:right w:val="nil"/>
            </w:tcBorders>
            <w:shd w:val="clear" w:color="000000" w:fill="FFFFFF"/>
            <w:noWrap/>
            <w:vAlign w:val="center"/>
            <w:hideMark/>
          </w:tcPr>
          <w:p w14:paraId="46F6A9CA" w14:textId="77777777" w:rsidR="00E7168B" w:rsidRPr="00D618B7" w:rsidRDefault="00E7168B" w:rsidP="004B11B7">
            <w:pPr>
              <w:jc w:val="right"/>
              <w:rPr>
                <w:color w:val="000000"/>
                <w:sz w:val="20"/>
                <w:szCs w:val="20"/>
              </w:rPr>
            </w:pPr>
            <w:r w:rsidRPr="00D618B7">
              <w:rPr>
                <w:color w:val="000000"/>
                <w:sz w:val="20"/>
                <w:szCs w:val="20"/>
              </w:rPr>
              <w:t>-0.0001</w:t>
            </w:r>
          </w:p>
        </w:tc>
        <w:tc>
          <w:tcPr>
            <w:tcW w:w="1106" w:type="dxa"/>
            <w:tcBorders>
              <w:top w:val="nil"/>
              <w:left w:val="nil"/>
              <w:bottom w:val="single" w:sz="18" w:space="0" w:color="auto"/>
              <w:right w:val="nil"/>
            </w:tcBorders>
            <w:shd w:val="clear" w:color="000000" w:fill="FFFFFF"/>
            <w:noWrap/>
            <w:vAlign w:val="center"/>
            <w:hideMark/>
          </w:tcPr>
          <w:p w14:paraId="7FDC7322" w14:textId="77777777" w:rsidR="00E7168B" w:rsidRPr="00D618B7" w:rsidRDefault="00E7168B" w:rsidP="004B11B7">
            <w:pPr>
              <w:jc w:val="right"/>
              <w:rPr>
                <w:color w:val="000000"/>
                <w:sz w:val="20"/>
                <w:szCs w:val="20"/>
              </w:rPr>
            </w:pPr>
            <w:r w:rsidRPr="00D618B7">
              <w:rPr>
                <w:color w:val="000000"/>
                <w:sz w:val="20"/>
                <w:szCs w:val="20"/>
              </w:rPr>
              <w:t>0.0003</w:t>
            </w:r>
          </w:p>
        </w:tc>
        <w:tc>
          <w:tcPr>
            <w:tcW w:w="1573" w:type="dxa"/>
            <w:tcBorders>
              <w:top w:val="nil"/>
              <w:left w:val="nil"/>
              <w:bottom w:val="single" w:sz="18" w:space="0" w:color="auto"/>
              <w:right w:val="nil"/>
            </w:tcBorders>
            <w:shd w:val="clear" w:color="000000" w:fill="FFFFFF"/>
            <w:noWrap/>
            <w:vAlign w:val="center"/>
            <w:hideMark/>
          </w:tcPr>
          <w:p w14:paraId="4739EDDD" w14:textId="77777777" w:rsidR="00E7168B" w:rsidRPr="00D618B7" w:rsidRDefault="00E7168B" w:rsidP="004B11B7">
            <w:pPr>
              <w:jc w:val="right"/>
              <w:rPr>
                <w:color w:val="000000"/>
                <w:sz w:val="20"/>
                <w:szCs w:val="20"/>
              </w:rPr>
            </w:pPr>
            <w:r w:rsidRPr="00D618B7">
              <w:rPr>
                <w:color w:val="000000"/>
                <w:sz w:val="20"/>
                <w:szCs w:val="20"/>
              </w:rPr>
              <w:t>0.0014</w:t>
            </w:r>
          </w:p>
        </w:tc>
        <w:tc>
          <w:tcPr>
            <w:tcW w:w="1095" w:type="dxa"/>
            <w:tcBorders>
              <w:top w:val="nil"/>
              <w:left w:val="nil"/>
              <w:bottom w:val="single" w:sz="18" w:space="0" w:color="auto"/>
              <w:right w:val="nil"/>
            </w:tcBorders>
            <w:shd w:val="clear" w:color="000000" w:fill="FFFFFF"/>
            <w:noWrap/>
            <w:vAlign w:val="center"/>
            <w:hideMark/>
          </w:tcPr>
          <w:p w14:paraId="146723B6" w14:textId="77777777" w:rsidR="00E7168B" w:rsidRPr="00D618B7" w:rsidRDefault="00E7168B" w:rsidP="004B11B7">
            <w:pPr>
              <w:jc w:val="right"/>
              <w:rPr>
                <w:color w:val="000000"/>
                <w:sz w:val="20"/>
                <w:szCs w:val="20"/>
              </w:rPr>
            </w:pPr>
            <w:r w:rsidRPr="00D618B7">
              <w:rPr>
                <w:color w:val="000000"/>
                <w:sz w:val="20"/>
                <w:szCs w:val="20"/>
              </w:rPr>
              <w:t>0.0000</w:t>
            </w:r>
          </w:p>
        </w:tc>
        <w:tc>
          <w:tcPr>
            <w:tcW w:w="1628" w:type="dxa"/>
            <w:tcBorders>
              <w:top w:val="nil"/>
              <w:left w:val="nil"/>
              <w:bottom w:val="single" w:sz="18" w:space="0" w:color="auto"/>
              <w:right w:val="nil"/>
            </w:tcBorders>
            <w:shd w:val="clear" w:color="000000" w:fill="FFFFFF"/>
            <w:noWrap/>
            <w:vAlign w:val="center"/>
            <w:hideMark/>
          </w:tcPr>
          <w:p w14:paraId="53D1AA39" w14:textId="77777777" w:rsidR="00E7168B" w:rsidRPr="00D618B7" w:rsidRDefault="00E7168B" w:rsidP="004B11B7">
            <w:pPr>
              <w:jc w:val="right"/>
              <w:rPr>
                <w:color w:val="000000"/>
                <w:sz w:val="20"/>
                <w:szCs w:val="20"/>
              </w:rPr>
            </w:pPr>
            <w:r w:rsidRPr="00D618B7">
              <w:rPr>
                <w:color w:val="000000"/>
                <w:sz w:val="20"/>
                <w:szCs w:val="20"/>
              </w:rPr>
              <w:t>0.0022</w:t>
            </w:r>
          </w:p>
        </w:tc>
        <w:tc>
          <w:tcPr>
            <w:tcW w:w="1133" w:type="dxa"/>
            <w:tcBorders>
              <w:top w:val="nil"/>
              <w:left w:val="nil"/>
              <w:bottom w:val="single" w:sz="18" w:space="0" w:color="auto"/>
              <w:right w:val="nil"/>
            </w:tcBorders>
            <w:shd w:val="clear" w:color="000000" w:fill="FFFFFF"/>
            <w:noWrap/>
            <w:vAlign w:val="center"/>
            <w:hideMark/>
          </w:tcPr>
          <w:p w14:paraId="2D7C33E2" w14:textId="77777777" w:rsidR="00E7168B" w:rsidRPr="00D618B7" w:rsidRDefault="00E7168B" w:rsidP="004B11B7">
            <w:pPr>
              <w:jc w:val="right"/>
              <w:rPr>
                <w:color w:val="000000"/>
                <w:sz w:val="20"/>
                <w:szCs w:val="20"/>
              </w:rPr>
            </w:pPr>
            <w:r w:rsidRPr="00D618B7">
              <w:rPr>
                <w:color w:val="000000"/>
                <w:sz w:val="20"/>
                <w:szCs w:val="20"/>
              </w:rPr>
              <w:t>0.0036</w:t>
            </w:r>
          </w:p>
        </w:tc>
      </w:tr>
      <w:tr w:rsidR="00E7168B" w:rsidRPr="00D618B7" w14:paraId="0987DAAE" w14:textId="77777777" w:rsidTr="00E7168B">
        <w:trPr>
          <w:trHeight w:val="269"/>
        </w:trPr>
        <w:tc>
          <w:tcPr>
            <w:tcW w:w="1349" w:type="dxa"/>
            <w:tcBorders>
              <w:top w:val="single" w:sz="18" w:space="0" w:color="auto"/>
              <w:left w:val="nil"/>
              <w:bottom w:val="nil"/>
              <w:right w:val="nil"/>
            </w:tcBorders>
            <w:shd w:val="clear" w:color="000000" w:fill="FFFFFF"/>
            <w:noWrap/>
            <w:vAlign w:val="bottom"/>
            <w:hideMark/>
          </w:tcPr>
          <w:p w14:paraId="602DCD55" w14:textId="77777777" w:rsidR="00E7168B" w:rsidRPr="00D618B7" w:rsidRDefault="00E7168B" w:rsidP="004B11B7">
            <w:pPr>
              <w:rPr>
                <w:color w:val="000000"/>
                <w:sz w:val="20"/>
                <w:szCs w:val="20"/>
              </w:rPr>
            </w:pPr>
            <w:r w:rsidRPr="00D618B7">
              <w:rPr>
                <w:color w:val="000000"/>
                <w:sz w:val="20"/>
                <w:szCs w:val="20"/>
              </w:rPr>
              <w:t> </w:t>
            </w:r>
          </w:p>
        </w:tc>
        <w:tc>
          <w:tcPr>
            <w:tcW w:w="7576" w:type="dxa"/>
            <w:gridSpan w:val="6"/>
            <w:tcBorders>
              <w:top w:val="single" w:sz="18" w:space="0" w:color="auto"/>
              <w:left w:val="nil"/>
              <w:bottom w:val="nil"/>
              <w:right w:val="nil"/>
            </w:tcBorders>
            <w:shd w:val="clear" w:color="000000" w:fill="FFFFFF"/>
            <w:noWrap/>
            <w:vAlign w:val="center"/>
            <w:hideMark/>
          </w:tcPr>
          <w:p w14:paraId="582B206D" w14:textId="77777777" w:rsidR="00E7168B" w:rsidRPr="00D618B7" w:rsidRDefault="00E7168B" w:rsidP="004B11B7">
            <w:pPr>
              <w:jc w:val="center"/>
              <w:rPr>
                <w:color w:val="000000"/>
                <w:sz w:val="20"/>
                <w:szCs w:val="20"/>
              </w:rPr>
            </w:pPr>
            <w:r w:rsidRPr="00D618B7">
              <w:rPr>
                <w:color w:val="000000"/>
                <w:sz w:val="20"/>
                <w:szCs w:val="20"/>
              </w:rPr>
              <w:t>Toy-Moving-into-Reach</w:t>
            </w:r>
          </w:p>
        </w:tc>
      </w:tr>
      <w:tr w:rsidR="00E7168B" w:rsidRPr="00D618B7" w14:paraId="77D95F88" w14:textId="77777777" w:rsidTr="00E7168B">
        <w:trPr>
          <w:trHeight w:val="269"/>
        </w:trPr>
        <w:tc>
          <w:tcPr>
            <w:tcW w:w="1349" w:type="dxa"/>
            <w:tcBorders>
              <w:top w:val="nil"/>
              <w:left w:val="nil"/>
              <w:bottom w:val="nil"/>
              <w:right w:val="nil"/>
            </w:tcBorders>
            <w:shd w:val="clear" w:color="000000" w:fill="FFFFFF"/>
            <w:vAlign w:val="center"/>
            <w:hideMark/>
          </w:tcPr>
          <w:p w14:paraId="3BDCF9F6" w14:textId="77777777" w:rsidR="00E7168B" w:rsidRPr="00D618B7" w:rsidRDefault="00E7168B" w:rsidP="004B11B7">
            <w:pPr>
              <w:jc w:val="right"/>
              <w:rPr>
                <w:color w:val="000000"/>
                <w:sz w:val="20"/>
                <w:szCs w:val="20"/>
              </w:rPr>
            </w:pPr>
            <w:r w:rsidRPr="00D618B7">
              <w:rPr>
                <w:color w:val="000000"/>
                <w:sz w:val="20"/>
                <w:szCs w:val="20"/>
              </w:rPr>
              <w:t>-5</w:t>
            </w:r>
          </w:p>
        </w:tc>
        <w:tc>
          <w:tcPr>
            <w:tcW w:w="1041" w:type="dxa"/>
            <w:tcBorders>
              <w:top w:val="nil"/>
              <w:left w:val="nil"/>
              <w:bottom w:val="nil"/>
              <w:right w:val="nil"/>
            </w:tcBorders>
            <w:shd w:val="clear" w:color="000000" w:fill="FFFFFF"/>
            <w:noWrap/>
            <w:vAlign w:val="center"/>
            <w:hideMark/>
          </w:tcPr>
          <w:p w14:paraId="276E276A" w14:textId="77777777" w:rsidR="00E7168B" w:rsidRPr="00D618B7" w:rsidRDefault="00E7168B" w:rsidP="004B11B7">
            <w:pPr>
              <w:jc w:val="right"/>
              <w:rPr>
                <w:color w:val="000000"/>
                <w:sz w:val="20"/>
                <w:szCs w:val="20"/>
              </w:rPr>
            </w:pPr>
            <w:r w:rsidRPr="00D618B7">
              <w:rPr>
                <w:color w:val="000000"/>
                <w:sz w:val="20"/>
                <w:szCs w:val="20"/>
              </w:rPr>
              <w:t>0.0016</w:t>
            </w:r>
          </w:p>
        </w:tc>
        <w:tc>
          <w:tcPr>
            <w:tcW w:w="1106" w:type="dxa"/>
            <w:tcBorders>
              <w:top w:val="nil"/>
              <w:left w:val="nil"/>
              <w:bottom w:val="nil"/>
              <w:right w:val="nil"/>
            </w:tcBorders>
            <w:shd w:val="clear" w:color="000000" w:fill="FFFFFF"/>
            <w:noWrap/>
            <w:vAlign w:val="center"/>
            <w:hideMark/>
          </w:tcPr>
          <w:p w14:paraId="47EAC734" w14:textId="77777777" w:rsidR="00E7168B" w:rsidRPr="00D618B7" w:rsidRDefault="00E7168B" w:rsidP="004B11B7">
            <w:pPr>
              <w:jc w:val="right"/>
              <w:rPr>
                <w:color w:val="000000"/>
                <w:sz w:val="20"/>
                <w:szCs w:val="20"/>
              </w:rPr>
            </w:pPr>
            <w:r w:rsidRPr="00D618B7">
              <w:rPr>
                <w:color w:val="000000"/>
                <w:sz w:val="20"/>
                <w:szCs w:val="20"/>
              </w:rPr>
              <w:t>0.0015</w:t>
            </w:r>
          </w:p>
        </w:tc>
        <w:tc>
          <w:tcPr>
            <w:tcW w:w="1573" w:type="dxa"/>
            <w:tcBorders>
              <w:top w:val="nil"/>
              <w:left w:val="nil"/>
              <w:bottom w:val="nil"/>
              <w:right w:val="nil"/>
            </w:tcBorders>
            <w:shd w:val="clear" w:color="000000" w:fill="FFFFFF"/>
            <w:noWrap/>
            <w:vAlign w:val="center"/>
            <w:hideMark/>
          </w:tcPr>
          <w:p w14:paraId="14E8EA7D" w14:textId="77777777" w:rsidR="00E7168B" w:rsidRPr="00D618B7" w:rsidRDefault="00E7168B" w:rsidP="004B11B7">
            <w:pPr>
              <w:jc w:val="right"/>
              <w:rPr>
                <w:color w:val="000000"/>
                <w:sz w:val="20"/>
                <w:szCs w:val="20"/>
              </w:rPr>
            </w:pPr>
            <w:r w:rsidRPr="00D618B7">
              <w:rPr>
                <w:color w:val="000000"/>
                <w:sz w:val="20"/>
                <w:szCs w:val="20"/>
              </w:rPr>
              <w:t>0.0002</w:t>
            </w:r>
          </w:p>
        </w:tc>
        <w:tc>
          <w:tcPr>
            <w:tcW w:w="1095" w:type="dxa"/>
            <w:tcBorders>
              <w:top w:val="nil"/>
              <w:left w:val="nil"/>
              <w:bottom w:val="nil"/>
              <w:right w:val="nil"/>
            </w:tcBorders>
            <w:shd w:val="clear" w:color="000000" w:fill="FFFFFF"/>
            <w:noWrap/>
            <w:vAlign w:val="center"/>
            <w:hideMark/>
          </w:tcPr>
          <w:p w14:paraId="467873A8" w14:textId="77777777" w:rsidR="00E7168B" w:rsidRPr="00D618B7" w:rsidRDefault="00E7168B" w:rsidP="004B11B7">
            <w:pPr>
              <w:jc w:val="right"/>
              <w:rPr>
                <w:color w:val="000000"/>
                <w:sz w:val="20"/>
                <w:szCs w:val="20"/>
              </w:rPr>
            </w:pPr>
            <w:r w:rsidRPr="00D618B7">
              <w:rPr>
                <w:color w:val="000000"/>
                <w:sz w:val="20"/>
                <w:szCs w:val="20"/>
              </w:rPr>
              <w:t>0.0004</w:t>
            </w:r>
          </w:p>
        </w:tc>
        <w:tc>
          <w:tcPr>
            <w:tcW w:w="1628" w:type="dxa"/>
            <w:tcBorders>
              <w:top w:val="nil"/>
              <w:left w:val="nil"/>
              <w:bottom w:val="nil"/>
              <w:right w:val="nil"/>
            </w:tcBorders>
            <w:shd w:val="clear" w:color="000000" w:fill="FFFFFF"/>
            <w:noWrap/>
            <w:vAlign w:val="center"/>
            <w:hideMark/>
          </w:tcPr>
          <w:p w14:paraId="15F9E15B" w14:textId="77777777" w:rsidR="00E7168B" w:rsidRPr="00D618B7" w:rsidRDefault="00E7168B" w:rsidP="004B11B7">
            <w:pPr>
              <w:jc w:val="right"/>
              <w:rPr>
                <w:color w:val="000000"/>
                <w:sz w:val="20"/>
                <w:szCs w:val="20"/>
              </w:rPr>
            </w:pPr>
            <w:r w:rsidRPr="00D618B7">
              <w:rPr>
                <w:color w:val="000000"/>
                <w:sz w:val="20"/>
                <w:szCs w:val="20"/>
              </w:rPr>
              <w:t>0.0030</w:t>
            </w:r>
          </w:p>
        </w:tc>
        <w:tc>
          <w:tcPr>
            <w:tcW w:w="1133" w:type="dxa"/>
            <w:tcBorders>
              <w:top w:val="nil"/>
              <w:left w:val="nil"/>
              <w:bottom w:val="nil"/>
              <w:right w:val="nil"/>
            </w:tcBorders>
            <w:shd w:val="clear" w:color="000000" w:fill="FFFFFF"/>
            <w:noWrap/>
            <w:vAlign w:val="center"/>
            <w:hideMark/>
          </w:tcPr>
          <w:p w14:paraId="2E47140F" w14:textId="77777777" w:rsidR="00E7168B" w:rsidRPr="00D618B7" w:rsidRDefault="00E7168B" w:rsidP="004B11B7">
            <w:pPr>
              <w:jc w:val="right"/>
              <w:rPr>
                <w:color w:val="000000"/>
                <w:sz w:val="20"/>
                <w:szCs w:val="20"/>
              </w:rPr>
            </w:pPr>
            <w:r w:rsidRPr="00D618B7">
              <w:rPr>
                <w:color w:val="000000"/>
                <w:sz w:val="20"/>
                <w:szCs w:val="20"/>
              </w:rPr>
              <w:t>0.0021</w:t>
            </w:r>
          </w:p>
        </w:tc>
      </w:tr>
      <w:tr w:rsidR="00E7168B" w:rsidRPr="00D618B7" w14:paraId="7411CDE5" w14:textId="77777777" w:rsidTr="00E7168B">
        <w:trPr>
          <w:trHeight w:val="269"/>
        </w:trPr>
        <w:tc>
          <w:tcPr>
            <w:tcW w:w="1349" w:type="dxa"/>
            <w:tcBorders>
              <w:top w:val="nil"/>
              <w:left w:val="nil"/>
              <w:bottom w:val="nil"/>
              <w:right w:val="nil"/>
            </w:tcBorders>
            <w:shd w:val="clear" w:color="000000" w:fill="FFFFFF"/>
            <w:vAlign w:val="center"/>
            <w:hideMark/>
          </w:tcPr>
          <w:p w14:paraId="6932EDAC" w14:textId="77777777" w:rsidR="00E7168B" w:rsidRPr="00D618B7" w:rsidRDefault="00E7168B" w:rsidP="004B11B7">
            <w:pPr>
              <w:jc w:val="right"/>
              <w:rPr>
                <w:color w:val="000000"/>
                <w:sz w:val="20"/>
                <w:szCs w:val="20"/>
              </w:rPr>
            </w:pPr>
            <w:r w:rsidRPr="00D618B7">
              <w:rPr>
                <w:color w:val="000000"/>
                <w:sz w:val="20"/>
                <w:szCs w:val="20"/>
              </w:rPr>
              <w:t>-4</w:t>
            </w:r>
          </w:p>
        </w:tc>
        <w:tc>
          <w:tcPr>
            <w:tcW w:w="1041" w:type="dxa"/>
            <w:tcBorders>
              <w:top w:val="nil"/>
              <w:left w:val="nil"/>
              <w:bottom w:val="nil"/>
              <w:right w:val="nil"/>
            </w:tcBorders>
            <w:shd w:val="clear" w:color="000000" w:fill="FFFFFF"/>
            <w:noWrap/>
            <w:vAlign w:val="center"/>
            <w:hideMark/>
          </w:tcPr>
          <w:p w14:paraId="61D4D6B2" w14:textId="77777777" w:rsidR="00E7168B" w:rsidRPr="00D618B7" w:rsidRDefault="00E7168B" w:rsidP="004B11B7">
            <w:pPr>
              <w:jc w:val="right"/>
              <w:rPr>
                <w:color w:val="000000"/>
                <w:sz w:val="20"/>
                <w:szCs w:val="20"/>
              </w:rPr>
            </w:pPr>
            <w:r w:rsidRPr="00D618B7">
              <w:rPr>
                <w:color w:val="000000"/>
                <w:sz w:val="20"/>
                <w:szCs w:val="20"/>
              </w:rPr>
              <w:t>-0.0033</w:t>
            </w:r>
          </w:p>
        </w:tc>
        <w:tc>
          <w:tcPr>
            <w:tcW w:w="1106" w:type="dxa"/>
            <w:tcBorders>
              <w:top w:val="nil"/>
              <w:left w:val="nil"/>
              <w:bottom w:val="nil"/>
              <w:right w:val="nil"/>
            </w:tcBorders>
            <w:shd w:val="clear" w:color="000000" w:fill="FFFFFF"/>
            <w:noWrap/>
            <w:vAlign w:val="center"/>
            <w:hideMark/>
          </w:tcPr>
          <w:p w14:paraId="3D3D4421" w14:textId="77777777" w:rsidR="00E7168B" w:rsidRPr="00D618B7" w:rsidRDefault="00E7168B" w:rsidP="004B11B7">
            <w:pPr>
              <w:jc w:val="right"/>
              <w:rPr>
                <w:color w:val="000000"/>
                <w:sz w:val="20"/>
                <w:szCs w:val="20"/>
              </w:rPr>
            </w:pPr>
            <w:r w:rsidRPr="00D618B7">
              <w:rPr>
                <w:color w:val="000000"/>
                <w:sz w:val="20"/>
                <w:szCs w:val="20"/>
              </w:rPr>
              <w:t>0.0001</w:t>
            </w:r>
          </w:p>
        </w:tc>
        <w:tc>
          <w:tcPr>
            <w:tcW w:w="1573" w:type="dxa"/>
            <w:tcBorders>
              <w:top w:val="nil"/>
              <w:left w:val="nil"/>
              <w:bottom w:val="nil"/>
              <w:right w:val="nil"/>
            </w:tcBorders>
            <w:shd w:val="clear" w:color="000000" w:fill="FFFFFF"/>
            <w:noWrap/>
            <w:vAlign w:val="center"/>
            <w:hideMark/>
          </w:tcPr>
          <w:p w14:paraId="726B7B2E" w14:textId="77777777" w:rsidR="00E7168B" w:rsidRPr="00D618B7" w:rsidRDefault="00E7168B" w:rsidP="004B11B7">
            <w:pPr>
              <w:jc w:val="right"/>
              <w:rPr>
                <w:color w:val="000000"/>
                <w:sz w:val="20"/>
                <w:szCs w:val="20"/>
              </w:rPr>
            </w:pPr>
            <w:r w:rsidRPr="00D618B7">
              <w:rPr>
                <w:color w:val="000000"/>
                <w:sz w:val="20"/>
                <w:szCs w:val="20"/>
              </w:rPr>
              <w:t>-0.0002</w:t>
            </w:r>
          </w:p>
        </w:tc>
        <w:tc>
          <w:tcPr>
            <w:tcW w:w="1095" w:type="dxa"/>
            <w:tcBorders>
              <w:top w:val="nil"/>
              <w:left w:val="nil"/>
              <w:bottom w:val="nil"/>
              <w:right w:val="nil"/>
            </w:tcBorders>
            <w:shd w:val="clear" w:color="000000" w:fill="FFFFFF"/>
            <w:noWrap/>
            <w:vAlign w:val="center"/>
            <w:hideMark/>
          </w:tcPr>
          <w:p w14:paraId="206181B5" w14:textId="77777777" w:rsidR="00E7168B" w:rsidRPr="00D618B7" w:rsidRDefault="00E7168B" w:rsidP="004B11B7">
            <w:pPr>
              <w:jc w:val="right"/>
              <w:rPr>
                <w:color w:val="000000"/>
                <w:sz w:val="20"/>
                <w:szCs w:val="20"/>
              </w:rPr>
            </w:pPr>
            <w:r w:rsidRPr="00D618B7">
              <w:rPr>
                <w:color w:val="000000"/>
                <w:sz w:val="20"/>
                <w:szCs w:val="20"/>
              </w:rPr>
              <w:t>0.0005</w:t>
            </w:r>
          </w:p>
        </w:tc>
        <w:tc>
          <w:tcPr>
            <w:tcW w:w="1628" w:type="dxa"/>
            <w:tcBorders>
              <w:top w:val="nil"/>
              <w:left w:val="nil"/>
              <w:bottom w:val="nil"/>
              <w:right w:val="nil"/>
            </w:tcBorders>
            <w:shd w:val="clear" w:color="000000" w:fill="FFFFFF"/>
            <w:noWrap/>
            <w:vAlign w:val="center"/>
            <w:hideMark/>
          </w:tcPr>
          <w:p w14:paraId="57B9C91B" w14:textId="77777777" w:rsidR="00E7168B" w:rsidRPr="00D618B7" w:rsidRDefault="00E7168B" w:rsidP="004B11B7">
            <w:pPr>
              <w:jc w:val="right"/>
              <w:rPr>
                <w:color w:val="000000"/>
                <w:sz w:val="20"/>
                <w:szCs w:val="20"/>
              </w:rPr>
            </w:pPr>
            <w:r w:rsidRPr="00D618B7">
              <w:rPr>
                <w:color w:val="000000"/>
                <w:sz w:val="20"/>
                <w:szCs w:val="20"/>
              </w:rPr>
              <w:t>-0.0001</w:t>
            </w:r>
          </w:p>
        </w:tc>
        <w:tc>
          <w:tcPr>
            <w:tcW w:w="1133" w:type="dxa"/>
            <w:tcBorders>
              <w:top w:val="nil"/>
              <w:left w:val="nil"/>
              <w:bottom w:val="nil"/>
              <w:right w:val="nil"/>
            </w:tcBorders>
            <w:shd w:val="clear" w:color="000000" w:fill="FFFFFF"/>
            <w:noWrap/>
            <w:vAlign w:val="center"/>
            <w:hideMark/>
          </w:tcPr>
          <w:p w14:paraId="0D64EE2C" w14:textId="77777777" w:rsidR="00E7168B" w:rsidRPr="00D618B7" w:rsidRDefault="00E7168B" w:rsidP="004B11B7">
            <w:pPr>
              <w:jc w:val="right"/>
              <w:rPr>
                <w:color w:val="000000"/>
                <w:sz w:val="20"/>
                <w:szCs w:val="20"/>
              </w:rPr>
            </w:pPr>
            <w:r w:rsidRPr="00D618B7">
              <w:rPr>
                <w:color w:val="000000"/>
                <w:sz w:val="20"/>
                <w:szCs w:val="20"/>
              </w:rPr>
              <w:t>0.0004</w:t>
            </w:r>
          </w:p>
        </w:tc>
      </w:tr>
      <w:tr w:rsidR="00E7168B" w:rsidRPr="00D618B7" w14:paraId="40B40213" w14:textId="77777777" w:rsidTr="00E7168B">
        <w:trPr>
          <w:trHeight w:val="269"/>
        </w:trPr>
        <w:tc>
          <w:tcPr>
            <w:tcW w:w="1349" w:type="dxa"/>
            <w:tcBorders>
              <w:top w:val="nil"/>
              <w:left w:val="nil"/>
              <w:bottom w:val="nil"/>
              <w:right w:val="nil"/>
            </w:tcBorders>
            <w:shd w:val="clear" w:color="000000" w:fill="FFFFFF"/>
            <w:vAlign w:val="center"/>
            <w:hideMark/>
          </w:tcPr>
          <w:p w14:paraId="6A14C812" w14:textId="77777777" w:rsidR="00E7168B" w:rsidRPr="00D618B7" w:rsidRDefault="00E7168B" w:rsidP="004B11B7">
            <w:pPr>
              <w:jc w:val="right"/>
              <w:rPr>
                <w:color w:val="000000"/>
                <w:sz w:val="20"/>
                <w:szCs w:val="20"/>
              </w:rPr>
            </w:pPr>
            <w:r w:rsidRPr="00D618B7">
              <w:rPr>
                <w:color w:val="000000"/>
                <w:sz w:val="20"/>
                <w:szCs w:val="20"/>
              </w:rPr>
              <w:t>-3</w:t>
            </w:r>
          </w:p>
        </w:tc>
        <w:tc>
          <w:tcPr>
            <w:tcW w:w="1041" w:type="dxa"/>
            <w:tcBorders>
              <w:top w:val="nil"/>
              <w:left w:val="nil"/>
              <w:bottom w:val="nil"/>
              <w:right w:val="nil"/>
            </w:tcBorders>
            <w:shd w:val="clear" w:color="000000" w:fill="FFFFFF"/>
            <w:noWrap/>
            <w:vAlign w:val="center"/>
            <w:hideMark/>
          </w:tcPr>
          <w:p w14:paraId="3A4C3A5F" w14:textId="77777777" w:rsidR="00E7168B" w:rsidRPr="00D618B7" w:rsidRDefault="00E7168B" w:rsidP="004B11B7">
            <w:pPr>
              <w:jc w:val="right"/>
              <w:rPr>
                <w:color w:val="000000"/>
                <w:sz w:val="20"/>
                <w:szCs w:val="20"/>
              </w:rPr>
            </w:pPr>
            <w:r w:rsidRPr="00D618B7">
              <w:rPr>
                <w:color w:val="000000"/>
                <w:sz w:val="20"/>
                <w:szCs w:val="20"/>
              </w:rPr>
              <w:t>0.0037</w:t>
            </w:r>
          </w:p>
        </w:tc>
        <w:tc>
          <w:tcPr>
            <w:tcW w:w="1106" w:type="dxa"/>
            <w:tcBorders>
              <w:top w:val="nil"/>
              <w:left w:val="nil"/>
              <w:bottom w:val="nil"/>
              <w:right w:val="nil"/>
            </w:tcBorders>
            <w:shd w:val="clear" w:color="000000" w:fill="FFFFFF"/>
            <w:noWrap/>
            <w:vAlign w:val="center"/>
            <w:hideMark/>
          </w:tcPr>
          <w:p w14:paraId="19683491" w14:textId="77777777" w:rsidR="00E7168B" w:rsidRPr="00D618B7" w:rsidRDefault="00E7168B" w:rsidP="004B11B7">
            <w:pPr>
              <w:jc w:val="right"/>
              <w:rPr>
                <w:color w:val="000000"/>
                <w:sz w:val="20"/>
                <w:szCs w:val="20"/>
              </w:rPr>
            </w:pPr>
            <w:r w:rsidRPr="00D618B7">
              <w:rPr>
                <w:color w:val="000000"/>
                <w:sz w:val="20"/>
                <w:szCs w:val="20"/>
              </w:rPr>
              <w:t>0.0009</w:t>
            </w:r>
          </w:p>
        </w:tc>
        <w:tc>
          <w:tcPr>
            <w:tcW w:w="1573" w:type="dxa"/>
            <w:tcBorders>
              <w:top w:val="nil"/>
              <w:left w:val="nil"/>
              <w:bottom w:val="nil"/>
              <w:right w:val="nil"/>
            </w:tcBorders>
            <w:shd w:val="clear" w:color="000000" w:fill="FFFFFF"/>
            <w:noWrap/>
            <w:vAlign w:val="center"/>
            <w:hideMark/>
          </w:tcPr>
          <w:p w14:paraId="4DB56149" w14:textId="77777777" w:rsidR="00E7168B" w:rsidRPr="00D618B7" w:rsidRDefault="00E7168B" w:rsidP="004B11B7">
            <w:pPr>
              <w:jc w:val="right"/>
              <w:rPr>
                <w:color w:val="000000"/>
                <w:sz w:val="20"/>
                <w:szCs w:val="20"/>
              </w:rPr>
            </w:pPr>
            <w:r w:rsidRPr="00D618B7">
              <w:rPr>
                <w:color w:val="000000"/>
                <w:sz w:val="20"/>
                <w:szCs w:val="20"/>
              </w:rPr>
              <w:t>0.0001</w:t>
            </w:r>
          </w:p>
        </w:tc>
        <w:tc>
          <w:tcPr>
            <w:tcW w:w="1095" w:type="dxa"/>
            <w:tcBorders>
              <w:top w:val="nil"/>
              <w:left w:val="nil"/>
              <w:bottom w:val="nil"/>
              <w:right w:val="nil"/>
            </w:tcBorders>
            <w:shd w:val="clear" w:color="000000" w:fill="FFFFFF"/>
            <w:noWrap/>
            <w:vAlign w:val="center"/>
            <w:hideMark/>
          </w:tcPr>
          <w:p w14:paraId="426219B7" w14:textId="77777777" w:rsidR="00E7168B" w:rsidRPr="00D618B7" w:rsidRDefault="00E7168B" w:rsidP="004B11B7">
            <w:pPr>
              <w:jc w:val="right"/>
              <w:rPr>
                <w:color w:val="000000"/>
                <w:sz w:val="20"/>
                <w:szCs w:val="20"/>
              </w:rPr>
            </w:pPr>
            <w:r w:rsidRPr="00D618B7">
              <w:rPr>
                <w:color w:val="000000"/>
                <w:sz w:val="20"/>
                <w:szCs w:val="20"/>
              </w:rPr>
              <w:t>0.0004</w:t>
            </w:r>
          </w:p>
        </w:tc>
        <w:tc>
          <w:tcPr>
            <w:tcW w:w="1628" w:type="dxa"/>
            <w:tcBorders>
              <w:top w:val="nil"/>
              <w:left w:val="nil"/>
              <w:bottom w:val="nil"/>
              <w:right w:val="nil"/>
            </w:tcBorders>
            <w:shd w:val="clear" w:color="000000" w:fill="FFFFFF"/>
            <w:noWrap/>
            <w:vAlign w:val="center"/>
            <w:hideMark/>
          </w:tcPr>
          <w:p w14:paraId="48816669" w14:textId="77777777" w:rsidR="00E7168B" w:rsidRPr="00D618B7" w:rsidRDefault="00E7168B" w:rsidP="004B11B7">
            <w:pPr>
              <w:jc w:val="right"/>
              <w:rPr>
                <w:color w:val="000000"/>
                <w:sz w:val="20"/>
                <w:szCs w:val="20"/>
              </w:rPr>
            </w:pPr>
            <w:r w:rsidRPr="00D618B7">
              <w:rPr>
                <w:color w:val="000000"/>
                <w:sz w:val="20"/>
                <w:szCs w:val="20"/>
              </w:rPr>
              <w:t>-0.0007</w:t>
            </w:r>
          </w:p>
        </w:tc>
        <w:tc>
          <w:tcPr>
            <w:tcW w:w="1133" w:type="dxa"/>
            <w:tcBorders>
              <w:top w:val="nil"/>
              <w:left w:val="nil"/>
              <w:bottom w:val="nil"/>
              <w:right w:val="nil"/>
            </w:tcBorders>
            <w:shd w:val="clear" w:color="000000" w:fill="FFFFFF"/>
            <w:noWrap/>
            <w:vAlign w:val="center"/>
            <w:hideMark/>
          </w:tcPr>
          <w:p w14:paraId="27429753" w14:textId="77777777" w:rsidR="00E7168B" w:rsidRPr="00D618B7" w:rsidRDefault="00E7168B" w:rsidP="004B11B7">
            <w:pPr>
              <w:jc w:val="right"/>
              <w:rPr>
                <w:color w:val="000000"/>
                <w:sz w:val="20"/>
                <w:szCs w:val="20"/>
              </w:rPr>
            </w:pPr>
            <w:r w:rsidRPr="00D618B7">
              <w:rPr>
                <w:color w:val="000000"/>
                <w:sz w:val="20"/>
                <w:szCs w:val="20"/>
              </w:rPr>
              <w:t>0.0003</w:t>
            </w:r>
          </w:p>
        </w:tc>
      </w:tr>
      <w:tr w:rsidR="00E7168B" w:rsidRPr="00D618B7" w14:paraId="7101B91D" w14:textId="77777777" w:rsidTr="00E7168B">
        <w:trPr>
          <w:trHeight w:val="269"/>
        </w:trPr>
        <w:tc>
          <w:tcPr>
            <w:tcW w:w="1349" w:type="dxa"/>
            <w:tcBorders>
              <w:top w:val="nil"/>
              <w:left w:val="nil"/>
              <w:bottom w:val="nil"/>
              <w:right w:val="nil"/>
            </w:tcBorders>
            <w:shd w:val="clear" w:color="000000" w:fill="FFFFFF"/>
            <w:vAlign w:val="center"/>
            <w:hideMark/>
          </w:tcPr>
          <w:p w14:paraId="54C07236" w14:textId="77777777" w:rsidR="00E7168B" w:rsidRPr="00D618B7" w:rsidRDefault="00E7168B" w:rsidP="004B11B7">
            <w:pPr>
              <w:jc w:val="right"/>
              <w:rPr>
                <w:color w:val="000000"/>
                <w:sz w:val="20"/>
                <w:szCs w:val="20"/>
              </w:rPr>
            </w:pPr>
            <w:r w:rsidRPr="00D618B7">
              <w:rPr>
                <w:color w:val="000000"/>
                <w:sz w:val="20"/>
                <w:szCs w:val="20"/>
              </w:rPr>
              <w:t>-2</w:t>
            </w:r>
          </w:p>
        </w:tc>
        <w:tc>
          <w:tcPr>
            <w:tcW w:w="1041" w:type="dxa"/>
            <w:tcBorders>
              <w:top w:val="nil"/>
              <w:left w:val="nil"/>
              <w:bottom w:val="nil"/>
              <w:right w:val="nil"/>
            </w:tcBorders>
            <w:shd w:val="clear" w:color="000000" w:fill="FFFFFF"/>
            <w:noWrap/>
            <w:vAlign w:val="center"/>
            <w:hideMark/>
          </w:tcPr>
          <w:p w14:paraId="75EA5D40" w14:textId="77777777" w:rsidR="00E7168B" w:rsidRPr="00D618B7" w:rsidRDefault="00E7168B" w:rsidP="004B11B7">
            <w:pPr>
              <w:jc w:val="right"/>
              <w:rPr>
                <w:color w:val="000000"/>
                <w:sz w:val="20"/>
                <w:szCs w:val="20"/>
              </w:rPr>
            </w:pPr>
            <w:r w:rsidRPr="00D618B7">
              <w:rPr>
                <w:color w:val="000000"/>
                <w:sz w:val="20"/>
                <w:szCs w:val="20"/>
              </w:rPr>
              <w:t>-0.0025</w:t>
            </w:r>
          </w:p>
        </w:tc>
        <w:tc>
          <w:tcPr>
            <w:tcW w:w="1106" w:type="dxa"/>
            <w:tcBorders>
              <w:top w:val="nil"/>
              <w:left w:val="nil"/>
              <w:bottom w:val="nil"/>
              <w:right w:val="nil"/>
            </w:tcBorders>
            <w:shd w:val="clear" w:color="000000" w:fill="FFFFFF"/>
            <w:noWrap/>
            <w:vAlign w:val="center"/>
            <w:hideMark/>
          </w:tcPr>
          <w:p w14:paraId="3B086613" w14:textId="77777777" w:rsidR="00E7168B" w:rsidRPr="00D618B7" w:rsidRDefault="00E7168B" w:rsidP="004B11B7">
            <w:pPr>
              <w:jc w:val="right"/>
              <w:rPr>
                <w:color w:val="000000"/>
                <w:sz w:val="20"/>
                <w:szCs w:val="20"/>
              </w:rPr>
            </w:pPr>
            <w:r w:rsidRPr="00D618B7">
              <w:rPr>
                <w:color w:val="000000"/>
                <w:sz w:val="20"/>
                <w:szCs w:val="20"/>
              </w:rPr>
              <w:t>0.0003</w:t>
            </w:r>
          </w:p>
        </w:tc>
        <w:tc>
          <w:tcPr>
            <w:tcW w:w="1573" w:type="dxa"/>
            <w:tcBorders>
              <w:top w:val="nil"/>
              <w:left w:val="nil"/>
              <w:bottom w:val="nil"/>
              <w:right w:val="nil"/>
            </w:tcBorders>
            <w:shd w:val="clear" w:color="000000" w:fill="FFFFFF"/>
            <w:noWrap/>
            <w:vAlign w:val="center"/>
            <w:hideMark/>
          </w:tcPr>
          <w:p w14:paraId="4C40AA43" w14:textId="77777777" w:rsidR="00E7168B" w:rsidRPr="00D618B7" w:rsidRDefault="00E7168B" w:rsidP="004B11B7">
            <w:pPr>
              <w:jc w:val="right"/>
              <w:rPr>
                <w:color w:val="000000"/>
                <w:sz w:val="20"/>
                <w:szCs w:val="20"/>
              </w:rPr>
            </w:pPr>
            <w:r w:rsidRPr="00D618B7">
              <w:rPr>
                <w:color w:val="000000"/>
                <w:sz w:val="20"/>
                <w:szCs w:val="20"/>
              </w:rPr>
              <w:t>-0.0007</w:t>
            </w:r>
          </w:p>
        </w:tc>
        <w:tc>
          <w:tcPr>
            <w:tcW w:w="1095" w:type="dxa"/>
            <w:tcBorders>
              <w:top w:val="nil"/>
              <w:left w:val="nil"/>
              <w:bottom w:val="nil"/>
              <w:right w:val="nil"/>
            </w:tcBorders>
            <w:shd w:val="clear" w:color="000000" w:fill="FFFFFF"/>
            <w:noWrap/>
            <w:vAlign w:val="center"/>
            <w:hideMark/>
          </w:tcPr>
          <w:p w14:paraId="67D0B17E" w14:textId="77777777" w:rsidR="00E7168B" w:rsidRPr="00D618B7" w:rsidRDefault="00E7168B" w:rsidP="004B11B7">
            <w:pPr>
              <w:jc w:val="right"/>
              <w:rPr>
                <w:color w:val="000000"/>
                <w:sz w:val="20"/>
                <w:szCs w:val="20"/>
              </w:rPr>
            </w:pPr>
            <w:r w:rsidRPr="00D618B7">
              <w:rPr>
                <w:color w:val="000000"/>
                <w:sz w:val="20"/>
                <w:szCs w:val="20"/>
              </w:rPr>
              <w:t>0.0004</w:t>
            </w:r>
          </w:p>
        </w:tc>
        <w:tc>
          <w:tcPr>
            <w:tcW w:w="1628" w:type="dxa"/>
            <w:tcBorders>
              <w:top w:val="nil"/>
              <w:left w:val="nil"/>
              <w:bottom w:val="nil"/>
              <w:right w:val="nil"/>
            </w:tcBorders>
            <w:shd w:val="clear" w:color="000000" w:fill="FFFFFF"/>
            <w:noWrap/>
            <w:vAlign w:val="center"/>
            <w:hideMark/>
          </w:tcPr>
          <w:p w14:paraId="4C3610DB" w14:textId="77777777" w:rsidR="00E7168B" w:rsidRPr="00D618B7" w:rsidRDefault="00E7168B" w:rsidP="004B11B7">
            <w:pPr>
              <w:jc w:val="right"/>
              <w:rPr>
                <w:color w:val="000000"/>
                <w:sz w:val="20"/>
                <w:szCs w:val="20"/>
              </w:rPr>
            </w:pPr>
            <w:r w:rsidRPr="00D618B7">
              <w:rPr>
                <w:color w:val="000000"/>
                <w:sz w:val="20"/>
                <w:szCs w:val="20"/>
              </w:rPr>
              <w:t>0.0019</w:t>
            </w:r>
          </w:p>
        </w:tc>
        <w:tc>
          <w:tcPr>
            <w:tcW w:w="1133" w:type="dxa"/>
            <w:tcBorders>
              <w:top w:val="nil"/>
              <w:left w:val="nil"/>
              <w:bottom w:val="nil"/>
              <w:right w:val="nil"/>
            </w:tcBorders>
            <w:shd w:val="clear" w:color="000000" w:fill="FFFFFF"/>
            <w:noWrap/>
            <w:vAlign w:val="center"/>
            <w:hideMark/>
          </w:tcPr>
          <w:p w14:paraId="5131727B" w14:textId="77777777" w:rsidR="00E7168B" w:rsidRPr="00D618B7" w:rsidRDefault="00E7168B" w:rsidP="004B11B7">
            <w:pPr>
              <w:jc w:val="right"/>
              <w:rPr>
                <w:color w:val="000000"/>
                <w:sz w:val="20"/>
                <w:szCs w:val="20"/>
              </w:rPr>
            </w:pPr>
            <w:r w:rsidRPr="00D618B7">
              <w:rPr>
                <w:color w:val="000000"/>
                <w:sz w:val="20"/>
                <w:szCs w:val="20"/>
              </w:rPr>
              <w:t>0.0010</w:t>
            </w:r>
          </w:p>
        </w:tc>
      </w:tr>
      <w:tr w:rsidR="00E7168B" w:rsidRPr="00D618B7" w14:paraId="12B8006D" w14:textId="77777777" w:rsidTr="00E7168B">
        <w:trPr>
          <w:trHeight w:val="269"/>
        </w:trPr>
        <w:tc>
          <w:tcPr>
            <w:tcW w:w="1349" w:type="dxa"/>
            <w:tcBorders>
              <w:top w:val="nil"/>
              <w:left w:val="nil"/>
              <w:bottom w:val="nil"/>
              <w:right w:val="nil"/>
            </w:tcBorders>
            <w:shd w:val="clear" w:color="000000" w:fill="FFFFFF"/>
            <w:vAlign w:val="center"/>
            <w:hideMark/>
          </w:tcPr>
          <w:p w14:paraId="6A2784F8" w14:textId="77777777" w:rsidR="00E7168B" w:rsidRPr="00D618B7" w:rsidRDefault="00E7168B" w:rsidP="004B11B7">
            <w:pPr>
              <w:jc w:val="right"/>
              <w:rPr>
                <w:color w:val="000000"/>
                <w:sz w:val="20"/>
                <w:szCs w:val="20"/>
              </w:rPr>
            </w:pPr>
            <w:r w:rsidRPr="00D618B7">
              <w:rPr>
                <w:color w:val="000000"/>
                <w:sz w:val="20"/>
                <w:szCs w:val="20"/>
              </w:rPr>
              <w:t>-1</w:t>
            </w:r>
          </w:p>
        </w:tc>
        <w:tc>
          <w:tcPr>
            <w:tcW w:w="1041" w:type="dxa"/>
            <w:tcBorders>
              <w:top w:val="nil"/>
              <w:left w:val="nil"/>
              <w:bottom w:val="nil"/>
              <w:right w:val="nil"/>
            </w:tcBorders>
            <w:shd w:val="clear" w:color="000000" w:fill="FFFFFF"/>
            <w:noWrap/>
            <w:vAlign w:val="center"/>
            <w:hideMark/>
          </w:tcPr>
          <w:p w14:paraId="09250C9E" w14:textId="77777777" w:rsidR="00E7168B" w:rsidRPr="00D618B7" w:rsidRDefault="00E7168B" w:rsidP="004B11B7">
            <w:pPr>
              <w:jc w:val="right"/>
              <w:rPr>
                <w:color w:val="000000"/>
                <w:sz w:val="20"/>
                <w:szCs w:val="20"/>
              </w:rPr>
            </w:pPr>
            <w:r w:rsidRPr="00D618B7">
              <w:rPr>
                <w:color w:val="000000"/>
                <w:sz w:val="20"/>
                <w:szCs w:val="20"/>
              </w:rPr>
              <w:t>0.0007</w:t>
            </w:r>
          </w:p>
        </w:tc>
        <w:tc>
          <w:tcPr>
            <w:tcW w:w="1106" w:type="dxa"/>
            <w:tcBorders>
              <w:top w:val="nil"/>
              <w:left w:val="nil"/>
              <w:bottom w:val="nil"/>
              <w:right w:val="nil"/>
            </w:tcBorders>
            <w:shd w:val="clear" w:color="000000" w:fill="FFFFFF"/>
            <w:noWrap/>
            <w:vAlign w:val="center"/>
            <w:hideMark/>
          </w:tcPr>
          <w:p w14:paraId="6D61B9CD" w14:textId="77777777" w:rsidR="00E7168B" w:rsidRPr="00D618B7" w:rsidRDefault="00E7168B" w:rsidP="004B11B7">
            <w:pPr>
              <w:jc w:val="right"/>
              <w:rPr>
                <w:color w:val="000000"/>
                <w:sz w:val="20"/>
                <w:szCs w:val="20"/>
              </w:rPr>
            </w:pPr>
            <w:r w:rsidRPr="00D618B7">
              <w:rPr>
                <w:color w:val="000000"/>
                <w:sz w:val="20"/>
                <w:szCs w:val="20"/>
              </w:rPr>
              <w:t>0.0001</w:t>
            </w:r>
          </w:p>
        </w:tc>
        <w:tc>
          <w:tcPr>
            <w:tcW w:w="1573" w:type="dxa"/>
            <w:tcBorders>
              <w:top w:val="nil"/>
              <w:left w:val="nil"/>
              <w:bottom w:val="nil"/>
              <w:right w:val="nil"/>
            </w:tcBorders>
            <w:shd w:val="clear" w:color="000000" w:fill="FFFFFF"/>
            <w:noWrap/>
            <w:vAlign w:val="center"/>
            <w:hideMark/>
          </w:tcPr>
          <w:p w14:paraId="5921D459" w14:textId="77777777" w:rsidR="00E7168B" w:rsidRPr="00D618B7" w:rsidRDefault="00E7168B" w:rsidP="004B11B7">
            <w:pPr>
              <w:jc w:val="right"/>
              <w:rPr>
                <w:color w:val="000000"/>
                <w:sz w:val="20"/>
                <w:szCs w:val="20"/>
              </w:rPr>
            </w:pPr>
            <w:r w:rsidRPr="00D618B7">
              <w:rPr>
                <w:color w:val="000000"/>
                <w:sz w:val="20"/>
                <w:szCs w:val="20"/>
              </w:rPr>
              <w:t>0.0015</w:t>
            </w:r>
          </w:p>
        </w:tc>
        <w:tc>
          <w:tcPr>
            <w:tcW w:w="1095" w:type="dxa"/>
            <w:tcBorders>
              <w:top w:val="nil"/>
              <w:left w:val="nil"/>
              <w:bottom w:val="nil"/>
              <w:right w:val="nil"/>
            </w:tcBorders>
            <w:shd w:val="clear" w:color="000000" w:fill="FFFFFF"/>
            <w:noWrap/>
            <w:vAlign w:val="center"/>
            <w:hideMark/>
          </w:tcPr>
          <w:p w14:paraId="01DC4350" w14:textId="77777777" w:rsidR="00E7168B" w:rsidRPr="00D618B7" w:rsidRDefault="00E7168B" w:rsidP="004B11B7">
            <w:pPr>
              <w:jc w:val="right"/>
              <w:rPr>
                <w:color w:val="000000"/>
                <w:sz w:val="20"/>
                <w:szCs w:val="20"/>
              </w:rPr>
            </w:pPr>
            <w:r w:rsidRPr="00D618B7">
              <w:rPr>
                <w:color w:val="000000"/>
                <w:sz w:val="20"/>
                <w:szCs w:val="20"/>
              </w:rPr>
              <w:t>0.0011</w:t>
            </w:r>
          </w:p>
        </w:tc>
        <w:tc>
          <w:tcPr>
            <w:tcW w:w="1628" w:type="dxa"/>
            <w:tcBorders>
              <w:top w:val="nil"/>
              <w:left w:val="nil"/>
              <w:bottom w:val="nil"/>
              <w:right w:val="nil"/>
            </w:tcBorders>
            <w:shd w:val="clear" w:color="000000" w:fill="FFFFFF"/>
            <w:noWrap/>
            <w:vAlign w:val="center"/>
            <w:hideMark/>
          </w:tcPr>
          <w:p w14:paraId="7A0EF387" w14:textId="77777777" w:rsidR="00E7168B" w:rsidRPr="00D618B7" w:rsidRDefault="00E7168B" w:rsidP="004B11B7">
            <w:pPr>
              <w:jc w:val="right"/>
              <w:rPr>
                <w:color w:val="000000"/>
                <w:sz w:val="20"/>
                <w:szCs w:val="20"/>
              </w:rPr>
            </w:pPr>
            <w:r w:rsidRPr="00D618B7">
              <w:rPr>
                <w:color w:val="000000"/>
                <w:sz w:val="20"/>
                <w:szCs w:val="20"/>
              </w:rPr>
              <w:t>-0.0021</w:t>
            </w:r>
          </w:p>
        </w:tc>
        <w:tc>
          <w:tcPr>
            <w:tcW w:w="1133" w:type="dxa"/>
            <w:tcBorders>
              <w:top w:val="nil"/>
              <w:left w:val="nil"/>
              <w:bottom w:val="nil"/>
              <w:right w:val="nil"/>
            </w:tcBorders>
            <w:shd w:val="clear" w:color="000000" w:fill="FFFFFF"/>
            <w:noWrap/>
            <w:vAlign w:val="center"/>
            <w:hideMark/>
          </w:tcPr>
          <w:p w14:paraId="2AA18D57" w14:textId="77777777" w:rsidR="00E7168B" w:rsidRPr="00D618B7" w:rsidRDefault="00E7168B" w:rsidP="004B11B7">
            <w:pPr>
              <w:jc w:val="right"/>
              <w:rPr>
                <w:color w:val="000000"/>
                <w:sz w:val="20"/>
                <w:szCs w:val="20"/>
              </w:rPr>
            </w:pPr>
            <w:r w:rsidRPr="00D618B7">
              <w:rPr>
                <w:color w:val="000000"/>
                <w:sz w:val="20"/>
                <w:szCs w:val="20"/>
              </w:rPr>
              <w:t>0.0006</w:t>
            </w:r>
          </w:p>
        </w:tc>
      </w:tr>
      <w:tr w:rsidR="00E7168B" w:rsidRPr="00D618B7" w14:paraId="64301C2A" w14:textId="77777777" w:rsidTr="00E7168B">
        <w:trPr>
          <w:trHeight w:val="269"/>
        </w:trPr>
        <w:tc>
          <w:tcPr>
            <w:tcW w:w="1349" w:type="dxa"/>
            <w:tcBorders>
              <w:top w:val="nil"/>
              <w:left w:val="nil"/>
              <w:bottom w:val="nil"/>
              <w:right w:val="nil"/>
            </w:tcBorders>
            <w:shd w:val="clear" w:color="000000" w:fill="FFFFFF"/>
            <w:vAlign w:val="center"/>
            <w:hideMark/>
          </w:tcPr>
          <w:p w14:paraId="37F50374" w14:textId="77777777" w:rsidR="00E7168B" w:rsidRPr="00D618B7" w:rsidRDefault="00E7168B" w:rsidP="004B11B7">
            <w:pPr>
              <w:jc w:val="right"/>
              <w:rPr>
                <w:color w:val="000000"/>
                <w:sz w:val="20"/>
                <w:szCs w:val="20"/>
              </w:rPr>
            </w:pPr>
            <w:r w:rsidRPr="00D618B7">
              <w:rPr>
                <w:color w:val="000000"/>
                <w:sz w:val="20"/>
                <w:szCs w:val="20"/>
              </w:rPr>
              <w:t>0</w:t>
            </w:r>
          </w:p>
        </w:tc>
        <w:tc>
          <w:tcPr>
            <w:tcW w:w="1041" w:type="dxa"/>
            <w:tcBorders>
              <w:top w:val="nil"/>
              <w:left w:val="nil"/>
              <w:bottom w:val="nil"/>
              <w:right w:val="nil"/>
            </w:tcBorders>
            <w:shd w:val="clear" w:color="000000" w:fill="FFFFFF"/>
            <w:noWrap/>
            <w:vAlign w:val="center"/>
            <w:hideMark/>
          </w:tcPr>
          <w:p w14:paraId="4D925946" w14:textId="77777777" w:rsidR="00E7168B" w:rsidRPr="00D618B7" w:rsidRDefault="00E7168B" w:rsidP="004B11B7">
            <w:pPr>
              <w:jc w:val="right"/>
              <w:rPr>
                <w:color w:val="000000"/>
                <w:sz w:val="20"/>
                <w:szCs w:val="20"/>
              </w:rPr>
            </w:pPr>
            <w:r w:rsidRPr="00D618B7">
              <w:rPr>
                <w:color w:val="000000"/>
                <w:sz w:val="20"/>
                <w:szCs w:val="20"/>
              </w:rPr>
              <w:t>-0.0005</w:t>
            </w:r>
          </w:p>
        </w:tc>
        <w:tc>
          <w:tcPr>
            <w:tcW w:w="1106" w:type="dxa"/>
            <w:tcBorders>
              <w:top w:val="nil"/>
              <w:left w:val="nil"/>
              <w:bottom w:val="nil"/>
              <w:right w:val="nil"/>
            </w:tcBorders>
            <w:shd w:val="clear" w:color="000000" w:fill="FFFFFF"/>
            <w:noWrap/>
            <w:vAlign w:val="center"/>
            <w:hideMark/>
          </w:tcPr>
          <w:p w14:paraId="0277ADFF" w14:textId="77777777" w:rsidR="00E7168B" w:rsidRPr="00D618B7" w:rsidRDefault="00E7168B" w:rsidP="004B11B7">
            <w:pPr>
              <w:jc w:val="right"/>
              <w:rPr>
                <w:color w:val="000000"/>
                <w:sz w:val="20"/>
                <w:szCs w:val="20"/>
              </w:rPr>
            </w:pPr>
            <w:r w:rsidRPr="00D618B7">
              <w:rPr>
                <w:color w:val="000000"/>
                <w:sz w:val="20"/>
                <w:szCs w:val="20"/>
              </w:rPr>
              <w:t>0.0007</w:t>
            </w:r>
          </w:p>
        </w:tc>
        <w:tc>
          <w:tcPr>
            <w:tcW w:w="1573" w:type="dxa"/>
            <w:tcBorders>
              <w:top w:val="nil"/>
              <w:left w:val="nil"/>
              <w:bottom w:val="nil"/>
              <w:right w:val="nil"/>
            </w:tcBorders>
            <w:shd w:val="clear" w:color="000000" w:fill="FFFFFF"/>
            <w:noWrap/>
            <w:vAlign w:val="center"/>
            <w:hideMark/>
          </w:tcPr>
          <w:p w14:paraId="445AC1C4" w14:textId="77777777" w:rsidR="00E7168B" w:rsidRPr="00D618B7" w:rsidRDefault="00E7168B" w:rsidP="004B11B7">
            <w:pPr>
              <w:jc w:val="right"/>
              <w:rPr>
                <w:color w:val="000000"/>
                <w:sz w:val="20"/>
                <w:szCs w:val="20"/>
              </w:rPr>
            </w:pPr>
            <w:r w:rsidRPr="00D618B7">
              <w:rPr>
                <w:color w:val="000000"/>
                <w:sz w:val="20"/>
                <w:szCs w:val="20"/>
              </w:rPr>
              <w:t>0.0067</w:t>
            </w:r>
          </w:p>
        </w:tc>
        <w:tc>
          <w:tcPr>
            <w:tcW w:w="1095" w:type="dxa"/>
            <w:tcBorders>
              <w:top w:val="nil"/>
              <w:left w:val="nil"/>
              <w:bottom w:val="nil"/>
              <w:right w:val="nil"/>
            </w:tcBorders>
            <w:shd w:val="clear" w:color="000000" w:fill="FFFFFF"/>
            <w:noWrap/>
            <w:vAlign w:val="center"/>
            <w:hideMark/>
          </w:tcPr>
          <w:p w14:paraId="68C84389" w14:textId="77777777" w:rsidR="00E7168B" w:rsidRPr="00D618B7" w:rsidRDefault="00E7168B" w:rsidP="004B11B7">
            <w:pPr>
              <w:jc w:val="right"/>
              <w:rPr>
                <w:color w:val="000000"/>
                <w:sz w:val="20"/>
                <w:szCs w:val="20"/>
              </w:rPr>
            </w:pPr>
            <w:r w:rsidRPr="00D618B7">
              <w:rPr>
                <w:color w:val="000000"/>
                <w:sz w:val="20"/>
                <w:szCs w:val="20"/>
              </w:rPr>
              <w:t>0.0055</w:t>
            </w:r>
          </w:p>
        </w:tc>
        <w:tc>
          <w:tcPr>
            <w:tcW w:w="1628" w:type="dxa"/>
            <w:tcBorders>
              <w:top w:val="nil"/>
              <w:left w:val="nil"/>
              <w:bottom w:val="nil"/>
              <w:right w:val="nil"/>
            </w:tcBorders>
            <w:shd w:val="clear" w:color="000000" w:fill="FFFFFF"/>
            <w:noWrap/>
            <w:vAlign w:val="center"/>
            <w:hideMark/>
          </w:tcPr>
          <w:p w14:paraId="65D3CC9D" w14:textId="77777777" w:rsidR="00E7168B" w:rsidRPr="00D618B7" w:rsidRDefault="00E7168B" w:rsidP="004B11B7">
            <w:pPr>
              <w:jc w:val="right"/>
              <w:rPr>
                <w:color w:val="000000"/>
                <w:sz w:val="20"/>
                <w:szCs w:val="20"/>
              </w:rPr>
            </w:pPr>
            <w:r w:rsidRPr="00D618B7">
              <w:rPr>
                <w:color w:val="000000"/>
                <w:sz w:val="20"/>
                <w:szCs w:val="20"/>
              </w:rPr>
              <w:t>0.0077</w:t>
            </w:r>
          </w:p>
        </w:tc>
        <w:tc>
          <w:tcPr>
            <w:tcW w:w="1133" w:type="dxa"/>
            <w:tcBorders>
              <w:top w:val="nil"/>
              <w:left w:val="nil"/>
              <w:bottom w:val="nil"/>
              <w:right w:val="nil"/>
            </w:tcBorders>
            <w:shd w:val="clear" w:color="000000" w:fill="FFFFFF"/>
            <w:noWrap/>
            <w:vAlign w:val="center"/>
            <w:hideMark/>
          </w:tcPr>
          <w:p w14:paraId="095D87D1" w14:textId="77777777" w:rsidR="00E7168B" w:rsidRPr="00D618B7" w:rsidRDefault="00E7168B" w:rsidP="004B11B7">
            <w:pPr>
              <w:jc w:val="right"/>
              <w:rPr>
                <w:color w:val="000000"/>
                <w:sz w:val="20"/>
                <w:szCs w:val="20"/>
              </w:rPr>
            </w:pPr>
            <w:r w:rsidRPr="00D618B7">
              <w:rPr>
                <w:color w:val="000000"/>
                <w:sz w:val="20"/>
                <w:szCs w:val="20"/>
              </w:rPr>
              <w:t>0.0057</w:t>
            </w:r>
          </w:p>
        </w:tc>
      </w:tr>
      <w:tr w:rsidR="00E7168B" w:rsidRPr="00D618B7" w14:paraId="1BE3EB77" w14:textId="77777777" w:rsidTr="00E7168B">
        <w:trPr>
          <w:trHeight w:val="269"/>
        </w:trPr>
        <w:tc>
          <w:tcPr>
            <w:tcW w:w="1349" w:type="dxa"/>
            <w:tcBorders>
              <w:top w:val="nil"/>
              <w:left w:val="nil"/>
              <w:bottom w:val="nil"/>
              <w:right w:val="nil"/>
            </w:tcBorders>
            <w:shd w:val="clear" w:color="000000" w:fill="FFFFFF"/>
            <w:vAlign w:val="center"/>
            <w:hideMark/>
          </w:tcPr>
          <w:p w14:paraId="24B55CCA" w14:textId="77777777" w:rsidR="00E7168B" w:rsidRPr="00D618B7" w:rsidRDefault="00E7168B" w:rsidP="004B11B7">
            <w:pPr>
              <w:jc w:val="right"/>
              <w:rPr>
                <w:color w:val="000000"/>
                <w:sz w:val="20"/>
                <w:szCs w:val="20"/>
              </w:rPr>
            </w:pPr>
            <w:r w:rsidRPr="00D618B7">
              <w:rPr>
                <w:color w:val="000000"/>
                <w:sz w:val="20"/>
                <w:szCs w:val="20"/>
              </w:rPr>
              <w:t>1</w:t>
            </w:r>
          </w:p>
        </w:tc>
        <w:tc>
          <w:tcPr>
            <w:tcW w:w="1041" w:type="dxa"/>
            <w:tcBorders>
              <w:top w:val="nil"/>
              <w:left w:val="nil"/>
              <w:bottom w:val="nil"/>
              <w:right w:val="nil"/>
            </w:tcBorders>
            <w:shd w:val="clear" w:color="000000" w:fill="FFFFFF"/>
            <w:noWrap/>
            <w:vAlign w:val="center"/>
            <w:hideMark/>
          </w:tcPr>
          <w:p w14:paraId="5CB56994" w14:textId="77777777" w:rsidR="00E7168B" w:rsidRPr="00D618B7" w:rsidRDefault="00E7168B" w:rsidP="004B11B7">
            <w:pPr>
              <w:jc w:val="right"/>
              <w:rPr>
                <w:color w:val="000000"/>
                <w:sz w:val="20"/>
                <w:szCs w:val="20"/>
              </w:rPr>
            </w:pPr>
            <w:r w:rsidRPr="00D618B7">
              <w:rPr>
                <w:color w:val="000000"/>
                <w:sz w:val="20"/>
                <w:szCs w:val="20"/>
              </w:rPr>
              <w:t>0.0003</w:t>
            </w:r>
          </w:p>
        </w:tc>
        <w:tc>
          <w:tcPr>
            <w:tcW w:w="1106" w:type="dxa"/>
            <w:tcBorders>
              <w:top w:val="nil"/>
              <w:left w:val="nil"/>
              <w:bottom w:val="nil"/>
              <w:right w:val="nil"/>
            </w:tcBorders>
            <w:shd w:val="clear" w:color="000000" w:fill="FFFFFF"/>
            <w:noWrap/>
            <w:vAlign w:val="center"/>
            <w:hideMark/>
          </w:tcPr>
          <w:p w14:paraId="36A03572" w14:textId="77777777" w:rsidR="00E7168B" w:rsidRPr="00D618B7" w:rsidRDefault="00E7168B" w:rsidP="004B11B7">
            <w:pPr>
              <w:jc w:val="right"/>
              <w:rPr>
                <w:color w:val="000000"/>
                <w:sz w:val="20"/>
                <w:szCs w:val="20"/>
              </w:rPr>
            </w:pPr>
            <w:r w:rsidRPr="00D618B7">
              <w:rPr>
                <w:color w:val="000000"/>
                <w:sz w:val="20"/>
                <w:szCs w:val="20"/>
              </w:rPr>
              <w:t>0.0007</w:t>
            </w:r>
          </w:p>
        </w:tc>
        <w:tc>
          <w:tcPr>
            <w:tcW w:w="1573" w:type="dxa"/>
            <w:tcBorders>
              <w:top w:val="nil"/>
              <w:left w:val="nil"/>
              <w:bottom w:val="nil"/>
              <w:right w:val="nil"/>
            </w:tcBorders>
            <w:shd w:val="clear" w:color="000000" w:fill="FFFFFF"/>
            <w:noWrap/>
            <w:vAlign w:val="center"/>
            <w:hideMark/>
          </w:tcPr>
          <w:p w14:paraId="3B2F38B8" w14:textId="77777777" w:rsidR="00E7168B" w:rsidRPr="00D618B7" w:rsidRDefault="00E7168B" w:rsidP="004B11B7">
            <w:pPr>
              <w:jc w:val="right"/>
              <w:rPr>
                <w:color w:val="000000"/>
                <w:sz w:val="20"/>
                <w:szCs w:val="20"/>
              </w:rPr>
            </w:pPr>
            <w:r w:rsidRPr="00D618B7">
              <w:rPr>
                <w:color w:val="000000"/>
                <w:sz w:val="20"/>
                <w:szCs w:val="20"/>
              </w:rPr>
              <w:t>0.0019</w:t>
            </w:r>
          </w:p>
        </w:tc>
        <w:tc>
          <w:tcPr>
            <w:tcW w:w="1095" w:type="dxa"/>
            <w:tcBorders>
              <w:top w:val="nil"/>
              <w:left w:val="nil"/>
              <w:bottom w:val="nil"/>
              <w:right w:val="nil"/>
            </w:tcBorders>
            <w:shd w:val="clear" w:color="000000" w:fill="FFFFFF"/>
            <w:noWrap/>
            <w:vAlign w:val="center"/>
            <w:hideMark/>
          </w:tcPr>
          <w:p w14:paraId="1D9FD0AC" w14:textId="77777777" w:rsidR="00E7168B" w:rsidRPr="00D618B7" w:rsidRDefault="00E7168B" w:rsidP="004B11B7">
            <w:pPr>
              <w:jc w:val="right"/>
              <w:rPr>
                <w:color w:val="000000"/>
                <w:sz w:val="20"/>
                <w:szCs w:val="20"/>
              </w:rPr>
            </w:pPr>
            <w:r w:rsidRPr="00D618B7">
              <w:rPr>
                <w:color w:val="000000"/>
                <w:sz w:val="20"/>
                <w:szCs w:val="20"/>
              </w:rPr>
              <w:t>0.0011</w:t>
            </w:r>
          </w:p>
        </w:tc>
        <w:tc>
          <w:tcPr>
            <w:tcW w:w="1628" w:type="dxa"/>
            <w:tcBorders>
              <w:top w:val="nil"/>
              <w:left w:val="nil"/>
              <w:bottom w:val="nil"/>
              <w:right w:val="nil"/>
            </w:tcBorders>
            <w:shd w:val="clear" w:color="000000" w:fill="FFFFFF"/>
            <w:noWrap/>
            <w:vAlign w:val="center"/>
            <w:hideMark/>
          </w:tcPr>
          <w:p w14:paraId="17152A8F" w14:textId="77777777" w:rsidR="00E7168B" w:rsidRPr="00D618B7" w:rsidRDefault="00E7168B" w:rsidP="004B11B7">
            <w:pPr>
              <w:jc w:val="right"/>
              <w:rPr>
                <w:color w:val="000000"/>
                <w:sz w:val="20"/>
                <w:szCs w:val="20"/>
              </w:rPr>
            </w:pPr>
            <w:r w:rsidRPr="00D618B7">
              <w:rPr>
                <w:color w:val="000000"/>
                <w:sz w:val="20"/>
                <w:szCs w:val="20"/>
              </w:rPr>
              <w:t>0.0053</w:t>
            </w:r>
          </w:p>
        </w:tc>
        <w:tc>
          <w:tcPr>
            <w:tcW w:w="1133" w:type="dxa"/>
            <w:tcBorders>
              <w:top w:val="nil"/>
              <w:left w:val="nil"/>
              <w:bottom w:val="nil"/>
              <w:right w:val="nil"/>
            </w:tcBorders>
            <w:shd w:val="clear" w:color="000000" w:fill="FFFFFF"/>
            <w:noWrap/>
            <w:vAlign w:val="center"/>
            <w:hideMark/>
          </w:tcPr>
          <w:p w14:paraId="220E5BC9" w14:textId="77777777" w:rsidR="00E7168B" w:rsidRPr="00D618B7" w:rsidRDefault="00E7168B" w:rsidP="004B11B7">
            <w:pPr>
              <w:jc w:val="right"/>
              <w:rPr>
                <w:color w:val="000000"/>
                <w:sz w:val="20"/>
                <w:szCs w:val="20"/>
              </w:rPr>
            </w:pPr>
            <w:r w:rsidRPr="00D618B7">
              <w:rPr>
                <w:color w:val="000000"/>
                <w:sz w:val="20"/>
                <w:szCs w:val="20"/>
              </w:rPr>
              <w:t>0.0015</w:t>
            </w:r>
          </w:p>
        </w:tc>
      </w:tr>
      <w:tr w:rsidR="00E7168B" w:rsidRPr="00D618B7" w14:paraId="36F647FB" w14:textId="77777777" w:rsidTr="00E7168B">
        <w:trPr>
          <w:trHeight w:val="269"/>
        </w:trPr>
        <w:tc>
          <w:tcPr>
            <w:tcW w:w="1349" w:type="dxa"/>
            <w:tcBorders>
              <w:top w:val="nil"/>
              <w:left w:val="nil"/>
              <w:bottom w:val="nil"/>
              <w:right w:val="nil"/>
            </w:tcBorders>
            <w:shd w:val="clear" w:color="000000" w:fill="FFFFFF"/>
            <w:vAlign w:val="center"/>
            <w:hideMark/>
          </w:tcPr>
          <w:p w14:paraId="11CCE59D" w14:textId="77777777" w:rsidR="00E7168B" w:rsidRPr="00D618B7" w:rsidRDefault="00E7168B" w:rsidP="004B11B7">
            <w:pPr>
              <w:jc w:val="right"/>
              <w:rPr>
                <w:color w:val="000000"/>
                <w:sz w:val="20"/>
                <w:szCs w:val="20"/>
              </w:rPr>
            </w:pPr>
            <w:r w:rsidRPr="00D618B7">
              <w:rPr>
                <w:color w:val="000000"/>
                <w:sz w:val="20"/>
                <w:szCs w:val="20"/>
              </w:rPr>
              <w:t>2</w:t>
            </w:r>
          </w:p>
        </w:tc>
        <w:tc>
          <w:tcPr>
            <w:tcW w:w="1041" w:type="dxa"/>
            <w:tcBorders>
              <w:top w:val="nil"/>
              <w:left w:val="nil"/>
              <w:bottom w:val="nil"/>
              <w:right w:val="nil"/>
            </w:tcBorders>
            <w:shd w:val="clear" w:color="000000" w:fill="FFFFFF"/>
            <w:noWrap/>
            <w:vAlign w:val="center"/>
            <w:hideMark/>
          </w:tcPr>
          <w:p w14:paraId="7C91600B" w14:textId="77777777" w:rsidR="00E7168B" w:rsidRPr="00D618B7" w:rsidRDefault="00E7168B" w:rsidP="004B11B7">
            <w:pPr>
              <w:jc w:val="right"/>
              <w:rPr>
                <w:color w:val="000000"/>
                <w:sz w:val="20"/>
                <w:szCs w:val="20"/>
              </w:rPr>
            </w:pPr>
            <w:r w:rsidRPr="00D618B7">
              <w:rPr>
                <w:color w:val="000000"/>
                <w:sz w:val="20"/>
                <w:szCs w:val="20"/>
              </w:rPr>
              <w:t>0.0004</w:t>
            </w:r>
          </w:p>
        </w:tc>
        <w:tc>
          <w:tcPr>
            <w:tcW w:w="1106" w:type="dxa"/>
            <w:tcBorders>
              <w:top w:val="nil"/>
              <w:left w:val="nil"/>
              <w:bottom w:val="nil"/>
              <w:right w:val="nil"/>
            </w:tcBorders>
            <w:shd w:val="clear" w:color="000000" w:fill="FFFFFF"/>
            <w:noWrap/>
            <w:vAlign w:val="center"/>
            <w:hideMark/>
          </w:tcPr>
          <w:p w14:paraId="701E860C" w14:textId="77777777" w:rsidR="00E7168B" w:rsidRPr="00D618B7" w:rsidRDefault="00E7168B" w:rsidP="004B11B7">
            <w:pPr>
              <w:jc w:val="right"/>
              <w:rPr>
                <w:color w:val="000000"/>
                <w:sz w:val="20"/>
                <w:szCs w:val="20"/>
              </w:rPr>
            </w:pPr>
            <w:r w:rsidRPr="00D618B7">
              <w:rPr>
                <w:color w:val="000000"/>
                <w:sz w:val="20"/>
                <w:szCs w:val="20"/>
              </w:rPr>
              <w:t>0.0004</w:t>
            </w:r>
          </w:p>
        </w:tc>
        <w:tc>
          <w:tcPr>
            <w:tcW w:w="1573" w:type="dxa"/>
            <w:tcBorders>
              <w:top w:val="nil"/>
              <w:left w:val="nil"/>
              <w:bottom w:val="nil"/>
              <w:right w:val="nil"/>
            </w:tcBorders>
            <w:shd w:val="clear" w:color="000000" w:fill="FFFFFF"/>
            <w:noWrap/>
            <w:vAlign w:val="center"/>
            <w:hideMark/>
          </w:tcPr>
          <w:p w14:paraId="5E096488" w14:textId="77777777" w:rsidR="00E7168B" w:rsidRPr="00D618B7" w:rsidRDefault="00E7168B" w:rsidP="004B11B7">
            <w:pPr>
              <w:jc w:val="right"/>
              <w:rPr>
                <w:color w:val="000000"/>
                <w:sz w:val="20"/>
                <w:szCs w:val="20"/>
              </w:rPr>
            </w:pPr>
            <w:r w:rsidRPr="00D618B7">
              <w:rPr>
                <w:color w:val="000000"/>
                <w:sz w:val="20"/>
                <w:szCs w:val="20"/>
              </w:rPr>
              <w:t>-0.0011</w:t>
            </w:r>
          </w:p>
        </w:tc>
        <w:tc>
          <w:tcPr>
            <w:tcW w:w="1095" w:type="dxa"/>
            <w:tcBorders>
              <w:top w:val="nil"/>
              <w:left w:val="nil"/>
              <w:bottom w:val="nil"/>
              <w:right w:val="nil"/>
            </w:tcBorders>
            <w:shd w:val="clear" w:color="000000" w:fill="FFFFFF"/>
            <w:noWrap/>
            <w:vAlign w:val="center"/>
            <w:hideMark/>
          </w:tcPr>
          <w:p w14:paraId="29629E15" w14:textId="77777777" w:rsidR="00E7168B" w:rsidRPr="00D618B7" w:rsidRDefault="00E7168B" w:rsidP="004B11B7">
            <w:pPr>
              <w:jc w:val="right"/>
              <w:rPr>
                <w:color w:val="000000"/>
                <w:sz w:val="20"/>
                <w:szCs w:val="20"/>
              </w:rPr>
            </w:pPr>
            <w:r w:rsidRPr="00D618B7">
              <w:rPr>
                <w:color w:val="000000"/>
                <w:sz w:val="20"/>
                <w:szCs w:val="20"/>
              </w:rPr>
              <w:t>0.0005</w:t>
            </w:r>
          </w:p>
        </w:tc>
        <w:tc>
          <w:tcPr>
            <w:tcW w:w="1628" w:type="dxa"/>
            <w:tcBorders>
              <w:top w:val="nil"/>
              <w:left w:val="nil"/>
              <w:bottom w:val="nil"/>
              <w:right w:val="nil"/>
            </w:tcBorders>
            <w:shd w:val="clear" w:color="000000" w:fill="FFFFFF"/>
            <w:noWrap/>
            <w:vAlign w:val="center"/>
            <w:hideMark/>
          </w:tcPr>
          <w:p w14:paraId="47575BF4" w14:textId="77777777" w:rsidR="00E7168B" w:rsidRPr="00D618B7" w:rsidRDefault="00E7168B" w:rsidP="004B11B7">
            <w:pPr>
              <w:jc w:val="right"/>
              <w:rPr>
                <w:color w:val="000000"/>
                <w:sz w:val="20"/>
                <w:szCs w:val="20"/>
              </w:rPr>
            </w:pPr>
            <w:r w:rsidRPr="00D618B7">
              <w:rPr>
                <w:color w:val="000000"/>
                <w:sz w:val="20"/>
                <w:szCs w:val="20"/>
              </w:rPr>
              <w:t>-0.0063</w:t>
            </w:r>
          </w:p>
        </w:tc>
        <w:tc>
          <w:tcPr>
            <w:tcW w:w="1133" w:type="dxa"/>
            <w:tcBorders>
              <w:top w:val="nil"/>
              <w:left w:val="nil"/>
              <w:bottom w:val="nil"/>
              <w:right w:val="nil"/>
            </w:tcBorders>
            <w:shd w:val="clear" w:color="000000" w:fill="FFFFFF"/>
            <w:noWrap/>
            <w:vAlign w:val="center"/>
            <w:hideMark/>
          </w:tcPr>
          <w:p w14:paraId="7D6F6EB0" w14:textId="77777777" w:rsidR="00E7168B" w:rsidRPr="00D618B7" w:rsidRDefault="00E7168B" w:rsidP="004B11B7">
            <w:pPr>
              <w:jc w:val="right"/>
              <w:rPr>
                <w:color w:val="000000"/>
                <w:sz w:val="20"/>
                <w:szCs w:val="20"/>
              </w:rPr>
            </w:pPr>
            <w:r w:rsidRPr="00D618B7">
              <w:rPr>
                <w:color w:val="000000"/>
                <w:sz w:val="20"/>
                <w:szCs w:val="20"/>
              </w:rPr>
              <w:t>0.0027</w:t>
            </w:r>
          </w:p>
        </w:tc>
      </w:tr>
      <w:tr w:rsidR="00E7168B" w:rsidRPr="00D618B7" w14:paraId="2DFC4CE2" w14:textId="77777777" w:rsidTr="00E7168B">
        <w:trPr>
          <w:trHeight w:val="269"/>
        </w:trPr>
        <w:tc>
          <w:tcPr>
            <w:tcW w:w="1349" w:type="dxa"/>
            <w:tcBorders>
              <w:top w:val="nil"/>
              <w:left w:val="nil"/>
              <w:bottom w:val="nil"/>
              <w:right w:val="nil"/>
            </w:tcBorders>
            <w:shd w:val="clear" w:color="000000" w:fill="FFFFFF"/>
            <w:vAlign w:val="center"/>
            <w:hideMark/>
          </w:tcPr>
          <w:p w14:paraId="21342D58" w14:textId="77777777" w:rsidR="00E7168B" w:rsidRPr="00D618B7" w:rsidRDefault="00E7168B" w:rsidP="004B11B7">
            <w:pPr>
              <w:jc w:val="right"/>
              <w:rPr>
                <w:color w:val="000000"/>
                <w:sz w:val="20"/>
                <w:szCs w:val="20"/>
              </w:rPr>
            </w:pPr>
            <w:r w:rsidRPr="00D618B7">
              <w:rPr>
                <w:color w:val="000000"/>
                <w:sz w:val="20"/>
                <w:szCs w:val="20"/>
              </w:rPr>
              <w:t>3</w:t>
            </w:r>
          </w:p>
        </w:tc>
        <w:tc>
          <w:tcPr>
            <w:tcW w:w="1041" w:type="dxa"/>
            <w:tcBorders>
              <w:top w:val="nil"/>
              <w:left w:val="nil"/>
              <w:bottom w:val="nil"/>
              <w:right w:val="nil"/>
            </w:tcBorders>
            <w:shd w:val="clear" w:color="000000" w:fill="FFFFFF"/>
            <w:noWrap/>
            <w:vAlign w:val="center"/>
            <w:hideMark/>
          </w:tcPr>
          <w:p w14:paraId="69BC558B" w14:textId="77777777" w:rsidR="00E7168B" w:rsidRPr="00D618B7" w:rsidRDefault="00E7168B" w:rsidP="004B11B7">
            <w:pPr>
              <w:jc w:val="right"/>
              <w:rPr>
                <w:color w:val="000000"/>
                <w:sz w:val="20"/>
                <w:szCs w:val="20"/>
              </w:rPr>
            </w:pPr>
            <w:r w:rsidRPr="00D618B7">
              <w:rPr>
                <w:color w:val="000000"/>
                <w:sz w:val="20"/>
                <w:szCs w:val="20"/>
              </w:rPr>
              <w:t>-0.0005</w:t>
            </w:r>
          </w:p>
        </w:tc>
        <w:tc>
          <w:tcPr>
            <w:tcW w:w="1106" w:type="dxa"/>
            <w:tcBorders>
              <w:top w:val="nil"/>
              <w:left w:val="nil"/>
              <w:bottom w:val="nil"/>
              <w:right w:val="nil"/>
            </w:tcBorders>
            <w:shd w:val="clear" w:color="000000" w:fill="FFFFFF"/>
            <w:noWrap/>
            <w:vAlign w:val="center"/>
            <w:hideMark/>
          </w:tcPr>
          <w:p w14:paraId="792AA7C2" w14:textId="77777777" w:rsidR="00E7168B" w:rsidRPr="00D618B7" w:rsidRDefault="00E7168B" w:rsidP="004B11B7">
            <w:pPr>
              <w:jc w:val="right"/>
              <w:rPr>
                <w:color w:val="000000"/>
                <w:sz w:val="20"/>
                <w:szCs w:val="20"/>
              </w:rPr>
            </w:pPr>
            <w:r w:rsidRPr="00D618B7">
              <w:rPr>
                <w:color w:val="000000"/>
                <w:sz w:val="20"/>
                <w:szCs w:val="20"/>
              </w:rPr>
              <w:t>0.0002</w:t>
            </w:r>
          </w:p>
        </w:tc>
        <w:tc>
          <w:tcPr>
            <w:tcW w:w="1573" w:type="dxa"/>
            <w:tcBorders>
              <w:top w:val="nil"/>
              <w:left w:val="nil"/>
              <w:bottom w:val="nil"/>
              <w:right w:val="nil"/>
            </w:tcBorders>
            <w:shd w:val="clear" w:color="000000" w:fill="FFFFFF"/>
            <w:noWrap/>
            <w:vAlign w:val="center"/>
            <w:hideMark/>
          </w:tcPr>
          <w:p w14:paraId="7472BDC0" w14:textId="77777777" w:rsidR="00E7168B" w:rsidRPr="00D618B7" w:rsidRDefault="00E7168B" w:rsidP="004B11B7">
            <w:pPr>
              <w:jc w:val="right"/>
              <w:rPr>
                <w:color w:val="000000"/>
                <w:sz w:val="20"/>
                <w:szCs w:val="20"/>
              </w:rPr>
            </w:pPr>
            <w:r w:rsidRPr="00D618B7">
              <w:rPr>
                <w:color w:val="000000"/>
                <w:sz w:val="20"/>
                <w:szCs w:val="20"/>
              </w:rPr>
              <w:t>-0.0005</w:t>
            </w:r>
          </w:p>
        </w:tc>
        <w:tc>
          <w:tcPr>
            <w:tcW w:w="1095" w:type="dxa"/>
            <w:tcBorders>
              <w:top w:val="nil"/>
              <w:left w:val="nil"/>
              <w:bottom w:val="nil"/>
              <w:right w:val="nil"/>
            </w:tcBorders>
            <w:shd w:val="clear" w:color="000000" w:fill="FFFFFF"/>
            <w:noWrap/>
            <w:vAlign w:val="center"/>
            <w:hideMark/>
          </w:tcPr>
          <w:p w14:paraId="70E66DC0" w14:textId="77777777" w:rsidR="00E7168B" w:rsidRPr="00D618B7" w:rsidRDefault="00E7168B" w:rsidP="004B11B7">
            <w:pPr>
              <w:jc w:val="right"/>
              <w:rPr>
                <w:color w:val="000000"/>
                <w:sz w:val="20"/>
                <w:szCs w:val="20"/>
              </w:rPr>
            </w:pPr>
            <w:r w:rsidRPr="00D618B7">
              <w:rPr>
                <w:color w:val="000000"/>
                <w:sz w:val="20"/>
                <w:szCs w:val="20"/>
              </w:rPr>
              <w:t>0.0003</w:t>
            </w:r>
          </w:p>
        </w:tc>
        <w:tc>
          <w:tcPr>
            <w:tcW w:w="1628" w:type="dxa"/>
            <w:tcBorders>
              <w:top w:val="nil"/>
              <w:left w:val="nil"/>
              <w:bottom w:val="nil"/>
              <w:right w:val="nil"/>
            </w:tcBorders>
            <w:shd w:val="clear" w:color="000000" w:fill="FFFFFF"/>
            <w:noWrap/>
            <w:vAlign w:val="center"/>
            <w:hideMark/>
          </w:tcPr>
          <w:p w14:paraId="530D5A75" w14:textId="77777777" w:rsidR="00E7168B" w:rsidRPr="00D618B7" w:rsidRDefault="00E7168B" w:rsidP="004B11B7">
            <w:pPr>
              <w:jc w:val="right"/>
              <w:rPr>
                <w:color w:val="000000"/>
                <w:sz w:val="20"/>
                <w:szCs w:val="20"/>
              </w:rPr>
            </w:pPr>
            <w:r w:rsidRPr="00D618B7">
              <w:rPr>
                <w:color w:val="000000"/>
                <w:sz w:val="20"/>
                <w:szCs w:val="20"/>
              </w:rPr>
              <w:t>0.0007</w:t>
            </w:r>
          </w:p>
        </w:tc>
        <w:tc>
          <w:tcPr>
            <w:tcW w:w="1133" w:type="dxa"/>
            <w:tcBorders>
              <w:top w:val="nil"/>
              <w:left w:val="nil"/>
              <w:bottom w:val="nil"/>
              <w:right w:val="nil"/>
            </w:tcBorders>
            <w:shd w:val="clear" w:color="000000" w:fill="FFFFFF"/>
            <w:noWrap/>
            <w:vAlign w:val="center"/>
            <w:hideMark/>
          </w:tcPr>
          <w:p w14:paraId="42541026" w14:textId="77777777" w:rsidR="00E7168B" w:rsidRPr="00D618B7" w:rsidRDefault="00E7168B" w:rsidP="004B11B7">
            <w:pPr>
              <w:jc w:val="right"/>
              <w:rPr>
                <w:color w:val="000000"/>
                <w:sz w:val="20"/>
                <w:szCs w:val="20"/>
              </w:rPr>
            </w:pPr>
            <w:r w:rsidRPr="00D618B7">
              <w:rPr>
                <w:color w:val="000000"/>
                <w:sz w:val="20"/>
                <w:szCs w:val="20"/>
              </w:rPr>
              <w:t>0.0016</w:t>
            </w:r>
          </w:p>
        </w:tc>
      </w:tr>
      <w:tr w:rsidR="00E7168B" w:rsidRPr="00D618B7" w14:paraId="6594A063" w14:textId="77777777" w:rsidTr="00E7168B">
        <w:trPr>
          <w:trHeight w:val="269"/>
        </w:trPr>
        <w:tc>
          <w:tcPr>
            <w:tcW w:w="1349" w:type="dxa"/>
            <w:tcBorders>
              <w:top w:val="nil"/>
              <w:left w:val="nil"/>
              <w:right w:val="nil"/>
            </w:tcBorders>
            <w:shd w:val="clear" w:color="000000" w:fill="FFFFFF"/>
            <w:vAlign w:val="center"/>
            <w:hideMark/>
          </w:tcPr>
          <w:p w14:paraId="431E5417" w14:textId="77777777" w:rsidR="00E7168B" w:rsidRPr="00D618B7" w:rsidRDefault="00E7168B" w:rsidP="004B11B7">
            <w:pPr>
              <w:jc w:val="right"/>
              <w:rPr>
                <w:color w:val="000000"/>
                <w:sz w:val="20"/>
                <w:szCs w:val="20"/>
              </w:rPr>
            </w:pPr>
            <w:r w:rsidRPr="00D618B7">
              <w:rPr>
                <w:color w:val="000000"/>
                <w:sz w:val="20"/>
                <w:szCs w:val="20"/>
              </w:rPr>
              <w:t>4</w:t>
            </w:r>
          </w:p>
        </w:tc>
        <w:tc>
          <w:tcPr>
            <w:tcW w:w="1041" w:type="dxa"/>
            <w:tcBorders>
              <w:top w:val="nil"/>
              <w:left w:val="nil"/>
              <w:right w:val="nil"/>
            </w:tcBorders>
            <w:shd w:val="clear" w:color="000000" w:fill="FFFFFF"/>
            <w:noWrap/>
            <w:vAlign w:val="center"/>
            <w:hideMark/>
          </w:tcPr>
          <w:p w14:paraId="7D8CD5F6" w14:textId="77777777" w:rsidR="00E7168B" w:rsidRPr="00D618B7" w:rsidRDefault="00E7168B" w:rsidP="004B11B7">
            <w:pPr>
              <w:jc w:val="right"/>
              <w:rPr>
                <w:color w:val="000000"/>
                <w:sz w:val="20"/>
                <w:szCs w:val="20"/>
              </w:rPr>
            </w:pPr>
            <w:r w:rsidRPr="00D618B7">
              <w:rPr>
                <w:color w:val="000000"/>
                <w:sz w:val="20"/>
                <w:szCs w:val="20"/>
              </w:rPr>
              <w:t>0.0009</w:t>
            </w:r>
          </w:p>
        </w:tc>
        <w:tc>
          <w:tcPr>
            <w:tcW w:w="1106" w:type="dxa"/>
            <w:tcBorders>
              <w:top w:val="nil"/>
              <w:left w:val="nil"/>
              <w:right w:val="nil"/>
            </w:tcBorders>
            <w:shd w:val="clear" w:color="000000" w:fill="FFFFFF"/>
            <w:noWrap/>
            <w:vAlign w:val="center"/>
            <w:hideMark/>
          </w:tcPr>
          <w:p w14:paraId="1EF935E1" w14:textId="77777777" w:rsidR="00E7168B" w:rsidRPr="00D618B7" w:rsidRDefault="00E7168B" w:rsidP="004B11B7">
            <w:pPr>
              <w:jc w:val="right"/>
              <w:rPr>
                <w:color w:val="000000"/>
                <w:sz w:val="20"/>
                <w:szCs w:val="20"/>
              </w:rPr>
            </w:pPr>
            <w:r w:rsidRPr="00D618B7">
              <w:rPr>
                <w:color w:val="000000"/>
                <w:sz w:val="20"/>
                <w:szCs w:val="20"/>
              </w:rPr>
              <w:t>0.0005</w:t>
            </w:r>
          </w:p>
        </w:tc>
        <w:tc>
          <w:tcPr>
            <w:tcW w:w="1573" w:type="dxa"/>
            <w:tcBorders>
              <w:top w:val="nil"/>
              <w:left w:val="nil"/>
              <w:right w:val="nil"/>
            </w:tcBorders>
            <w:shd w:val="clear" w:color="000000" w:fill="FFFFFF"/>
            <w:noWrap/>
            <w:vAlign w:val="center"/>
            <w:hideMark/>
          </w:tcPr>
          <w:p w14:paraId="5994C7C9" w14:textId="77777777" w:rsidR="00E7168B" w:rsidRPr="00D618B7" w:rsidRDefault="00E7168B" w:rsidP="004B11B7">
            <w:pPr>
              <w:jc w:val="right"/>
              <w:rPr>
                <w:color w:val="000000"/>
                <w:sz w:val="20"/>
                <w:szCs w:val="20"/>
              </w:rPr>
            </w:pPr>
            <w:r w:rsidRPr="00D618B7">
              <w:rPr>
                <w:color w:val="000000"/>
                <w:sz w:val="20"/>
                <w:szCs w:val="20"/>
              </w:rPr>
              <w:t>-0.0004</w:t>
            </w:r>
          </w:p>
        </w:tc>
        <w:tc>
          <w:tcPr>
            <w:tcW w:w="1095" w:type="dxa"/>
            <w:tcBorders>
              <w:top w:val="nil"/>
              <w:left w:val="nil"/>
              <w:right w:val="nil"/>
            </w:tcBorders>
            <w:shd w:val="clear" w:color="000000" w:fill="FFFFFF"/>
            <w:noWrap/>
            <w:vAlign w:val="center"/>
            <w:hideMark/>
          </w:tcPr>
          <w:p w14:paraId="3BC15C10" w14:textId="77777777" w:rsidR="00E7168B" w:rsidRPr="00D618B7" w:rsidRDefault="00E7168B" w:rsidP="004B11B7">
            <w:pPr>
              <w:jc w:val="right"/>
              <w:rPr>
                <w:color w:val="000000"/>
                <w:sz w:val="20"/>
                <w:szCs w:val="20"/>
              </w:rPr>
            </w:pPr>
            <w:r w:rsidRPr="00D618B7">
              <w:rPr>
                <w:color w:val="000000"/>
                <w:sz w:val="20"/>
                <w:szCs w:val="20"/>
              </w:rPr>
              <w:t>0.0006</w:t>
            </w:r>
          </w:p>
        </w:tc>
        <w:tc>
          <w:tcPr>
            <w:tcW w:w="1628" w:type="dxa"/>
            <w:tcBorders>
              <w:top w:val="nil"/>
              <w:left w:val="nil"/>
              <w:right w:val="nil"/>
            </w:tcBorders>
            <w:shd w:val="clear" w:color="000000" w:fill="FFFFFF"/>
            <w:noWrap/>
            <w:vAlign w:val="center"/>
            <w:hideMark/>
          </w:tcPr>
          <w:p w14:paraId="03F596D3" w14:textId="77777777" w:rsidR="00E7168B" w:rsidRPr="00D618B7" w:rsidRDefault="00E7168B" w:rsidP="004B11B7">
            <w:pPr>
              <w:jc w:val="right"/>
              <w:rPr>
                <w:color w:val="000000"/>
                <w:sz w:val="20"/>
                <w:szCs w:val="20"/>
              </w:rPr>
            </w:pPr>
            <w:r w:rsidRPr="00D618B7">
              <w:rPr>
                <w:color w:val="000000"/>
                <w:sz w:val="20"/>
                <w:szCs w:val="20"/>
              </w:rPr>
              <w:t>-0.0006</w:t>
            </w:r>
          </w:p>
        </w:tc>
        <w:tc>
          <w:tcPr>
            <w:tcW w:w="1133" w:type="dxa"/>
            <w:tcBorders>
              <w:top w:val="nil"/>
              <w:left w:val="nil"/>
              <w:right w:val="nil"/>
            </w:tcBorders>
            <w:shd w:val="clear" w:color="000000" w:fill="FFFFFF"/>
            <w:noWrap/>
            <w:vAlign w:val="center"/>
            <w:hideMark/>
          </w:tcPr>
          <w:p w14:paraId="7FA7DB4A" w14:textId="77777777" w:rsidR="00E7168B" w:rsidRPr="00D618B7" w:rsidRDefault="00E7168B" w:rsidP="004B11B7">
            <w:pPr>
              <w:jc w:val="right"/>
              <w:rPr>
                <w:color w:val="000000"/>
                <w:sz w:val="20"/>
                <w:szCs w:val="20"/>
              </w:rPr>
            </w:pPr>
            <w:r w:rsidRPr="00D618B7">
              <w:rPr>
                <w:color w:val="000000"/>
                <w:sz w:val="20"/>
                <w:szCs w:val="20"/>
              </w:rPr>
              <w:t>0.0029</w:t>
            </w:r>
          </w:p>
        </w:tc>
      </w:tr>
      <w:tr w:rsidR="00E7168B" w:rsidRPr="00D618B7" w14:paraId="3A6C13EB" w14:textId="77777777" w:rsidTr="00E7168B">
        <w:trPr>
          <w:trHeight w:val="269"/>
        </w:trPr>
        <w:tc>
          <w:tcPr>
            <w:tcW w:w="1349" w:type="dxa"/>
            <w:tcBorders>
              <w:top w:val="nil"/>
              <w:left w:val="nil"/>
              <w:bottom w:val="single" w:sz="18" w:space="0" w:color="auto"/>
              <w:right w:val="nil"/>
            </w:tcBorders>
            <w:shd w:val="clear" w:color="000000" w:fill="FFFFFF"/>
            <w:vAlign w:val="center"/>
            <w:hideMark/>
          </w:tcPr>
          <w:p w14:paraId="11D9F592" w14:textId="77777777" w:rsidR="00E7168B" w:rsidRPr="00D618B7" w:rsidRDefault="00E7168B" w:rsidP="004B11B7">
            <w:pPr>
              <w:jc w:val="right"/>
              <w:rPr>
                <w:color w:val="000000"/>
                <w:sz w:val="20"/>
                <w:szCs w:val="20"/>
              </w:rPr>
            </w:pPr>
            <w:r w:rsidRPr="00D618B7">
              <w:rPr>
                <w:color w:val="000000"/>
                <w:sz w:val="20"/>
                <w:szCs w:val="20"/>
              </w:rPr>
              <w:t>5</w:t>
            </w:r>
          </w:p>
        </w:tc>
        <w:tc>
          <w:tcPr>
            <w:tcW w:w="1041" w:type="dxa"/>
            <w:tcBorders>
              <w:top w:val="nil"/>
              <w:left w:val="nil"/>
              <w:bottom w:val="single" w:sz="18" w:space="0" w:color="auto"/>
              <w:right w:val="nil"/>
            </w:tcBorders>
            <w:shd w:val="clear" w:color="000000" w:fill="FFFFFF"/>
            <w:noWrap/>
            <w:vAlign w:val="center"/>
            <w:hideMark/>
          </w:tcPr>
          <w:p w14:paraId="71AEA253" w14:textId="77777777" w:rsidR="00E7168B" w:rsidRPr="00D618B7" w:rsidRDefault="00E7168B" w:rsidP="004B11B7">
            <w:pPr>
              <w:jc w:val="right"/>
              <w:rPr>
                <w:color w:val="000000"/>
                <w:sz w:val="20"/>
                <w:szCs w:val="20"/>
              </w:rPr>
            </w:pPr>
            <w:r w:rsidRPr="00D618B7">
              <w:rPr>
                <w:color w:val="000000"/>
                <w:sz w:val="20"/>
                <w:szCs w:val="20"/>
              </w:rPr>
              <w:t>0.0003</w:t>
            </w:r>
          </w:p>
        </w:tc>
        <w:tc>
          <w:tcPr>
            <w:tcW w:w="1106" w:type="dxa"/>
            <w:tcBorders>
              <w:top w:val="nil"/>
              <w:left w:val="nil"/>
              <w:bottom w:val="single" w:sz="18" w:space="0" w:color="auto"/>
              <w:right w:val="nil"/>
            </w:tcBorders>
            <w:shd w:val="clear" w:color="000000" w:fill="FFFFFF"/>
            <w:noWrap/>
            <w:vAlign w:val="center"/>
            <w:hideMark/>
          </w:tcPr>
          <w:p w14:paraId="53964482" w14:textId="77777777" w:rsidR="00E7168B" w:rsidRPr="00D618B7" w:rsidRDefault="00E7168B" w:rsidP="004B11B7">
            <w:pPr>
              <w:jc w:val="right"/>
              <w:rPr>
                <w:color w:val="000000"/>
                <w:sz w:val="20"/>
                <w:szCs w:val="20"/>
              </w:rPr>
            </w:pPr>
            <w:r w:rsidRPr="00D618B7">
              <w:rPr>
                <w:color w:val="000000"/>
                <w:sz w:val="20"/>
                <w:szCs w:val="20"/>
              </w:rPr>
              <w:t>0.0003</w:t>
            </w:r>
          </w:p>
        </w:tc>
        <w:tc>
          <w:tcPr>
            <w:tcW w:w="1573" w:type="dxa"/>
            <w:tcBorders>
              <w:top w:val="nil"/>
              <w:left w:val="nil"/>
              <w:bottom w:val="single" w:sz="18" w:space="0" w:color="auto"/>
              <w:right w:val="nil"/>
            </w:tcBorders>
            <w:shd w:val="clear" w:color="000000" w:fill="FFFFFF"/>
            <w:noWrap/>
            <w:vAlign w:val="center"/>
            <w:hideMark/>
          </w:tcPr>
          <w:p w14:paraId="46CF20E5" w14:textId="77777777" w:rsidR="00E7168B" w:rsidRPr="00D618B7" w:rsidRDefault="00E7168B" w:rsidP="004B11B7">
            <w:pPr>
              <w:jc w:val="right"/>
              <w:rPr>
                <w:color w:val="000000"/>
                <w:sz w:val="20"/>
                <w:szCs w:val="20"/>
              </w:rPr>
            </w:pPr>
            <w:r w:rsidRPr="00D618B7">
              <w:rPr>
                <w:color w:val="000000"/>
                <w:sz w:val="20"/>
                <w:szCs w:val="20"/>
              </w:rPr>
              <w:t>0.0009</w:t>
            </w:r>
          </w:p>
        </w:tc>
        <w:tc>
          <w:tcPr>
            <w:tcW w:w="1095" w:type="dxa"/>
            <w:tcBorders>
              <w:top w:val="nil"/>
              <w:left w:val="nil"/>
              <w:bottom w:val="single" w:sz="18" w:space="0" w:color="auto"/>
              <w:right w:val="nil"/>
            </w:tcBorders>
            <w:shd w:val="clear" w:color="000000" w:fill="FFFFFF"/>
            <w:noWrap/>
            <w:vAlign w:val="center"/>
            <w:hideMark/>
          </w:tcPr>
          <w:p w14:paraId="132DB9BA" w14:textId="77777777" w:rsidR="00E7168B" w:rsidRPr="00D618B7" w:rsidRDefault="00E7168B" w:rsidP="004B11B7">
            <w:pPr>
              <w:jc w:val="right"/>
              <w:rPr>
                <w:color w:val="000000"/>
                <w:sz w:val="20"/>
                <w:szCs w:val="20"/>
              </w:rPr>
            </w:pPr>
            <w:r w:rsidRPr="00D618B7">
              <w:rPr>
                <w:color w:val="000000"/>
                <w:sz w:val="20"/>
                <w:szCs w:val="20"/>
              </w:rPr>
              <w:t>0.0009</w:t>
            </w:r>
          </w:p>
        </w:tc>
        <w:tc>
          <w:tcPr>
            <w:tcW w:w="1628" w:type="dxa"/>
            <w:tcBorders>
              <w:top w:val="nil"/>
              <w:left w:val="nil"/>
              <w:bottom w:val="single" w:sz="18" w:space="0" w:color="auto"/>
              <w:right w:val="nil"/>
            </w:tcBorders>
            <w:shd w:val="clear" w:color="000000" w:fill="FFFFFF"/>
            <w:noWrap/>
            <w:vAlign w:val="center"/>
            <w:hideMark/>
          </w:tcPr>
          <w:p w14:paraId="5C3AC173" w14:textId="77777777" w:rsidR="00E7168B" w:rsidRPr="00D618B7" w:rsidRDefault="00E7168B" w:rsidP="004B11B7">
            <w:pPr>
              <w:jc w:val="right"/>
              <w:rPr>
                <w:color w:val="000000"/>
                <w:sz w:val="20"/>
                <w:szCs w:val="20"/>
              </w:rPr>
            </w:pPr>
            <w:r w:rsidRPr="00D618B7">
              <w:rPr>
                <w:color w:val="000000"/>
                <w:sz w:val="20"/>
                <w:szCs w:val="20"/>
              </w:rPr>
              <w:t>-0.0015</w:t>
            </w:r>
          </w:p>
        </w:tc>
        <w:tc>
          <w:tcPr>
            <w:tcW w:w="1133" w:type="dxa"/>
            <w:tcBorders>
              <w:top w:val="nil"/>
              <w:left w:val="nil"/>
              <w:bottom w:val="single" w:sz="18" w:space="0" w:color="auto"/>
              <w:right w:val="nil"/>
            </w:tcBorders>
            <w:shd w:val="clear" w:color="000000" w:fill="FFFFFF"/>
            <w:noWrap/>
            <w:vAlign w:val="center"/>
            <w:hideMark/>
          </w:tcPr>
          <w:p w14:paraId="551C5169" w14:textId="77777777" w:rsidR="00E7168B" w:rsidRPr="00D618B7" w:rsidRDefault="00E7168B" w:rsidP="004B11B7">
            <w:pPr>
              <w:jc w:val="right"/>
              <w:rPr>
                <w:color w:val="000000"/>
                <w:sz w:val="20"/>
                <w:szCs w:val="20"/>
              </w:rPr>
            </w:pPr>
            <w:r w:rsidRPr="00D618B7">
              <w:rPr>
                <w:color w:val="000000"/>
                <w:sz w:val="20"/>
                <w:szCs w:val="20"/>
              </w:rPr>
              <w:t>0.0030</w:t>
            </w:r>
          </w:p>
        </w:tc>
      </w:tr>
      <w:tr w:rsidR="00E7168B" w:rsidRPr="00D618B7" w14:paraId="0BB0F85A" w14:textId="77777777" w:rsidTr="00E7168B">
        <w:trPr>
          <w:trHeight w:val="269"/>
        </w:trPr>
        <w:tc>
          <w:tcPr>
            <w:tcW w:w="1349" w:type="dxa"/>
            <w:tcBorders>
              <w:top w:val="single" w:sz="18" w:space="0" w:color="auto"/>
              <w:left w:val="nil"/>
              <w:bottom w:val="nil"/>
              <w:right w:val="nil"/>
            </w:tcBorders>
            <w:shd w:val="clear" w:color="000000" w:fill="FFFFFF"/>
            <w:noWrap/>
            <w:vAlign w:val="bottom"/>
            <w:hideMark/>
          </w:tcPr>
          <w:p w14:paraId="5F44F1FD" w14:textId="77777777" w:rsidR="00E7168B" w:rsidRPr="00D618B7" w:rsidRDefault="00E7168B" w:rsidP="004B11B7">
            <w:pPr>
              <w:rPr>
                <w:color w:val="000000"/>
                <w:sz w:val="20"/>
                <w:szCs w:val="20"/>
              </w:rPr>
            </w:pPr>
            <w:r w:rsidRPr="00D618B7">
              <w:rPr>
                <w:color w:val="000000"/>
                <w:sz w:val="20"/>
                <w:szCs w:val="20"/>
              </w:rPr>
              <w:t> </w:t>
            </w:r>
          </w:p>
        </w:tc>
        <w:tc>
          <w:tcPr>
            <w:tcW w:w="7576" w:type="dxa"/>
            <w:gridSpan w:val="6"/>
            <w:tcBorders>
              <w:top w:val="single" w:sz="18" w:space="0" w:color="auto"/>
              <w:left w:val="nil"/>
              <w:bottom w:val="nil"/>
              <w:right w:val="nil"/>
            </w:tcBorders>
            <w:shd w:val="clear" w:color="000000" w:fill="FFFFFF"/>
            <w:noWrap/>
            <w:vAlign w:val="center"/>
            <w:hideMark/>
          </w:tcPr>
          <w:p w14:paraId="73046C05" w14:textId="77777777" w:rsidR="00E7168B" w:rsidRPr="00D618B7" w:rsidRDefault="00E7168B" w:rsidP="004B11B7">
            <w:pPr>
              <w:jc w:val="center"/>
              <w:rPr>
                <w:color w:val="000000"/>
                <w:sz w:val="20"/>
                <w:szCs w:val="20"/>
              </w:rPr>
            </w:pPr>
            <w:r w:rsidRPr="00D618B7">
              <w:rPr>
                <w:color w:val="000000"/>
                <w:sz w:val="20"/>
                <w:szCs w:val="20"/>
              </w:rPr>
              <w:t>Toy-in-Reach</w:t>
            </w:r>
          </w:p>
        </w:tc>
      </w:tr>
      <w:tr w:rsidR="00E7168B" w:rsidRPr="00D618B7" w14:paraId="42179910" w14:textId="77777777" w:rsidTr="00E7168B">
        <w:trPr>
          <w:trHeight w:val="269"/>
        </w:trPr>
        <w:tc>
          <w:tcPr>
            <w:tcW w:w="1349" w:type="dxa"/>
            <w:tcBorders>
              <w:top w:val="nil"/>
              <w:left w:val="nil"/>
              <w:bottom w:val="nil"/>
              <w:right w:val="nil"/>
            </w:tcBorders>
            <w:shd w:val="clear" w:color="000000" w:fill="FFFFFF"/>
            <w:vAlign w:val="center"/>
            <w:hideMark/>
          </w:tcPr>
          <w:p w14:paraId="1F3443FA" w14:textId="77777777" w:rsidR="00E7168B" w:rsidRPr="00D618B7" w:rsidRDefault="00E7168B" w:rsidP="004B11B7">
            <w:pPr>
              <w:jc w:val="right"/>
              <w:rPr>
                <w:color w:val="000000"/>
                <w:sz w:val="20"/>
                <w:szCs w:val="20"/>
              </w:rPr>
            </w:pPr>
            <w:r w:rsidRPr="00D618B7">
              <w:rPr>
                <w:color w:val="000000"/>
                <w:sz w:val="20"/>
                <w:szCs w:val="20"/>
              </w:rPr>
              <w:t>-5</w:t>
            </w:r>
          </w:p>
        </w:tc>
        <w:tc>
          <w:tcPr>
            <w:tcW w:w="1041" w:type="dxa"/>
            <w:tcBorders>
              <w:top w:val="nil"/>
              <w:left w:val="nil"/>
              <w:bottom w:val="nil"/>
              <w:right w:val="nil"/>
            </w:tcBorders>
            <w:shd w:val="clear" w:color="000000" w:fill="FFFFFF"/>
            <w:noWrap/>
            <w:vAlign w:val="center"/>
            <w:hideMark/>
          </w:tcPr>
          <w:p w14:paraId="332098E6" w14:textId="77777777" w:rsidR="00E7168B" w:rsidRPr="00D618B7" w:rsidRDefault="00E7168B" w:rsidP="004B11B7">
            <w:pPr>
              <w:jc w:val="right"/>
              <w:rPr>
                <w:color w:val="000000"/>
                <w:sz w:val="20"/>
                <w:szCs w:val="20"/>
              </w:rPr>
            </w:pPr>
            <w:r w:rsidRPr="00D618B7">
              <w:rPr>
                <w:color w:val="000000"/>
                <w:sz w:val="20"/>
                <w:szCs w:val="20"/>
              </w:rPr>
              <w:t>0.0323</w:t>
            </w:r>
          </w:p>
        </w:tc>
        <w:tc>
          <w:tcPr>
            <w:tcW w:w="1106" w:type="dxa"/>
            <w:tcBorders>
              <w:top w:val="nil"/>
              <w:left w:val="nil"/>
              <w:bottom w:val="nil"/>
              <w:right w:val="nil"/>
            </w:tcBorders>
            <w:shd w:val="clear" w:color="000000" w:fill="FFFFFF"/>
            <w:noWrap/>
            <w:vAlign w:val="center"/>
            <w:hideMark/>
          </w:tcPr>
          <w:p w14:paraId="0496898C" w14:textId="77777777" w:rsidR="00E7168B" w:rsidRPr="00D618B7" w:rsidRDefault="00E7168B" w:rsidP="004B11B7">
            <w:pPr>
              <w:jc w:val="right"/>
              <w:rPr>
                <w:color w:val="000000"/>
                <w:sz w:val="20"/>
                <w:szCs w:val="20"/>
              </w:rPr>
            </w:pPr>
            <w:r w:rsidRPr="00D618B7">
              <w:rPr>
                <w:color w:val="000000"/>
                <w:sz w:val="20"/>
                <w:szCs w:val="20"/>
              </w:rPr>
              <w:t>0.0027</w:t>
            </w:r>
          </w:p>
        </w:tc>
        <w:tc>
          <w:tcPr>
            <w:tcW w:w="1573" w:type="dxa"/>
            <w:tcBorders>
              <w:top w:val="nil"/>
              <w:left w:val="nil"/>
              <w:bottom w:val="nil"/>
              <w:right w:val="nil"/>
            </w:tcBorders>
            <w:shd w:val="clear" w:color="000000" w:fill="FFFFFF"/>
            <w:noWrap/>
            <w:vAlign w:val="center"/>
            <w:hideMark/>
          </w:tcPr>
          <w:p w14:paraId="1E27791B" w14:textId="77777777" w:rsidR="00E7168B" w:rsidRPr="00D618B7" w:rsidRDefault="00E7168B" w:rsidP="004B11B7">
            <w:pPr>
              <w:jc w:val="right"/>
              <w:rPr>
                <w:color w:val="000000"/>
                <w:sz w:val="20"/>
                <w:szCs w:val="20"/>
              </w:rPr>
            </w:pPr>
            <w:r w:rsidRPr="00D618B7">
              <w:rPr>
                <w:color w:val="000000"/>
                <w:sz w:val="20"/>
                <w:szCs w:val="20"/>
              </w:rPr>
              <w:t>-0.0011</w:t>
            </w:r>
          </w:p>
        </w:tc>
        <w:tc>
          <w:tcPr>
            <w:tcW w:w="1095" w:type="dxa"/>
            <w:tcBorders>
              <w:top w:val="nil"/>
              <w:left w:val="nil"/>
              <w:bottom w:val="nil"/>
              <w:right w:val="nil"/>
            </w:tcBorders>
            <w:shd w:val="clear" w:color="000000" w:fill="FFFFFF"/>
            <w:noWrap/>
            <w:vAlign w:val="center"/>
            <w:hideMark/>
          </w:tcPr>
          <w:p w14:paraId="6B5DD1F4" w14:textId="77777777" w:rsidR="00E7168B" w:rsidRPr="00D618B7" w:rsidRDefault="00E7168B" w:rsidP="004B11B7">
            <w:pPr>
              <w:jc w:val="right"/>
              <w:rPr>
                <w:color w:val="000000"/>
                <w:sz w:val="20"/>
                <w:szCs w:val="20"/>
              </w:rPr>
            </w:pPr>
            <w:r w:rsidRPr="00D618B7">
              <w:rPr>
                <w:color w:val="000000"/>
                <w:sz w:val="20"/>
                <w:szCs w:val="20"/>
              </w:rPr>
              <w:t>0.0013</w:t>
            </w:r>
          </w:p>
        </w:tc>
        <w:tc>
          <w:tcPr>
            <w:tcW w:w="1628" w:type="dxa"/>
            <w:tcBorders>
              <w:top w:val="nil"/>
              <w:left w:val="nil"/>
              <w:bottom w:val="nil"/>
              <w:right w:val="nil"/>
            </w:tcBorders>
            <w:shd w:val="clear" w:color="000000" w:fill="FFFFFF"/>
            <w:noWrap/>
            <w:vAlign w:val="center"/>
            <w:hideMark/>
          </w:tcPr>
          <w:p w14:paraId="094C72FB" w14:textId="77777777" w:rsidR="00E7168B" w:rsidRPr="00D618B7" w:rsidRDefault="00E7168B" w:rsidP="004B11B7">
            <w:pPr>
              <w:jc w:val="right"/>
              <w:rPr>
                <w:color w:val="000000"/>
                <w:sz w:val="20"/>
                <w:szCs w:val="20"/>
              </w:rPr>
            </w:pPr>
            <w:r w:rsidRPr="00D618B7">
              <w:rPr>
                <w:color w:val="000000"/>
                <w:sz w:val="20"/>
                <w:szCs w:val="20"/>
              </w:rPr>
              <w:t>0.0007</w:t>
            </w:r>
          </w:p>
        </w:tc>
        <w:tc>
          <w:tcPr>
            <w:tcW w:w="1133" w:type="dxa"/>
            <w:tcBorders>
              <w:top w:val="nil"/>
              <w:left w:val="nil"/>
              <w:bottom w:val="nil"/>
              <w:right w:val="nil"/>
            </w:tcBorders>
            <w:shd w:val="clear" w:color="000000" w:fill="FFFFFF"/>
            <w:noWrap/>
            <w:vAlign w:val="center"/>
            <w:hideMark/>
          </w:tcPr>
          <w:p w14:paraId="54E3CC0B" w14:textId="77777777" w:rsidR="00E7168B" w:rsidRPr="00D618B7" w:rsidRDefault="00E7168B" w:rsidP="004B11B7">
            <w:pPr>
              <w:jc w:val="right"/>
              <w:rPr>
                <w:color w:val="000000"/>
                <w:sz w:val="20"/>
                <w:szCs w:val="20"/>
              </w:rPr>
            </w:pPr>
            <w:r w:rsidRPr="00D618B7">
              <w:rPr>
                <w:color w:val="000000"/>
                <w:sz w:val="20"/>
                <w:szCs w:val="20"/>
              </w:rPr>
              <w:t>0.0003</w:t>
            </w:r>
          </w:p>
        </w:tc>
      </w:tr>
      <w:tr w:rsidR="00E7168B" w:rsidRPr="00D618B7" w14:paraId="7C591F7D" w14:textId="77777777" w:rsidTr="00E7168B">
        <w:trPr>
          <w:trHeight w:val="269"/>
        </w:trPr>
        <w:tc>
          <w:tcPr>
            <w:tcW w:w="1349" w:type="dxa"/>
            <w:tcBorders>
              <w:top w:val="nil"/>
              <w:left w:val="nil"/>
              <w:bottom w:val="nil"/>
              <w:right w:val="nil"/>
            </w:tcBorders>
            <w:shd w:val="clear" w:color="000000" w:fill="FFFFFF"/>
            <w:vAlign w:val="center"/>
            <w:hideMark/>
          </w:tcPr>
          <w:p w14:paraId="1E57D734" w14:textId="77777777" w:rsidR="00E7168B" w:rsidRPr="00D618B7" w:rsidRDefault="00E7168B" w:rsidP="004B11B7">
            <w:pPr>
              <w:jc w:val="right"/>
              <w:rPr>
                <w:color w:val="000000"/>
                <w:sz w:val="20"/>
                <w:szCs w:val="20"/>
              </w:rPr>
            </w:pPr>
            <w:r w:rsidRPr="00D618B7">
              <w:rPr>
                <w:color w:val="000000"/>
                <w:sz w:val="20"/>
                <w:szCs w:val="20"/>
              </w:rPr>
              <w:t>-4</w:t>
            </w:r>
          </w:p>
        </w:tc>
        <w:tc>
          <w:tcPr>
            <w:tcW w:w="1041" w:type="dxa"/>
            <w:tcBorders>
              <w:top w:val="nil"/>
              <w:left w:val="nil"/>
              <w:bottom w:val="nil"/>
              <w:right w:val="nil"/>
            </w:tcBorders>
            <w:shd w:val="clear" w:color="000000" w:fill="FFFFFF"/>
            <w:noWrap/>
            <w:vAlign w:val="center"/>
            <w:hideMark/>
          </w:tcPr>
          <w:p w14:paraId="2AE797F2" w14:textId="77777777" w:rsidR="00E7168B" w:rsidRPr="00D618B7" w:rsidRDefault="00E7168B" w:rsidP="004B11B7">
            <w:pPr>
              <w:jc w:val="right"/>
              <w:rPr>
                <w:color w:val="000000"/>
                <w:sz w:val="20"/>
                <w:szCs w:val="20"/>
              </w:rPr>
            </w:pPr>
            <w:r w:rsidRPr="00D618B7">
              <w:rPr>
                <w:color w:val="000000"/>
                <w:sz w:val="20"/>
                <w:szCs w:val="20"/>
              </w:rPr>
              <w:t>0.0018</w:t>
            </w:r>
          </w:p>
        </w:tc>
        <w:tc>
          <w:tcPr>
            <w:tcW w:w="1106" w:type="dxa"/>
            <w:tcBorders>
              <w:top w:val="nil"/>
              <w:left w:val="nil"/>
              <w:bottom w:val="nil"/>
              <w:right w:val="nil"/>
            </w:tcBorders>
            <w:shd w:val="clear" w:color="000000" w:fill="FFFFFF"/>
            <w:noWrap/>
            <w:vAlign w:val="center"/>
            <w:hideMark/>
          </w:tcPr>
          <w:p w14:paraId="11BCDF48" w14:textId="77777777" w:rsidR="00E7168B" w:rsidRPr="00D618B7" w:rsidRDefault="00E7168B" w:rsidP="004B11B7">
            <w:pPr>
              <w:jc w:val="right"/>
              <w:rPr>
                <w:color w:val="000000"/>
                <w:sz w:val="20"/>
                <w:szCs w:val="20"/>
              </w:rPr>
            </w:pPr>
            <w:r w:rsidRPr="00D618B7">
              <w:rPr>
                <w:color w:val="000000"/>
                <w:sz w:val="20"/>
                <w:szCs w:val="20"/>
              </w:rPr>
              <w:t>0.0019</w:t>
            </w:r>
          </w:p>
        </w:tc>
        <w:tc>
          <w:tcPr>
            <w:tcW w:w="1573" w:type="dxa"/>
            <w:tcBorders>
              <w:top w:val="nil"/>
              <w:left w:val="nil"/>
              <w:bottom w:val="nil"/>
              <w:right w:val="nil"/>
            </w:tcBorders>
            <w:shd w:val="clear" w:color="000000" w:fill="FFFFFF"/>
            <w:noWrap/>
            <w:vAlign w:val="center"/>
            <w:hideMark/>
          </w:tcPr>
          <w:p w14:paraId="15CE81C2" w14:textId="77777777" w:rsidR="00E7168B" w:rsidRPr="00D618B7" w:rsidRDefault="00E7168B" w:rsidP="004B11B7">
            <w:pPr>
              <w:jc w:val="right"/>
              <w:rPr>
                <w:color w:val="000000"/>
                <w:sz w:val="20"/>
                <w:szCs w:val="20"/>
              </w:rPr>
            </w:pPr>
            <w:r w:rsidRPr="00D618B7">
              <w:rPr>
                <w:color w:val="000000"/>
                <w:sz w:val="20"/>
                <w:szCs w:val="20"/>
              </w:rPr>
              <w:t>-0.0004</w:t>
            </w:r>
          </w:p>
        </w:tc>
        <w:tc>
          <w:tcPr>
            <w:tcW w:w="1095" w:type="dxa"/>
            <w:tcBorders>
              <w:top w:val="nil"/>
              <w:left w:val="nil"/>
              <w:bottom w:val="nil"/>
              <w:right w:val="nil"/>
            </w:tcBorders>
            <w:shd w:val="clear" w:color="000000" w:fill="FFFFFF"/>
            <w:noWrap/>
            <w:vAlign w:val="center"/>
            <w:hideMark/>
          </w:tcPr>
          <w:p w14:paraId="2E54B696" w14:textId="77777777" w:rsidR="00E7168B" w:rsidRPr="00D618B7" w:rsidRDefault="00E7168B" w:rsidP="004B11B7">
            <w:pPr>
              <w:jc w:val="right"/>
              <w:rPr>
                <w:color w:val="000000"/>
                <w:sz w:val="20"/>
                <w:szCs w:val="20"/>
              </w:rPr>
            </w:pPr>
            <w:r w:rsidRPr="00D618B7">
              <w:rPr>
                <w:color w:val="000000"/>
                <w:sz w:val="20"/>
                <w:szCs w:val="20"/>
              </w:rPr>
              <w:t>0.0006</w:t>
            </w:r>
          </w:p>
        </w:tc>
        <w:tc>
          <w:tcPr>
            <w:tcW w:w="1628" w:type="dxa"/>
            <w:tcBorders>
              <w:top w:val="nil"/>
              <w:left w:val="nil"/>
              <w:bottom w:val="nil"/>
              <w:right w:val="nil"/>
            </w:tcBorders>
            <w:shd w:val="clear" w:color="000000" w:fill="FFFFFF"/>
            <w:noWrap/>
            <w:vAlign w:val="center"/>
            <w:hideMark/>
          </w:tcPr>
          <w:p w14:paraId="02ED5A6F" w14:textId="77777777" w:rsidR="00E7168B" w:rsidRPr="00D618B7" w:rsidRDefault="00E7168B" w:rsidP="004B11B7">
            <w:pPr>
              <w:jc w:val="right"/>
              <w:rPr>
                <w:color w:val="000000"/>
                <w:sz w:val="20"/>
                <w:szCs w:val="20"/>
              </w:rPr>
            </w:pPr>
            <w:r w:rsidRPr="00D618B7">
              <w:rPr>
                <w:color w:val="000000"/>
                <w:sz w:val="20"/>
                <w:szCs w:val="20"/>
              </w:rPr>
              <w:t>-0.0019</w:t>
            </w:r>
          </w:p>
        </w:tc>
        <w:tc>
          <w:tcPr>
            <w:tcW w:w="1133" w:type="dxa"/>
            <w:tcBorders>
              <w:top w:val="nil"/>
              <w:left w:val="nil"/>
              <w:bottom w:val="nil"/>
              <w:right w:val="nil"/>
            </w:tcBorders>
            <w:shd w:val="clear" w:color="000000" w:fill="FFFFFF"/>
            <w:noWrap/>
            <w:vAlign w:val="center"/>
            <w:hideMark/>
          </w:tcPr>
          <w:p w14:paraId="66B301CE" w14:textId="77777777" w:rsidR="00E7168B" w:rsidRPr="00D618B7" w:rsidRDefault="00E7168B" w:rsidP="004B11B7">
            <w:pPr>
              <w:jc w:val="right"/>
              <w:rPr>
                <w:color w:val="000000"/>
                <w:sz w:val="20"/>
                <w:szCs w:val="20"/>
              </w:rPr>
            </w:pPr>
            <w:r w:rsidRPr="00D618B7">
              <w:rPr>
                <w:color w:val="000000"/>
                <w:sz w:val="20"/>
                <w:szCs w:val="20"/>
              </w:rPr>
              <w:t>0.0005</w:t>
            </w:r>
          </w:p>
        </w:tc>
      </w:tr>
      <w:tr w:rsidR="00E7168B" w:rsidRPr="00D618B7" w14:paraId="36B89B6A" w14:textId="77777777" w:rsidTr="00E7168B">
        <w:trPr>
          <w:trHeight w:val="269"/>
        </w:trPr>
        <w:tc>
          <w:tcPr>
            <w:tcW w:w="1349" w:type="dxa"/>
            <w:tcBorders>
              <w:top w:val="nil"/>
              <w:left w:val="nil"/>
              <w:bottom w:val="nil"/>
              <w:right w:val="nil"/>
            </w:tcBorders>
            <w:shd w:val="clear" w:color="000000" w:fill="FFFFFF"/>
            <w:vAlign w:val="center"/>
            <w:hideMark/>
          </w:tcPr>
          <w:p w14:paraId="021A0596" w14:textId="77777777" w:rsidR="00E7168B" w:rsidRPr="00D618B7" w:rsidRDefault="00E7168B" w:rsidP="004B11B7">
            <w:pPr>
              <w:jc w:val="right"/>
              <w:rPr>
                <w:color w:val="000000"/>
                <w:sz w:val="20"/>
                <w:szCs w:val="20"/>
              </w:rPr>
            </w:pPr>
            <w:r w:rsidRPr="00D618B7">
              <w:rPr>
                <w:color w:val="000000"/>
                <w:sz w:val="20"/>
                <w:szCs w:val="20"/>
              </w:rPr>
              <w:t>-3</w:t>
            </w:r>
          </w:p>
        </w:tc>
        <w:tc>
          <w:tcPr>
            <w:tcW w:w="1041" w:type="dxa"/>
            <w:tcBorders>
              <w:top w:val="nil"/>
              <w:left w:val="nil"/>
              <w:bottom w:val="nil"/>
              <w:right w:val="nil"/>
            </w:tcBorders>
            <w:shd w:val="clear" w:color="000000" w:fill="FFFFFF"/>
            <w:noWrap/>
            <w:vAlign w:val="center"/>
            <w:hideMark/>
          </w:tcPr>
          <w:p w14:paraId="3B54F2AE" w14:textId="77777777" w:rsidR="00E7168B" w:rsidRPr="00D618B7" w:rsidRDefault="00E7168B" w:rsidP="004B11B7">
            <w:pPr>
              <w:jc w:val="right"/>
              <w:rPr>
                <w:color w:val="000000"/>
                <w:sz w:val="20"/>
                <w:szCs w:val="20"/>
              </w:rPr>
            </w:pPr>
            <w:r w:rsidRPr="00D618B7">
              <w:rPr>
                <w:color w:val="000000"/>
                <w:sz w:val="20"/>
                <w:szCs w:val="20"/>
              </w:rPr>
              <w:t>0.0026</w:t>
            </w:r>
          </w:p>
        </w:tc>
        <w:tc>
          <w:tcPr>
            <w:tcW w:w="1106" w:type="dxa"/>
            <w:tcBorders>
              <w:top w:val="nil"/>
              <w:left w:val="nil"/>
              <w:bottom w:val="nil"/>
              <w:right w:val="nil"/>
            </w:tcBorders>
            <w:shd w:val="clear" w:color="000000" w:fill="FFFFFF"/>
            <w:noWrap/>
            <w:vAlign w:val="center"/>
            <w:hideMark/>
          </w:tcPr>
          <w:p w14:paraId="44EED6FA" w14:textId="77777777" w:rsidR="00E7168B" w:rsidRPr="00D618B7" w:rsidRDefault="00E7168B" w:rsidP="004B11B7">
            <w:pPr>
              <w:jc w:val="right"/>
              <w:rPr>
                <w:color w:val="000000"/>
                <w:sz w:val="20"/>
                <w:szCs w:val="20"/>
              </w:rPr>
            </w:pPr>
            <w:r w:rsidRPr="00D618B7">
              <w:rPr>
                <w:color w:val="000000"/>
                <w:sz w:val="20"/>
                <w:szCs w:val="20"/>
              </w:rPr>
              <w:t>0.0020</w:t>
            </w:r>
          </w:p>
        </w:tc>
        <w:tc>
          <w:tcPr>
            <w:tcW w:w="1573" w:type="dxa"/>
            <w:tcBorders>
              <w:top w:val="nil"/>
              <w:left w:val="nil"/>
              <w:bottom w:val="nil"/>
              <w:right w:val="nil"/>
            </w:tcBorders>
            <w:shd w:val="clear" w:color="000000" w:fill="FFFFFF"/>
            <w:noWrap/>
            <w:vAlign w:val="center"/>
            <w:hideMark/>
          </w:tcPr>
          <w:p w14:paraId="19BA1688" w14:textId="77777777" w:rsidR="00E7168B" w:rsidRPr="00D618B7" w:rsidRDefault="00E7168B" w:rsidP="004B11B7">
            <w:pPr>
              <w:jc w:val="right"/>
              <w:rPr>
                <w:color w:val="000000"/>
                <w:sz w:val="20"/>
                <w:szCs w:val="20"/>
              </w:rPr>
            </w:pPr>
            <w:r w:rsidRPr="00D618B7">
              <w:rPr>
                <w:color w:val="000000"/>
                <w:sz w:val="20"/>
                <w:szCs w:val="20"/>
              </w:rPr>
              <w:t>0.0016</w:t>
            </w:r>
          </w:p>
        </w:tc>
        <w:tc>
          <w:tcPr>
            <w:tcW w:w="1095" w:type="dxa"/>
            <w:tcBorders>
              <w:top w:val="nil"/>
              <w:left w:val="nil"/>
              <w:bottom w:val="nil"/>
              <w:right w:val="nil"/>
            </w:tcBorders>
            <w:shd w:val="clear" w:color="000000" w:fill="FFFFFF"/>
            <w:noWrap/>
            <w:vAlign w:val="center"/>
            <w:hideMark/>
          </w:tcPr>
          <w:p w14:paraId="12FF0D7D" w14:textId="77777777" w:rsidR="00E7168B" w:rsidRPr="00D618B7" w:rsidRDefault="00E7168B" w:rsidP="004B11B7">
            <w:pPr>
              <w:jc w:val="right"/>
              <w:rPr>
                <w:color w:val="000000"/>
                <w:sz w:val="20"/>
                <w:szCs w:val="20"/>
              </w:rPr>
            </w:pPr>
            <w:r w:rsidRPr="00D618B7">
              <w:rPr>
                <w:color w:val="000000"/>
                <w:sz w:val="20"/>
                <w:szCs w:val="20"/>
              </w:rPr>
              <w:t>0.0006</w:t>
            </w:r>
          </w:p>
        </w:tc>
        <w:tc>
          <w:tcPr>
            <w:tcW w:w="1628" w:type="dxa"/>
            <w:tcBorders>
              <w:top w:val="nil"/>
              <w:left w:val="nil"/>
              <w:bottom w:val="nil"/>
              <w:right w:val="nil"/>
            </w:tcBorders>
            <w:shd w:val="clear" w:color="000000" w:fill="FFFFFF"/>
            <w:noWrap/>
            <w:vAlign w:val="center"/>
            <w:hideMark/>
          </w:tcPr>
          <w:p w14:paraId="5DB54315" w14:textId="77777777" w:rsidR="00E7168B" w:rsidRPr="00D618B7" w:rsidRDefault="00E7168B" w:rsidP="004B11B7">
            <w:pPr>
              <w:jc w:val="right"/>
              <w:rPr>
                <w:color w:val="000000"/>
                <w:sz w:val="20"/>
                <w:szCs w:val="20"/>
              </w:rPr>
            </w:pPr>
            <w:r w:rsidRPr="00D618B7">
              <w:rPr>
                <w:color w:val="000000"/>
                <w:sz w:val="20"/>
                <w:szCs w:val="20"/>
              </w:rPr>
              <w:t>0.0020</w:t>
            </w:r>
          </w:p>
        </w:tc>
        <w:tc>
          <w:tcPr>
            <w:tcW w:w="1133" w:type="dxa"/>
            <w:tcBorders>
              <w:top w:val="nil"/>
              <w:left w:val="nil"/>
              <w:bottom w:val="nil"/>
              <w:right w:val="nil"/>
            </w:tcBorders>
            <w:shd w:val="clear" w:color="000000" w:fill="FFFFFF"/>
            <w:noWrap/>
            <w:vAlign w:val="center"/>
            <w:hideMark/>
          </w:tcPr>
          <w:p w14:paraId="0DDB7232" w14:textId="77777777" w:rsidR="00E7168B" w:rsidRPr="00D618B7" w:rsidRDefault="00E7168B" w:rsidP="004B11B7">
            <w:pPr>
              <w:jc w:val="right"/>
              <w:rPr>
                <w:color w:val="000000"/>
                <w:sz w:val="20"/>
                <w:szCs w:val="20"/>
              </w:rPr>
            </w:pPr>
            <w:r w:rsidRPr="00D618B7">
              <w:rPr>
                <w:color w:val="000000"/>
                <w:sz w:val="20"/>
                <w:szCs w:val="20"/>
              </w:rPr>
              <w:t>0.0008</w:t>
            </w:r>
          </w:p>
        </w:tc>
      </w:tr>
      <w:tr w:rsidR="00E7168B" w:rsidRPr="00D618B7" w14:paraId="4A64552C" w14:textId="77777777" w:rsidTr="00E7168B">
        <w:trPr>
          <w:trHeight w:val="269"/>
        </w:trPr>
        <w:tc>
          <w:tcPr>
            <w:tcW w:w="1349" w:type="dxa"/>
            <w:tcBorders>
              <w:top w:val="nil"/>
              <w:left w:val="nil"/>
              <w:bottom w:val="nil"/>
              <w:right w:val="nil"/>
            </w:tcBorders>
            <w:shd w:val="clear" w:color="000000" w:fill="FFFFFF"/>
            <w:vAlign w:val="center"/>
            <w:hideMark/>
          </w:tcPr>
          <w:p w14:paraId="632F14A3" w14:textId="77777777" w:rsidR="00E7168B" w:rsidRPr="00D618B7" w:rsidRDefault="00E7168B" w:rsidP="004B11B7">
            <w:pPr>
              <w:jc w:val="right"/>
              <w:rPr>
                <w:color w:val="000000"/>
                <w:sz w:val="20"/>
                <w:szCs w:val="20"/>
              </w:rPr>
            </w:pPr>
            <w:r w:rsidRPr="00D618B7">
              <w:rPr>
                <w:color w:val="000000"/>
                <w:sz w:val="20"/>
                <w:szCs w:val="20"/>
              </w:rPr>
              <w:t>-2</w:t>
            </w:r>
          </w:p>
        </w:tc>
        <w:tc>
          <w:tcPr>
            <w:tcW w:w="1041" w:type="dxa"/>
            <w:tcBorders>
              <w:top w:val="nil"/>
              <w:left w:val="nil"/>
              <w:bottom w:val="nil"/>
              <w:right w:val="nil"/>
            </w:tcBorders>
            <w:shd w:val="clear" w:color="000000" w:fill="FFFFFF"/>
            <w:noWrap/>
            <w:vAlign w:val="center"/>
            <w:hideMark/>
          </w:tcPr>
          <w:p w14:paraId="203796F8" w14:textId="77777777" w:rsidR="00E7168B" w:rsidRPr="00D618B7" w:rsidRDefault="00E7168B" w:rsidP="004B11B7">
            <w:pPr>
              <w:jc w:val="right"/>
              <w:rPr>
                <w:color w:val="000000"/>
                <w:sz w:val="20"/>
                <w:szCs w:val="20"/>
              </w:rPr>
            </w:pPr>
            <w:r w:rsidRPr="00D618B7">
              <w:rPr>
                <w:color w:val="000000"/>
                <w:sz w:val="20"/>
                <w:szCs w:val="20"/>
              </w:rPr>
              <w:t>0.0181</w:t>
            </w:r>
          </w:p>
        </w:tc>
        <w:tc>
          <w:tcPr>
            <w:tcW w:w="1106" w:type="dxa"/>
            <w:tcBorders>
              <w:top w:val="nil"/>
              <w:left w:val="nil"/>
              <w:bottom w:val="nil"/>
              <w:right w:val="nil"/>
            </w:tcBorders>
            <w:shd w:val="clear" w:color="000000" w:fill="FFFFFF"/>
            <w:noWrap/>
            <w:vAlign w:val="center"/>
            <w:hideMark/>
          </w:tcPr>
          <w:p w14:paraId="0FA77533" w14:textId="77777777" w:rsidR="00E7168B" w:rsidRPr="00D618B7" w:rsidRDefault="00E7168B" w:rsidP="004B11B7">
            <w:pPr>
              <w:jc w:val="right"/>
              <w:rPr>
                <w:color w:val="000000"/>
                <w:sz w:val="20"/>
                <w:szCs w:val="20"/>
              </w:rPr>
            </w:pPr>
            <w:r w:rsidRPr="00D618B7">
              <w:rPr>
                <w:color w:val="000000"/>
                <w:sz w:val="20"/>
                <w:szCs w:val="20"/>
              </w:rPr>
              <w:t>0.0139</w:t>
            </w:r>
          </w:p>
        </w:tc>
        <w:tc>
          <w:tcPr>
            <w:tcW w:w="1573" w:type="dxa"/>
            <w:tcBorders>
              <w:top w:val="nil"/>
              <w:left w:val="nil"/>
              <w:bottom w:val="nil"/>
              <w:right w:val="nil"/>
            </w:tcBorders>
            <w:shd w:val="clear" w:color="000000" w:fill="FFFFFF"/>
            <w:noWrap/>
            <w:vAlign w:val="center"/>
            <w:hideMark/>
          </w:tcPr>
          <w:p w14:paraId="2647D57C" w14:textId="77777777" w:rsidR="00E7168B" w:rsidRPr="00D618B7" w:rsidRDefault="00E7168B" w:rsidP="004B11B7">
            <w:pPr>
              <w:jc w:val="right"/>
              <w:rPr>
                <w:color w:val="000000"/>
                <w:sz w:val="20"/>
                <w:szCs w:val="20"/>
              </w:rPr>
            </w:pPr>
            <w:r w:rsidRPr="00D618B7">
              <w:rPr>
                <w:color w:val="000000"/>
                <w:sz w:val="20"/>
                <w:szCs w:val="20"/>
              </w:rPr>
              <w:t>0.0000</w:t>
            </w:r>
          </w:p>
        </w:tc>
        <w:tc>
          <w:tcPr>
            <w:tcW w:w="1095" w:type="dxa"/>
            <w:tcBorders>
              <w:top w:val="nil"/>
              <w:left w:val="nil"/>
              <w:bottom w:val="nil"/>
              <w:right w:val="nil"/>
            </w:tcBorders>
            <w:shd w:val="clear" w:color="000000" w:fill="FFFFFF"/>
            <w:noWrap/>
            <w:vAlign w:val="center"/>
            <w:hideMark/>
          </w:tcPr>
          <w:p w14:paraId="2CD5B31D" w14:textId="77777777" w:rsidR="00E7168B" w:rsidRPr="00D618B7" w:rsidRDefault="00E7168B" w:rsidP="004B11B7">
            <w:pPr>
              <w:jc w:val="right"/>
              <w:rPr>
                <w:color w:val="000000"/>
                <w:sz w:val="20"/>
                <w:szCs w:val="20"/>
              </w:rPr>
            </w:pPr>
            <w:r w:rsidRPr="00D618B7">
              <w:rPr>
                <w:color w:val="000000"/>
                <w:sz w:val="20"/>
                <w:szCs w:val="20"/>
              </w:rPr>
              <w:t>0.0005</w:t>
            </w:r>
          </w:p>
        </w:tc>
        <w:tc>
          <w:tcPr>
            <w:tcW w:w="1628" w:type="dxa"/>
            <w:tcBorders>
              <w:top w:val="nil"/>
              <w:left w:val="nil"/>
              <w:bottom w:val="nil"/>
              <w:right w:val="nil"/>
            </w:tcBorders>
            <w:shd w:val="clear" w:color="000000" w:fill="FFFFFF"/>
            <w:noWrap/>
            <w:vAlign w:val="center"/>
            <w:hideMark/>
          </w:tcPr>
          <w:p w14:paraId="1D453ACD" w14:textId="77777777" w:rsidR="00E7168B" w:rsidRPr="00D618B7" w:rsidRDefault="00E7168B" w:rsidP="004B11B7">
            <w:pPr>
              <w:jc w:val="right"/>
              <w:rPr>
                <w:color w:val="000000"/>
                <w:sz w:val="20"/>
                <w:szCs w:val="20"/>
              </w:rPr>
            </w:pPr>
            <w:r w:rsidRPr="00D618B7">
              <w:rPr>
                <w:color w:val="000000"/>
                <w:sz w:val="20"/>
                <w:szCs w:val="20"/>
              </w:rPr>
              <w:t>-0.0008</w:t>
            </w:r>
          </w:p>
        </w:tc>
        <w:tc>
          <w:tcPr>
            <w:tcW w:w="1133" w:type="dxa"/>
            <w:tcBorders>
              <w:top w:val="nil"/>
              <w:left w:val="nil"/>
              <w:bottom w:val="nil"/>
              <w:right w:val="nil"/>
            </w:tcBorders>
            <w:shd w:val="clear" w:color="000000" w:fill="FFFFFF"/>
            <w:noWrap/>
            <w:vAlign w:val="center"/>
            <w:hideMark/>
          </w:tcPr>
          <w:p w14:paraId="03ED8718" w14:textId="77777777" w:rsidR="00E7168B" w:rsidRPr="00D618B7" w:rsidRDefault="00E7168B" w:rsidP="004B11B7">
            <w:pPr>
              <w:jc w:val="right"/>
              <w:rPr>
                <w:color w:val="000000"/>
                <w:sz w:val="20"/>
                <w:szCs w:val="20"/>
              </w:rPr>
            </w:pPr>
            <w:r w:rsidRPr="00D618B7">
              <w:rPr>
                <w:color w:val="000000"/>
                <w:sz w:val="20"/>
                <w:szCs w:val="20"/>
              </w:rPr>
              <w:t>0.0007</w:t>
            </w:r>
          </w:p>
        </w:tc>
      </w:tr>
      <w:tr w:rsidR="00E7168B" w:rsidRPr="00D618B7" w14:paraId="2D4D8E54" w14:textId="77777777" w:rsidTr="00E7168B">
        <w:trPr>
          <w:trHeight w:val="269"/>
        </w:trPr>
        <w:tc>
          <w:tcPr>
            <w:tcW w:w="1349" w:type="dxa"/>
            <w:tcBorders>
              <w:top w:val="nil"/>
              <w:left w:val="nil"/>
              <w:bottom w:val="nil"/>
              <w:right w:val="nil"/>
            </w:tcBorders>
            <w:shd w:val="clear" w:color="000000" w:fill="FFFFFF"/>
            <w:vAlign w:val="center"/>
            <w:hideMark/>
          </w:tcPr>
          <w:p w14:paraId="06244E55" w14:textId="77777777" w:rsidR="00E7168B" w:rsidRPr="00D618B7" w:rsidRDefault="00E7168B" w:rsidP="004B11B7">
            <w:pPr>
              <w:jc w:val="right"/>
              <w:rPr>
                <w:color w:val="000000"/>
                <w:sz w:val="20"/>
                <w:szCs w:val="20"/>
              </w:rPr>
            </w:pPr>
            <w:r w:rsidRPr="00D618B7">
              <w:rPr>
                <w:color w:val="000000"/>
                <w:sz w:val="20"/>
                <w:szCs w:val="20"/>
              </w:rPr>
              <w:t>-1</w:t>
            </w:r>
          </w:p>
        </w:tc>
        <w:tc>
          <w:tcPr>
            <w:tcW w:w="1041" w:type="dxa"/>
            <w:tcBorders>
              <w:top w:val="nil"/>
              <w:left w:val="nil"/>
              <w:bottom w:val="nil"/>
              <w:right w:val="nil"/>
            </w:tcBorders>
            <w:shd w:val="clear" w:color="000000" w:fill="FFFFFF"/>
            <w:noWrap/>
            <w:vAlign w:val="center"/>
            <w:hideMark/>
          </w:tcPr>
          <w:p w14:paraId="39DDC216" w14:textId="77777777" w:rsidR="00E7168B" w:rsidRPr="00D618B7" w:rsidRDefault="00E7168B" w:rsidP="004B11B7">
            <w:pPr>
              <w:jc w:val="right"/>
              <w:rPr>
                <w:color w:val="000000"/>
                <w:sz w:val="20"/>
                <w:szCs w:val="20"/>
              </w:rPr>
            </w:pPr>
            <w:r w:rsidRPr="00D618B7">
              <w:rPr>
                <w:color w:val="000000"/>
                <w:sz w:val="20"/>
                <w:szCs w:val="20"/>
              </w:rPr>
              <w:t>-0.0007</w:t>
            </w:r>
          </w:p>
        </w:tc>
        <w:tc>
          <w:tcPr>
            <w:tcW w:w="1106" w:type="dxa"/>
            <w:tcBorders>
              <w:top w:val="nil"/>
              <w:left w:val="nil"/>
              <w:bottom w:val="nil"/>
              <w:right w:val="nil"/>
            </w:tcBorders>
            <w:shd w:val="clear" w:color="000000" w:fill="FFFFFF"/>
            <w:noWrap/>
            <w:vAlign w:val="center"/>
            <w:hideMark/>
          </w:tcPr>
          <w:p w14:paraId="0B6B8A1B" w14:textId="77777777" w:rsidR="00E7168B" w:rsidRPr="00D618B7" w:rsidRDefault="00E7168B" w:rsidP="004B11B7">
            <w:pPr>
              <w:jc w:val="right"/>
              <w:rPr>
                <w:color w:val="000000"/>
                <w:sz w:val="20"/>
                <w:szCs w:val="20"/>
              </w:rPr>
            </w:pPr>
            <w:r w:rsidRPr="00D618B7">
              <w:rPr>
                <w:color w:val="000000"/>
                <w:sz w:val="20"/>
                <w:szCs w:val="20"/>
              </w:rPr>
              <w:t>0.0004</w:t>
            </w:r>
          </w:p>
        </w:tc>
        <w:tc>
          <w:tcPr>
            <w:tcW w:w="1573" w:type="dxa"/>
            <w:tcBorders>
              <w:top w:val="nil"/>
              <w:left w:val="nil"/>
              <w:bottom w:val="nil"/>
              <w:right w:val="nil"/>
            </w:tcBorders>
            <w:shd w:val="clear" w:color="000000" w:fill="FFFFFF"/>
            <w:noWrap/>
            <w:vAlign w:val="center"/>
            <w:hideMark/>
          </w:tcPr>
          <w:p w14:paraId="379DE58E" w14:textId="77777777" w:rsidR="00E7168B" w:rsidRPr="00D618B7" w:rsidRDefault="00E7168B" w:rsidP="004B11B7">
            <w:pPr>
              <w:jc w:val="right"/>
              <w:rPr>
                <w:color w:val="000000"/>
                <w:sz w:val="20"/>
                <w:szCs w:val="20"/>
              </w:rPr>
            </w:pPr>
            <w:r w:rsidRPr="00D618B7">
              <w:rPr>
                <w:color w:val="000000"/>
                <w:sz w:val="20"/>
                <w:szCs w:val="20"/>
              </w:rPr>
              <w:t>0.0023</w:t>
            </w:r>
          </w:p>
        </w:tc>
        <w:tc>
          <w:tcPr>
            <w:tcW w:w="1095" w:type="dxa"/>
            <w:tcBorders>
              <w:top w:val="nil"/>
              <w:left w:val="nil"/>
              <w:bottom w:val="nil"/>
              <w:right w:val="nil"/>
            </w:tcBorders>
            <w:shd w:val="clear" w:color="000000" w:fill="FFFFFF"/>
            <w:noWrap/>
            <w:vAlign w:val="center"/>
            <w:hideMark/>
          </w:tcPr>
          <w:p w14:paraId="3F7C57D2" w14:textId="77777777" w:rsidR="00E7168B" w:rsidRPr="00D618B7" w:rsidRDefault="00E7168B" w:rsidP="004B11B7">
            <w:pPr>
              <w:jc w:val="right"/>
              <w:rPr>
                <w:color w:val="000000"/>
                <w:sz w:val="20"/>
                <w:szCs w:val="20"/>
              </w:rPr>
            </w:pPr>
            <w:r w:rsidRPr="00D618B7">
              <w:rPr>
                <w:color w:val="000000"/>
                <w:sz w:val="20"/>
                <w:szCs w:val="20"/>
              </w:rPr>
              <w:t>0.0008</w:t>
            </w:r>
          </w:p>
        </w:tc>
        <w:tc>
          <w:tcPr>
            <w:tcW w:w="1628" w:type="dxa"/>
            <w:tcBorders>
              <w:top w:val="nil"/>
              <w:left w:val="nil"/>
              <w:bottom w:val="nil"/>
              <w:right w:val="nil"/>
            </w:tcBorders>
            <w:shd w:val="clear" w:color="000000" w:fill="FFFFFF"/>
            <w:noWrap/>
            <w:vAlign w:val="center"/>
            <w:hideMark/>
          </w:tcPr>
          <w:p w14:paraId="2041E7F6" w14:textId="77777777" w:rsidR="00E7168B" w:rsidRPr="00D618B7" w:rsidRDefault="00E7168B" w:rsidP="004B11B7">
            <w:pPr>
              <w:jc w:val="right"/>
              <w:rPr>
                <w:color w:val="000000"/>
                <w:sz w:val="20"/>
                <w:szCs w:val="20"/>
              </w:rPr>
            </w:pPr>
            <w:r w:rsidRPr="00D618B7">
              <w:rPr>
                <w:color w:val="000000"/>
                <w:sz w:val="20"/>
                <w:szCs w:val="20"/>
              </w:rPr>
              <w:t>0.0030</w:t>
            </w:r>
          </w:p>
        </w:tc>
        <w:tc>
          <w:tcPr>
            <w:tcW w:w="1133" w:type="dxa"/>
            <w:tcBorders>
              <w:top w:val="nil"/>
              <w:left w:val="nil"/>
              <w:bottom w:val="nil"/>
              <w:right w:val="nil"/>
            </w:tcBorders>
            <w:shd w:val="clear" w:color="000000" w:fill="FFFFFF"/>
            <w:noWrap/>
            <w:vAlign w:val="center"/>
            <w:hideMark/>
          </w:tcPr>
          <w:p w14:paraId="1B6C8596" w14:textId="77777777" w:rsidR="00E7168B" w:rsidRPr="00D618B7" w:rsidRDefault="00E7168B" w:rsidP="004B11B7">
            <w:pPr>
              <w:jc w:val="right"/>
              <w:rPr>
                <w:color w:val="000000"/>
                <w:sz w:val="20"/>
                <w:szCs w:val="20"/>
              </w:rPr>
            </w:pPr>
            <w:r w:rsidRPr="00D618B7">
              <w:rPr>
                <w:color w:val="000000"/>
                <w:sz w:val="20"/>
                <w:szCs w:val="20"/>
              </w:rPr>
              <w:t>0.0006</w:t>
            </w:r>
          </w:p>
        </w:tc>
      </w:tr>
      <w:tr w:rsidR="00E7168B" w:rsidRPr="00D618B7" w14:paraId="04289A31" w14:textId="77777777" w:rsidTr="00E7168B">
        <w:trPr>
          <w:trHeight w:val="269"/>
        </w:trPr>
        <w:tc>
          <w:tcPr>
            <w:tcW w:w="1349" w:type="dxa"/>
            <w:tcBorders>
              <w:top w:val="nil"/>
              <w:left w:val="nil"/>
              <w:bottom w:val="nil"/>
              <w:right w:val="nil"/>
            </w:tcBorders>
            <w:shd w:val="clear" w:color="000000" w:fill="FFFFFF"/>
            <w:vAlign w:val="center"/>
            <w:hideMark/>
          </w:tcPr>
          <w:p w14:paraId="135A0742" w14:textId="77777777" w:rsidR="00E7168B" w:rsidRPr="00D618B7" w:rsidRDefault="00E7168B" w:rsidP="004B11B7">
            <w:pPr>
              <w:jc w:val="right"/>
              <w:rPr>
                <w:color w:val="000000"/>
                <w:sz w:val="20"/>
                <w:szCs w:val="20"/>
              </w:rPr>
            </w:pPr>
            <w:r w:rsidRPr="00D618B7">
              <w:rPr>
                <w:color w:val="000000"/>
                <w:sz w:val="20"/>
                <w:szCs w:val="20"/>
              </w:rPr>
              <w:t>0</w:t>
            </w:r>
          </w:p>
        </w:tc>
        <w:tc>
          <w:tcPr>
            <w:tcW w:w="1041" w:type="dxa"/>
            <w:tcBorders>
              <w:top w:val="nil"/>
              <w:left w:val="nil"/>
              <w:bottom w:val="nil"/>
              <w:right w:val="nil"/>
            </w:tcBorders>
            <w:shd w:val="clear" w:color="000000" w:fill="FFFFFF"/>
            <w:noWrap/>
            <w:vAlign w:val="center"/>
            <w:hideMark/>
          </w:tcPr>
          <w:p w14:paraId="7FD5212D" w14:textId="77777777" w:rsidR="00E7168B" w:rsidRPr="00D618B7" w:rsidRDefault="00E7168B" w:rsidP="004B11B7">
            <w:pPr>
              <w:jc w:val="right"/>
              <w:rPr>
                <w:color w:val="000000"/>
                <w:sz w:val="20"/>
                <w:szCs w:val="20"/>
              </w:rPr>
            </w:pPr>
            <w:r w:rsidRPr="00D618B7">
              <w:rPr>
                <w:color w:val="000000"/>
                <w:sz w:val="20"/>
                <w:szCs w:val="20"/>
              </w:rPr>
              <w:t>0.0002</w:t>
            </w:r>
          </w:p>
        </w:tc>
        <w:tc>
          <w:tcPr>
            <w:tcW w:w="1106" w:type="dxa"/>
            <w:tcBorders>
              <w:top w:val="nil"/>
              <w:left w:val="nil"/>
              <w:bottom w:val="nil"/>
              <w:right w:val="nil"/>
            </w:tcBorders>
            <w:shd w:val="clear" w:color="000000" w:fill="FFFFFF"/>
            <w:noWrap/>
            <w:vAlign w:val="center"/>
            <w:hideMark/>
          </w:tcPr>
          <w:p w14:paraId="2E66B003" w14:textId="77777777" w:rsidR="00E7168B" w:rsidRPr="00D618B7" w:rsidRDefault="00E7168B" w:rsidP="004B11B7">
            <w:pPr>
              <w:jc w:val="right"/>
              <w:rPr>
                <w:color w:val="000000"/>
                <w:sz w:val="20"/>
                <w:szCs w:val="20"/>
              </w:rPr>
            </w:pPr>
            <w:r w:rsidRPr="00D618B7">
              <w:rPr>
                <w:color w:val="000000"/>
                <w:sz w:val="20"/>
                <w:szCs w:val="20"/>
              </w:rPr>
              <w:t>0.0005</w:t>
            </w:r>
          </w:p>
        </w:tc>
        <w:tc>
          <w:tcPr>
            <w:tcW w:w="1573" w:type="dxa"/>
            <w:tcBorders>
              <w:top w:val="nil"/>
              <w:left w:val="nil"/>
              <w:bottom w:val="nil"/>
              <w:right w:val="nil"/>
            </w:tcBorders>
            <w:shd w:val="clear" w:color="000000" w:fill="FFFFFF"/>
            <w:noWrap/>
            <w:vAlign w:val="center"/>
            <w:hideMark/>
          </w:tcPr>
          <w:p w14:paraId="347B35E3" w14:textId="77777777" w:rsidR="00E7168B" w:rsidRPr="00D618B7" w:rsidRDefault="00E7168B" w:rsidP="004B11B7">
            <w:pPr>
              <w:jc w:val="right"/>
              <w:rPr>
                <w:color w:val="000000"/>
                <w:sz w:val="20"/>
                <w:szCs w:val="20"/>
              </w:rPr>
            </w:pPr>
            <w:r w:rsidRPr="00D618B7">
              <w:rPr>
                <w:color w:val="000000"/>
                <w:sz w:val="20"/>
                <w:szCs w:val="20"/>
              </w:rPr>
              <w:t>-0.0014</w:t>
            </w:r>
          </w:p>
        </w:tc>
        <w:tc>
          <w:tcPr>
            <w:tcW w:w="1095" w:type="dxa"/>
            <w:tcBorders>
              <w:top w:val="nil"/>
              <w:left w:val="nil"/>
              <w:bottom w:val="nil"/>
              <w:right w:val="nil"/>
            </w:tcBorders>
            <w:shd w:val="clear" w:color="000000" w:fill="FFFFFF"/>
            <w:noWrap/>
            <w:vAlign w:val="center"/>
            <w:hideMark/>
          </w:tcPr>
          <w:p w14:paraId="75CF1449" w14:textId="77777777" w:rsidR="00E7168B" w:rsidRPr="00D618B7" w:rsidRDefault="00E7168B" w:rsidP="004B11B7">
            <w:pPr>
              <w:jc w:val="right"/>
              <w:rPr>
                <w:color w:val="000000"/>
                <w:sz w:val="20"/>
                <w:szCs w:val="20"/>
              </w:rPr>
            </w:pPr>
            <w:r w:rsidRPr="00D618B7">
              <w:rPr>
                <w:color w:val="000000"/>
                <w:sz w:val="20"/>
                <w:szCs w:val="20"/>
              </w:rPr>
              <w:t>0.0007</w:t>
            </w:r>
          </w:p>
        </w:tc>
        <w:tc>
          <w:tcPr>
            <w:tcW w:w="1628" w:type="dxa"/>
            <w:tcBorders>
              <w:top w:val="nil"/>
              <w:left w:val="nil"/>
              <w:bottom w:val="nil"/>
              <w:right w:val="nil"/>
            </w:tcBorders>
            <w:shd w:val="clear" w:color="000000" w:fill="FFFFFF"/>
            <w:noWrap/>
            <w:vAlign w:val="center"/>
            <w:hideMark/>
          </w:tcPr>
          <w:p w14:paraId="244A3805" w14:textId="77777777" w:rsidR="00E7168B" w:rsidRPr="00D618B7" w:rsidRDefault="00E7168B" w:rsidP="004B11B7">
            <w:pPr>
              <w:jc w:val="right"/>
              <w:rPr>
                <w:color w:val="000000"/>
                <w:sz w:val="20"/>
                <w:szCs w:val="20"/>
              </w:rPr>
            </w:pPr>
            <w:r w:rsidRPr="00D618B7">
              <w:rPr>
                <w:color w:val="000000"/>
                <w:sz w:val="20"/>
                <w:szCs w:val="20"/>
              </w:rPr>
              <w:t>-0.0025</w:t>
            </w:r>
          </w:p>
        </w:tc>
        <w:tc>
          <w:tcPr>
            <w:tcW w:w="1133" w:type="dxa"/>
            <w:tcBorders>
              <w:top w:val="nil"/>
              <w:left w:val="nil"/>
              <w:bottom w:val="nil"/>
              <w:right w:val="nil"/>
            </w:tcBorders>
            <w:shd w:val="clear" w:color="000000" w:fill="FFFFFF"/>
            <w:noWrap/>
            <w:vAlign w:val="center"/>
            <w:hideMark/>
          </w:tcPr>
          <w:p w14:paraId="4E53E943" w14:textId="77777777" w:rsidR="00E7168B" w:rsidRPr="00D618B7" w:rsidRDefault="00E7168B" w:rsidP="004B11B7">
            <w:pPr>
              <w:jc w:val="right"/>
              <w:rPr>
                <w:color w:val="000000"/>
                <w:sz w:val="20"/>
                <w:szCs w:val="20"/>
              </w:rPr>
            </w:pPr>
            <w:r w:rsidRPr="00D618B7">
              <w:rPr>
                <w:color w:val="000000"/>
                <w:sz w:val="20"/>
                <w:szCs w:val="20"/>
              </w:rPr>
              <w:t>0.0011</w:t>
            </w:r>
          </w:p>
        </w:tc>
      </w:tr>
      <w:tr w:rsidR="00E7168B" w:rsidRPr="00D618B7" w14:paraId="1CA59E77" w14:textId="77777777" w:rsidTr="00E7168B">
        <w:trPr>
          <w:trHeight w:val="269"/>
        </w:trPr>
        <w:tc>
          <w:tcPr>
            <w:tcW w:w="1349" w:type="dxa"/>
            <w:tcBorders>
              <w:top w:val="nil"/>
              <w:left w:val="nil"/>
              <w:bottom w:val="nil"/>
              <w:right w:val="nil"/>
            </w:tcBorders>
            <w:shd w:val="clear" w:color="000000" w:fill="FFFFFF"/>
            <w:vAlign w:val="center"/>
            <w:hideMark/>
          </w:tcPr>
          <w:p w14:paraId="24AFFE07" w14:textId="77777777" w:rsidR="00E7168B" w:rsidRPr="00D618B7" w:rsidRDefault="00E7168B" w:rsidP="004B11B7">
            <w:pPr>
              <w:jc w:val="right"/>
              <w:rPr>
                <w:color w:val="000000"/>
                <w:sz w:val="20"/>
                <w:szCs w:val="20"/>
              </w:rPr>
            </w:pPr>
            <w:r w:rsidRPr="00D618B7">
              <w:rPr>
                <w:color w:val="000000"/>
                <w:sz w:val="20"/>
                <w:szCs w:val="20"/>
              </w:rPr>
              <w:t>1</w:t>
            </w:r>
          </w:p>
        </w:tc>
        <w:tc>
          <w:tcPr>
            <w:tcW w:w="1041" w:type="dxa"/>
            <w:tcBorders>
              <w:top w:val="nil"/>
              <w:left w:val="nil"/>
              <w:bottom w:val="nil"/>
              <w:right w:val="nil"/>
            </w:tcBorders>
            <w:shd w:val="clear" w:color="000000" w:fill="FFFFFF"/>
            <w:noWrap/>
            <w:vAlign w:val="center"/>
            <w:hideMark/>
          </w:tcPr>
          <w:p w14:paraId="0EB11D2D" w14:textId="77777777" w:rsidR="00E7168B" w:rsidRPr="00D618B7" w:rsidRDefault="00E7168B" w:rsidP="004B11B7">
            <w:pPr>
              <w:jc w:val="right"/>
              <w:rPr>
                <w:color w:val="000000"/>
                <w:sz w:val="20"/>
                <w:szCs w:val="20"/>
              </w:rPr>
            </w:pPr>
            <w:r w:rsidRPr="00D618B7">
              <w:rPr>
                <w:color w:val="000000"/>
                <w:sz w:val="20"/>
                <w:szCs w:val="20"/>
              </w:rPr>
              <w:t>-0.0005</w:t>
            </w:r>
          </w:p>
        </w:tc>
        <w:tc>
          <w:tcPr>
            <w:tcW w:w="1106" w:type="dxa"/>
            <w:tcBorders>
              <w:top w:val="nil"/>
              <w:left w:val="nil"/>
              <w:bottom w:val="nil"/>
              <w:right w:val="nil"/>
            </w:tcBorders>
            <w:shd w:val="clear" w:color="000000" w:fill="FFFFFF"/>
            <w:noWrap/>
            <w:vAlign w:val="center"/>
            <w:hideMark/>
          </w:tcPr>
          <w:p w14:paraId="3BB8F787" w14:textId="77777777" w:rsidR="00E7168B" w:rsidRPr="00D618B7" w:rsidRDefault="00E7168B" w:rsidP="004B11B7">
            <w:pPr>
              <w:jc w:val="right"/>
              <w:rPr>
                <w:color w:val="000000"/>
                <w:sz w:val="20"/>
                <w:szCs w:val="20"/>
              </w:rPr>
            </w:pPr>
            <w:r w:rsidRPr="00D618B7">
              <w:rPr>
                <w:color w:val="000000"/>
                <w:sz w:val="20"/>
                <w:szCs w:val="20"/>
              </w:rPr>
              <w:t>0.0006</w:t>
            </w:r>
          </w:p>
        </w:tc>
        <w:tc>
          <w:tcPr>
            <w:tcW w:w="1573" w:type="dxa"/>
            <w:tcBorders>
              <w:top w:val="nil"/>
              <w:left w:val="nil"/>
              <w:bottom w:val="nil"/>
              <w:right w:val="nil"/>
            </w:tcBorders>
            <w:shd w:val="clear" w:color="000000" w:fill="FFFFFF"/>
            <w:noWrap/>
            <w:vAlign w:val="center"/>
            <w:hideMark/>
          </w:tcPr>
          <w:p w14:paraId="41FCC804" w14:textId="77777777" w:rsidR="00E7168B" w:rsidRPr="00D618B7" w:rsidRDefault="00E7168B" w:rsidP="004B11B7">
            <w:pPr>
              <w:jc w:val="right"/>
              <w:rPr>
                <w:color w:val="000000"/>
                <w:sz w:val="20"/>
                <w:szCs w:val="20"/>
              </w:rPr>
            </w:pPr>
            <w:r w:rsidRPr="00D618B7">
              <w:rPr>
                <w:color w:val="000000"/>
                <w:sz w:val="20"/>
                <w:szCs w:val="20"/>
              </w:rPr>
              <w:t>0.0118</w:t>
            </w:r>
          </w:p>
        </w:tc>
        <w:tc>
          <w:tcPr>
            <w:tcW w:w="1095" w:type="dxa"/>
            <w:tcBorders>
              <w:top w:val="nil"/>
              <w:left w:val="nil"/>
              <w:bottom w:val="nil"/>
              <w:right w:val="nil"/>
            </w:tcBorders>
            <w:shd w:val="clear" w:color="000000" w:fill="FFFFFF"/>
            <w:noWrap/>
            <w:vAlign w:val="center"/>
            <w:hideMark/>
          </w:tcPr>
          <w:p w14:paraId="1992105B" w14:textId="77777777" w:rsidR="00E7168B" w:rsidRPr="00D618B7" w:rsidRDefault="00E7168B" w:rsidP="004B11B7">
            <w:pPr>
              <w:jc w:val="right"/>
              <w:rPr>
                <w:color w:val="000000"/>
                <w:sz w:val="20"/>
                <w:szCs w:val="20"/>
              </w:rPr>
            </w:pPr>
            <w:r w:rsidRPr="00D618B7">
              <w:rPr>
                <w:color w:val="000000"/>
                <w:sz w:val="20"/>
                <w:szCs w:val="20"/>
              </w:rPr>
              <w:t>0.0043</w:t>
            </w:r>
          </w:p>
        </w:tc>
        <w:tc>
          <w:tcPr>
            <w:tcW w:w="1628" w:type="dxa"/>
            <w:tcBorders>
              <w:top w:val="nil"/>
              <w:left w:val="nil"/>
              <w:bottom w:val="nil"/>
              <w:right w:val="nil"/>
            </w:tcBorders>
            <w:shd w:val="clear" w:color="000000" w:fill="FFFFFF"/>
            <w:noWrap/>
            <w:vAlign w:val="center"/>
            <w:hideMark/>
          </w:tcPr>
          <w:p w14:paraId="138A30CD" w14:textId="77777777" w:rsidR="00E7168B" w:rsidRPr="00D618B7" w:rsidRDefault="00E7168B" w:rsidP="004B11B7">
            <w:pPr>
              <w:jc w:val="right"/>
              <w:rPr>
                <w:color w:val="000000"/>
                <w:sz w:val="20"/>
                <w:szCs w:val="20"/>
              </w:rPr>
            </w:pPr>
            <w:r w:rsidRPr="00D618B7">
              <w:rPr>
                <w:color w:val="000000"/>
                <w:sz w:val="20"/>
                <w:szCs w:val="20"/>
              </w:rPr>
              <w:t>0.0141</w:t>
            </w:r>
          </w:p>
        </w:tc>
        <w:tc>
          <w:tcPr>
            <w:tcW w:w="1133" w:type="dxa"/>
            <w:tcBorders>
              <w:top w:val="nil"/>
              <w:left w:val="nil"/>
              <w:bottom w:val="nil"/>
              <w:right w:val="nil"/>
            </w:tcBorders>
            <w:shd w:val="clear" w:color="000000" w:fill="FFFFFF"/>
            <w:noWrap/>
            <w:vAlign w:val="center"/>
            <w:hideMark/>
          </w:tcPr>
          <w:p w14:paraId="377EF5B9" w14:textId="77777777" w:rsidR="00E7168B" w:rsidRPr="00D618B7" w:rsidRDefault="00E7168B" w:rsidP="004B11B7">
            <w:pPr>
              <w:jc w:val="right"/>
              <w:rPr>
                <w:color w:val="000000"/>
                <w:sz w:val="20"/>
                <w:szCs w:val="20"/>
              </w:rPr>
            </w:pPr>
            <w:r w:rsidRPr="00D618B7">
              <w:rPr>
                <w:color w:val="000000"/>
                <w:sz w:val="20"/>
                <w:szCs w:val="20"/>
              </w:rPr>
              <w:t>0.0043</w:t>
            </w:r>
          </w:p>
        </w:tc>
      </w:tr>
      <w:tr w:rsidR="00E7168B" w:rsidRPr="00D618B7" w14:paraId="4DB3C5DE" w14:textId="77777777" w:rsidTr="00E7168B">
        <w:trPr>
          <w:trHeight w:val="269"/>
        </w:trPr>
        <w:tc>
          <w:tcPr>
            <w:tcW w:w="1349" w:type="dxa"/>
            <w:tcBorders>
              <w:top w:val="nil"/>
              <w:left w:val="nil"/>
              <w:bottom w:val="nil"/>
              <w:right w:val="nil"/>
            </w:tcBorders>
            <w:shd w:val="clear" w:color="000000" w:fill="FFFFFF"/>
            <w:vAlign w:val="center"/>
            <w:hideMark/>
          </w:tcPr>
          <w:p w14:paraId="18BCF00F" w14:textId="77777777" w:rsidR="00E7168B" w:rsidRPr="00D618B7" w:rsidRDefault="00E7168B" w:rsidP="004B11B7">
            <w:pPr>
              <w:jc w:val="right"/>
              <w:rPr>
                <w:color w:val="000000"/>
                <w:sz w:val="20"/>
                <w:szCs w:val="20"/>
              </w:rPr>
            </w:pPr>
            <w:r w:rsidRPr="00D618B7">
              <w:rPr>
                <w:color w:val="000000"/>
                <w:sz w:val="20"/>
                <w:szCs w:val="20"/>
              </w:rPr>
              <w:t>2</w:t>
            </w:r>
          </w:p>
        </w:tc>
        <w:tc>
          <w:tcPr>
            <w:tcW w:w="1041" w:type="dxa"/>
            <w:tcBorders>
              <w:top w:val="nil"/>
              <w:left w:val="nil"/>
              <w:bottom w:val="nil"/>
              <w:right w:val="nil"/>
            </w:tcBorders>
            <w:shd w:val="clear" w:color="000000" w:fill="FFFFFF"/>
            <w:noWrap/>
            <w:vAlign w:val="center"/>
            <w:hideMark/>
          </w:tcPr>
          <w:p w14:paraId="2352251A" w14:textId="77777777" w:rsidR="00E7168B" w:rsidRPr="00D618B7" w:rsidRDefault="00E7168B" w:rsidP="004B11B7">
            <w:pPr>
              <w:jc w:val="right"/>
              <w:rPr>
                <w:color w:val="000000"/>
                <w:sz w:val="20"/>
                <w:szCs w:val="20"/>
              </w:rPr>
            </w:pPr>
            <w:r w:rsidRPr="00D618B7">
              <w:rPr>
                <w:color w:val="000000"/>
                <w:sz w:val="20"/>
                <w:szCs w:val="20"/>
              </w:rPr>
              <w:t>0.0016</w:t>
            </w:r>
          </w:p>
        </w:tc>
        <w:tc>
          <w:tcPr>
            <w:tcW w:w="1106" w:type="dxa"/>
            <w:tcBorders>
              <w:top w:val="nil"/>
              <w:left w:val="nil"/>
              <w:bottom w:val="nil"/>
              <w:right w:val="nil"/>
            </w:tcBorders>
            <w:shd w:val="clear" w:color="000000" w:fill="FFFFFF"/>
            <w:noWrap/>
            <w:vAlign w:val="center"/>
            <w:hideMark/>
          </w:tcPr>
          <w:p w14:paraId="21660C05" w14:textId="77777777" w:rsidR="00E7168B" w:rsidRPr="00D618B7" w:rsidRDefault="00E7168B" w:rsidP="004B11B7">
            <w:pPr>
              <w:jc w:val="right"/>
              <w:rPr>
                <w:color w:val="000000"/>
                <w:sz w:val="20"/>
                <w:szCs w:val="20"/>
              </w:rPr>
            </w:pPr>
            <w:r w:rsidRPr="00D618B7">
              <w:rPr>
                <w:color w:val="000000"/>
                <w:sz w:val="20"/>
                <w:szCs w:val="20"/>
              </w:rPr>
              <w:t>0.0012</w:t>
            </w:r>
          </w:p>
        </w:tc>
        <w:tc>
          <w:tcPr>
            <w:tcW w:w="1573" w:type="dxa"/>
            <w:tcBorders>
              <w:top w:val="nil"/>
              <w:left w:val="nil"/>
              <w:bottom w:val="nil"/>
              <w:right w:val="nil"/>
            </w:tcBorders>
            <w:shd w:val="clear" w:color="000000" w:fill="FFFFFF"/>
            <w:noWrap/>
            <w:vAlign w:val="center"/>
            <w:hideMark/>
          </w:tcPr>
          <w:p w14:paraId="62E7F0C9" w14:textId="77777777" w:rsidR="00E7168B" w:rsidRPr="00D618B7" w:rsidRDefault="00E7168B" w:rsidP="004B11B7">
            <w:pPr>
              <w:jc w:val="right"/>
              <w:rPr>
                <w:color w:val="000000"/>
                <w:sz w:val="20"/>
                <w:szCs w:val="20"/>
              </w:rPr>
            </w:pPr>
            <w:r w:rsidRPr="00D618B7">
              <w:rPr>
                <w:color w:val="000000"/>
                <w:sz w:val="20"/>
                <w:szCs w:val="20"/>
              </w:rPr>
              <w:t>-0.0009</w:t>
            </w:r>
          </w:p>
        </w:tc>
        <w:tc>
          <w:tcPr>
            <w:tcW w:w="1095" w:type="dxa"/>
            <w:tcBorders>
              <w:top w:val="nil"/>
              <w:left w:val="nil"/>
              <w:bottom w:val="nil"/>
              <w:right w:val="nil"/>
            </w:tcBorders>
            <w:shd w:val="clear" w:color="000000" w:fill="FFFFFF"/>
            <w:noWrap/>
            <w:vAlign w:val="center"/>
            <w:hideMark/>
          </w:tcPr>
          <w:p w14:paraId="770D281B" w14:textId="77777777" w:rsidR="00E7168B" w:rsidRPr="00D618B7" w:rsidRDefault="00E7168B" w:rsidP="004B11B7">
            <w:pPr>
              <w:jc w:val="right"/>
              <w:rPr>
                <w:color w:val="000000"/>
                <w:sz w:val="20"/>
                <w:szCs w:val="20"/>
              </w:rPr>
            </w:pPr>
            <w:r w:rsidRPr="00D618B7">
              <w:rPr>
                <w:color w:val="000000"/>
                <w:sz w:val="20"/>
                <w:szCs w:val="20"/>
              </w:rPr>
              <w:t>0.0008</w:t>
            </w:r>
          </w:p>
        </w:tc>
        <w:tc>
          <w:tcPr>
            <w:tcW w:w="1628" w:type="dxa"/>
            <w:tcBorders>
              <w:top w:val="nil"/>
              <w:left w:val="nil"/>
              <w:bottom w:val="nil"/>
              <w:right w:val="nil"/>
            </w:tcBorders>
            <w:shd w:val="clear" w:color="000000" w:fill="FFFFFF"/>
            <w:noWrap/>
            <w:vAlign w:val="center"/>
            <w:hideMark/>
          </w:tcPr>
          <w:p w14:paraId="4EC892E3" w14:textId="77777777" w:rsidR="00E7168B" w:rsidRPr="00D618B7" w:rsidRDefault="00E7168B" w:rsidP="004B11B7">
            <w:pPr>
              <w:jc w:val="right"/>
              <w:rPr>
                <w:color w:val="000000"/>
                <w:sz w:val="20"/>
                <w:szCs w:val="20"/>
              </w:rPr>
            </w:pPr>
            <w:r w:rsidRPr="00D618B7">
              <w:rPr>
                <w:color w:val="000000"/>
                <w:sz w:val="20"/>
                <w:szCs w:val="20"/>
              </w:rPr>
              <w:t>-0.0014</w:t>
            </w:r>
          </w:p>
        </w:tc>
        <w:tc>
          <w:tcPr>
            <w:tcW w:w="1133" w:type="dxa"/>
            <w:tcBorders>
              <w:top w:val="nil"/>
              <w:left w:val="nil"/>
              <w:bottom w:val="nil"/>
              <w:right w:val="nil"/>
            </w:tcBorders>
            <w:shd w:val="clear" w:color="000000" w:fill="FFFFFF"/>
            <w:noWrap/>
            <w:vAlign w:val="center"/>
            <w:hideMark/>
          </w:tcPr>
          <w:p w14:paraId="7FB7EAB3" w14:textId="77777777" w:rsidR="00E7168B" w:rsidRPr="00D618B7" w:rsidRDefault="00E7168B" w:rsidP="004B11B7">
            <w:pPr>
              <w:jc w:val="right"/>
              <w:rPr>
                <w:color w:val="000000"/>
                <w:sz w:val="20"/>
                <w:szCs w:val="20"/>
              </w:rPr>
            </w:pPr>
            <w:r w:rsidRPr="00D618B7">
              <w:rPr>
                <w:color w:val="000000"/>
                <w:sz w:val="20"/>
                <w:szCs w:val="20"/>
              </w:rPr>
              <w:t>0.0016</w:t>
            </w:r>
          </w:p>
        </w:tc>
      </w:tr>
      <w:tr w:rsidR="00E7168B" w:rsidRPr="00D618B7" w14:paraId="509265B6" w14:textId="77777777" w:rsidTr="00E7168B">
        <w:trPr>
          <w:trHeight w:val="269"/>
        </w:trPr>
        <w:tc>
          <w:tcPr>
            <w:tcW w:w="1349" w:type="dxa"/>
            <w:tcBorders>
              <w:top w:val="nil"/>
              <w:left w:val="nil"/>
              <w:bottom w:val="nil"/>
              <w:right w:val="nil"/>
            </w:tcBorders>
            <w:shd w:val="clear" w:color="000000" w:fill="FFFFFF"/>
            <w:vAlign w:val="center"/>
            <w:hideMark/>
          </w:tcPr>
          <w:p w14:paraId="04BAC4C5" w14:textId="77777777" w:rsidR="00E7168B" w:rsidRPr="00D618B7" w:rsidRDefault="00E7168B" w:rsidP="004B11B7">
            <w:pPr>
              <w:jc w:val="right"/>
              <w:rPr>
                <w:color w:val="000000"/>
                <w:sz w:val="20"/>
                <w:szCs w:val="20"/>
              </w:rPr>
            </w:pPr>
            <w:r w:rsidRPr="00D618B7">
              <w:rPr>
                <w:color w:val="000000"/>
                <w:sz w:val="20"/>
                <w:szCs w:val="20"/>
              </w:rPr>
              <w:t>3</w:t>
            </w:r>
          </w:p>
        </w:tc>
        <w:tc>
          <w:tcPr>
            <w:tcW w:w="1041" w:type="dxa"/>
            <w:tcBorders>
              <w:top w:val="nil"/>
              <w:left w:val="nil"/>
              <w:bottom w:val="nil"/>
              <w:right w:val="nil"/>
            </w:tcBorders>
            <w:shd w:val="clear" w:color="000000" w:fill="FFFFFF"/>
            <w:noWrap/>
            <w:vAlign w:val="center"/>
            <w:hideMark/>
          </w:tcPr>
          <w:p w14:paraId="0C1B7B5B" w14:textId="77777777" w:rsidR="00E7168B" w:rsidRPr="00D618B7" w:rsidRDefault="00E7168B" w:rsidP="004B11B7">
            <w:pPr>
              <w:jc w:val="right"/>
              <w:rPr>
                <w:color w:val="000000"/>
                <w:sz w:val="20"/>
                <w:szCs w:val="20"/>
              </w:rPr>
            </w:pPr>
            <w:r w:rsidRPr="00D618B7">
              <w:rPr>
                <w:color w:val="000000"/>
                <w:sz w:val="20"/>
                <w:szCs w:val="20"/>
              </w:rPr>
              <w:t>-0.0005</w:t>
            </w:r>
          </w:p>
        </w:tc>
        <w:tc>
          <w:tcPr>
            <w:tcW w:w="1106" w:type="dxa"/>
            <w:tcBorders>
              <w:top w:val="nil"/>
              <w:left w:val="nil"/>
              <w:bottom w:val="nil"/>
              <w:right w:val="nil"/>
            </w:tcBorders>
            <w:shd w:val="clear" w:color="000000" w:fill="FFFFFF"/>
            <w:noWrap/>
            <w:vAlign w:val="center"/>
            <w:hideMark/>
          </w:tcPr>
          <w:p w14:paraId="155817F8" w14:textId="77777777" w:rsidR="00E7168B" w:rsidRPr="00D618B7" w:rsidRDefault="00E7168B" w:rsidP="004B11B7">
            <w:pPr>
              <w:jc w:val="right"/>
              <w:rPr>
                <w:color w:val="000000"/>
                <w:sz w:val="20"/>
                <w:szCs w:val="20"/>
              </w:rPr>
            </w:pPr>
            <w:r w:rsidRPr="00D618B7">
              <w:rPr>
                <w:color w:val="000000"/>
                <w:sz w:val="20"/>
                <w:szCs w:val="20"/>
              </w:rPr>
              <w:t>0.0005</w:t>
            </w:r>
          </w:p>
        </w:tc>
        <w:tc>
          <w:tcPr>
            <w:tcW w:w="1573" w:type="dxa"/>
            <w:tcBorders>
              <w:top w:val="nil"/>
              <w:left w:val="nil"/>
              <w:bottom w:val="nil"/>
              <w:right w:val="nil"/>
            </w:tcBorders>
            <w:shd w:val="clear" w:color="000000" w:fill="FFFFFF"/>
            <w:noWrap/>
            <w:vAlign w:val="center"/>
            <w:hideMark/>
          </w:tcPr>
          <w:p w14:paraId="6F9C4AA0" w14:textId="77777777" w:rsidR="00E7168B" w:rsidRPr="00D618B7" w:rsidRDefault="00E7168B" w:rsidP="004B11B7">
            <w:pPr>
              <w:jc w:val="right"/>
              <w:rPr>
                <w:color w:val="000000"/>
                <w:sz w:val="20"/>
                <w:szCs w:val="20"/>
              </w:rPr>
            </w:pPr>
            <w:r w:rsidRPr="00D618B7">
              <w:rPr>
                <w:color w:val="000000"/>
                <w:sz w:val="20"/>
                <w:szCs w:val="20"/>
              </w:rPr>
              <w:t>-0.0002</w:t>
            </w:r>
          </w:p>
        </w:tc>
        <w:tc>
          <w:tcPr>
            <w:tcW w:w="1095" w:type="dxa"/>
            <w:tcBorders>
              <w:top w:val="nil"/>
              <w:left w:val="nil"/>
              <w:bottom w:val="nil"/>
              <w:right w:val="nil"/>
            </w:tcBorders>
            <w:shd w:val="clear" w:color="000000" w:fill="FFFFFF"/>
            <w:noWrap/>
            <w:vAlign w:val="center"/>
            <w:hideMark/>
          </w:tcPr>
          <w:p w14:paraId="59E7CB8B" w14:textId="77777777" w:rsidR="00E7168B" w:rsidRPr="00D618B7" w:rsidRDefault="00E7168B" w:rsidP="004B11B7">
            <w:pPr>
              <w:jc w:val="right"/>
              <w:rPr>
                <w:color w:val="000000"/>
                <w:sz w:val="20"/>
                <w:szCs w:val="20"/>
              </w:rPr>
            </w:pPr>
            <w:r w:rsidRPr="00D618B7">
              <w:rPr>
                <w:color w:val="000000"/>
                <w:sz w:val="20"/>
                <w:szCs w:val="20"/>
              </w:rPr>
              <w:t>0.0003</w:t>
            </w:r>
          </w:p>
        </w:tc>
        <w:tc>
          <w:tcPr>
            <w:tcW w:w="1628" w:type="dxa"/>
            <w:tcBorders>
              <w:top w:val="nil"/>
              <w:left w:val="nil"/>
              <w:bottom w:val="nil"/>
              <w:right w:val="nil"/>
            </w:tcBorders>
            <w:shd w:val="clear" w:color="000000" w:fill="FFFFFF"/>
            <w:noWrap/>
            <w:vAlign w:val="center"/>
            <w:hideMark/>
          </w:tcPr>
          <w:p w14:paraId="2C78713C" w14:textId="77777777" w:rsidR="00E7168B" w:rsidRPr="00D618B7" w:rsidRDefault="00E7168B" w:rsidP="004B11B7">
            <w:pPr>
              <w:jc w:val="right"/>
              <w:rPr>
                <w:color w:val="000000"/>
                <w:sz w:val="20"/>
                <w:szCs w:val="20"/>
              </w:rPr>
            </w:pPr>
            <w:r w:rsidRPr="00D618B7">
              <w:rPr>
                <w:color w:val="000000"/>
                <w:sz w:val="20"/>
                <w:szCs w:val="20"/>
              </w:rPr>
              <w:t>-0.0014</w:t>
            </w:r>
          </w:p>
        </w:tc>
        <w:tc>
          <w:tcPr>
            <w:tcW w:w="1133" w:type="dxa"/>
            <w:tcBorders>
              <w:top w:val="nil"/>
              <w:left w:val="nil"/>
              <w:bottom w:val="nil"/>
              <w:right w:val="nil"/>
            </w:tcBorders>
            <w:shd w:val="clear" w:color="000000" w:fill="FFFFFF"/>
            <w:noWrap/>
            <w:vAlign w:val="center"/>
            <w:hideMark/>
          </w:tcPr>
          <w:p w14:paraId="239CC731" w14:textId="77777777" w:rsidR="00E7168B" w:rsidRPr="00D618B7" w:rsidRDefault="00E7168B" w:rsidP="004B11B7">
            <w:pPr>
              <w:jc w:val="right"/>
              <w:rPr>
                <w:color w:val="000000"/>
                <w:sz w:val="20"/>
                <w:szCs w:val="20"/>
              </w:rPr>
            </w:pPr>
            <w:r w:rsidRPr="00D618B7">
              <w:rPr>
                <w:color w:val="000000"/>
                <w:sz w:val="20"/>
                <w:szCs w:val="20"/>
              </w:rPr>
              <w:t>0.0005</w:t>
            </w:r>
          </w:p>
        </w:tc>
      </w:tr>
      <w:tr w:rsidR="00E7168B" w:rsidRPr="00D618B7" w14:paraId="454ED96E" w14:textId="77777777" w:rsidTr="00E7168B">
        <w:trPr>
          <w:trHeight w:val="269"/>
        </w:trPr>
        <w:tc>
          <w:tcPr>
            <w:tcW w:w="1349" w:type="dxa"/>
            <w:tcBorders>
              <w:top w:val="nil"/>
              <w:left w:val="nil"/>
              <w:right w:val="nil"/>
            </w:tcBorders>
            <w:shd w:val="clear" w:color="000000" w:fill="FFFFFF"/>
            <w:vAlign w:val="center"/>
            <w:hideMark/>
          </w:tcPr>
          <w:p w14:paraId="1B54D8D4" w14:textId="77777777" w:rsidR="00E7168B" w:rsidRPr="00D618B7" w:rsidRDefault="00E7168B" w:rsidP="004B11B7">
            <w:pPr>
              <w:jc w:val="right"/>
              <w:rPr>
                <w:color w:val="000000"/>
                <w:sz w:val="20"/>
                <w:szCs w:val="20"/>
              </w:rPr>
            </w:pPr>
            <w:r w:rsidRPr="00D618B7">
              <w:rPr>
                <w:color w:val="000000"/>
                <w:sz w:val="20"/>
                <w:szCs w:val="20"/>
              </w:rPr>
              <w:t>4</w:t>
            </w:r>
          </w:p>
        </w:tc>
        <w:tc>
          <w:tcPr>
            <w:tcW w:w="1041" w:type="dxa"/>
            <w:tcBorders>
              <w:top w:val="nil"/>
              <w:left w:val="nil"/>
              <w:right w:val="nil"/>
            </w:tcBorders>
            <w:shd w:val="clear" w:color="000000" w:fill="FFFFFF"/>
            <w:noWrap/>
            <w:vAlign w:val="center"/>
            <w:hideMark/>
          </w:tcPr>
          <w:p w14:paraId="210EEB19" w14:textId="77777777" w:rsidR="00E7168B" w:rsidRPr="00D618B7" w:rsidRDefault="00E7168B" w:rsidP="004B11B7">
            <w:pPr>
              <w:jc w:val="right"/>
              <w:rPr>
                <w:color w:val="000000"/>
                <w:sz w:val="20"/>
                <w:szCs w:val="20"/>
              </w:rPr>
            </w:pPr>
            <w:r w:rsidRPr="00D618B7">
              <w:rPr>
                <w:color w:val="000000"/>
                <w:sz w:val="20"/>
                <w:szCs w:val="20"/>
              </w:rPr>
              <w:t>-0.0009</w:t>
            </w:r>
          </w:p>
        </w:tc>
        <w:tc>
          <w:tcPr>
            <w:tcW w:w="1106" w:type="dxa"/>
            <w:tcBorders>
              <w:top w:val="nil"/>
              <w:left w:val="nil"/>
              <w:right w:val="nil"/>
            </w:tcBorders>
            <w:shd w:val="clear" w:color="000000" w:fill="FFFFFF"/>
            <w:noWrap/>
            <w:vAlign w:val="center"/>
            <w:hideMark/>
          </w:tcPr>
          <w:p w14:paraId="545DECC1" w14:textId="77777777" w:rsidR="00E7168B" w:rsidRPr="00D618B7" w:rsidRDefault="00E7168B" w:rsidP="004B11B7">
            <w:pPr>
              <w:jc w:val="right"/>
              <w:rPr>
                <w:color w:val="000000"/>
                <w:sz w:val="20"/>
                <w:szCs w:val="20"/>
              </w:rPr>
            </w:pPr>
            <w:r w:rsidRPr="00D618B7">
              <w:rPr>
                <w:color w:val="000000"/>
                <w:sz w:val="20"/>
                <w:szCs w:val="20"/>
              </w:rPr>
              <w:t>0.0010</w:t>
            </w:r>
          </w:p>
        </w:tc>
        <w:tc>
          <w:tcPr>
            <w:tcW w:w="1573" w:type="dxa"/>
            <w:tcBorders>
              <w:top w:val="nil"/>
              <w:left w:val="nil"/>
              <w:right w:val="nil"/>
            </w:tcBorders>
            <w:shd w:val="clear" w:color="000000" w:fill="FFFFFF"/>
            <w:noWrap/>
            <w:vAlign w:val="center"/>
            <w:hideMark/>
          </w:tcPr>
          <w:p w14:paraId="32509DAD" w14:textId="77777777" w:rsidR="00E7168B" w:rsidRPr="00D618B7" w:rsidRDefault="00E7168B" w:rsidP="004B11B7">
            <w:pPr>
              <w:jc w:val="right"/>
              <w:rPr>
                <w:color w:val="000000"/>
                <w:sz w:val="20"/>
                <w:szCs w:val="20"/>
              </w:rPr>
            </w:pPr>
            <w:r w:rsidRPr="00D618B7">
              <w:rPr>
                <w:color w:val="000000"/>
                <w:sz w:val="20"/>
                <w:szCs w:val="20"/>
              </w:rPr>
              <w:t>-0.0007</w:t>
            </w:r>
          </w:p>
        </w:tc>
        <w:tc>
          <w:tcPr>
            <w:tcW w:w="1095" w:type="dxa"/>
            <w:tcBorders>
              <w:top w:val="nil"/>
              <w:left w:val="nil"/>
              <w:right w:val="nil"/>
            </w:tcBorders>
            <w:shd w:val="clear" w:color="000000" w:fill="FFFFFF"/>
            <w:noWrap/>
            <w:vAlign w:val="center"/>
            <w:hideMark/>
          </w:tcPr>
          <w:p w14:paraId="59BDCF76" w14:textId="77777777" w:rsidR="00E7168B" w:rsidRPr="00D618B7" w:rsidRDefault="00E7168B" w:rsidP="004B11B7">
            <w:pPr>
              <w:jc w:val="right"/>
              <w:rPr>
                <w:color w:val="000000"/>
                <w:sz w:val="20"/>
                <w:szCs w:val="20"/>
              </w:rPr>
            </w:pPr>
            <w:r w:rsidRPr="00D618B7">
              <w:rPr>
                <w:color w:val="000000"/>
                <w:sz w:val="20"/>
                <w:szCs w:val="20"/>
              </w:rPr>
              <w:t>0.0004</w:t>
            </w:r>
          </w:p>
        </w:tc>
        <w:tc>
          <w:tcPr>
            <w:tcW w:w="1628" w:type="dxa"/>
            <w:tcBorders>
              <w:top w:val="nil"/>
              <w:left w:val="nil"/>
              <w:right w:val="nil"/>
            </w:tcBorders>
            <w:shd w:val="clear" w:color="000000" w:fill="FFFFFF"/>
            <w:noWrap/>
            <w:vAlign w:val="center"/>
            <w:hideMark/>
          </w:tcPr>
          <w:p w14:paraId="61CCC4FF" w14:textId="77777777" w:rsidR="00E7168B" w:rsidRPr="00D618B7" w:rsidRDefault="00E7168B" w:rsidP="004B11B7">
            <w:pPr>
              <w:jc w:val="right"/>
              <w:rPr>
                <w:color w:val="000000"/>
                <w:sz w:val="20"/>
                <w:szCs w:val="20"/>
              </w:rPr>
            </w:pPr>
            <w:r w:rsidRPr="00D618B7">
              <w:rPr>
                <w:color w:val="000000"/>
                <w:sz w:val="20"/>
                <w:szCs w:val="20"/>
              </w:rPr>
              <w:t>-0.0007</w:t>
            </w:r>
          </w:p>
        </w:tc>
        <w:tc>
          <w:tcPr>
            <w:tcW w:w="1133" w:type="dxa"/>
            <w:tcBorders>
              <w:top w:val="nil"/>
              <w:left w:val="nil"/>
              <w:right w:val="nil"/>
            </w:tcBorders>
            <w:shd w:val="clear" w:color="000000" w:fill="FFFFFF"/>
            <w:noWrap/>
            <w:vAlign w:val="center"/>
            <w:hideMark/>
          </w:tcPr>
          <w:p w14:paraId="07AE5065" w14:textId="77777777" w:rsidR="00E7168B" w:rsidRPr="00D618B7" w:rsidRDefault="00E7168B" w:rsidP="004B11B7">
            <w:pPr>
              <w:jc w:val="right"/>
              <w:rPr>
                <w:color w:val="000000"/>
                <w:sz w:val="20"/>
                <w:szCs w:val="20"/>
              </w:rPr>
            </w:pPr>
            <w:r w:rsidRPr="00D618B7">
              <w:rPr>
                <w:color w:val="000000"/>
                <w:sz w:val="20"/>
                <w:szCs w:val="20"/>
              </w:rPr>
              <w:t>0.0005</w:t>
            </w:r>
          </w:p>
        </w:tc>
      </w:tr>
      <w:tr w:rsidR="00E7168B" w:rsidRPr="00D618B7" w14:paraId="59CCE0A2" w14:textId="77777777" w:rsidTr="00E7168B">
        <w:trPr>
          <w:trHeight w:val="269"/>
        </w:trPr>
        <w:tc>
          <w:tcPr>
            <w:tcW w:w="1349" w:type="dxa"/>
            <w:tcBorders>
              <w:top w:val="nil"/>
              <w:left w:val="nil"/>
              <w:bottom w:val="single" w:sz="18" w:space="0" w:color="auto"/>
              <w:right w:val="nil"/>
            </w:tcBorders>
            <w:shd w:val="clear" w:color="000000" w:fill="FFFFFF"/>
            <w:vAlign w:val="center"/>
            <w:hideMark/>
          </w:tcPr>
          <w:p w14:paraId="7CF82746" w14:textId="77777777" w:rsidR="00E7168B" w:rsidRPr="00D618B7" w:rsidRDefault="00E7168B" w:rsidP="004B11B7">
            <w:pPr>
              <w:jc w:val="right"/>
              <w:rPr>
                <w:color w:val="000000"/>
                <w:sz w:val="20"/>
                <w:szCs w:val="20"/>
              </w:rPr>
            </w:pPr>
            <w:r w:rsidRPr="00D618B7">
              <w:rPr>
                <w:color w:val="000000"/>
                <w:sz w:val="20"/>
                <w:szCs w:val="20"/>
              </w:rPr>
              <w:t>5</w:t>
            </w:r>
          </w:p>
        </w:tc>
        <w:tc>
          <w:tcPr>
            <w:tcW w:w="1041" w:type="dxa"/>
            <w:tcBorders>
              <w:top w:val="nil"/>
              <w:left w:val="nil"/>
              <w:bottom w:val="single" w:sz="18" w:space="0" w:color="auto"/>
              <w:right w:val="nil"/>
            </w:tcBorders>
            <w:shd w:val="clear" w:color="000000" w:fill="FFFFFF"/>
            <w:noWrap/>
            <w:vAlign w:val="center"/>
            <w:hideMark/>
          </w:tcPr>
          <w:p w14:paraId="5707B239" w14:textId="77777777" w:rsidR="00E7168B" w:rsidRPr="00D618B7" w:rsidRDefault="00E7168B" w:rsidP="004B11B7">
            <w:pPr>
              <w:jc w:val="right"/>
              <w:rPr>
                <w:color w:val="000000"/>
                <w:sz w:val="20"/>
                <w:szCs w:val="20"/>
              </w:rPr>
            </w:pPr>
            <w:r w:rsidRPr="00D618B7">
              <w:rPr>
                <w:color w:val="000000"/>
                <w:sz w:val="20"/>
                <w:szCs w:val="20"/>
              </w:rPr>
              <w:t>0.0005</w:t>
            </w:r>
          </w:p>
        </w:tc>
        <w:tc>
          <w:tcPr>
            <w:tcW w:w="1106" w:type="dxa"/>
            <w:tcBorders>
              <w:top w:val="nil"/>
              <w:left w:val="nil"/>
              <w:bottom w:val="single" w:sz="18" w:space="0" w:color="auto"/>
              <w:right w:val="nil"/>
            </w:tcBorders>
            <w:shd w:val="clear" w:color="000000" w:fill="FFFFFF"/>
            <w:noWrap/>
            <w:vAlign w:val="center"/>
            <w:hideMark/>
          </w:tcPr>
          <w:p w14:paraId="5D4D100B" w14:textId="77777777" w:rsidR="00E7168B" w:rsidRPr="00D618B7" w:rsidRDefault="00E7168B" w:rsidP="004B11B7">
            <w:pPr>
              <w:jc w:val="right"/>
              <w:rPr>
                <w:color w:val="000000"/>
                <w:sz w:val="20"/>
                <w:szCs w:val="20"/>
              </w:rPr>
            </w:pPr>
            <w:r w:rsidRPr="00D618B7">
              <w:rPr>
                <w:color w:val="000000"/>
                <w:sz w:val="20"/>
                <w:szCs w:val="20"/>
              </w:rPr>
              <w:t>0.0005</w:t>
            </w:r>
          </w:p>
        </w:tc>
        <w:tc>
          <w:tcPr>
            <w:tcW w:w="1573" w:type="dxa"/>
            <w:tcBorders>
              <w:top w:val="nil"/>
              <w:left w:val="nil"/>
              <w:bottom w:val="single" w:sz="18" w:space="0" w:color="auto"/>
              <w:right w:val="nil"/>
            </w:tcBorders>
            <w:shd w:val="clear" w:color="000000" w:fill="FFFFFF"/>
            <w:noWrap/>
            <w:vAlign w:val="center"/>
            <w:hideMark/>
          </w:tcPr>
          <w:p w14:paraId="706D5FF1" w14:textId="77777777" w:rsidR="00E7168B" w:rsidRPr="00D618B7" w:rsidRDefault="00E7168B" w:rsidP="004B11B7">
            <w:pPr>
              <w:jc w:val="right"/>
              <w:rPr>
                <w:color w:val="000000"/>
                <w:sz w:val="20"/>
                <w:szCs w:val="20"/>
              </w:rPr>
            </w:pPr>
            <w:r w:rsidRPr="00D618B7">
              <w:rPr>
                <w:color w:val="000000"/>
                <w:sz w:val="20"/>
                <w:szCs w:val="20"/>
              </w:rPr>
              <w:t>0.0005</w:t>
            </w:r>
          </w:p>
        </w:tc>
        <w:tc>
          <w:tcPr>
            <w:tcW w:w="1095" w:type="dxa"/>
            <w:tcBorders>
              <w:top w:val="nil"/>
              <w:left w:val="nil"/>
              <w:bottom w:val="single" w:sz="18" w:space="0" w:color="auto"/>
              <w:right w:val="nil"/>
            </w:tcBorders>
            <w:shd w:val="clear" w:color="000000" w:fill="FFFFFF"/>
            <w:noWrap/>
            <w:vAlign w:val="center"/>
            <w:hideMark/>
          </w:tcPr>
          <w:p w14:paraId="2F069A9C" w14:textId="77777777" w:rsidR="00E7168B" w:rsidRPr="00D618B7" w:rsidRDefault="00E7168B" w:rsidP="004B11B7">
            <w:pPr>
              <w:jc w:val="right"/>
              <w:rPr>
                <w:color w:val="000000"/>
                <w:sz w:val="20"/>
                <w:szCs w:val="20"/>
              </w:rPr>
            </w:pPr>
            <w:r w:rsidRPr="00D618B7">
              <w:rPr>
                <w:color w:val="000000"/>
                <w:sz w:val="20"/>
                <w:szCs w:val="20"/>
              </w:rPr>
              <w:t>0.0002</w:t>
            </w:r>
          </w:p>
        </w:tc>
        <w:tc>
          <w:tcPr>
            <w:tcW w:w="1628" w:type="dxa"/>
            <w:tcBorders>
              <w:top w:val="nil"/>
              <w:left w:val="nil"/>
              <w:bottom w:val="single" w:sz="18" w:space="0" w:color="auto"/>
              <w:right w:val="nil"/>
            </w:tcBorders>
            <w:shd w:val="clear" w:color="000000" w:fill="FFFFFF"/>
            <w:noWrap/>
            <w:vAlign w:val="center"/>
            <w:hideMark/>
          </w:tcPr>
          <w:p w14:paraId="2B662877" w14:textId="77777777" w:rsidR="00E7168B" w:rsidRPr="00D618B7" w:rsidRDefault="00E7168B" w:rsidP="004B11B7">
            <w:pPr>
              <w:jc w:val="right"/>
              <w:rPr>
                <w:color w:val="000000"/>
                <w:sz w:val="20"/>
                <w:szCs w:val="20"/>
              </w:rPr>
            </w:pPr>
            <w:r w:rsidRPr="00D618B7">
              <w:rPr>
                <w:color w:val="000000"/>
                <w:sz w:val="20"/>
                <w:szCs w:val="20"/>
              </w:rPr>
              <w:t>-0.0003</w:t>
            </w:r>
          </w:p>
        </w:tc>
        <w:tc>
          <w:tcPr>
            <w:tcW w:w="1133" w:type="dxa"/>
            <w:tcBorders>
              <w:top w:val="nil"/>
              <w:left w:val="nil"/>
              <w:bottom w:val="single" w:sz="18" w:space="0" w:color="auto"/>
              <w:right w:val="nil"/>
            </w:tcBorders>
            <w:shd w:val="clear" w:color="000000" w:fill="FFFFFF"/>
            <w:noWrap/>
            <w:vAlign w:val="center"/>
            <w:hideMark/>
          </w:tcPr>
          <w:p w14:paraId="092B3640" w14:textId="77777777" w:rsidR="00E7168B" w:rsidRPr="00D618B7" w:rsidRDefault="00E7168B" w:rsidP="004B11B7">
            <w:pPr>
              <w:jc w:val="right"/>
              <w:rPr>
                <w:color w:val="000000"/>
                <w:sz w:val="20"/>
                <w:szCs w:val="20"/>
              </w:rPr>
            </w:pPr>
            <w:r w:rsidRPr="00D618B7">
              <w:rPr>
                <w:color w:val="000000"/>
                <w:sz w:val="20"/>
                <w:szCs w:val="20"/>
              </w:rPr>
              <w:t>0.0016</w:t>
            </w:r>
          </w:p>
        </w:tc>
      </w:tr>
    </w:tbl>
    <w:p w14:paraId="5E99ECB8" w14:textId="77777777" w:rsidR="00E7168B" w:rsidRPr="00D618B7" w:rsidRDefault="00E7168B" w:rsidP="00E7168B">
      <w:r w:rsidRPr="00D618B7">
        <w:rPr>
          <w:i/>
          <w:iCs/>
        </w:rPr>
        <w:t>Note</w:t>
      </w:r>
      <w:r w:rsidRPr="00D618B7">
        <w:t>: This table lists the estimated mean rate per second and standard errors for face, hand, and mouth events for toy-out-of-reach, toy-moving-into-reach, and toy-in-reach for each week of observation around reach-onset for the early reach group.</w:t>
      </w:r>
    </w:p>
    <w:p w14:paraId="1D33F5A5" w14:textId="08664AFD" w:rsidR="00E7168B" w:rsidRPr="00D618B7" w:rsidRDefault="00E7168B" w:rsidP="007C5074">
      <w:pPr>
        <w:pStyle w:val="Caption"/>
      </w:pPr>
      <w:bookmarkStart w:id="203" w:name="_Toc172716888"/>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60</w:t>
      </w:r>
      <w:r w:rsidR="00000000">
        <w:rPr>
          <w:noProof/>
        </w:rPr>
        <w:fldChar w:fldCharType="end"/>
      </w:r>
      <w:r w:rsidR="00691750">
        <w:rPr>
          <w:noProof/>
        </w:rPr>
        <w:t>:</w:t>
      </w:r>
      <w:r w:rsidR="00674AB2" w:rsidRPr="00674AB2">
        <w:t xml:space="preserve"> </w:t>
      </w:r>
      <w:r w:rsidR="00674AB2">
        <w:t>Event rate</w:t>
      </w:r>
      <w:r w:rsidR="00674AB2" w:rsidRPr="00BA36EF">
        <w:t xml:space="preserve"> by </w:t>
      </w:r>
      <w:r w:rsidR="00674AB2">
        <w:t>type, proximity, and week for late group</w:t>
      </w:r>
      <w:bookmarkEnd w:id="203"/>
    </w:p>
    <w:p w14:paraId="1DC387E6" w14:textId="383D27FD" w:rsidR="00E7168B" w:rsidRPr="00D618B7" w:rsidRDefault="00E7168B" w:rsidP="00E7168B">
      <w:r w:rsidRPr="00D618B7">
        <w:t>Estimated Mean Rate of Event per Trial by Type, Proximity, and Week the Late Reach Group</w:t>
      </w:r>
    </w:p>
    <w:tbl>
      <w:tblPr>
        <w:tblW w:w="8888" w:type="dxa"/>
        <w:tblLook w:val="04A0" w:firstRow="1" w:lastRow="0" w:firstColumn="1" w:lastColumn="0" w:noHBand="0" w:noVBand="1"/>
      </w:tblPr>
      <w:tblGrid>
        <w:gridCol w:w="1343"/>
        <w:gridCol w:w="1036"/>
        <w:gridCol w:w="1102"/>
        <w:gridCol w:w="1566"/>
        <w:gridCol w:w="1091"/>
        <w:gridCol w:w="1621"/>
        <w:gridCol w:w="1129"/>
      </w:tblGrid>
      <w:tr w:rsidR="00E7168B" w:rsidRPr="00D618B7" w14:paraId="6BA83F70" w14:textId="77777777" w:rsidTr="00E7168B">
        <w:trPr>
          <w:trHeight w:val="269"/>
        </w:trPr>
        <w:tc>
          <w:tcPr>
            <w:tcW w:w="1343" w:type="dxa"/>
            <w:tcBorders>
              <w:top w:val="single" w:sz="18" w:space="0" w:color="auto"/>
              <w:left w:val="nil"/>
              <w:bottom w:val="nil"/>
              <w:right w:val="nil"/>
            </w:tcBorders>
            <w:shd w:val="clear" w:color="000000" w:fill="FFFFFF"/>
            <w:vAlign w:val="center"/>
            <w:hideMark/>
          </w:tcPr>
          <w:p w14:paraId="71414803" w14:textId="77777777" w:rsidR="00E7168B" w:rsidRPr="00D618B7" w:rsidRDefault="00E7168B" w:rsidP="004B11B7">
            <w:pPr>
              <w:rPr>
                <w:color w:val="000000"/>
                <w:sz w:val="20"/>
                <w:szCs w:val="20"/>
              </w:rPr>
            </w:pPr>
            <w:r w:rsidRPr="00D618B7">
              <w:rPr>
                <w:color w:val="000000"/>
                <w:sz w:val="20"/>
                <w:szCs w:val="20"/>
              </w:rPr>
              <w:t>Week</w:t>
            </w:r>
          </w:p>
        </w:tc>
        <w:tc>
          <w:tcPr>
            <w:tcW w:w="2138" w:type="dxa"/>
            <w:gridSpan w:val="2"/>
            <w:tcBorders>
              <w:top w:val="single" w:sz="18" w:space="0" w:color="auto"/>
              <w:left w:val="nil"/>
              <w:bottom w:val="single" w:sz="18" w:space="0" w:color="auto"/>
              <w:right w:val="nil"/>
            </w:tcBorders>
            <w:shd w:val="clear" w:color="000000" w:fill="FFFFFF"/>
            <w:vAlign w:val="center"/>
            <w:hideMark/>
          </w:tcPr>
          <w:p w14:paraId="7074838A" w14:textId="77777777" w:rsidR="00E7168B" w:rsidRPr="00D618B7" w:rsidRDefault="00E7168B" w:rsidP="004B11B7">
            <w:pPr>
              <w:jc w:val="center"/>
              <w:rPr>
                <w:color w:val="000000"/>
                <w:sz w:val="20"/>
                <w:szCs w:val="20"/>
              </w:rPr>
            </w:pPr>
            <w:r w:rsidRPr="00D618B7">
              <w:rPr>
                <w:color w:val="000000"/>
                <w:sz w:val="20"/>
                <w:szCs w:val="20"/>
              </w:rPr>
              <w:t>Face</w:t>
            </w:r>
          </w:p>
        </w:tc>
        <w:tc>
          <w:tcPr>
            <w:tcW w:w="2657" w:type="dxa"/>
            <w:gridSpan w:val="2"/>
            <w:tcBorders>
              <w:top w:val="single" w:sz="18" w:space="0" w:color="auto"/>
              <w:left w:val="nil"/>
              <w:bottom w:val="single" w:sz="18" w:space="0" w:color="auto"/>
              <w:right w:val="nil"/>
            </w:tcBorders>
            <w:shd w:val="clear" w:color="000000" w:fill="FFFFFF"/>
            <w:vAlign w:val="center"/>
            <w:hideMark/>
          </w:tcPr>
          <w:p w14:paraId="40E72710" w14:textId="77777777" w:rsidR="00E7168B" w:rsidRPr="00D618B7" w:rsidRDefault="00E7168B" w:rsidP="004B11B7">
            <w:pPr>
              <w:jc w:val="center"/>
              <w:rPr>
                <w:color w:val="000000"/>
                <w:sz w:val="20"/>
                <w:szCs w:val="20"/>
              </w:rPr>
            </w:pPr>
            <w:r w:rsidRPr="00D618B7">
              <w:rPr>
                <w:color w:val="000000"/>
                <w:sz w:val="20"/>
                <w:szCs w:val="20"/>
              </w:rPr>
              <w:t xml:space="preserve">              Hand</w:t>
            </w:r>
          </w:p>
        </w:tc>
        <w:tc>
          <w:tcPr>
            <w:tcW w:w="2749" w:type="dxa"/>
            <w:gridSpan w:val="2"/>
            <w:tcBorders>
              <w:top w:val="single" w:sz="18" w:space="0" w:color="auto"/>
              <w:left w:val="nil"/>
              <w:bottom w:val="single" w:sz="18" w:space="0" w:color="auto"/>
              <w:right w:val="nil"/>
            </w:tcBorders>
            <w:shd w:val="clear" w:color="000000" w:fill="FFFFFF"/>
            <w:vAlign w:val="center"/>
            <w:hideMark/>
          </w:tcPr>
          <w:p w14:paraId="7ED27A3C" w14:textId="77777777" w:rsidR="00E7168B" w:rsidRPr="00D618B7" w:rsidRDefault="00E7168B" w:rsidP="004B11B7">
            <w:pPr>
              <w:jc w:val="center"/>
              <w:rPr>
                <w:color w:val="000000"/>
                <w:sz w:val="20"/>
                <w:szCs w:val="20"/>
              </w:rPr>
            </w:pPr>
            <w:r w:rsidRPr="00D618B7">
              <w:rPr>
                <w:color w:val="000000"/>
                <w:sz w:val="20"/>
                <w:szCs w:val="20"/>
              </w:rPr>
              <w:t xml:space="preserve">                Mouth</w:t>
            </w:r>
          </w:p>
        </w:tc>
      </w:tr>
      <w:tr w:rsidR="00E7168B" w:rsidRPr="00D618B7" w14:paraId="7F66CD1A" w14:textId="77777777" w:rsidTr="00E7168B">
        <w:trPr>
          <w:trHeight w:val="269"/>
        </w:trPr>
        <w:tc>
          <w:tcPr>
            <w:tcW w:w="1343" w:type="dxa"/>
            <w:tcBorders>
              <w:top w:val="nil"/>
              <w:left w:val="nil"/>
              <w:bottom w:val="single" w:sz="18" w:space="0" w:color="auto"/>
              <w:right w:val="nil"/>
            </w:tcBorders>
            <w:shd w:val="clear" w:color="000000" w:fill="FFFFFF"/>
            <w:noWrap/>
            <w:vAlign w:val="bottom"/>
            <w:hideMark/>
          </w:tcPr>
          <w:p w14:paraId="30969E67" w14:textId="77777777" w:rsidR="00E7168B" w:rsidRPr="00D618B7" w:rsidRDefault="00E7168B" w:rsidP="004B11B7">
            <w:pPr>
              <w:rPr>
                <w:color w:val="000000"/>
                <w:sz w:val="20"/>
                <w:szCs w:val="20"/>
              </w:rPr>
            </w:pPr>
            <w:r w:rsidRPr="00D618B7">
              <w:rPr>
                <w:color w:val="000000"/>
                <w:sz w:val="20"/>
                <w:szCs w:val="20"/>
              </w:rPr>
              <w:t> </w:t>
            </w:r>
          </w:p>
        </w:tc>
        <w:tc>
          <w:tcPr>
            <w:tcW w:w="1036" w:type="dxa"/>
            <w:tcBorders>
              <w:top w:val="single" w:sz="18" w:space="0" w:color="auto"/>
              <w:left w:val="nil"/>
              <w:bottom w:val="single" w:sz="18" w:space="0" w:color="auto"/>
              <w:right w:val="nil"/>
            </w:tcBorders>
            <w:shd w:val="clear" w:color="000000" w:fill="FFFFFF"/>
            <w:noWrap/>
            <w:vAlign w:val="center"/>
            <w:hideMark/>
          </w:tcPr>
          <w:p w14:paraId="1D47B2DB" w14:textId="77777777" w:rsidR="00E7168B" w:rsidRPr="00D618B7" w:rsidRDefault="00E7168B" w:rsidP="004B11B7">
            <w:pPr>
              <w:jc w:val="right"/>
              <w:rPr>
                <w:color w:val="000000"/>
                <w:sz w:val="20"/>
                <w:szCs w:val="20"/>
              </w:rPr>
            </w:pPr>
            <w:r w:rsidRPr="00D618B7">
              <w:rPr>
                <w:color w:val="000000"/>
                <w:sz w:val="20"/>
                <w:szCs w:val="20"/>
              </w:rPr>
              <w:t>Mean</w:t>
            </w:r>
          </w:p>
        </w:tc>
        <w:tc>
          <w:tcPr>
            <w:tcW w:w="1101" w:type="dxa"/>
            <w:tcBorders>
              <w:top w:val="single" w:sz="18" w:space="0" w:color="auto"/>
              <w:left w:val="nil"/>
              <w:bottom w:val="single" w:sz="18" w:space="0" w:color="auto"/>
              <w:right w:val="nil"/>
            </w:tcBorders>
            <w:shd w:val="clear" w:color="000000" w:fill="FFFFFF"/>
            <w:noWrap/>
            <w:vAlign w:val="center"/>
            <w:hideMark/>
          </w:tcPr>
          <w:p w14:paraId="62A54270" w14:textId="77777777" w:rsidR="00E7168B" w:rsidRPr="00D618B7" w:rsidRDefault="00E7168B" w:rsidP="004B11B7">
            <w:pPr>
              <w:jc w:val="right"/>
              <w:rPr>
                <w:color w:val="000000"/>
                <w:sz w:val="20"/>
                <w:szCs w:val="20"/>
              </w:rPr>
            </w:pPr>
            <w:r w:rsidRPr="00D618B7">
              <w:rPr>
                <w:color w:val="000000"/>
                <w:sz w:val="20"/>
                <w:szCs w:val="20"/>
              </w:rPr>
              <w:t>Std. Error</w:t>
            </w:r>
          </w:p>
        </w:tc>
        <w:tc>
          <w:tcPr>
            <w:tcW w:w="1566" w:type="dxa"/>
            <w:tcBorders>
              <w:top w:val="single" w:sz="18" w:space="0" w:color="auto"/>
              <w:left w:val="nil"/>
              <w:bottom w:val="single" w:sz="18" w:space="0" w:color="auto"/>
              <w:right w:val="nil"/>
            </w:tcBorders>
            <w:shd w:val="clear" w:color="000000" w:fill="FFFFFF"/>
            <w:noWrap/>
            <w:vAlign w:val="center"/>
            <w:hideMark/>
          </w:tcPr>
          <w:p w14:paraId="78F2BC71" w14:textId="77777777" w:rsidR="00E7168B" w:rsidRPr="00D618B7" w:rsidRDefault="00E7168B" w:rsidP="004B11B7">
            <w:pPr>
              <w:jc w:val="right"/>
              <w:rPr>
                <w:color w:val="000000"/>
                <w:sz w:val="20"/>
                <w:szCs w:val="20"/>
              </w:rPr>
            </w:pPr>
            <w:r w:rsidRPr="00D618B7">
              <w:rPr>
                <w:color w:val="000000"/>
                <w:sz w:val="20"/>
                <w:szCs w:val="20"/>
              </w:rPr>
              <w:t>Mean</w:t>
            </w:r>
          </w:p>
        </w:tc>
        <w:tc>
          <w:tcPr>
            <w:tcW w:w="1090" w:type="dxa"/>
            <w:tcBorders>
              <w:top w:val="single" w:sz="18" w:space="0" w:color="auto"/>
              <w:left w:val="nil"/>
              <w:bottom w:val="single" w:sz="18" w:space="0" w:color="auto"/>
              <w:right w:val="nil"/>
            </w:tcBorders>
            <w:shd w:val="clear" w:color="000000" w:fill="FFFFFF"/>
            <w:noWrap/>
            <w:vAlign w:val="center"/>
            <w:hideMark/>
          </w:tcPr>
          <w:p w14:paraId="133441A0" w14:textId="77777777" w:rsidR="00E7168B" w:rsidRPr="00D618B7" w:rsidRDefault="00E7168B" w:rsidP="004B11B7">
            <w:pPr>
              <w:jc w:val="right"/>
              <w:rPr>
                <w:color w:val="000000"/>
                <w:sz w:val="20"/>
                <w:szCs w:val="20"/>
              </w:rPr>
            </w:pPr>
            <w:r w:rsidRPr="00D618B7">
              <w:rPr>
                <w:color w:val="000000"/>
                <w:sz w:val="20"/>
                <w:szCs w:val="20"/>
              </w:rPr>
              <w:t>Std. Error</w:t>
            </w:r>
          </w:p>
        </w:tc>
        <w:tc>
          <w:tcPr>
            <w:tcW w:w="1621" w:type="dxa"/>
            <w:tcBorders>
              <w:top w:val="single" w:sz="18" w:space="0" w:color="auto"/>
              <w:left w:val="nil"/>
              <w:bottom w:val="single" w:sz="18" w:space="0" w:color="auto"/>
              <w:right w:val="nil"/>
            </w:tcBorders>
            <w:shd w:val="clear" w:color="000000" w:fill="FFFFFF"/>
            <w:noWrap/>
            <w:vAlign w:val="center"/>
            <w:hideMark/>
          </w:tcPr>
          <w:p w14:paraId="56C6534B" w14:textId="77777777" w:rsidR="00E7168B" w:rsidRPr="00D618B7" w:rsidRDefault="00E7168B" w:rsidP="004B11B7">
            <w:pPr>
              <w:jc w:val="right"/>
              <w:rPr>
                <w:color w:val="000000"/>
                <w:sz w:val="20"/>
                <w:szCs w:val="20"/>
              </w:rPr>
            </w:pPr>
            <w:r w:rsidRPr="00D618B7">
              <w:rPr>
                <w:color w:val="000000"/>
                <w:sz w:val="20"/>
                <w:szCs w:val="20"/>
              </w:rPr>
              <w:t>Mean</w:t>
            </w:r>
          </w:p>
        </w:tc>
        <w:tc>
          <w:tcPr>
            <w:tcW w:w="1128" w:type="dxa"/>
            <w:tcBorders>
              <w:top w:val="single" w:sz="18" w:space="0" w:color="auto"/>
              <w:left w:val="nil"/>
              <w:bottom w:val="single" w:sz="18" w:space="0" w:color="auto"/>
              <w:right w:val="nil"/>
            </w:tcBorders>
            <w:shd w:val="clear" w:color="000000" w:fill="FFFFFF"/>
            <w:noWrap/>
            <w:vAlign w:val="center"/>
            <w:hideMark/>
          </w:tcPr>
          <w:p w14:paraId="1176389E" w14:textId="77777777" w:rsidR="00E7168B" w:rsidRPr="00D618B7" w:rsidRDefault="00E7168B" w:rsidP="004B11B7">
            <w:pPr>
              <w:jc w:val="right"/>
              <w:rPr>
                <w:color w:val="000000"/>
                <w:sz w:val="20"/>
                <w:szCs w:val="20"/>
              </w:rPr>
            </w:pPr>
            <w:r w:rsidRPr="00D618B7">
              <w:rPr>
                <w:color w:val="000000"/>
                <w:sz w:val="20"/>
                <w:szCs w:val="20"/>
              </w:rPr>
              <w:t>Std. Error</w:t>
            </w:r>
          </w:p>
        </w:tc>
      </w:tr>
      <w:tr w:rsidR="00E7168B" w:rsidRPr="00D618B7" w14:paraId="6EBA6EB8" w14:textId="77777777" w:rsidTr="00E7168B">
        <w:trPr>
          <w:trHeight w:val="269"/>
        </w:trPr>
        <w:tc>
          <w:tcPr>
            <w:tcW w:w="1343" w:type="dxa"/>
            <w:tcBorders>
              <w:top w:val="single" w:sz="18" w:space="0" w:color="auto"/>
              <w:left w:val="nil"/>
              <w:bottom w:val="nil"/>
              <w:right w:val="nil"/>
            </w:tcBorders>
            <w:shd w:val="clear" w:color="000000" w:fill="FFFFFF"/>
            <w:noWrap/>
            <w:vAlign w:val="bottom"/>
            <w:hideMark/>
          </w:tcPr>
          <w:p w14:paraId="25D75821" w14:textId="77777777" w:rsidR="00E7168B" w:rsidRPr="00D618B7" w:rsidRDefault="00E7168B" w:rsidP="004B11B7">
            <w:pPr>
              <w:rPr>
                <w:color w:val="000000"/>
                <w:sz w:val="20"/>
                <w:szCs w:val="20"/>
              </w:rPr>
            </w:pPr>
            <w:r w:rsidRPr="00D618B7">
              <w:rPr>
                <w:color w:val="000000"/>
                <w:sz w:val="20"/>
                <w:szCs w:val="20"/>
              </w:rPr>
              <w:t> </w:t>
            </w:r>
          </w:p>
        </w:tc>
        <w:tc>
          <w:tcPr>
            <w:tcW w:w="7545" w:type="dxa"/>
            <w:gridSpan w:val="6"/>
            <w:tcBorders>
              <w:top w:val="single" w:sz="18" w:space="0" w:color="auto"/>
              <w:left w:val="nil"/>
              <w:bottom w:val="nil"/>
              <w:right w:val="nil"/>
            </w:tcBorders>
            <w:shd w:val="clear" w:color="000000" w:fill="FFFFFF"/>
            <w:noWrap/>
            <w:vAlign w:val="center"/>
            <w:hideMark/>
          </w:tcPr>
          <w:p w14:paraId="515CC33A" w14:textId="77777777" w:rsidR="00E7168B" w:rsidRPr="00D618B7" w:rsidRDefault="00E7168B" w:rsidP="004B11B7">
            <w:pPr>
              <w:jc w:val="center"/>
              <w:rPr>
                <w:color w:val="000000"/>
                <w:sz w:val="20"/>
                <w:szCs w:val="20"/>
              </w:rPr>
            </w:pPr>
            <w:r w:rsidRPr="00D618B7">
              <w:rPr>
                <w:color w:val="000000"/>
                <w:sz w:val="20"/>
                <w:szCs w:val="20"/>
              </w:rPr>
              <w:t>Toy-out-of-Reach</w:t>
            </w:r>
          </w:p>
        </w:tc>
      </w:tr>
      <w:tr w:rsidR="00E7168B" w:rsidRPr="00D618B7" w14:paraId="1465CAFE" w14:textId="77777777" w:rsidTr="00E7168B">
        <w:trPr>
          <w:trHeight w:val="269"/>
        </w:trPr>
        <w:tc>
          <w:tcPr>
            <w:tcW w:w="1343" w:type="dxa"/>
            <w:tcBorders>
              <w:top w:val="nil"/>
              <w:left w:val="nil"/>
              <w:bottom w:val="nil"/>
              <w:right w:val="nil"/>
            </w:tcBorders>
            <w:shd w:val="clear" w:color="000000" w:fill="FFFFFF"/>
            <w:vAlign w:val="center"/>
            <w:hideMark/>
          </w:tcPr>
          <w:p w14:paraId="01368335" w14:textId="77777777" w:rsidR="00E7168B" w:rsidRPr="00D618B7" w:rsidRDefault="00E7168B" w:rsidP="004B11B7">
            <w:pPr>
              <w:jc w:val="right"/>
              <w:rPr>
                <w:color w:val="000000"/>
                <w:sz w:val="20"/>
                <w:szCs w:val="20"/>
              </w:rPr>
            </w:pPr>
            <w:r w:rsidRPr="00D618B7">
              <w:rPr>
                <w:color w:val="000000"/>
                <w:sz w:val="20"/>
                <w:szCs w:val="20"/>
              </w:rPr>
              <w:t>-5</w:t>
            </w:r>
          </w:p>
        </w:tc>
        <w:tc>
          <w:tcPr>
            <w:tcW w:w="1036" w:type="dxa"/>
            <w:tcBorders>
              <w:top w:val="nil"/>
              <w:left w:val="nil"/>
              <w:bottom w:val="nil"/>
              <w:right w:val="nil"/>
            </w:tcBorders>
            <w:shd w:val="clear" w:color="000000" w:fill="FFFFFF"/>
            <w:noWrap/>
            <w:vAlign w:val="center"/>
            <w:hideMark/>
          </w:tcPr>
          <w:p w14:paraId="23542D32" w14:textId="77777777" w:rsidR="00E7168B" w:rsidRPr="00D618B7" w:rsidRDefault="00E7168B" w:rsidP="004B11B7">
            <w:pPr>
              <w:jc w:val="right"/>
              <w:rPr>
                <w:color w:val="000000"/>
                <w:sz w:val="20"/>
                <w:szCs w:val="20"/>
              </w:rPr>
            </w:pPr>
            <w:r w:rsidRPr="00D618B7">
              <w:rPr>
                <w:color w:val="000000"/>
                <w:sz w:val="20"/>
                <w:szCs w:val="20"/>
              </w:rPr>
              <w:t>-0.0009</w:t>
            </w:r>
          </w:p>
        </w:tc>
        <w:tc>
          <w:tcPr>
            <w:tcW w:w="1101" w:type="dxa"/>
            <w:tcBorders>
              <w:top w:val="nil"/>
              <w:left w:val="nil"/>
              <w:bottom w:val="nil"/>
              <w:right w:val="nil"/>
            </w:tcBorders>
            <w:shd w:val="clear" w:color="000000" w:fill="FFFFFF"/>
            <w:noWrap/>
            <w:vAlign w:val="center"/>
            <w:hideMark/>
          </w:tcPr>
          <w:p w14:paraId="6F569FB1" w14:textId="77777777" w:rsidR="00E7168B" w:rsidRPr="00D618B7" w:rsidRDefault="00E7168B" w:rsidP="004B11B7">
            <w:pPr>
              <w:jc w:val="right"/>
              <w:rPr>
                <w:color w:val="000000"/>
                <w:sz w:val="20"/>
                <w:szCs w:val="20"/>
              </w:rPr>
            </w:pPr>
            <w:r w:rsidRPr="00D618B7">
              <w:rPr>
                <w:color w:val="000000"/>
                <w:sz w:val="20"/>
                <w:szCs w:val="20"/>
              </w:rPr>
              <w:t>0.0007</w:t>
            </w:r>
          </w:p>
        </w:tc>
        <w:tc>
          <w:tcPr>
            <w:tcW w:w="1566" w:type="dxa"/>
            <w:tcBorders>
              <w:top w:val="nil"/>
              <w:left w:val="nil"/>
              <w:bottom w:val="nil"/>
              <w:right w:val="nil"/>
            </w:tcBorders>
            <w:shd w:val="clear" w:color="000000" w:fill="FFFFFF"/>
            <w:noWrap/>
            <w:vAlign w:val="center"/>
            <w:hideMark/>
          </w:tcPr>
          <w:p w14:paraId="69394E69" w14:textId="77777777" w:rsidR="00E7168B" w:rsidRPr="00D618B7" w:rsidRDefault="00E7168B" w:rsidP="004B11B7">
            <w:pPr>
              <w:jc w:val="right"/>
              <w:rPr>
                <w:color w:val="000000"/>
                <w:sz w:val="20"/>
                <w:szCs w:val="20"/>
              </w:rPr>
            </w:pPr>
            <w:r w:rsidRPr="00D618B7">
              <w:rPr>
                <w:color w:val="000000"/>
                <w:sz w:val="20"/>
                <w:szCs w:val="20"/>
              </w:rPr>
              <w:t>0.0002</w:t>
            </w:r>
          </w:p>
        </w:tc>
        <w:tc>
          <w:tcPr>
            <w:tcW w:w="1090" w:type="dxa"/>
            <w:tcBorders>
              <w:top w:val="nil"/>
              <w:left w:val="nil"/>
              <w:bottom w:val="nil"/>
              <w:right w:val="nil"/>
            </w:tcBorders>
            <w:shd w:val="clear" w:color="000000" w:fill="FFFFFF"/>
            <w:noWrap/>
            <w:vAlign w:val="center"/>
            <w:hideMark/>
          </w:tcPr>
          <w:p w14:paraId="5681F32D"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525AE7CD" w14:textId="77777777" w:rsidR="00E7168B" w:rsidRPr="00D618B7" w:rsidRDefault="00E7168B" w:rsidP="004B11B7">
            <w:pPr>
              <w:jc w:val="right"/>
              <w:rPr>
                <w:color w:val="000000"/>
                <w:sz w:val="20"/>
                <w:szCs w:val="20"/>
              </w:rPr>
            </w:pPr>
            <w:r w:rsidRPr="00D618B7">
              <w:rPr>
                <w:color w:val="000000"/>
                <w:sz w:val="20"/>
                <w:szCs w:val="20"/>
              </w:rPr>
              <w:t>0.0029</w:t>
            </w:r>
          </w:p>
        </w:tc>
        <w:tc>
          <w:tcPr>
            <w:tcW w:w="1128" w:type="dxa"/>
            <w:tcBorders>
              <w:top w:val="nil"/>
              <w:left w:val="nil"/>
              <w:bottom w:val="nil"/>
              <w:right w:val="nil"/>
            </w:tcBorders>
            <w:shd w:val="clear" w:color="000000" w:fill="FFFFFF"/>
            <w:noWrap/>
            <w:vAlign w:val="center"/>
            <w:hideMark/>
          </w:tcPr>
          <w:p w14:paraId="047B973E" w14:textId="77777777" w:rsidR="00E7168B" w:rsidRPr="00D618B7" w:rsidRDefault="00E7168B" w:rsidP="004B11B7">
            <w:pPr>
              <w:jc w:val="right"/>
              <w:rPr>
                <w:color w:val="000000"/>
                <w:sz w:val="20"/>
                <w:szCs w:val="20"/>
              </w:rPr>
            </w:pPr>
            <w:r w:rsidRPr="00D618B7">
              <w:rPr>
                <w:color w:val="000000"/>
                <w:sz w:val="20"/>
                <w:szCs w:val="20"/>
              </w:rPr>
              <w:t>0.0006</w:t>
            </w:r>
          </w:p>
        </w:tc>
      </w:tr>
      <w:tr w:rsidR="00E7168B" w:rsidRPr="00D618B7" w14:paraId="5654613B" w14:textId="77777777" w:rsidTr="00E7168B">
        <w:trPr>
          <w:trHeight w:val="269"/>
        </w:trPr>
        <w:tc>
          <w:tcPr>
            <w:tcW w:w="1343" w:type="dxa"/>
            <w:tcBorders>
              <w:top w:val="nil"/>
              <w:left w:val="nil"/>
              <w:bottom w:val="nil"/>
              <w:right w:val="nil"/>
            </w:tcBorders>
            <w:shd w:val="clear" w:color="000000" w:fill="FFFFFF"/>
            <w:vAlign w:val="center"/>
            <w:hideMark/>
          </w:tcPr>
          <w:p w14:paraId="20291EDC" w14:textId="77777777" w:rsidR="00E7168B" w:rsidRPr="00D618B7" w:rsidRDefault="00E7168B" w:rsidP="004B11B7">
            <w:pPr>
              <w:jc w:val="right"/>
              <w:rPr>
                <w:color w:val="000000"/>
                <w:sz w:val="20"/>
                <w:szCs w:val="20"/>
              </w:rPr>
            </w:pPr>
            <w:r w:rsidRPr="00D618B7">
              <w:rPr>
                <w:color w:val="000000"/>
                <w:sz w:val="20"/>
                <w:szCs w:val="20"/>
              </w:rPr>
              <w:t>-4</w:t>
            </w:r>
          </w:p>
        </w:tc>
        <w:tc>
          <w:tcPr>
            <w:tcW w:w="1036" w:type="dxa"/>
            <w:tcBorders>
              <w:top w:val="nil"/>
              <w:left w:val="nil"/>
              <w:bottom w:val="nil"/>
              <w:right w:val="nil"/>
            </w:tcBorders>
            <w:shd w:val="clear" w:color="000000" w:fill="FFFFFF"/>
            <w:noWrap/>
            <w:vAlign w:val="center"/>
            <w:hideMark/>
          </w:tcPr>
          <w:p w14:paraId="64919451" w14:textId="77777777" w:rsidR="00E7168B" w:rsidRPr="00D618B7" w:rsidRDefault="00E7168B" w:rsidP="004B11B7">
            <w:pPr>
              <w:jc w:val="right"/>
              <w:rPr>
                <w:color w:val="000000"/>
                <w:sz w:val="20"/>
                <w:szCs w:val="20"/>
              </w:rPr>
            </w:pPr>
            <w:r w:rsidRPr="00D618B7">
              <w:rPr>
                <w:color w:val="000000"/>
                <w:sz w:val="20"/>
                <w:szCs w:val="20"/>
              </w:rPr>
              <w:t>0.0007</w:t>
            </w:r>
          </w:p>
        </w:tc>
        <w:tc>
          <w:tcPr>
            <w:tcW w:w="1101" w:type="dxa"/>
            <w:tcBorders>
              <w:top w:val="nil"/>
              <w:left w:val="nil"/>
              <w:bottom w:val="nil"/>
              <w:right w:val="nil"/>
            </w:tcBorders>
            <w:shd w:val="clear" w:color="000000" w:fill="FFFFFF"/>
            <w:noWrap/>
            <w:vAlign w:val="center"/>
            <w:hideMark/>
          </w:tcPr>
          <w:p w14:paraId="3FF3E2AF" w14:textId="77777777" w:rsidR="00E7168B" w:rsidRPr="00D618B7" w:rsidRDefault="00E7168B" w:rsidP="004B11B7">
            <w:pPr>
              <w:jc w:val="right"/>
              <w:rPr>
                <w:color w:val="000000"/>
                <w:sz w:val="20"/>
                <w:szCs w:val="20"/>
              </w:rPr>
            </w:pPr>
            <w:r w:rsidRPr="00D618B7">
              <w:rPr>
                <w:color w:val="000000"/>
                <w:sz w:val="20"/>
                <w:szCs w:val="20"/>
              </w:rPr>
              <w:t>0.0009</w:t>
            </w:r>
          </w:p>
        </w:tc>
        <w:tc>
          <w:tcPr>
            <w:tcW w:w="1566" w:type="dxa"/>
            <w:tcBorders>
              <w:top w:val="nil"/>
              <w:left w:val="nil"/>
              <w:bottom w:val="nil"/>
              <w:right w:val="nil"/>
            </w:tcBorders>
            <w:shd w:val="clear" w:color="000000" w:fill="FFFFFF"/>
            <w:noWrap/>
            <w:vAlign w:val="center"/>
            <w:hideMark/>
          </w:tcPr>
          <w:p w14:paraId="0A4C25B3" w14:textId="77777777" w:rsidR="00E7168B" w:rsidRPr="00D618B7" w:rsidRDefault="00E7168B" w:rsidP="004B11B7">
            <w:pPr>
              <w:jc w:val="right"/>
              <w:rPr>
                <w:color w:val="000000"/>
                <w:sz w:val="20"/>
                <w:szCs w:val="20"/>
              </w:rPr>
            </w:pPr>
            <w:r w:rsidRPr="00D618B7">
              <w:rPr>
                <w:color w:val="000000"/>
                <w:sz w:val="20"/>
                <w:szCs w:val="20"/>
              </w:rPr>
              <w:t>-0.0003</w:t>
            </w:r>
          </w:p>
        </w:tc>
        <w:tc>
          <w:tcPr>
            <w:tcW w:w="1090" w:type="dxa"/>
            <w:tcBorders>
              <w:top w:val="nil"/>
              <w:left w:val="nil"/>
              <w:bottom w:val="nil"/>
              <w:right w:val="nil"/>
            </w:tcBorders>
            <w:shd w:val="clear" w:color="000000" w:fill="FFFFFF"/>
            <w:noWrap/>
            <w:vAlign w:val="center"/>
            <w:hideMark/>
          </w:tcPr>
          <w:p w14:paraId="264EFA81"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3EECDC5D" w14:textId="77777777" w:rsidR="00E7168B" w:rsidRPr="00D618B7" w:rsidRDefault="00E7168B" w:rsidP="004B11B7">
            <w:pPr>
              <w:jc w:val="right"/>
              <w:rPr>
                <w:color w:val="000000"/>
                <w:sz w:val="20"/>
                <w:szCs w:val="20"/>
              </w:rPr>
            </w:pPr>
            <w:r w:rsidRPr="00D618B7">
              <w:rPr>
                <w:color w:val="000000"/>
                <w:sz w:val="20"/>
                <w:szCs w:val="20"/>
              </w:rPr>
              <w:t>0.0005</w:t>
            </w:r>
          </w:p>
        </w:tc>
        <w:tc>
          <w:tcPr>
            <w:tcW w:w="1128" w:type="dxa"/>
            <w:tcBorders>
              <w:top w:val="nil"/>
              <w:left w:val="nil"/>
              <w:bottom w:val="nil"/>
              <w:right w:val="nil"/>
            </w:tcBorders>
            <w:shd w:val="clear" w:color="000000" w:fill="FFFFFF"/>
            <w:noWrap/>
            <w:vAlign w:val="center"/>
            <w:hideMark/>
          </w:tcPr>
          <w:p w14:paraId="1FCEA9CA" w14:textId="77777777" w:rsidR="00E7168B" w:rsidRPr="00D618B7" w:rsidRDefault="00E7168B" w:rsidP="004B11B7">
            <w:pPr>
              <w:jc w:val="right"/>
              <w:rPr>
                <w:color w:val="000000"/>
                <w:sz w:val="20"/>
                <w:szCs w:val="20"/>
              </w:rPr>
            </w:pPr>
            <w:r w:rsidRPr="00D618B7">
              <w:rPr>
                <w:color w:val="000000"/>
                <w:sz w:val="20"/>
                <w:szCs w:val="20"/>
              </w:rPr>
              <w:t>0.0026</w:t>
            </w:r>
          </w:p>
        </w:tc>
      </w:tr>
      <w:tr w:rsidR="00E7168B" w:rsidRPr="00D618B7" w14:paraId="08A30296" w14:textId="77777777" w:rsidTr="00E7168B">
        <w:trPr>
          <w:trHeight w:val="269"/>
        </w:trPr>
        <w:tc>
          <w:tcPr>
            <w:tcW w:w="1343" w:type="dxa"/>
            <w:tcBorders>
              <w:top w:val="nil"/>
              <w:left w:val="nil"/>
              <w:bottom w:val="nil"/>
              <w:right w:val="nil"/>
            </w:tcBorders>
            <w:shd w:val="clear" w:color="000000" w:fill="FFFFFF"/>
            <w:vAlign w:val="center"/>
            <w:hideMark/>
          </w:tcPr>
          <w:p w14:paraId="7E22ECC5" w14:textId="77777777" w:rsidR="00E7168B" w:rsidRPr="00D618B7" w:rsidRDefault="00E7168B" w:rsidP="004B11B7">
            <w:pPr>
              <w:jc w:val="right"/>
              <w:rPr>
                <w:color w:val="000000"/>
                <w:sz w:val="20"/>
                <w:szCs w:val="20"/>
              </w:rPr>
            </w:pPr>
            <w:r w:rsidRPr="00D618B7">
              <w:rPr>
                <w:color w:val="000000"/>
                <w:sz w:val="20"/>
                <w:szCs w:val="20"/>
              </w:rPr>
              <w:t>-3</w:t>
            </w:r>
          </w:p>
        </w:tc>
        <w:tc>
          <w:tcPr>
            <w:tcW w:w="1036" w:type="dxa"/>
            <w:tcBorders>
              <w:top w:val="nil"/>
              <w:left w:val="nil"/>
              <w:bottom w:val="nil"/>
              <w:right w:val="nil"/>
            </w:tcBorders>
            <w:shd w:val="clear" w:color="000000" w:fill="FFFFFF"/>
            <w:noWrap/>
            <w:vAlign w:val="center"/>
            <w:hideMark/>
          </w:tcPr>
          <w:p w14:paraId="1CE247B1" w14:textId="77777777" w:rsidR="00E7168B" w:rsidRPr="00D618B7" w:rsidRDefault="00E7168B" w:rsidP="004B11B7">
            <w:pPr>
              <w:jc w:val="right"/>
              <w:rPr>
                <w:color w:val="000000"/>
                <w:sz w:val="20"/>
                <w:szCs w:val="20"/>
              </w:rPr>
            </w:pPr>
            <w:r w:rsidRPr="00D618B7">
              <w:rPr>
                <w:color w:val="000000"/>
                <w:sz w:val="20"/>
                <w:szCs w:val="20"/>
              </w:rPr>
              <w:t>-0.0013</w:t>
            </w:r>
          </w:p>
        </w:tc>
        <w:tc>
          <w:tcPr>
            <w:tcW w:w="1101" w:type="dxa"/>
            <w:tcBorders>
              <w:top w:val="nil"/>
              <w:left w:val="nil"/>
              <w:bottom w:val="nil"/>
              <w:right w:val="nil"/>
            </w:tcBorders>
            <w:shd w:val="clear" w:color="000000" w:fill="FFFFFF"/>
            <w:noWrap/>
            <w:vAlign w:val="center"/>
            <w:hideMark/>
          </w:tcPr>
          <w:p w14:paraId="2FE50A2C" w14:textId="77777777" w:rsidR="00E7168B" w:rsidRPr="00D618B7" w:rsidRDefault="00E7168B" w:rsidP="004B11B7">
            <w:pPr>
              <w:jc w:val="right"/>
              <w:rPr>
                <w:color w:val="000000"/>
                <w:sz w:val="20"/>
                <w:szCs w:val="20"/>
              </w:rPr>
            </w:pPr>
            <w:r w:rsidRPr="00D618B7">
              <w:rPr>
                <w:color w:val="000000"/>
                <w:sz w:val="20"/>
                <w:szCs w:val="20"/>
              </w:rPr>
              <w:t>0.0007</w:t>
            </w:r>
          </w:p>
        </w:tc>
        <w:tc>
          <w:tcPr>
            <w:tcW w:w="1566" w:type="dxa"/>
            <w:tcBorders>
              <w:top w:val="nil"/>
              <w:left w:val="nil"/>
              <w:bottom w:val="nil"/>
              <w:right w:val="nil"/>
            </w:tcBorders>
            <w:shd w:val="clear" w:color="000000" w:fill="FFFFFF"/>
            <w:noWrap/>
            <w:vAlign w:val="center"/>
            <w:hideMark/>
          </w:tcPr>
          <w:p w14:paraId="00C40EA8" w14:textId="77777777" w:rsidR="00E7168B" w:rsidRPr="00D618B7" w:rsidRDefault="00E7168B" w:rsidP="004B11B7">
            <w:pPr>
              <w:jc w:val="right"/>
              <w:rPr>
                <w:color w:val="000000"/>
                <w:sz w:val="20"/>
                <w:szCs w:val="20"/>
              </w:rPr>
            </w:pPr>
            <w:r w:rsidRPr="00D618B7">
              <w:rPr>
                <w:color w:val="000000"/>
                <w:sz w:val="20"/>
                <w:szCs w:val="20"/>
              </w:rPr>
              <w:t>-0.0016</w:t>
            </w:r>
          </w:p>
        </w:tc>
        <w:tc>
          <w:tcPr>
            <w:tcW w:w="1090" w:type="dxa"/>
            <w:tcBorders>
              <w:top w:val="nil"/>
              <w:left w:val="nil"/>
              <w:bottom w:val="nil"/>
              <w:right w:val="nil"/>
            </w:tcBorders>
            <w:shd w:val="clear" w:color="000000" w:fill="FFFFFF"/>
            <w:noWrap/>
            <w:vAlign w:val="center"/>
            <w:hideMark/>
          </w:tcPr>
          <w:p w14:paraId="7C73003F" w14:textId="77777777" w:rsidR="00E7168B" w:rsidRPr="00D618B7" w:rsidRDefault="00E7168B" w:rsidP="004B11B7">
            <w:pPr>
              <w:jc w:val="right"/>
              <w:rPr>
                <w:color w:val="000000"/>
                <w:sz w:val="20"/>
                <w:szCs w:val="20"/>
              </w:rPr>
            </w:pPr>
            <w:r w:rsidRPr="00D618B7">
              <w:rPr>
                <w:color w:val="000000"/>
                <w:sz w:val="20"/>
                <w:szCs w:val="20"/>
              </w:rPr>
              <w:t>0.0007</w:t>
            </w:r>
          </w:p>
        </w:tc>
        <w:tc>
          <w:tcPr>
            <w:tcW w:w="1621" w:type="dxa"/>
            <w:tcBorders>
              <w:top w:val="nil"/>
              <w:left w:val="nil"/>
              <w:bottom w:val="nil"/>
              <w:right w:val="nil"/>
            </w:tcBorders>
            <w:shd w:val="clear" w:color="000000" w:fill="FFFFFF"/>
            <w:noWrap/>
            <w:vAlign w:val="center"/>
            <w:hideMark/>
          </w:tcPr>
          <w:p w14:paraId="62DD5A16" w14:textId="77777777" w:rsidR="00E7168B" w:rsidRPr="00D618B7" w:rsidRDefault="00E7168B" w:rsidP="004B11B7">
            <w:pPr>
              <w:jc w:val="right"/>
              <w:rPr>
                <w:color w:val="000000"/>
                <w:sz w:val="20"/>
                <w:szCs w:val="20"/>
              </w:rPr>
            </w:pPr>
            <w:r w:rsidRPr="00D618B7">
              <w:rPr>
                <w:color w:val="000000"/>
                <w:sz w:val="20"/>
                <w:szCs w:val="20"/>
              </w:rPr>
              <w:t>-0.0034</w:t>
            </w:r>
          </w:p>
        </w:tc>
        <w:tc>
          <w:tcPr>
            <w:tcW w:w="1128" w:type="dxa"/>
            <w:tcBorders>
              <w:top w:val="nil"/>
              <w:left w:val="nil"/>
              <w:bottom w:val="nil"/>
              <w:right w:val="nil"/>
            </w:tcBorders>
            <w:shd w:val="clear" w:color="000000" w:fill="FFFFFF"/>
            <w:noWrap/>
            <w:vAlign w:val="center"/>
            <w:hideMark/>
          </w:tcPr>
          <w:p w14:paraId="60D5E445" w14:textId="77777777" w:rsidR="00E7168B" w:rsidRPr="00D618B7" w:rsidRDefault="00E7168B" w:rsidP="004B11B7">
            <w:pPr>
              <w:jc w:val="right"/>
              <w:rPr>
                <w:color w:val="000000"/>
                <w:sz w:val="20"/>
                <w:szCs w:val="20"/>
              </w:rPr>
            </w:pPr>
            <w:r w:rsidRPr="00D618B7">
              <w:rPr>
                <w:color w:val="000000"/>
                <w:sz w:val="20"/>
                <w:szCs w:val="20"/>
              </w:rPr>
              <w:t>0.0018</w:t>
            </w:r>
          </w:p>
        </w:tc>
      </w:tr>
      <w:tr w:rsidR="00E7168B" w:rsidRPr="00D618B7" w14:paraId="52E94C69" w14:textId="77777777" w:rsidTr="00E7168B">
        <w:trPr>
          <w:trHeight w:val="269"/>
        </w:trPr>
        <w:tc>
          <w:tcPr>
            <w:tcW w:w="1343" w:type="dxa"/>
            <w:tcBorders>
              <w:top w:val="nil"/>
              <w:left w:val="nil"/>
              <w:bottom w:val="nil"/>
              <w:right w:val="nil"/>
            </w:tcBorders>
            <w:shd w:val="clear" w:color="000000" w:fill="FFFFFF"/>
            <w:vAlign w:val="center"/>
            <w:hideMark/>
          </w:tcPr>
          <w:p w14:paraId="70A6EDF6" w14:textId="77777777" w:rsidR="00E7168B" w:rsidRPr="00D618B7" w:rsidRDefault="00E7168B" w:rsidP="004B11B7">
            <w:pPr>
              <w:jc w:val="right"/>
              <w:rPr>
                <w:color w:val="000000"/>
                <w:sz w:val="20"/>
                <w:szCs w:val="20"/>
              </w:rPr>
            </w:pPr>
            <w:r w:rsidRPr="00D618B7">
              <w:rPr>
                <w:color w:val="000000"/>
                <w:sz w:val="20"/>
                <w:szCs w:val="20"/>
              </w:rPr>
              <w:t>-2</w:t>
            </w:r>
          </w:p>
        </w:tc>
        <w:tc>
          <w:tcPr>
            <w:tcW w:w="1036" w:type="dxa"/>
            <w:tcBorders>
              <w:top w:val="nil"/>
              <w:left w:val="nil"/>
              <w:bottom w:val="nil"/>
              <w:right w:val="nil"/>
            </w:tcBorders>
            <w:shd w:val="clear" w:color="000000" w:fill="FFFFFF"/>
            <w:noWrap/>
            <w:vAlign w:val="center"/>
            <w:hideMark/>
          </w:tcPr>
          <w:p w14:paraId="4F03DC6B" w14:textId="77777777" w:rsidR="00E7168B" w:rsidRPr="00D618B7" w:rsidRDefault="00E7168B" w:rsidP="004B11B7">
            <w:pPr>
              <w:jc w:val="right"/>
              <w:rPr>
                <w:color w:val="000000"/>
                <w:sz w:val="20"/>
                <w:szCs w:val="20"/>
              </w:rPr>
            </w:pPr>
            <w:r w:rsidRPr="00D618B7">
              <w:rPr>
                <w:color w:val="000000"/>
                <w:sz w:val="20"/>
                <w:szCs w:val="20"/>
              </w:rPr>
              <w:t>-0.0002</w:t>
            </w:r>
          </w:p>
        </w:tc>
        <w:tc>
          <w:tcPr>
            <w:tcW w:w="1101" w:type="dxa"/>
            <w:tcBorders>
              <w:top w:val="nil"/>
              <w:left w:val="nil"/>
              <w:bottom w:val="nil"/>
              <w:right w:val="nil"/>
            </w:tcBorders>
            <w:shd w:val="clear" w:color="000000" w:fill="FFFFFF"/>
            <w:noWrap/>
            <w:vAlign w:val="center"/>
            <w:hideMark/>
          </w:tcPr>
          <w:p w14:paraId="622BDDFE" w14:textId="77777777" w:rsidR="00E7168B" w:rsidRPr="00D618B7" w:rsidRDefault="00E7168B" w:rsidP="004B11B7">
            <w:pPr>
              <w:jc w:val="right"/>
              <w:rPr>
                <w:color w:val="000000"/>
                <w:sz w:val="20"/>
                <w:szCs w:val="20"/>
              </w:rPr>
            </w:pPr>
            <w:r w:rsidRPr="00D618B7">
              <w:rPr>
                <w:color w:val="000000"/>
                <w:sz w:val="20"/>
                <w:szCs w:val="20"/>
              </w:rPr>
              <w:t>0.0009</w:t>
            </w:r>
          </w:p>
        </w:tc>
        <w:tc>
          <w:tcPr>
            <w:tcW w:w="1566" w:type="dxa"/>
            <w:tcBorders>
              <w:top w:val="nil"/>
              <w:left w:val="nil"/>
              <w:bottom w:val="nil"/>
              <w:right w:val="nil"/>
            </w:tcBorders>
            <w:shd w:val="clear" w:color="000000" w:fill="FFFFFF"/>
            <w:noWrap/>
            <w:vAlign w:val="center"/>
            <w:hideMark/>
          </w:tcPr>
          <w:p w14:paraId="47F05368" w14:textId="77777777" w:rsidR="00E7168B" w:rsidRPr="00D618B7" w:rsidRDefault="00E7168B" w:rsidP="004B11B7">
            <w:pPr>
              <w:jc w:val="right"/>
              <w:rPr>
                <w:color w:val="000000"/>
                <w:sz w:val="20"/>
                <w:szCs w:val="20"/>
              </w:rPr>
            </w:pPr>
            <w:r w:rsidRPr="00D618B7">
              <w:rPr>
                <w:color w:val="000000"/>
                <w:sz w:val="20"/>
                <w:szCs w:val="20"/>
              </w:rPr>
              <w:t>0.0007</w:t>
            </w:r>
          </w:p>
        </w:tc>
        <w:tc>
          <w:tcPr>
            <w:tcW w:w="1090" w:type="dxa"/>
            <w:tcBorders>
              <w:top w:val="nil"/>
              <w:left w:val="nil"/>
              <w:bottom w:val="nil"/>
              <w:right w:val="nil"/>
            </w:tcBorders>
            <w:shd w:val="clear" w:color="000000" w:fill="FFFFFF"/>
            <w:noWrap/>
            <w:vAlign w:val="center"/>
            <w:hideMark/>
          </w:tcPr>
          <w:p w14:paraId="69BC9977" w14:textId="77777777" w:rsidR="00E7168B" w:rsidRPr="00D618B7" w:rsidRDefault="00E7168B" w:rsidP="004B11B7">
            <w:pPr>
              <w:jc w:val="right"/>
              <w:rPr>
                <w:color w:val="000000"/>
                <w:sz w:val="20"/>
                <w:szCs w:val="20"/>
              </w:rPr>
            </w:pPr>
            <w:r w:rsidRPr="00D618B7">
              <w:rPr>
                <w:color w:val="000000"/>
                <w:sz w:val="20"/>
                <w:szCs w:val="20"/>
              </w:rPr>
              <w:t>0.0003</w:t>
            </w:r>
          </w:p>
        </w:tc>
        <w:tc>
          <w:tcPr>
            <w:tcW w:w="1621" w:type="dxa"/>
            <w:tcBorders>
              <w:top w:val="nil"/>
              <w:left w:val="nil"/>
              <w:bottom w:val="nil"/>
              <w:right w:val="nil"/>
            </w:tcBorders>
            <w:shd w:val="clear" w:color="000000" w:fill="FFFFFF"/>
            <w:noWrap/>
            <w:vAlign w:val="center"/>
            <w:hideMark/>
          </w:tcPr>
          <w:p w14:paraId="03585E86" w14:textId="77777777" w:rsidR="00E7168B" w:rsidRPr="00D618B7" w:rsidRDefault="00E7168B" w:rsidP="004B11B7">
            <w:pPr>
              <w:jc w:val="right"/>
              <w:rPr>
                <w:color w:val="000000"/>
                <w:sz w:val="20"/>
                <w:szCs w:val="20"/>
              </w:rPr>
            </w:pPr>
            <w:r w:rsidRPr="00D618B7">
              <w:rPr>
                <w:color w:val="000000"/>
                <w:sz w:val="20"/>
                <w:szCs w:val="20"/>
              </w:rPr>
              <w:t>-0.0007</w:t>
            </w:r>
          </w:p>
        </w:tc>
        <w:tc>
          <w:tcPr>
            <w:tcW w:w="1128" w:type="dxa"/>
            <w:tcBorders>
              <w:top w:val="nil"/>
              <w:left w:val="nil"/>
              <w:bottom w:val="nil"/>
              <w:right w:val="nil"/>
            </w:tcBorders>
            <w:shd w:val="clear" w:color="000000" w:fill="FFFFFF"/>
            <w:noWrap/>
            <w:vAlign w:val="center"/>
            <w:hideMark/>
          </w:tcPr>
          <w:p w14:paraId="702EEA8E" w14:textId="77777777" w:rsidR="00E7168B" w:rsidRPr="00D618B7" w:rsidRDefault="00E7168B" w:rsidP="004B11B7">
            <w:pPr>
              <w:jc w:val="right"/>
              <w:rPr>
                <w:color w:val="000000"/>
                <w:sz w:val="20"/>
                <w:szCs w:val="20"/>
              </w:rPr>
            </w:pPr>
            <w:r w:rsidRPr="00D618B7">
              <w:rPr>
                <w:color w:val="000000"/>
                <w:sz w:val="20"/>
                <w:szCs w:val="20"/>
              </w:rPr>
              <w:t>0.0018</w:t>
            </w:r>
          </w:p>
        </w:tc>
      </w:tr>
      <w:tr w:rsidR="00E7168B" w:rsidRPr="00D618B7" w14:paraId="7111613C" w14:textId="77777777" w:rsidTr="00E7168B">
        <w:trPr>
          <w:trHeight w:val="269"/>
        </w:trPr>
        <w:tc>
          <w:tcPr>
            <w:tcW w:w="1343" w:type="dxa"/>
            <w:tcBorders>
              <w:top w:val="nil"/>
              <w:left w:val="nil"/>
              <w:bottom w:val="nil"/>
              <w:right w:val="nil"/>
            </w:tcBorders>
            <w:shd w:val="clear" w:color="000000" w:fill="FFFFFF"/>
            <w:vAlign w:val="center"/>
            <w:hideMark/>
          </w:tcPr>
          <w:p w14:paraId="5B2537AD" w14:textId="77777777" w:rsidR="00E7168B" w:rsidRPr="00D618B7" w:rsidRDefault="00E7168B" w:rsidP="004B11B7">
            <w:pPr>
              <w:jc w:val="right"/>
              <w:rPr>
                <w:color w:val="000000"/>
                <w:sz w:val="20"/>
                <w:szCs w:val="20"/>
              </w:rPr>
            </w:pPr>
            <w:r w:rsidRPr="00D618B7">
              <w:rPr>
                <w:color w:val="000000"/>
                <w:sz w:val="20"/>
                <w:szCs w:val="20"/>
              </w:rPr>
              <w:t>-1</w:t>
            </w:r>
          </w:p>
        </w:tc>
        <w:tc>
          <w:tcPr>
            <w:tcW w:w="1036" w:type="dxa"/>
            <w:tcBorders>
              <w:top w:val="nil"/>
              <w:left w:val="nil"/>
              <w:bottom w:val="nil"/>
              <w:right w:val="nil"/>
            </w:tcBorders>
            <w:shd w:val="clear" w:color="000000" w:fill="FFFFFF"/>
            <w:noWrap/>
            <w:vAlign w:val="center"/>
            <w:hideMark/>
          </w:tcPr>
          <w:p w14:paraId="3DD5D864" w14:textId="77777777" w:rsidR="00E7168B" w:rsidRPr="00D618B7" w:rsidRDefault="00E7168B" w:rsidP="004B11B7">
            <w:pPr>
              <w:jc w:val="right"/>
              <w:rPr>
                <w:color w:val="000000"/>
                <w:sz w:val="20"/>
                <w:szCs w:val="20"/>
              </w:rPr>
            </w:pPr>
            <w:r w:rsidRPr="00D618B7">
              <w:rPr>
                <w:color w:val="000000"/>
                <w:sz w:val="20"/>
                <w:szCs w:val="20"/>
              </w:rPr>
              <w:t>0.0006</w:t>
            </w:r>
          </w:p>
        </w:tc>
        <w:tc>
          <w:tcPr>
            <w:tcW w:w="1101" w:type="dxa"/>
            <w:tcBorders>
              <w:top w:val="nil"/>
              <w:left w:val="nil"/>
              <w:bottom w:val="nil"/>
              <w:right w:val="nil"/>
            </w:tcBorders>
            <w:shd w:val="clear" w:color="000000" w:fill="FFFFFF"/>
            <w:noWrap/>
            <w:vAlign w:val="center"/>
            <w:hideMark/>
          </w:tcPr>
          <w:p w14:paraId="4FDB476C" w14:textId="77777777" w:rsidR="00E7168B" w:rsidRPr="00D618B7" w:rsidRDefault="00E7168B" w:rsidP="004B11B7">
            <w:pPr>
              <w:jc w:val="right"/>
              <w:rPr>
                <w:color w:val="000000"/>
                <w:sz w:val="20"/>
                <w:szCs w:val="20"/>
              </w:rPr>
            </w:pPr>
            <w:r w:rsidRPr="00D618B7">
              <w:rPr>
                <w:color w:val="000000"/>
                <w:sz w:val="20"/>
                <w:szCs w:val="20"/>
              </w:rPr>
              <w:t>0.0001</w:t>
            </w:r>
          </w:p>
        </w:tc>
        <w:tc>
          <w:tcPr>
            <w:tcW w:w="1566" w:type="dxa"/>
            <w:tcBorders>
              <w:top w:val="nil"/>
              <w:left w:val="nil"/>
              <w:bottom w:val="nil"/>
              <w:right w:val="nil"/>
            </w:tcBorders>
            <w:shd w:val="clear" w:color="000000" w:fill="FFFFFF"/>
            <w:noWrap/>
            <w:vAlign w:val="center"/>
            <w:hideMark/>
          </w:tcPr>
          <w:p w14:paraId="2A4FE4EF" w14:textId="77777777" w:rsidR="00E7168B" w:rsidRPr="00D618B7" w:rsidRDefault="00E7168B" w:rsidP="004B11B7">
            <w:pPr>
              <w:jc w:val="right"/>
              <w:rPr>
                <w:color w:val="000000"/>
                <w:sz w:val="20"/>
                <w:szCs w:val="20"/>
              </w:rPr>
            </w:pPr>
            <w:r w:rsidRPr="00D618B7">
              <w:rPr>
                <w:color w:val="000000"/>
                <w:sz w:val="20"/>
                <w:szCs w:val="20"/>
              </w:rPr>
              <w:t>0.0002</w:t>
            </w:r>
          </w:p>
        </w:tc>
        <w:tc>
          <w:tcPr>
            <w:tcW w:w="1090" w:type="dxa"/>
            <w:tcBorders>
              <w:top w:val="nil"/>
              <w:left w:val="nil"/>
              <w:bottom w:val="nil"/>
              <w:right w:val="nil"/>
            </w:tcBorders>
            <w:shd w:val="clear" w:color="000000" w:fill="FFFFFF"/>
            <w:noWrap/>
            <w:vAlign w:val="center"/>
            <w:hideMark/>
          </w:tcPr>
          <w:p w14:paraId="560E717A"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03242832" w14:textId="77777777" w:rsidR="00E7168B" w:rsidRPr="00D618B7" w:rsidRDefault="00E7168B" w:rsidP="004B11B7">
            <w:pPr>
              <w:jc w:val="right"/>
              <w:rPr>
                <w:color w:val="000000"/>
                <w:sz w:val="20"/>
                <w:szCs w:val="20"/>
              </w:rPr>
            </w:pPr>
            <w:r w:rsidRPr="00D618B7">
              <w:rPr>
                <w:color w:val="000000"/>
                <w:sz w:val="20"/>
                <w:szCs w:val="20"/>
              </w:rPr>
              <w:t>0.0201</w:t>
            </w:r>
          </w:p>
        </w:tc>
        <w:tc>
          <w:tcPr>
            <w:tcW w:w="1128" w:type="dxa"/>
            <w:tcBorders>
              <w:top w:val="nil"/>
              <w:left w:val="nil"/>
              <w:bottom w:val="nil"/>
              <w:right w:val="nil"/>
            </w:tcBorders>
            <w:shd w:val="clear" w:color="000000" w:fill="FFFFFF"/>
            <w:noWrap/>
            <w:vAlign w:val="center"/>
            <w:hideMark/>
          </w:tcPr>
          <w:p w14:paraId="1D26B599" w14:textId="77777777" w:rsidR="00E7168B" w:rsidRPr="00D618B7" w:rsidRDefault="00E7168B" w:rsidP="004B11B7">
            <w:pPr>
              <w:jc w:val="right"/>
              <w:rPr>
                <w:color w:val="000000"/>
                <w:sz w:val="20"/>
                <w:szCs w:val="20"/>
              </w:rPr>
            </w:pPr>
            <w:r w:rsidRPr="00D618B7">
              <w:rPr>
                <w:color w:val="000000"/>
                <w:sz w:val="20"/>
                <w:szCs w:val="20"/>
              </w:rPr>
              <w:t>0.0114</w:t>
            </w:r>
          </w:p>
        </w:tc>
      </w:tr>
      <w:tr w:rsidR="00E7168B" w:rsidRPr="00D618B7" w14:paraId="0AE517C9" w14:textId="77777777" w:rsidTr="00E7168B">
        <w:trPr>
          <w:trHeight w:val="269"/>
        </w:trPr>
        <w:tc>
          <w:tcPr>
            <w:tcW w:w="1343" w:type="dxa"/>
            <w:tcBorders>
              <w:top w:val="nil"/>
              <w:left w:val="nil"/>
              <w:bottom w:val="nil"/>
              <w:right w:val="nil"/>
            </w:tcBorders>
            <w:shd w:val="clear" w:color="000000" w:fill="FFFFFF"/>
            <w:vAlign w:val="center"/>
            <w:hideMark/>
          </w:tcPr>
          <w:p w14:paraId="42CC238C" w14:textId="77777777" w:rsidR="00E7168B" w:rsidRPr="00D618B7" w:rsidRDefault="00E7168B" w:rsidP="004B11B7">
            <w:pPr>
              <w:jc w:val="right"/>
              <w:rPr>
                <w:color w:val="000000"/>
                <w:sz w:val="20"/>
                <w:szCs w:val="20"/>
              </w:rPr>
            </w:pPr>
            <w:r w:rsidRPr="00D618B7">
              <w:rPr>
                <w:color w:val="000000"/>
                <w:sz w:val="20"/>
                <w:szCs w:val="20"/>
              </w:rPr>
              <w:t>0</w:t>
            </w:r>
          </w:p>
        </w:tc>
        <w:tc>
          <w:tcPr>
            <w:tcW w:w="1036" w:type="dxa"/>
            <w:tcBorders>
              <w:top w:val="nil"/>
              <w:left w:val="nil"/>
              <w:bottom w:val="nil"/>
              <w:right w:val="nil"/>
            </w:tcBorders>
            <w:shd w:val="clear" w:color="000000" w:fill="FFFFFF"/>
            <w:noWrap/>
            <w:vAlign w:val="center"/>
            <w:hideMark/>
          </w:tcPr>
          <w:p w14:paraId="2C7C894D" w14:textId="77777777" w:rsidR="00E7168B" w:rsidRPr="00D618B7" w:rsidRDefault="00E7168B" w:rsidP="004B11B7">
            <w:pPr>
              <w:jc w:val="right"/>
              <w:rPr>
                <w:color w:val="000000"/>
                <w:sz w:val="20"/>
                <w:szCs w:val="20"/>
              </w:rPr>
            </w:pPr>
            <w:r w:rsidRPr="00D618B7">
              <w:rPr>
                <w:color w:val="000000"/>
                <w:sz w:val="20"/>
                <w:szCs w:val="20"/>
              </w:rPr>
              <w:t>0.0033</w:t>
            </w:r>
          </w:p>
        </w:tc>
        <w:tc>
          <w:tcPr>
            <w:tcW w:w="1101" w:type="dxa"/>
            <w:tcBorders>
              <w:top w:val="nil"/>
              <w:left w:val="nil"/>
              <w:bottom w:val="nil"/>
              <w:right w:val="nil"/>
            </w:tcBorders>
            <w:shd w:val="clear" w:color="000000" w:fill="FFFFFF"/>
            <w:noWrap/>
            <w:vAlign w:val="center"/>
            <w:hideMark/>
          </w:tcPr>
          <w:p w14:paraId="40AC27D7" w14:textId="77777777" w:rsidR="00E7168B" w:rsidRPr="00D618B7" w:rsidRDefault="00E7168B" w:rsidP="004B11B7">
            <w:pPr>
              <w:jc w:val="right"/>
              <w:rPr>
                <w:color w:val="000000"/>
                <w:sz w:val="20"/>
                <w:szCs w:val="20"/>
              </w:rPr>
            </w:pPr>
            <w:r w:rsidRPr="00D618B7">
              <w:rPr>
                <w:color w:val="000000"/>
                <w:sz w:val="20"/>
                <w:szCs w:val="20"/>
              </w:rPr>
              <w:t>0.0024</w:t>
            </w:r>
          </w:p>
        </w:tc>
        <w:tc>
          <w:tcPr>
            <w:tcW w:w="1566" w:type="dxa"/>
            <w:tcBorders>
              <w:top w:val="nil"/>
              <w:left w:val="nil"/>
              <w:bottom w:val="nil"/>
              <w:right w:val="nil"/>
            </w:tcBorders>
            <w:shd w:val="clear" w:color="000000" w:fill="FFFFFF"/>
            <w:noWrap/>
            <w:vAlign w:val="center"/>
            <w:hideMark/>
          </w:tcPr>
          <w:p w14:paraId="278126EB" w14:textId="77777777" w:rsidR="00E7168B" w:rsidRPr="00D618B7" w:rsidRDefault="00E7168B" w:rsidP="004B11B7">
            <w:pPr>
              <w:jc w:val="right"/>
              <w:rPr>
                <w:color w:val="000000"/>
                <w:sz w:val="20"/>
                <w:szCs w:val="20"/>
              </w:rPr>
            </w:pPr>
            <w:r w:rsidRPr="00D618B7">
              <w:rPr>
                <w:color w:val="000000"/>
                <w:sz w:val="20"/>
                <w:szCs w:val="20"/>
              </w:rPr>
              <w:t>0.0018</w:t>
            </w:r>
          </w:p>
        </w:tc>
        <w:tc>
          <w:tcPr>
            <w:tcW w:w="1090" w:type="dxa"/>
            <w:tcBorders>
              <w:top w:val="nil"/>
              <w:left w:val="nil"/>
              <w:bottom w:val="nil"/>
              <w:right w:val="nil"/>
            </w:tcBorders>
            <w:shd w:val="clear" w:color="000000" w:fill="FFFFFF"/>
            <w:noWrap/>
            <w:vAlign w:val="center"/>
            <w:hideMark/>
          </w:tcPr>
          <w:p w14:paraId="20BEC79C" w14:textId="77777777" w:rsidR="00E7168B" w:rsidRPr="00D618B7" w:rsidRDefault="00E7168B" w:rsidP="004B11B7">
            <w:pPr>
              <w:jc w:val="right"/>
              <w:rPr>
                <w:color w:val="000000"/>
                <w:sz w:val="20"/>
                <w:szCs w:val="20"/>
              </w:rPr>
            </w:pPr>
            <w:r w:rsidRPr="00D618B7">
              <w:rPr>
                <w:color w:val="000000"/>
                <w:sz w:val="20"/>
                <w:szCs w:val="20"/>
              </w:rPr>
              <w:t>0.0016</w:t>
            </w:r>
          </w:p>
        </w:tc>
        <w:tc>
          <w:tcPr>
            <w:tcW w:w="1621" w:type="dxa"/>
            <w:tcBorders>
              <w:top w:val="nil"/>
              <w:left w:val="nil"/>
              <w:bottom w:val="nil"/>
              <w:right w:val="nil"/>
            </w:tcBorders>
            <w:shd w:val="clear" w:color="000000" w:fill="FFFFFF"/>
            <w:noWrap/>
            <w:vAlign w:val="center"/>
            <w:hideMark/>
          </w:tcPr>
          <w:p w14:paraId="51FC7507" w14:textId="77777777" w:rsidR="00E7168B" w:rsidRPr="00D618B7" w:rsidRDefault="00E7168B" w:rsidP="004B11B7">
            <w:pPr>
              <w:jc w:val="right"/>
              <w:rPr>
                <w:color w:val="000000"/>
                <w:sz w:val="20"/>
                <w:szCs w:val="20"/>
              </w:rPr>
            </w:pPr>
            <w:r w:rsidRPr="00D618B7">
              <w:rPr>
                <w:color w:val="000000"/>
                <w:sz w:val="20"/>
                <w:szCs w:val="20"/>
              </w:rPr>
              <w:t>0.0135</w:t>
            </w:r>
          </w:p>
        </w:tc>
        <w:tc>
          <w:tcPr>
            <w:tcW w:w="1128" w:type="dxa"/>
            <w:tcBorders>
              <w:top w:val="nil"/>
              <w:left w:val="nil"/>
              <w:bottom w:val="nil"/>
              <w:right w:val="nil"/>
            </w:tcBorders>
            <w:shd w:val="clear" w:color="000000" w:fill="FFFFFF"/>
            <w:noWrap/>
            <w:vAlign w:val="center"/>
            <w:hideMark/>
          </w:tcPr>
          <w:p w14:paraId="5D2260B6" w14:textId="77777777" w:rsidR="00E7168B" w:rsidRPr="00D618B7" w:rsidRDefault="00E7168B" w:rsidP="004B11B7">
            <w:pPr>
              <w:jc w:val="right"/>
              <w:rPr>
                <w:color w:val="000000"/>
                <w:sz w:val="20"/>
                <w:szCs w:val="20"/>
              </w:rPr>
            </w:pPr>
            <w:r w:rsidRPr="00D618B7">
              <w:rPr>
                <w:color w:val="000000"/>
                <w:sz w:val="20"/>
                <w:szCs w:val="20"/>
              </w:rPr>
              <w:t>0.0073</w:t>
            </w:r>
          </w:p>
        </w:tc>
      </w:tr>
      <w:tr w:rsidR="00E7168B" w:rsidRPr="00D618B7" w14:paraId="1F68543A" w14:textId="77777777" w:rsidTr="00E7168B">
        <w:trPr>
          <w:trHeight w:val="269"/>
        </w:trPr>
        <w:tc>
          <w:tcPr>
            <w:tcW w:w="1343" w:type="dxa"/>
            <w:tcBorders>
              <w:top w:val="nil"/>
              <w:left w:val="nil"/>
              <w:bottom w:val="nil"/>
              <w:right w:val="nil"/>
            </w:tcBorders>
            <w:shd w:val="clear" w:color="000000" w:fill="FFFFFF"/>
            <w:vAlign w:val="center"/>
            <w:hideMark/>
          </w:tcPr>
          <w:p w14:paraId="11CE428E" w14:textId="77777777" w:rsidR="00E7168B" w:rsidRPr="00D618B7" w:rsidRDefault="00E7168B" w:rsidP="004B11B7">
            <w:pPr>
              <w:jc w:val="right"/>
              <w:rPr>
                <w:color w:val="000000"/>
                <w:sz w:val="20"/>
                <w:szCs w:val="20"/>
              </w:rPr>
            </w:pPr>
            <w:r w:rsidRPr="00D618B7">
              <w:rPr>
                <w:color w:val="000000"/>
                <w:sz w:val="20"/>
                <w:szCs w:val="20"/>
              </w:rPr>
              <w:t>1</w:t>
            </w:r>
          </w:p>
        </w:tc>
        <w:tc>
          <w:tcPr>
            <w:tcW w:w="1036" w:type="dxa"/>
            <w:tcBorders>
              <w:top w:val="nil"/>
              <w:left w:val="nil"/>
              <w:bottom w:val="nil"/>
              <w:right w:val="nil"/>
            </w:tcBorders>
            <w:shd w:val="clear" w:color="000000" w:fill="FFFFFF"/>
            <w:noWrap/>
            <w:vAlign w:val="center"/>
            <w:hideMark/>
          </w:tcPr>
          <w:p w14:paraId="30DBEE78" w14:textId="77777777" w:rsidR="00E7168B" w:rsidRPr="00D618B7" w:rsidRDefault="00E7168B" w:rsidP="004B11B7">
            <w:pPr>
              <w:jc w:val="right"/>
              <w:rPr>
                <w:color w:val="000000"/>
                <w:sz w:val="20"/>
                <w:szCs w:val="20"/>
              </w:rPr>
            </w:pPr>
            <w:r w:rsidRPr="00D618B7">
              <w:rPr>
                <w:color w:val="000000"/>
                <w:sz w:val="20"/>
                <w:szCs w:val="20"/>
              </w:rPr>
              <w:t>0.0000</w:t>
            </w:r>
          </w:p>
        </w:tc>
        <w:tc>
          <w:tcPr>
            <w:tcW w:w="1101" w:type="dxa"/>
            <w:tcBorders>
              <w:top w:val="nil"/>
              <w:left w:val="nil"/>
              <w:bottom w:val="nil"/>
              <w:right w:val="nil"/>
            </w:tcBorders>
            <w:shd w:val="clear" w:color="000000" w:fill="FFFFFF"/>
            <w:noWrap/>
            <w:vAlign w:val="center"/>
            <w:hideMark/>
          </w:tcPr>
          <w:p w14:paraId="005843DF" w14:textId="77777777" w:rsidR="00E7168B" w:rsidRPr="00D618B7" w:rsidRDefault="00E7168B" w:rsidP="004B11B7">
            <w:pPr>
              <w:jc w:val="right"/>
              <w:rPr>
                <w:color w:val="000000"/>
                <w:sz w:val="20"/>
                <w:szCs w:val="20"/>
              </w:rPr>
            </w:pPr>
            <w:r w:rsidRPr="00D618B7">
              <w:rPr>
                <w:color w:val="000000"/>
                <w:sz w:val="20"/>
                <w:szCs w:val="20"/>
              </w:rPr>
              <w:t>0.0003</w:t>
            </w:r>
          </w:p>
        </w:tc>
        <w:tc>
          <w:tcPr>
            <w:tcW w:w="1566" w:type="dxa"/>
            <w:tcBorders>
              <w:top w:val="nil"/>
              <w:left w:val="nil"/>
              <w:bottom w:val="nil"/>
              <w:right w:val="nil"/>
            </w:tcBorders>
            <w:shd w:val="clear" w:color="000000" w:fill="FFFFFF"/>
            <w:noWrap/>
            <w:vAlign w:val="center"/>
            <w:hideMark/>
          </w:tcPr>
          <w:p w14:paraId="5530600F" w14:textId="77777777" w:rsidR="00E7168B" w:rsidRPr="00D618B7" w:rsidRDefault="00E7168B" w:rsidP="004B11B7">
            <w:pPr>
              <w:jc w:val="right"/>
              <w:rPr>
                <w:color w:val="000000"/>
                <w:sz w:val="20"/>
                <w:szCs w:val="20"/>
              </w:rPr>
            </w:pPr>
            <w:r w:rsidRPr="00D618B7">
              <w:rPr>
                <w:color w:val="000000"/>
                <w:sz w:val="20"/>
                <w:szCs w:val="20"/>
              </w:rPr>
              <w:t>0.0002</w:t>
            </w:r>
          </w:p>
        </w:tc>
        <w:tc>
          <w:tcPr>
            <w:tcW w:w="1090" w:type="dxa"/>
            <w:tcBorders>
              <w:top w:val="nil"/>
              <w:left w:val="nil"/>
              <w:bottom w:val="nil"/>
              <w:right w:val="nil"/>
            </w:tcBorders>
            <w:shd w:val="clear" w:color="000000" w:fill="FFFFFF"/>
            <w:noWrap/>
            <w:vAlign w:val="center"/>
            <w:hideMark/>
          </w:tcPr>
          <w:p w14:paraId="3BE1F312" w14:textId="77777777" w:rsidR="00E7168B" w:rsidRPr="00D618B7" w:rsidRDefault="00E7168B" w:rsidP="004B11B7">
            <w:pPr>
              <w:jc w:val="right"/>
              <w:rPr>
                <w:color w:val="000000"/>
                <w:sz w:val="20"/>
                <w:szCs w:val="20"/>
              </w:rPr>
            </w:pPr>
            <w:r w:rsidRPr="00D618B7">
              <w:rPr>
                <w:color w:val="000000"/>
                <w:sz w:val="20"/>
                <w:szCs w:val="20"/>
              </w:rPr>
              <w:t>0.0004</w:t>
            </w:r>
          </w:p>
        </w:tc>
        <w:tc>
          <w:tcPr>
            <w:tcW w:w="1621" w:type="dxa"/>
            <w:tcBorders>
              <w:top w:val="nil"/>
              <w:left w:val="nil"/>
              <w:bottom w:val="nil"/>
              <w:right w:val="nil"/>
            </w:tcBorders>
            <w:shd w:val="clear" w:color="000000" w:fill="FFFFFF"/>
            <w:noWrap/>
            <w:vAlign w:val="center"/>
            <w:hideMark/>
          </w:tcPr>
          <w:p w14:paraId="6636D6AC" w14:textId="77777777" w:rsidR="00E7168B" w:rsidRPr="00D618B7" w:rsidRDefault="00E7168B" w:rsidP="004B11B7">
            <w:pPr>
              <w:jc w:val="right"/>
              <w:rPr>
                <w:color w:val="000000"/>
                <w:sz w:val="20"/>
                <w:szCs w:val="20"/>
              </w:rPr>
            </w:pPr>
            <w:r w:rsidRPr="00D618B7">
              <w:rPr>
                <w:color w:val="000000"/>
                <w:sz w:val="20"/>
                <w:szCs w:val="20"/>
              </w:rPr>
              <w:t>0.0203</w:t>
            </w:r>
          </w:p>
        </w:tc>
        <w:tc>
          <w:tcPr>
            <w:tcW w:w="1128" w:type="dxa"/>
            <w:tcBorders>
              <w:top w:val="nil"/>
              <w:left w:val="nil"/>
              <w:bottom w:val="nil"/>
              <w:right w:val="nil"/>
            </w:tcBorders>
            <w:shd w:val="clear" w:color="000000" w:fill="FFFFFF"/>
            <w:noWrap/>
            <w:vAlign w:val="center"/>
            <w:hideMark/>
          </w:tcPr>
          <w:p w14:paraId="60D67C38" w14:textId="77777777" w:rsidR="00E7168B" w:rsidRPr="00D618B7" w:rsidRDefault="00E7168B" w:rsidP="004B11B7">
            <w:pPr>
              <w:jc w:val="right"/>
              <w:rPr>
                <w:color w:val="000000"/>
                <w:sz w:val="20"/>
                <w:szCs w:val="20"/>
              </w:rPr>
            </w:pPr>
            <w:r w:rsidRPr="00D618B7">
              <w:rPr>
                <w:color w:val="000000"/>
                <w:sz w:val="20"/>
                <w:szCs w:val="20"/>
              </w:rPr>
              <w:t>0.0103</w:t>
            </w:r>
          </w:p>
        </w:tc>
      </w:tr>
      <w:tr w:rsidR="00E7168B" w:rsidRPr="00D618B7" w14:paraId="5784A5CF" w14:textId="77777777" w:rsidTr="00E7168B">
        <w:trPr>
          <w:trHeight w:val="269"/>
        </w:trPr>
        <w:tc>
          <w:tcPr>
            <w:tcW w:w="1343" w:type="dxa"/>
            <w:tcBorders>
              <w:top w:val="nil"/>
              <w:left w:val="nil"/>
              <w:bottom w:val="nil"/>
              <w:right w:val="nil"/>
            </w:tcBorders>
            <w:shd w:val="clear" w:color="000000" w:fill="FFFFFF"/>
            <w:vAlign w:val="center"/>
            <w:hideMark/>
          </w:tcPr>
          <w:p w14:paraId="0073ED6C" w14:textId="77777777" w:rsidR="00E7168B" w:rsidRPr="00D618B7" w:rsidRDefault="00E7168B" w:rsidP="004B11B7">
            <w:pPr>
              <w:jc w:val="right"/>
              <w:rPr>
                <w:color w:val="000000"/>
                <w:sz w:val="20"/>
                <w:szCs w:val="20"/>
              </w:rPr>
            </w:pPr>
            <w:r w:rsidRPr="00D618B7">
              <w:rPr>
                <w:color w:val="000000"/>
                <w:sz w:val="20"/>
                <w:szCs w:val="20"/>
              </w:rPr>
              <w:t>2</w:t>
            </w:r>
          </w:p>
        </w:tc>
        <w:tc>
          <w:tcPr>
            <w:tcW w:w="1036" w:type="dxa"/>
            <w:tcBorders>
              <w:top w:val="nil"/>
              <w:left w:val="nil"/>
              <w:bottom w:val="nil"/>
              <w:right w:val="nil"/>
            </w:tcBorders>
            <w:shd w:val="clear" w:color="000000" w:fill="FFFFFF"/>
            <w:noWrap/>
            <w:vAlign w:val="center"/>
            <w:hideMark/>
          </w:tcPr>
          <w:p w14:paraId="7A67EC1F" w14:textId="77777777" w:rsidR="00E7168B" w:rsidRPr="00D618B7" w:rsidRDefault="00E7168B" w:rsidP="004B11B7">
            <w:pPr>
              <w:jc w:val="right"/>
              <w:rPr>
                <w:color w:val="000000"/>
                <w:sz w:val="20"/>
                <w:szCs w:val="20"/>
              </w:rPr>
            </w:pPr>
            <w:r w:rsidRPr="00D618B7">
              <w:rPr>
                <w:color w:val="000000"/>
                <w:sz w:val="20"/>
                <w:szCs w:val="20"/>
              </w:rPr>
              <w:t>0.0045</w:t>
            </w:r>
          </w:p>
        </w:tc>
        <w:tc>
          <w:tcPr>
            <w:tcW w:w="1101" w:type="dxa"/>
            <w:tcBorders>
              <w:top w:val="nil"/>
              <w:left w:val="nil"/>
              <w:bottom w:val="nil"/>
              <w:right w:val="nil"/>
            </w:tcBorders>
            <w:shd w:val="clear" w:color="000000" w:fill="FFFFFF"/>
            <w:noWrap/>
            <w:vAlign w:val="center"/>
            <w:hideMark/>
          </w:tcPr>
          <w:p w14:paraId="7FDA61B0" w14:textId="77777777" w:rsidR="00E7168B" w:rsidRPr="00D618B7" w:rsidRDefault="00E7168B" w:rsidP="004B11B7">
            <w:pPr>
              <w:jc w:val="right"/>
              <w:rPr>
                <w:color w:val="000000"/>
                <w:sz w:val="20"/>
                <w:szCs w:val="20"/>
              </w:rPr>
            </w:pPr>
            <w:r w:rsidRPr="00D618B7">
              <w:rPr>
                <w:color w:val="000000"/>
                <w:sz w:val="20"/>
                <w:szCs w:val="20"/>
              </w:rPr>
              <w:t>0.0008</w:t>
            </w:r>
          </w:p>
        </w:tc>
        <w:tc>
          <w:tcPr>
            <w:tcW w:w="1566" w:type="dxa"/>
            <w:tcBorders>
              <w:top w:val="nil"/>
              <w:left w:val="nil"/>
              <w:bottom w:val="nil"/>
              <w:right w:val="nil"/>
            </w:tcBorders>
            <w:shd w:val="clear" w:color="000000" w:fill="FFFFFF"/>
            <w:noWrap/>
            <w:vAlign w:val="center"/>
            <w:hideMark/>
          </w:tcPr>
          <w:p w14:paraId="77E28F0D" w14:textId="77777777" w:rsidR="00E7168B" w:rsidRPr="00D618B7" w:rsidRDefault="00E7168B" w:rsidP="004B11B7">
            <w:pPr>
              <w:jc w:val="right"/>
              <w:rPr>
                <w:color w:val="000000"/>
                <w:sz w:val="20"/>
                <w:szCs w:val="20"/>
              </w:rPr>
            </w:pPr>
            <w:r w:rsidRPr="00D618B7">
              <w:rPr>
                <w:color w:val="000000"/>
                <w:sz w:val="20"/>
                <w:szCs w:val="20"/>
              </w:rPr>
              <w:t>0.0002</w:t>
            </w:r>
          </w:p>
        </w:tc>
        <w:tc>
          <w:tcPr>
            <w:tcW w:w="1090" w:type="dxa"/>
            <w:tcBorders>
              <w:top w:val="nil"/>
              <w:left w:val="nil"/>
              <w:bottom w:val="nil"/>
              <w:right w:val="nil"/>
            </w:tcBorders>
            <w:shd w:val="clear" w:color="000000" w:fill="FFFFFF"/>
            <w:noWrap/>
            <w:vAlign w:val="center"/>
            <w:hideMark/>
          </w:tcPr>
          <w:p w14:paraId="4996D823" w14:textId="77777777" w:rsidR="00E7168B" w:rsidRPr="00D618B7" w:rsidRDefault="00E7168B" w:rsidP="004B11B7">
            <w:pPr>
              <w:jc w:val="right"/>
              <w:rPr>
                <w:color w:val="000000"/>
                <w:sz w:val="20"/>
                <w:szCs w:val="20"/>
              </w:rPr>
            </w:pPr>
            <w:r w:rsidRPr="00D618B7">
              <w:rPr>
                <w:color w:val="000000"/>
                <w:sz w:val="20"/>
                <w:szCs w:val="20"/>
              </w:rPr>
              <w:t>0.0004</w:t>
            </w:r>
          </w:p>
        </w:tc>
        <w:tc>
          <w:tcPr>
            <w:tcW w:w="1621" w:type="dxa"/>
            <w:tcBorders>
              <w:top w:val="nil"/>
              <w:left w:val="nil"/>
              <w:bottom w:val="nil"/>
              <w:right w:val="nil"/>
            </w:tcBorders>
            <w:shd w:val="clear" w:color="000000" w:fill="FFFFFF"/>
            <w:noWrap/>
            <w:vAlign w:val="center"/>
            <w:hideMark/>
          </w:tcPr>
          <w:p w14:paraId="3AEE9EA4" w14:textId="77777777" w:rsidR="00E7168B" w:rsidRPr="00D618B7" w:rsidRDefault="00E7168B" w:rsidP="004B11B7">
            <w:pPr>
              <w:jc w:val="right"/>
              <w:rPr>
                <w:color w:val="000000"/>
                <w:sz w:val="20"/>
                <w:szCs w:val="20"/>
              </w:rPr>
            </w:pPr>
            <w:r w:rsidRPr="00D618B7">
              <w:rPr>
                <w:color w:val="000000"/>
                <w:sz w:val="20"/>
                <w:szCs w:val="20"/>
              </w:rPr>
              <w:t>0.0467</w:t>
            </w:r>
          </w:p>
        </w:tc>
        <w:tc>
          <w:tcPr>
            <w:tcW w:w="1128" w:type="dxa"/>
            <w:tcBorders>
              <w:top w:val="nil"/>
              <w:left w:val="nil"/>
              <w:bottom w:val="nil"/>
              <w:right w:val="nil"/>
            </w:tcBorders>
            <w:shd w:val="clear" w:color="000000" w:fill="FFFFFF"/>
            <w:noWrap/>
            <w:vAlign w:val="center"/>
            <w:hideMark/>
          </w:tcPr>
          <w:p w14:paraId="6F48D0F1" w14:textId="77777777" w:rsidR="00E7168B" w:rsidRPr="00D618B7" w:rsidRDefault="00E7168B" w:rsidP="004B11B7">
            <w:pPr>
              <w:jc w:val="right"/>
              <w:rPr>
                <w:color w:val="000000"/>
                <w:sz w:val="20"/>
                <w:szCs w:val="20"/>
              </w:rPr>
            </w:pPr>
            <w:r w:rsidRPr="00D618B7">
              <w:rPr>
                <w:color w:val="000000"/>
                <w:sz w:val="20"/>
                <w:szCs w:val="20"/>
              </w:rPr>
              <w:t>0.0108</w:t>
            </w:r>
          </w:p>
        </w:tc>
      </w:tr>
      <w:tr w:rsidR="00E7168B" w:rsidRPr="00D618B7" w14:paraId="5511B2EB" w14:textId="77777777" w:rsidTr="00E7168B">
        <w:trPr>
          <w:trHeight w:val="269"/>
        </w:trPr>
        <w:tc>
          <w:tcPr>
            <w:tcW w:w="1343" w:type="dxa"/>
            <w:tcBorders>
              <w:top w:val="nil"/>
              <w:left w:val="nil"/>
              <w:bottom w:val="nil"/>
              <w:right w:val="nil"/>
            </w:tcBorders>
            <w:shd w:val="clear" w:color="000000" w:fill="FFFFFF"/>
            <w:vAlign w:val="center"/>
            <w:hideMark/>
          </w:tcPr>
          <w:p w14:paraId="16D9E492" w14:textId="77777777" w:rsidR="00E7168B" w:rsidRPr="00D618B7" w:rsidRDefault="00E7168B" w:rsidP="004B11B7">
            <w:pPr>
              <w:jc w:val="right"/>
              <w:rPr>
                <w:color w:val="000000"/>
                <w:sz w:val="20"/>
                <w:szCs w:val="20"/>
              </w:rPr>
            </w:pPr>
            <w:r w:rsidRPr="00D618B7">
              <w:rPr>
                <w:color w:val="000000"/>
                <w:sz w:val="20"/>
                <w:szCs w:val="20"/>
              </w:rPr>
              <w:t>3</w:t>
            </w:r>
          </w:p>
        </w:tc>
        <w:tc>
          <w:tcPr>
            <w:tcW w:w="1036" w:type="dxa"/>
            <w:tcBorders>
              <w:top w:val="nil"/>
              <w:left w:val="nil"/>
              <w:bottom w:val="nil"/>
              <w:right w:val="nil"/>
            </w:tcBorders>
            <w:shd w:val="clear" w:color="000000" w:fill="FFFFFF"/>
            <w:noWrap/>
            <w:vAlign w:val="center"/>
            <w:hideMark/>
          </w:tcPr>
          <w:p w14:paraId="40227DDF" w14:textId="77777777" w:rsidR="00E7168B" w:rsidRPr="00D618B7" w:rsidRDefault="00E7168B" w:rsidP="004B11B7">
            <w:pPr>
              <w:jc w:val="right"/>
              <w:rPr>
                <w:color w:val="000000"/>
                <w:sz w:val="20"/>
                <w:szCs w:val="20"/>
              </w:rPr>
            </w:pPr>
            <w:r w:rsidRPr="00D618B7">
              <w:rPr>
                <w:color w:val="000000"/>
                <w:sz w:val="20"/>
                <w:szCs w:val="20"/>
              </w:rPr>
              <w:t>0.0018</w:t>
            </w:r>
          </w:p>
        </w:tc>
        <w:tc>
          <w:tcPr>
            <w:tcW w:w="1101" w:type="dxa"/>
            <w:tcBorders>
              <w:top w:val="nil"/>
              <w:left w:val="nil"/>
              <w:bottom w:val="nil"/>
              <w:right w:val="nil"/>
            </w:tcBorders>
            <w:shd w:val="clear" w:color="000000" w:fill="FFFFFF"/>
            <w:noWrap/>
            <w:vAlign w:val="center"/>
            <w:hideMark/>
          </w:tcPr>
          <w:p w14:paraId="06439CC5" w14:textId="77777777" w:rsidR="00E7168B" w:rsidRPr="00D618B7" w:rsidRDefault="00E7168B" w:rsidP="004B11B7">
            <w:pPr>
              <w:jc w:val="right"/>
              <w:rPr>
                <w:color w:val="000000"/>
                <w:sz w:val="20"/>
                <w:szCs w:val="20"/>
              </w:rPr>
            </w:pPr>
            <w:r w:rsidRPr="00D618B7">
              <w:rPr>
                <w:color w:val="000000"/>
                <w:sz w:val="20"/>
                <w:szCs w:val="20"/>
              </w:rPr>
              <w:t>0.0017</w:t>
            </w:r>
          </w:p>
        </w:tc>
        <w:tc>
          <w:tcPr>
            <w:tcW w:w="1566" w:type="dxa"/>
            <w:tcBorders>
              <w:top w:val="nil"/>
              <w:left w:val="nil"/>
              <w:bottom w:val="nil"/>
              <w:right w:val="nil"/>
            </w:tcBorders>
            <w:shd w:val="clear" w:color="000000" w:fill="FFFFFF"/>
            <w:noWrap/>
            <w:vAlign w:val="center"/>
            <w:hideMark/>
          </w:tcPr>
          <w:p w14:paraId="6AE1F35A" w14:textId="77777777" w:rsidR="00E7168B" w:rsidRPr="00D618B7" w:rsidRDefault="00E7168B" w:rsidP="004B11B7">
            <w:pPr>
              <w:jc w:val="right"/>
              <w:rPr>
                <w:color w:val="000000"/>
                <w:sz w:val="20"/>
                <w:szCs w:val="20"/>
              </w:rPr>
            </w:pPr>
            <w:r w:rsidRPr="00D618B7">
              <w:rPr>
                <w:color w:val="000000"/>
                <w:sz w:val="20"/>
                <w:szCs w:val="20"/>
              </w:rPr>
              <w:t>0.0047</w:t>
            </w:r>
          </w:p>
        </w:tc>
        <w:tc>
          <w:tcPr>
            <w:tcW w:w="1090" w:type="dxa"/>
            <w:tcBorders>
              <w:top w:val="nil"/>
              <w:left w:val="nil"/>
              <w:bottom w:val="nil"/>
              <w:right w:val="nil"/>
            </w:tcBorders>
            <w:shd w:val="clear" w:color="000000" w:fill="FFFFFF"/>
            <w:noWrap/>
            <w:vAlign w:val="center"/>
            <w:hideMark/>
          </w:tcPr>
          <w:p w14:paraId="7941AFF7" w14:textId="77777777" w:rsidR="00E7168B" w:rsidRPr="00D618B7" w:rsidRDefault="00E7168B" w:rsidP="004B11B7">
            <w:pPr>
              <w:jc w:val="right"/>
              <w:rPr>
                <w:color w:val="000000"/>
                <w:sz w:val="20"/>
                <w:szCs w:val="20"/>
              </w:rPr>
            </w:pPr>
            <w:r w:rsidRPr="00D618B7">
              <w:rPr>
                <w:color w:val="000000"/>
                <w:sz w:val="20"/>
                <w:szCs w:val="20"/>
              </w:rPr>
              <w:t>0.0035</w:t>
            </w:r>
          </w:p>
        </w:tc>
        <w:tc>
          <w:tcPr>
            <w:tcW w:w="1621" w:type="dxa"/>
            <w:tcBorders>
              <w:top w:val="nil"/>
              <w:left w:val="nil"/>
              <w:bottom w:val="nil"/>
              <w:right w:val="nil"/>
            </w:tcBorders>
            <w:shd w:val="clear" w:color="000000" w:fill="FFFFFF"/>
            <w:noWrap/>
            <w:vAlign w:val="center"/>
            <w:hideMark/>
          </w:tcPr>
          <w:p w14:paraId="680882B3" w14:textId="77777777" w:rsidR="00E7168B" w:rsidRPr="00D618B7" w:rsidRDefault="00E7168B" w:rsidP="004B11B7">
            <w:pPr>
              <w:jc w:val="right"/>
              <w:rPr>
                <w:color w:val="000000"/>
                <w:sz w:val="20"/>
                <w:szCs w:val="20"/>
              </w:rPr>
            </w:pPr>
            <w:r w:rsidRPr="00D618B7">
              <w:rPr>
                <w:color w:val="000000"/>
                <w:sz w:val="20"/>
                <w:szCs w:val="20"/>
              </w:rPr>
              <w:t>0.0180</w:t>
            </w:r>
          </w:p>
        </w:tc>
        <w:tc>
          <w:tcPr>
            <w:tcW w:w="1128" w:type="dxa"/>
            <w:tcBorders>
              <w:top w:val="nil"/>
              <w:left w:val="nil"/>
              <w:bottom w:val="nil"/>
              <w:right w:val="nil"/>
            </w:tcBorders>
            <w:shd w:val="clear" w:color="000000" w:fill="FFFFFF"/>
            <w:noWrap/>
            <w:vAlign w:val="center"/>
            <w:hideMark/>
          </w:tcPr>
          <w:p w14:paraId="298B037E" w14:textId="77777777" w:rsidR="00E7168B" w:rsidRPr="00D618B7" w:rsidRDefault="00E7168B" w:rsidP="004B11B7">
            <w:pPr>
              <w:jc w:val="right"/>
              <w:rPr>
                <w:color w:val="000000"/>
                <w:sz w:val="20"/>
                <w:szCs w:val="20"/>
              </w:rPr>
            </w:pPr>
            <w:r w:rsidRPr="00D618B7">
              <w:rPr>
                <w:color w:val="000000"/>
                <w:sz w:val="20"/>
                <w:szCs w:val="20"/>
              </w:rPr>
              <w:t>0.0080</w:t>
            </w:r>
          </w:p>
        </w:tc>
      </w:tr>
      <w:tr w:rsidR="00E7168B" w:rsidRPr="00D618B7" w14:paraId="7209FCAE" w14:textId="77777777" w:rsidTr="00E7168B">
        <w:trPr>
          <w:trHeight w:val="269"/>
        </w:trPr>
        <w:tc>
          <w:tcPr>
            <w:tcW w:w="1343" w:type="dxa"/>
            <w:tcBorders>
              <w:top w:val="nil"/>
              <w:left w:val="nil"/>
              <w:right w:val="nil"/>
            </w:tcBorders>
            <w:shd w:val="clear" w:color="000000" w:fill="FFFFFF"/>
            <w:vAlign w:val="center"/>
            <w:hideMark/>
          </w:tcPr>
          <w:p w14:paraId="2309B96A" w14:textId="77777777" w:rsidR="00E7168B" w:rsidRPr="00D618B7" w:rsidRDefault="00E7168B" w:rsidP="004B11B7">
            <w:pPr>
              <w:jc w:val="right"/>
              <w:rPr>
                <w:color w:val="000000"/>
                <w:sz w:val="20"/>
                <w:szCs w:val="20"/>
              </w:rPr>
            </w:pPr>
            <w:r w:rsidRPr="00D618B7">
              <w:rPr>
                <w:color w:val="000000"/>
                <w:sz w:val="20"/>
                <w:szCs w:val="20"/>
              </w:rPr>
              <w:t>4</w:t>
            </w:r>
          </w:p>
        </w:tc>
        <w:tc>
          <w:tcPr>
            <w:tcW w:w="1036" w:type="dxa"/>
            <w:tcBorders>
              <w:top w:val="nil"/>
              <w:left w:val="nil"/>
              <w:right w:val="nil"/>
            </w:tcBorders>
            <w:shd w:val="clear" w:color="000000" w:fill="FFFFFF"/>
            <w:noWrap/>
            <w:vAlign w:val="center"/>
            <w:hideMark/>
          </w:tcPr>
          <w:p w14:paraId="471ADB65" w14:textId="77777777" w:rsidR="00E7168B" w:rsidRPr="00D618B7" w:rsidRDefault="00E7168B" w:rsidP="004B11B7">
            <w:pPr>
              <w:jc w:val="right"/>
              <w:rPr>
                <w:color w:val="000000"/>
                <w:sz w:val="20"/>
                <w:szCs w:val="20"/>
              </w:rPr>
            </w:pPr>
            <w:r w:rsidRPr="00D618B7">
              <w:rPr>
                <w:color w:val="000000"/>
                <w:sz w:val="20"/>
                <w:szCs w:val="20"/>
              </w:rPr>
              <w:t>0.0030</w:t>
            </w:r>
          </w:p>
        </w:tc>
        <w:tc>
          <w:tcPr>
            <w:tcW w:w="1101" w:type="dxa"/>
            <w:tcBorders>
              <w:top w:val="nil"/>
              <w:left w:val="nil"/>
              <w:right w:val="nil"/>
            </w:tcBorders>
            <w:shd w:val="clear" w:color="000000" w:fill="FFFFFF"/>
            <w:noWrap/>
            <w:vAlign w:val="center"/>
            <w:hideMark/>
          </w:tcPr>
          <w:p w14:paraId="6C5F7AE5" w14:textId="77777777" w:rsidR="00E7168B" w:rsidRPr="00D618B7" w:rsidRDefault="00E7168B" w:rsidP="004B11B7">
            <w:pPr>
              <w:jc w:val="right"/>
              <w:rPr>
                <w:color w:val="000000"/>
                <w:sz w:val="20"/>
                <w:szCs w:val="20"/>
              </w:rPr>
            </w:pPr>
            <w:r w:rsidRPr="00D618B7">
              <w:rPr>
                <w:color w:val="000000"/>
                <w:sz w:val="20"/>
                <w:szCs w:val="20"/>
              </w:rPr>
              <w:t>0.0013</w:t>
            </w:r>
          </w:p>
        </w:tc>
        <w:tc>
          <w:tcPr>
            <w:tcW w:w="1566" w:type="dxa"/>
            <w:tcBorders>
              <w:top w:val="nil"/>
              <w:left w:val="nil"/>
              <w:right w:val="nil"/>
            </w:tcBorders>
            <w:shd w:val="clear" w:color="000000" w:fill="FFFFFF"/>
            <w:noWrap/>
            <w:vAlign w:val="center"/>
            <w:hideMark/>
          </w:tcPr>
          <w:p w14:paraId="25FA8ECA" w14:textId="77777777" w:rsidR="00E7168B" w:rsidRPr="00D618B7" w:rsidRDefault="00E7168B" w:rsidP="004B11B7">
            <w:pPr>
              <w:jc w:val="right"/>
              <w:rPr>
                <w:color w:val="000000"/>
                <w:sz w:val="20"/>
                <w:szCs w:val="20"/>
              </w:rPr>
            </w:pPr>
            <w:r w:rsidRPr="00D618B7">
              <w:rPr>
                <w:color w:val="000000"/>
                <w:sz w:val="20"/>
                <w:szCs w:val="20"/>
              </w:rPr>
              <w:t>0.0016</w:t>
            </w:r>
          </w:p>
        </w:tc>
        <w:tc>
          <w:tcPr>
            <w:tcW w:w="1090" w:type="dxa"/>
            <w:tcBorders>
              <w:top w:val="nil"/>
              <w:left w:val="nil"/>
              <w:right w:val="nil"/>
            </w:tcBorders>
            <w:shd w:val="clear" w:color="000000" w:fill="FFFFFF"/>
            <w:noWrap/>
            <w:vAlign w:val="center"/>
            <w:hideMark/>
          </w:tcPr>
          <w:p w14:paraId="1844AEEE" w14:textId="77777777" w:rsidR="00E7168B" w:rsidRPr="00D618B7" w:rsidRDefault="00E7168B" w:rsidP="004B11B7">
            <w:pPr>
              <w:jc w:val="right"/>
              <w:rPr>
                <w:color w:val="000000"/>
                <w:sz w:val="20"/>
                <w:szCs w:val="20"/>
              </w:rPr>
            </w:pPr>
            <w:r w:rsidRPr="00D618B7">
              <w:rPr>
                <w:color w:val="000000"/>
                <w:sz w:val="20"/>
                <w:szCs w:val="20"/>
              </w:rPr>
              <w:t>0.0016</w:t>
            </w:r>
          </w:p>
        </w:tc>
        <w:tc>
          <w:tcPr>
            <w:tcW w:w="1621" w:type="dxa"/>
            <w:tcBorders>
              <w:top w:val="nil"/>
              <w:left w:val="nil"/>
              <w:right w:val="nil"/>
            </w:tcBorders>
            <w:shd w:val="clear" w:color="000000" w:fill="FFFFFF"/>
            <w:noWrap/>
            <w:vAlign w:val="center"/>
            <w:hideMark/>
          </w:tcPr>
          <w:p w14:paraId="1DF7A83F" w14:textId="77777777" w:rsidR="00E7168B" w:rsidRPr="00D618B7" w:rsidRDefault="00E7168B" w:rsidP="004B11B7">
            <w:pPr>
              <w:jc w:val="right"/>
              <w:rPr>
                <w:color w:val="000000"/>
                <w:sz w:val="20"/>
                <w:szCs w:val="20"/>
              </w:rPr>
            </w:pPr>
            <w:r w:rsidRPr="00D618B7">
              <w:rPr>
                <w:color w:val="000000"/>
                <w:sz w:val="20"/>
                <w:szCs w:val="20"/>
              </w:rPr>
              <w:t>0.0434</w:t>
            </w:r>
          </w:p>
        </w:tc>
        <w:tc>
          <w:tcPr>
            <w:tcW w:w="1128" w:type="dxa"/>
            <w:tcBorders>
              <w:top w:val="nil"/>
              <w:left w:val="nil"/>
              <w:right w:val="nil"/>
            </w:tcBorders>
            <w:shd w:val="clear" w:color="000000" w:fill="FFFFFF"/>
            <w:noWrap/>
            <w:vAlign w:val="center"/>
            <w:hideMark/>
          </w:tcPr>
          <w:p w14:paraId="40FE2CD0" w14:textId="77777777" w:rsidR="00E7168B" w:rsidRPr="00D618B7" w:rsidRDefault="00E7168B" w:rsidP="004B11B7">
            <w:pPr>
              <w:jc w:val="right"/>
              <w:rPr>
                <w:color w:val="000000"/>
                <w:sz w:val="20"/>
                <w:szCs w:val="20"/>
              </w:rPr>
            </w:pPr>
            <w:r w:rsidRPr="00D618B7">
              <w:rPr>
                <w:color w:val="000000"/>
                <w:sz w:val="20"/>
                <w:szCs w:val="20"/>
              </w:rPr>
              <w:t>0.0053</w:t>
            </w:r>
          </w:p>
        </w:tc>
      </w:tr>
      <w:tr w:rsidR="00E7168B" w:rsidRPr="00D618B7" w14:paraId="098BC13F" w14:textId="77777777" w:rsidTr="00E7168B">
        <w:trPr>
          <w:trHeight w:val="269"/>
        </w:trPr>
        <w:tc>
          <w:tcPr>
            <w:tcW w:w="1343" w:type="dxa"/>
            <w:tcBorders>
              <w:top w:val="nil"/>
              <w:left w:val="nil"/>
              <w:bottom w:val="single" w:sz="18" w:space="0" w:color="auto"/>
              <w:right w:val="nil"/>
            </w:tcBorders>
            <w:shd w:val="clear" w:color="000000" w:fill="FFFFFF"/>
            <w:vAlign w:val="center"/>
            <w:hideMark/>
          </w:tcPr>
          <w:p w14:paraId="042F863E" w14:textId="77777777" w:rsidR="00E7168B" w:rsidRPr="00D618B7" w:rsidRDefault="00E7168B" w:rsidP="004B11B7">
            <w:pPr>
              <w:jc w:val="right"/>
              <w:rPr>
                <w:color w:val="000000"/>
                <w:sz w:val="20"/>
                <w:szCs w:val="20"/>
              </w:rPr>
            </w:pPr>
            <w:r w:rsidRPr="00D618B7">
              <w:rPr>
                <w:color w:val="000000"/>
                <w:sz w:val="20"/>
                <w:szCs w:val="20"/>
              </w:rPr>
              <w:t>5</w:t>
            </w:r>
          </w:p>
        </w:tc>
        <w:tc>
          <w:tcPr>
            <w:tcW w:w="1036" w:type="dxa"/>
            <w:tcBorders>
              <w:top w:val="nil"/>
              <w:left w:val="nil"/>
              <w:bottom w:val="single" w:sz="18" w:space="0" w:color="auto"/>
              <w:right w:val="nil"/>
            </w:tcBorders>
            <w:shd w:val="clear" w:color="000000" w:fill="FFFFFF"/>
            <w:noWrap/>
            <w:vAlign w:val="center"/>
            <w:hideMark/>
          </w:tcPr>
          <w:p w14:paraId="2E3DA2B6" w14:textId="77777777" w:rsidR="00E7168B" w:rsidRPr="00D618B7" w:rsidRDefault="00E7168B" w:rsidP="004B11B7">
            <w:pPr>
              <w:jc w:val="right"/>
              <w:rPr>
                <w:color w:val="000000"/>
                <w:sz w:val="20"/>
                <w:szCs w:val="20"/>
              </w:rPr>
            </w:pPr>
            <w:r w:rsidRPr="00D618B7">
              <w:rPr>
                <w:color w:val="000000"/>
                <w:sz w:val="20"/>
                <w:szCs w:val="20"/>
              </w:rPr>
              <w:t>-0.0022</w:t>
            </w:r>
          </w:p>
        </w:tc>
        <w:tc>
          <w:tcPr>
            <w:tcW w:w="1101" w:type="dxa"/>
            <w:tcBorders>
              <w:top w:val="nil"/>
              <w:left w:val="nil"/>
              <w:bottom w:val="single" w:sz="18" w:space="0" w:color="auto"/>
              <w:right w:val="nil"/>
            </w:tcBorders>
            <w:shd w:val="clear" w:color="000000" w:fill="FFFFFF"/>
            <w:noWrap/>
            <w:vAlign w:val="center"/>
            <w:hideMark/>
          </w:tcPr>
          <w:p w14:paraId="0D97DDB6" w14:textId="77777777" w:rsidR="00E7168B" w:rsidRPr="00D618B7" w:rsidRDefault="00E7168B" w:rsidP="004B11B7">
            <w:pPr>
              <w:jc w:val="right"/>
              <w:rPr>
                <w:color w:val="000000"/>
                <w:sz w:val="20"/>
                <w:szCs w:val="20"/>
              </w:rPr>
            </w:pPr>
            <w:r w:rsidRPr="00D618B7">
              <w:rPr>
                <w:color w:val="000000"/>
                <w:sz w:val="20"/>
                <w:szCs w:val="20"/>
              </w:rPr>
              <w:t>0.0015</w:t>
            </w:r>
          </w:p>
        </w:tc>
        <w:tc>
          <w:tcPr>
            <w:tcW w:w="1566" w:type="dxa"/>
            <w:tcBorders>
              <w:top w:val="nil"/>
              <w:left w:val="nil"/>
              <w:bottom w:val="single" w:sz="18" w:space="0" w:color="auto"/>
              <w:right w:val="nil"/>
            </w:tcBorders>
            <w:shd w:val="clear" w:color="000000" w:fill="FFFFFF"/>
            <w:noWrap/>
            <w:vAlign w:val="center"/>
            <w:hideMark/>
          </w:tcPr>
          <w:p w14:paraId="16214E6F" w14:textId="77777777" w:rsidR="00E7168B" w:rsidRPr="00D618B7" w:rsidRDefault="00E7168B" w:rsidP="004B11B7">
            <w:pPr>
              <w:jc w:val="right"/>
              <w:rPr>
                <w:color w:val="000000"/>
                <w:sz w:val="20"/>
                <w:szCs w:val="20"/>
              </w:rPr>
            </w:pPr>
            <w:r w:rsidRPr="00D618B7">
              <w:rPr>
                <w:color w:val="000000"/>
                <w:sz w:val="20"/>
                <w:szCs w:val="20"/>
              </w:rPr>
              <w:t>-0.0009</w:t>
            </w:r>
          </w:p>
        </w:tc>
        <w:tc>
          <w:tcPr>
            <w:tcW w:w="1090" w:type="dxa"/>
            <w:tcBorders>
              <w:top w:val="nil"/>
              <w:left w:val="nil"/>
              <w:bottom w:val="single" w:sz="18" w:space="0" w:color="auto"/>
              <w:right w:val="nil"/>
            </w:tcBorders>
            <w:shd w:val="clear" w:color="000000" w:fill="FFFFFF"/>
            <w:noWrap/>
            <w:vAlign w:val="center"/>
            <w:hideMark/>
          </w:tcPr>
          <w:p w14:paraId="16CABE76" w14:textId="77777777" w:rsidR="00E7168B" w:rsidRPr="00D618B7" w:rsidRDefault="00E7168B" w:rsidP="004B11B7">
            <w:pPr>
              <w:jc w:val="right"/>
              <w:rPr>
                <w:color w:val="000000"/>
                <w:sz w:val="20"/>
                <w:szCs w:val="20"/>
              </w:rPr>
            </w:pPr>
            <w:r w:rsidRPr="00D618B7">
              <w:rPr>
                <w:color w:val="000000"/>
                <w:sz w:val="20"/>
                <w:szCs w:val="20"/>
              </w:rPr>
              <w:t>0.0006</w:t>
            </w:r>
          </w:p>
        </w:tc>
        <w:tc>
          <w:tcPr>
            <w:tcW w:w="1621" w:type="dxa"/>
            <w:tcBorders>
              <w:top w:val="nil"/>
              <w:left w:val="nil"/>
              <w:bottom w:val="single" w:sz="18" w:space="0" w:color="auto"/>
              <w:right w:val="nil"/>
            </w:tcBorders>
            <w:shd w:val="clear" w:color="000000" w:fill="FFFFFF"/>
            <w:noWrap/>
            <w:vAlign w:val="center"/>
            <w:hideMark/>
          </w:tcPr>
          <w:p w14:paraId="7AF968F0" w14:textId="77777777" w:rsidR="00E7168B" w:rsidRPr="00D618B7" w:rsidRDefault="00E7168B" w:rsidP="004B11B7">
            <w:pPr>
              <w:jc w:val="right"/>
              <w:rPr>
                <w:color w:val="000000"/>
                <w:sz w:val="20"/>
                <w:szCs w:val="20"/>
              </w:rPr>
            </w:pPr>
            <w:r w:rsidRPr="00D618B7">
              <w:rPr>
                <w:color w:val="000000"/>
                <w:sz w:val="20"/>
                <w:szCs w:val="20"/>
              </w:rPr>
              <w:t>0.0299</w:t>
            </w:r>
          </w:p>
        </w:tc>
        <w:tc>
          <w:tcPr>
            <w:tcW w:w="1128" w:type="dxa"/>
            <w:tcBorders>
              <w:top w:val="nil"/>
              <w:left w:val="nil"/>
              <w:bottom w:val="single" w:sz="18" w:space="0" w:color="auto"/>
              <w:right w:val="nil"/>
            </w:tcBorders>
            <w:shd w:val="clear" w:color="000000" w:fill="FFFFFF"/>
            <w:noWrap/>
            <w:vAlign w:val="center"/>
            <w:hideMark/>
          </w:tcPr>
          <w:p w14:paraId="4D3BC89B" w14:textId="77777777" w:rsidR="00E7168B" w:rsidRPr="00D618B7" w:rsidRDefault="00E7168B" w:rsidP="004B11B7">
            <w:pPr>
              <w:jc w:val="right"/>
              <w:rPr>
                <w:color w:val="000000"/>
                <w:sz w:val="20"/>
                <w:szCs w:val="20"/>
              </w:rPr>
            </w:pPr>
            <w:r w:rsidRPr="00D618B7">
              <w:rPr>
                <w:color w:val="000000"/>
                <w:sz w:val="20"/>
                <w:szCs w:val="20"/>
              </w:rPr>
              <w:t>0.0020</w:t>
            </w:r>
          </w:p>
        </w:tc>
      </w:tr>
      <w:tr w:rsidR="00E7168B" w:rsidRPr="00D618B7" w14:paraId="6C7CE621" w14:textId="77777777" w:rsidTr="00E7168B">
        <w:trPr>
          <w:trHeight w:val="269"/>
        </w:trPr>
        <w:tc>
          <w:tcPr>
            <w:tcW w:w="1343" w:type="dxa"/>
            <w:tcBorders>
              <w:top w:val="single" w:sz="18" w:space="0" w:color="auto"/>
              <w:left w:val="nil"/>
              <w:bottom w:val="nil"/>
              <w:right w:val="nil"/>
            </w:tcBorders>
            <w:shd w:val="clear" w:color="000000" w:fill="FFFFFF"/>
            <w:noWrap/>
            <w:vAlign w:val="bottom"/>
            <w:hideMark/>
          </w:tcPr>
          <w:p w14:paraId="518146AE" w14:textId="77777777" w:rsidR="00E7168B" w:rsidRPr="00D618B7" w:rsidRDefault="00E7168B" w:rsidP="004B11B7">
            <w:pPr>
              <w:rPr>
                <w:color w:val="000000"/>
                <w:sz w:val="20"/>
                <w:szCs w:val="20"/>
              </w:rPr>
            </w:pPr>
            <w:r w:rsidRPr="00D618B7">
              <w:rPr>
                <w:color w:val="000000"/>
                <w:sz w:val="20"/>
                <w:szCs w:val="20"/>
              </w:rPr>
              <w:t> </w:t>
            </w:r>
          </w:p>
        </w:tc>
        <w:tc>
          <w:tcPr>
            <w:tcW w:w="7545" w:type="dxa"/>
            <w:gridSpan w:val="6"/>
            <w:tcBorders>
              <w:top w:val="single" w:sz="18" w:space="0" w:color="auto"/>
              <w:left w:val="nil"/>
              <w:bottom w:val="nil"/>
              <w:right w:val="nil"/>
            </w:tcBorders>
            <w:shd w:val="clear" w:color="000000" w:fill="FFFFFF"/>
            <w:noWrap/>
            <w:vAlign w:val="center"/>
            <w:hideMark/>
          </w:tcPr>
          <w:p w14:paraId="67817546" w14:textId="77777777" w:rsidR="00E7168B" w:rsidRPr="00D618B7" w:rsidRDefault="00E7168B" w:rsidP="004B11B7">
            <w:pPr>
              <w:jc w:val="center"/>
              <w:rPr>
                <w:color w:val="000000"/>
                <w:sz w:val="20"/>
                <w:szCs w:val="20"/>
              </w:rPr>
            </w:pPr>
            <w:r w:rsidRPr="00D618B7">
              <w:rPr>
                <w:color w:val="000000"/>
                <w:sz w:val="20"/>
                <w:szCs w:val="20"/>
              </w:rPr>
              <w:t>Toy-Moving-into-Reach</w:t>
            </w:r>
          </w:p>
        </w:tc>
      </w:tr>
      <w:tr w:rsidR="00E7168B" w:rsidRPr="00D618B7" w14:paraId="203CD093" w14:textId="77777777" w:rsidTr="00E7168B">
        <w:trPr>
          <w:trHeight w:val="269"/>
        </w:trPr>
        <w:tc>
          <w:tcPr>
            <w:tcW w:w="1343" w:type="dxa"/>
            <w:tcBorders>
              <w:top w:val="nil"/>
              <w:left w:val="nil"/>
              <w:bottom w:val="nil"/>
              <w:right w:val="nil"/>
            </w:tcBorders>
            <w:shd w:val="clear" w:color="000000" w:fill="FFFFFF"/>
            <w:vAlign w:val="center"/>
            <w:hideMark/>
          </w:tcPr>
          <w:p w14:paraId="0E9568D1" w14:textId="77777777" w:rsidR="00E7168B" w:rsidRPr="00D618B7" w:rsidRDefault="00E7168B" w:rsidP="004B11B7">
            <w:pPr>
              <w:jc w:val="right"/>
              <w:rPr>
                <w:color w:val="000000"/>
                <w:sz w:val="20"/>
                <w:szCs w:val="20"/>
              </w:rPr>
            </w:pPr>
            <w:r w:rsidRPr="00D618B7">
              <w:rPr>
                <w:color w:val="000000"/>
                <w:sz w:val="20"/>
                <w:szCs w:val="20"/>
              </w:rPr>
              <w:t>-5</w:t>
            </w:r>
          </w:p>
        </w:tc>
        <w:tc>
          <w:tcPr>
            <w:tcW w:w="1036" w:type="dxa"/>
            <w:tcBorders>
              <w:top w:val="nil"/>
              <w:left w:val="nil"/>
              <w:bottom w:val="nil"/>
              <w:right w:val="nil"/>
            </w:tcBorders>
            <w:shd w:val="clear" w:color="000000" w:fill="FFFFFF"/>
            <w:noWrap/>
            <w:vAlign w:val="center"/>
            <w:hideMark/>
          </w:tcPr>
          <w:p w14:paraId="14E2D1E6" w14:textId="77777777" w:rsidR="00E7168B" w:rsidRPr="00D618B7" w:rsidRDefault="00E7168B" w:rsidP="004B11B7">
            <w:pPr>
              <w:jc w:val="right"/>
              <w:rPr>
                <w:color w:val="000000"/>
                <w:sz w:val="20"/>
                <w:szCs w:val="20"/>
              </w:rPr>
            </w:pPr>
            <w:r w:rsidRPr="00D618B7">
              <w:rPr>
                <w:color w:val="000000"/>
                <w:sz w:val="20"/>
                <w:szCs w:val="20"/>
              </w:rPr>
              <w:t>-0.0004</w:t>
            </w:r>
          </w:p>
        </w:tc>
        <w:tc>
          <w:tcPr>
            <w:tcW w:w="1101" w:type="dxa"/>
            <w:tcBorders>
              <w:top w:val="nil"/>
              <w:left w:val="nil"/>
              <w:bottom w:val="nil"/>
              <w:right w:val="nil"/>
            </w:tcBorders>
            <w:shd w:val="clear" w:color="000000" w:fill="FFFFFF"/>
            <w:noWrap/>
            <w:vAlign w:val="center"/>
            <w:hideMark/>
          </w:tcPr>
          <w:p w14:paraId="5C9B3254" w14:textId="77777777" w:rsidR="00E7168B" w:rsidRPr="00D618B7" w:rsidRDefault="00E7168B" w:rsidP="004B11B7">
            <w:pPr>
              <w:jc w:val="right"/>
              <w:rPr>
                <w:color w:val="000000"/>
                <w:sz w:val="20"/>
                <w:szCs w:val="20"/>
              </w:rPr>
            </w:pPr>
            <w:r w:rsidRPr="00D618B7">
              <w:rPr>
                <w:color w:val="000000"/>
                <w:sz w:val="20"/>
                <w:szCs w:val="20"/>
              </w:rPr>
              <w:t>0.0007</w:t>
            </w:r>
          </w:p>
        </w:tc>
        <w:tc>
          <w:tcPr>
            <w:tcW w:w="1566" w:type="dxa"/>
            <w:tcBorders>
              <w:top w:val="nil"/>
              <w:left w:val="nil"/>
              <w:bottom w:val="nil"/>
              <w:right w:val="nil"/>
            </w:tcBorders>
            <w:shd w:val="clear" w:color="000000" w:fill="FFFFFF"/>
            <w:noWrap/>
            <w:vAlign w:val="center"/>
            <w:hideMark/>
          </w:tcPr>
          <w:p w14:paraId="48E6AF2F" w14:textId="77777777" w:rsidR="00E7168B" w:rsidRPr="00D618B7" w:rsidRDefault="00E7168B" w:rsidP="004B11B7">
            <w:pPr>
              <w:jc w:val="right"/>
              <w:rPr>
                <w:color w:val="000000"/>
                <w:sz w:val="20"/>
                <w:szCs w:val="20"/>
              </w:rPr>
            </w:pPr>
            <w:r w:rsidRPr="00D618B7">
              <w:rPr>
                <w:color w:val="000000"/>
                <w:sz w:val="20"/>
                <w:szCs w:val="20"/>
              </w:rPr>
              <w:t>-0.0003</w:t>
            </w:r>
          </w:p>
        </w:tc>
        <w:tc>
          <w:tcPr>
            <w:tcW w:w="1090" w:type="dxa"/>
            <w:tcBorders>
              <w:top w:val="nil"/>
              <w:left w:val="nil"/>
              <w:bottom w:val="nil"/>
              <w:right w:val="nil"/>
            </w:tcBorders>
            <w:shd w:val="clear" w:color="000000" w:fill="FFFFFF"/>
            <w:noWrap/>
            <w:vAlign w:val="center"/>
            <w:hideMark/>
          </w:tcPr>
          <w:p w14:paraId="54DB82C7"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0434EAEE" w14:textId="77777777" w:rsidR="00E7168B" w:rsidRPr="00D618B7" w:rsidRDefault="00E7168B" w:rsidP="004B11B7">
            <w:pPr>
              <w:jc w:val="right"/>
              <w:rPr>
                <w:color w:val="000000"/>
                <w:sz w:val="20"/>
                <w:szCs w:val="20"/>
              </w:rPr>
            </w:pPr>
            <w:r w:rsidRPr="00D618B7">
              <w:rPr>
                <w:color w:val="000000"/>
                <w:sz w:val="20"/>
                <w:szCs w:val="20"/>
              </w:rPr>
              <w:t>0.0009</w:t>
            </w:r>
          </w:p>
        </w:tc>
        <w:tc>
          <w:tcPr>
            <w:tcW w:w="1128" w:type="dxa"/>
            <w:tcBorders>
              <w:top w:val="nil"/>
              <w:left w:val="nil"/>
              <w:bottom w:val="nil"/>
              <w:right w:val="nil"/>
            </w:tcBorders>
            <w:shd w:val="clear" w:color="000000" w:fill="FFFFFF"/>
            <w:noWrap/>
            <w:vAlign w:val="center"/>
            <w:hideMark/>
          </w:tcPr>
          <w:p w14:paraId="7D256FBE" w14:textId="77777777" w:rsidR="00E7168B" w:rsidRPr="00D618B7" w:rsidRDefault="00E7168B" w:rsidP="004B11B7">
            <w:pPr>
              <w:jc w:val="right"/>
              <w:rPr>
                <w:color w:val="000000"/>
                <w:sz w:val="20"/>
                <w:szCs w:val="20"/>
              </w:rPr>
            </w:pPr>
            <w:r w:rsidRPr="00D618B7">
              <w:rPr>
                <w:color w:val="000000"/>
                <w:sz w:val="20"/>
                <w:szCs w:val="20"/>
              </w:rPr>
              <w:t>0.0006</w:t>
            </w:r>
          </w:p>
        </w:tc>
      </w:tr>
      <w:tr w:rsidR="00E7168B" w:rsidRPr="00D618B7" w14:paraId="5905C944" w14:textId="77777777" w:rsidTr="00E7168B">
        <w:trPr>
          <w:trHeight w:val="269"/>
        </w:trPr>
        <w:tc>
          <w:tcPr>
            <w:tcW w:w="1343" w:type="dxa"/>
            <w:tcBorders>
              <w:top w:val="nil"/>
              <w:left w:val="nil"/>
              <w:bottom w:val="nil"/>
              <w:right w:val="nil"/>
            </w:tcBorders>
            <w:shd w:val="clear" w:color="000000" w:fill="FFFFFF"/>
            <w:vAlign w:val="center"/>
            <w:hideMark/>
          </w:tcPr>
          <w:p w14:paraId="581A5751" w14:textId="77777777" w:rsidR="00E7168B" w:rsidRPr="00D618B7" w:rsidRDefault="00E7168B" w:rsidP="004B11B7">
            <w:pPr>
              <w:jc w:val="right"/>
              <w:rPr>
                <w:color w:val="000000"/>
                <w:sz w:val="20"/>
                <w:szCs w:val="20"/>
              </w:rPr>
            </w:pPr>
            <w:r w:rsidRPr="00D618B7">
              <w:rPr>
                <w:color w:val="000000"/>
                <w:sz w:val="20"/>
                <w:szCs w:val="20"/>
              </w:rPr>
              <w:t>-4</w:t>
            </w:r>
          </w:p>
        </w:tc>
        <w:tc>
          <w:tcPr>
            <w:tcW w:w="1036" w:type="dxa"/>
            <w:tcBorders>
              <w:top w:val="nil"/>
              <w:left w:val="nil"/>
              <w:bottom w:val="nil"/>
              <w:right w:val="nil"/>
            </w:tcBorders>
            <w:shd w:val="clear" w:color="000000" w:fill="FFFFFF"/>
            <w:noWrap/>
            <w:vAlign w:val="center"/>
            <w:hideMark/>
          </w:tcPr>
          <w:p w14:paraId="059495F2" w14:textId="77777777" w:rsidR="00E7168B" w:rsidRPr="00D618B7" w:rsidRDefault="00E7168B" w:rsidP="004B11B7">
            <w:pPr>
              <w:jc w:val="right"/>
              <w:rPr>
                <w:color w:val="000000"/>
                <w:sz w:val="20"/>
                <w:szCs w:val="20"/>
              </w:rPr>
            </w:pPr>
            <w:r w:rsidRPr="00D618B7">
              <w:rPr>
                <w:color w:val="000000"/>
                <w:sz w:val="20"/>
                <w:szCs w:val="20"/>
              </w:rPr>
              <w:t>-0.0006</w:t>
            </w:r>
          </w:p>
        </w:tc>
        <w:tc>
          <w:tcPr>
            <w:tcW w:w="1101" w:type="dxa"/>
            <w:tcBorders>
              <w:top w:val="nil"/>
              <w:left w:val="nil"/>
              <w:bottom w:val="nil"/>
              <w:right w:val="nil"/>
            </w:tcBorders>
            <w:shd w:val="clear" w:color="000000" w:fill="FFFFFF"/>
            <w:noWrap/>
            <w:vAlign w:val="center"/>
            <w:hideMark/>
          </w:tcPr>
          <w:p w14:paraId="30491E63" w14:textId="77777777" w:rsidR="00E7168B" w:rsidRPr="00D618B7" w:rsidRDefault="00E7168B" w:rsidP="004B11B7">
            <w:pPr>
              <w:jc w:val="right"/>
              <w:rPr>
                <w:color w:val="000000"/>
                <w:sz w:val="20"/>
                <w:szCs w:val="20"/>
              </w:rPr>
            </w:pPr>
            <w:r w:rsidRPr="00D618B7">
              <w:rPr>
                <w:color w:val="000000"/>
                <w:sz w:val="20"/>
                <w:szCs w:val="20"/>
              </w:rPr>
              <w:t>0.0004</w:t>
            </w:r>
          </w:p>
        </w:tc>
        <w:tc>
          <w:tcPr>
            <w:tcW w:w="1566" w:type="dxa"/>
            <w:tcBorders>
              <w:top w:val="nil"/>
              <w:left w:val="nil"/>
              <w:bottom w:val="nil"/>
              <w:right w:val="nil"/>
            </w:tcBorders>
            <w:shd w:val="clear" w:color="000000" w:fill="FFFFFF"/>
            <w:noWrap/>
            <w:vAlign w:val="center"/>
            <w:hideMark/>
          </w:tcPr>
          <w:p w14:paraId="001F7BA8" w14:textId="77777777" w:rsidR="00E7168B" w:rsidRPr="00D618B7" w:rsidRDefault="00E7168B" w:rsidP="004B11B7">
            <w:pPr>
              <w:jc w:val="right"/>
              <w:rPr>
                <w:color w:val="000000"/>
                <w:sz w:val="20"/>
                <w:szCs w:val="20"/>
              </w:rPr>
            </w:pPr>
            <w:r w:rsidRPr="00D618B7">
              <w:rPr>
                <w:color w:val="000000"/>
                <w:sz w:val="20"/>
                <w:szCs w:val="20"/>
              </w:rPr>
              <w:t>0.0000</w:t>
            </w:r>
          </w:p>
        </w:tc>
        <w:tc>
          <w:tcPr>
            <w:tcW w:w="1090" w:type="dxa"/>
            <w:tcBorders>
              <w:top w:val="nil"/>
              <w:left w:val="nil"/>
              <w:bottom w:val="nil"/>
              <w:right w:val="nil"/>
            </w:tcBorders>
            <w:shd w:val="clear" w:color="000000" w:fill="FFFFFF"/>
            <w:noWrap/>
            <w:vAlign w:val="center"/>
            <w:hideMark/>
          </w:tcPr>
          <w:p w14:paraId="52D79EA4" w14:textId="77777777" w:rsidR="00E7168B" w:rsidRPr="00D618B7" w:rsidRDefault="00E7168B" w:rsidP="004B11B7">
            <w:pPr>
              <w:jc w:val="right"/>
              <w:rPr>
                <w:color w:val="000000"/>
                <w:sz w:val="20"/>
                <w:szCs w:val="20"/>
              </w:rPr>
            </w:pPr>
            <w:r w:rsidRPr="00D618B7">
              <w:rPr>
                <w:color w:val="000000"/>
                <w:sz w:val="20"/>
                <w:szCs w:val="20"/>
              </w:rPr>
              <w:t>0.0001</w:t>
            </w:r>
          </w:p>
        </w:tc>
        <w:tc>
          <w:tcPr>
            <w:tcW w:w="1621" w:type="dxa"/>
            <w:tcBorders>
              <w:top w:val="nil"/>
              <w:left w:val="nil"/>
              <w:bottom w:val="nil"/>
              <w:right w:val="nil"/>
            </w:tcBorders>
            <w:shd w:val="clear" w:color="000000" w:fill="FFFFFF"/>
            <w:noWrap/>
            <w:vAlign w:val="center"/>
            <w:hideMark/>
          </w:tcPr>
          <w:p w14:paraId="34EDE5C7" w14:textId="77777777" w:rsidR="00E7168B" w:rsidRPr="00D618B7" w:rsidRDefault="00E7168B" w:rsidP="004B11B7">
            <w:pPr>
              <w:jc w:val="right"/>
              <w:rPr>
                <w:color w:val="000000"/>
                <w:sz w:val="20"/>
                <w:szCs w:val="20"/>
              </w:rPr>
            </w:pPr>
            <w:r w:rsidRPr="00D618B7">
              <w:rPr>
                <w:color w:val="000000"/>
                <w:sz w:val="20"/>
                <w:szCs w:val="20"/>
              </w:rPr>
              <w:t>-0.0006</w:t>
            </w:r>
          </w:p>
        </w:tc>
        <w:tc>
          <w:tcPr>
            <w:tcW w:w="1128" w:type="dxa"/>
            <w:tcBorders>
              <w:top w:val="nil"/>
              <w:left w:val="nil"/>
              <w:bottom w:val="nil"/>
              <w:right w:val="nil"/>
            </w:tcBorders>
            <w:shd w:val="clear" w:color="000000" w:fill="FFFFFF"/>
            <w:noWrap/>
            <w:vAlign w:val="center"/>
            <w:hideMark/>
          </w:tcPr>
          <w:p w14:paraId="2594D03F" w14:textId="77777777" w:rsidR="00E7168B" w:rsidRPr="00D618B7" w:rsidRDefault="00E7168B" w:rsidP="004B11B7">
            <w:pPr>
              <w:jc w:val="right"/>
              <w:rPr>
                <w:color w:val="000000"/>
                <w:sz w:val="20"/>
                <w:szCs w:val="20"/>
              </w:rPr>
            </w:pPr>
            <w:r w:rsidRPr="00D618B7">
              <w:rPr>
                <w:color w:val="000000"/>
                <w:sz w:val="20"/>
                <w:szCs w:val="20"/>
              </w:rPr>
              <w:t>0.0019</w:t>
            </w:r>
          </w:p>
        </w:tc>
      </w:tr>
      <w:tr w:rsidR="00E7168B" w:rsidRPr="00D618B7" w14:paraId="33E74AE8" w14:textId="77777777" w:rsidTr="00E7168B">
        <w:trPr>
          <w:trHeight w:val="269"/>
        </w:trPr>
        <w:tc>
          <w:tcPr>
            <w:tcW w:w="1343" w:type="dxa"/>
            <w:tcBorders>
              <w:top w:val="nil"/>
              <w:left w:val="nil"/>
              <w:bottom w:val="nil"/>
              <w:right w:val="nil"/>
            </w:tcBorders>
            <w:shd w:val="clear" w:color="000000" w:fill="FFFFFF"/>
            <w:vAlign w:val="center"/>
            <w:hideMark/>
          </w:tcPr>
          <w:p w14:paraId="4E072160" w14:textId="77777777" w:rsidR="00E7168B" w:rsidRPr="00D618B7" w:rsidRDefault="00E7168B" w:rsidP="004B11B7">
            <w:pPr>
              <w:jc w:val="right"/>
              <w:rPr>
                <w:color w:val="000000"/>
                <w:sz w:val="20"/>
                <w:szCs w:val="20"/>
              </w:rPr>
            </w:pPr>
            <w:r w:rsidRPr="00D618B7">
              <w:rPr>
                <w:color w:val="000000"/>
                <w:sz w:val="20"/>
                <w:szCs w:val="20"/>
              </w:rPr>
              <w:t>-3</w:t>
            </w:r>
          </w:p>
        </w:tc>
        <w:tc>
          <w:tcPr>
            <w:tcW w:w="1036" w:type="dxa"/>
            <w:tcBorders>
              <w:top w:val="nil"/>
              <w:left w:val="nil"/>
              <w:bottom w:val="nil"/>
              <w:right w:val="nil"/>
            </w:tcBorders>
            <w:shd w:val="clear" w:color="000000" w:fill="FFFFFF"/>
            <w:noWrap/>
            <w:vAlign w:val="center"/>
            <w:hideMark/>
          </w:tcPr>
          <w:p w14:paraId="02983A64" w14:textId="77777777" w:rsidR="00E7168B" w:rsidRPr="00D618B7" w:rsidRDefault="00E7168B" w:rsidP="004B11B7">
            <w:pPr>
              <w:jc w:val="right"/>
              <w:rPr>
                <w:color w:val="000000"/>
                <w:sz w:val="20"/>
                <w:szCs w:val="20"/>
              </w:rPr>
            </w:pPr>
            <w:r w:rsidRPr="00D618B7">
              <w:rPr>
                <w:color w:val="000000"/>
                <w:sz w:val="20"/>
                <w:szCs w:val="20"/>
              </w:rPr>
              <w:t>0.0008</w:t>
            </w:r>
          </w:p>
        </w:tc>
        <w:tc>
          <w:tcPr>
            <w:tcW w:w="1101" w:type="dxa"/>
            <w:tcBorders>
              <w:top w:val="nil"/>
              <w:left w:val="nil"/>
              <w:bottom w:val="nil"/>
              <w:right w:val="nil"/>
            </w:tcBorders>
            <w:shd w:val="clear" w:color="000000" w:fill="FFFFFF"/>
            <w:noWrap/>
            <w:vAlign w:val="center"/>
            <w:hideMark/>
          </w:tcPr>
          <w:p w14:paraId="2504D1FE" w14:textId="77777777" w:rsidR="00E7168B" w:rsidRPr="00D618B7" w:rsidRDefault="00E7168B" w:rsidP="004B11B7">
            <w:pPr>
              <w:jc w:val="right"/>
              <w:rPr>
                <w:color w:val="000000"/>
                <w:sz w:val="20"/>
                <w:szCs w:val="20"/>
              </w:rPr>
            </w:pPr>
            <w:r w:rsidRPr="00D618B7">
              <w:rPr>
                <w:color w:val="000000"/>
                <w:sz w:val="20"/>
                <w:szCs w:val="20"/>
              </w:rPr>
              <w:t>0.0004</w:t>
            </w:r>
          </w:p>
        </w:tc>
        <w:tc>
          <w:tcPr>
            <w:tcW w:w="1566" w:type="dxa"/>
            <w:tcBorders>
              <w:top w:val="nil"/>
              <w:left w:val="nil"/>
              <w:bottom w:val="nil"/>
              <w:right w:val="nil"/>
            </w:tcBorders>
            <w:shd w:val="clear" w:color="000000" w:fill="FFFFFF"/>
            <w:noWrap/>
            <w:vAlign w:val="center"/>
            <w:hideMark/>
          </w:tcPr>
          <w:p w14:paraId="44F8B193" w14:textId="77777777" w:rsidR="00E7168B" w:rsidRPr="00D618B7" w:rsidRDefault="00E7168B" w:rsidP="004B11B7">
            <w:pPr>
              <w:jc w:val="right"/>
              <w:rPr>
                <w:color w:val="000000"/>
                <w:sz w:val="20"/>
                <w:szCs w:val="20"/>
              </w:rPr>
            </w:pPr>
            <w:r w:rsidRPr="00D618B7">
              <w:rPr>
                <w:color w:val="000000"/>
                <w:sz w:val="20"/>
                <w:szCs w:val="20"/>
              </w:rPr>
              <w:t>0.0001</w:t>
            </w:r>
          </w:p>
        </w:tc>
        <w:tc>
          <w:tcPr>
            <w:tcW w:w="1090" w:type="dxa"/>
            <w:tcBorders>
              <w:top w:val="nil"/>
              <w:left w:val="nil"/>
              <w:bottom w:val="nil"/>
              <w:right w:val="nil"/>
            </w:tcBorders>
            <w:shd w:val="clear" w:color="000000" w:fill="FFFFFF"/>
            <w:noWrap/>
            <w:vAlign w:val="center"/>
            <w:hideMark/>
          </w:tcPr>
          <w:p w14:paraId="13C13D01" w14:textId="77777777" w:rsidR="00E7168B" w:rsidRPr="00D618B7" w:rsidRDefault="00E7168B" w:rsidP="004B11B7">
            <w:pPr>
              <w:jc w:val="right"/>
              <w:rPr>
                <w:color w:val="000000"/>
                <w:sz w:val="20"/>
                <w:szCs w:val="20"/>
              </w:rPr>
            </w:pPr>
            <w:r w:rsidRPr="00D618B7">
              <w:rPr>
                <w:color w:val="000000"/>
                <w:sz w:val="20"/>
                <w:szCs w:val="20"/>
              </w:rPr>
              <w:t>0.0001</w:t>
            </w:r>
          </w:p>
        </w:tc>
        <w:tc>
          <w:tcPr>
            <w:tcW w:w="1621" w:type="dxa"/>
            <w:tcBorders>
              <w:top w:val="nil"/>
              <w:left w:val="nil"/>
              <w:bottom w:val="nil"/>
              <w:right w:val="nil"/>
            </w:tcBorders>
            <w:shd w:val="clear" w:color="000000" w:fill="FFFFFF"/>
            <w:noWrap/>
            <w:vAlign w:val="center"/>
            <w:hideMark/>
          </w:tcPr>
          <w:p w14:paraId="774E18B7" w14:textId="77777777" w:rsidR="00E7168B" w:rsidRPr="00D618B7" w:rsidRDefault="00E7168B" w:rsidP="004B11B7">
            <w:pPr>
              <w:jc w:val="right"/>
              <w:rPr>
                <w:color w:val="000000"/>
                <w:sz w:val="20"/>
                <w:szCs w:val="20"/>
              </w:rPr>
            </w:pPr>
            <w:r w:rsidRPr="00D618B7">
              <w:rPr>
                <w:color w:val="000000"/>
                <w:sz w:val="20"/>
                <w:szCs w:val="20"/>
              </w:rPr>
              <w:t>0.0004</w:t>
            </w:r>
          </w:p>
        </w:tc>
        <w:tc>
          <w:tcPr>
            <w:tcW w:w="1128" w:type="dxa"/>
            <w:tcBorders>
              <w:top w:val="nil"/>
              <w:left w:val="nil"/>
              <w:bottom w:val="nil"/>
              <w:right w:val="nil"/>
            </w:tcBorders>
            <w:shd w:val="clear" w:color="000000" w:fill="FFFFFF"/>
            <w:noWrap/>
            <w:vAlign w:val="center"/>
            <w:hideMark/>
          </w:tcPr>
          <w:p w14:paraId="0A171E05" w14:textId="77777777" w:rsidR="00E7168B" w:rsidRPr="00D618B7" w:rsidRDefault="00E7168B" w:rsidP="004B11B7">
            <w:pPr>
              <w:jc w:val="right"/>
              <w:rPr>
                <w:color w:val="000000"/>
                <w:sz w:val="20"/>
                <w:szCs w:val="20"/>
              </w:rPr>
            </w:pPr>
            <w:r w:rsidRPr="00D618B7">
              <w:rPr>
                <w:color w:val="000000"/>
                <w:sz w:val="20"/>
                <w:szCs w:val="20"/>
              </w:rPr>
              <w:t>0.0008</w:t>
            </w:r>
          </w:p>
        </w:tc>
      </w:tr>
      <w:tr w:rsidR="00E7168B" w:rsidRPr="00D618B7" w14:paraId="7CD4AF30" w14:textId="77777777" w:rsidTr="00E7168B">
        <w:trPr>
          <w:trHeight w:val="269"/>
        </w:trPr>
        <w:tc>
          <w:tcPr>
            <w:tcW w:w="1343" w:type="dxa"/>
            <w:tcBorders>
              <w:top w:val="nil"/>
              <w:left w:val="nil"/>
              <w:bottom w:val="nil"/>
              <w:right w:val="nil"/>
            </w:tcBorders>
            <w:shd w:val="clear" w:color="000000" w:fill="FFFFFF"/>
            <w:vAlign w:val="center"/>
            <w:hideMark/>
          </w:tcPr>
          <w:p w14:paraId="4B317CC0" w14:textId="77777777" w:rsidR="00E7168B" w:rsidRPr="00D618B7" w:rsidRDefault="00E7168B" w:rsidP="004B11B7">
            <w:pPr>
              <w:jc w:val="right"/>
              <w:rPr>
                <w:color w:val="000000"/>
                <w:sz w:val="20"/>
                <w:szCs w:val="20"/>
              </w:rPr>
            </w:pPr>
            <w:r w:rsidRPr="00D618B7">
              <w:rPr>
                <w:color w:val="000000"/>
                <w:sz w:val="20"/>
                <w:szCs w:val="20"/>
              </w:rPr>
              <w:t>-2</w:t>
            </w:r>
          </w:p>
        </w:tc>
        <w:tc>
          <w:tcPr>
            <w:tcW w:w="1036" w:type="dxa"/>
            <w:tcBorders>
              <w:top w:val="nil"/>
              <w:left w:val="nil"/>
              <w:bottom w:val="nil"/>
              <w:right w:val="nil"/>
            </w:tcBorders>
            <w:shd w:val="clear" w:color="000000" w:fill="FFFFFF"/>
            <w:noWrap/>
            <w:vAlign w:val="center"/>
            <w:hideMark/>
          </w:tcPr>
          <w:p w14:paraId="448B9CC1" w14:textId="77777777" w:rsidR="00E7168B" w:rsidRPr="00D618B7" w:rsidRDefault="00E7168B" w:rsidP="004B11B7">
            <w:pPr>
              <w:jc w:val="right"/>
              <w:rPr>
                <w:color w:val="000000"/>
                <w:sz w:val="20"/>
                <w:szCs w:val="20"/>
              </w:rPr>
            </w:pPr>
            <w:r w:rsidRPr="00D618B7">
              <w:rPr>
                <w:color w:val="000000"/>
                <w:sz w:val="20"/>
                <w:szCs w:val="20"/>
              </w:rPr>
              <w:t>0.0013</w:t>
            </w:r>
          </w:p>
        </w:tc>
        <w:tc>
          <w:tcPr>
            <w:tcW w:w="1101" w:type="dxa"/>
            <w:tcBorders>
              <w:top w:val="nil"/>
              <w:left w:val="nil"/>
              <w:bottom w:val="nil"/>
              <w:right w:val="nil"/>
            </w:tcBorders>
            <w:shd w:val="clear" w:color="000000" w:fill="FFFFFF"/>
            <w:noWrap/>
            <w:vAlign w:val="center"/>
            <w:hideMark/>
          </w:tcPr>
          <w:p w14:paraId="3B096B22" w14:textId="77777777" w:rsidR="00E7168B" w:rsidRPr="00D618B7" w:rsidRDefault="00E7168B" w:rsidP="004B11B7">
            <w:pPr>
              <w:jc w:val="right"/>
              <w:rPr>
                <w:color w:val="000000"/>
                <w:sz w:val="20"/>
                <w:szCs w:val="20"/>
              </w:rPr>
            </w:pPr>
            <w:r w:rsidRPr="00D618B7">
              <w:rPr>
                <w:color w:val="000000"/>
                <w:sz w:val="20"/>
                <w:szCs w:val="20"/>
              </w:rPr>
              <w:t>0.0010</w:t>
            </w:r>
          </w:p>
        </w:tc>
        <w:tc>
          <w:tcPr>
            <w:tcW w:w="1566" w:type="dxa"/>
            <w:tcBorders>
              <w:top w:val="nil"/>
              <w:left w:val="nil"/>
              <w:bottom w:val="nil"/>
              <w:right w:val="nil"/>
            </w:tcBorders>
            <w:shd w:val="clear" w:color="000000" w:fill="FFFFFF"/>
            <w:noWrap/>
            <w:vAlign w:val="center"/>
            <w:hideMark/>
          </w:tcPr>
          <w:p w14:paraId="735FDB14" w14:textId="77777777" w:rsidR="00E7168B" w:rsidRPr="00D618B7" w:rsidRDefault="00E7168B" w:rsidP="004B11B7">
            <w:pPr>
              <w:jc w:val="right"/>
              <w:rPr>
                <w:color w:val="000000"/>
                <w:sz w:val="20"/>
                <w:szCs w:val="20"/>
              </w:rPr>
            </w:pPr>
            <w:r w:rsidRPr="00D618B7">
              <w:rPr>
                <w:color w:val="000000"/>
                <w:sz w:val="20"/>
                <w:szCs w:val="20"/>
              </w:rPr>
              <w:t>0.0003</w:t>
            </w:r>
          </w:p>
        </w:tc>
        <w:tc>
          <w:tcPr>
            <w:tcW w:w="1090" w:type="dxa"/>
            <w:tcBorders>
              <w:top w:val="nil"/>
              <w:left w:val="nil"/>
              <w:bottom w:val="nil"/>
              <w:right w:val="nil"/>
            </w:tcBorders>
            <w:shd w:val="clear" w:color="000000" w:fill="FFFFFF"/>
            <w:noWrap/>
            <w:vAlign w:val="center"/>
            <w:hideMark/>
          </w:tcPr>
          <w:p w14:paraId="3F648567"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0E5E9311" w14:textId="77777777" w:rsidR="00E7168B" w:rsidRPr="00D618B7" w:rsidRDefault="00E7168B" w:rsidP="004B11B7">
            <w:pPr>
              <w:jc w:val="right"/>
              <w:rPr>
                <w:color w:val="000000"/>
                <w:sz w:val="20"/>
                <w:szCs w:val="20"/>
              </w:rPr>
            </w:pPr>
            <w:r w:rsidRPr="00D618B7">
              <w:rPr>
                <w:color w:val="000000"/>
                <w:sz w:val="20"/>
                <w:szCs w:val="20"/>
              </w:rPr>
              <w:t>0.0012</w:t>
            </w:r>
          </w:p>
        </w:tc>
        <w:tc>
          <w:tcPr>
            <w:tcW w:w="1128" w:type="dxa"/>
            <w:tcBorders>
              <w:top w:val="nil"/>
              <w:left w:val="nil"/>
              <w:bottom w:val="nil"/>
              <w:right w:val="nil"/>
            </w:tcBorders>
            <w:shd w:val="clear" w:color="000000" w:fill="FFFFFF"/>
            <w:noWrap/>
            <w:vAlign w:val="center"/>
            <w:hideMark/>
          </w:tcPr>
          <w:p w14:paraId="5D3CB410" w14:textId="77777777" w:rsidR="00E7168B" w:rsidRPr="00D618B7" w:rsidRDefault="00E7168B" w:rsidP="004B11B7">
            <w:pPr>
              <w:jc w:val="right"/>
              <w:rPr>
                <w:color w:val="000000"/>
                <w:sz w:val="20"/>
                <w:szCs w:val="20"/>
              </w:rPr>
            </w:pPr>
            <w:r w:rsidRPr="00D618B7">
              <w:rPr>
                <w:color w:val="000000"/>
                <w:sz w:val="20"/>
                <w:szCs w:val="20"/>
              </w:rPr>
              <w:t>0.0016</w:t>
            </w:r>
          </w:p>
        </w:tc>
      </w:tr>
      <w:tr w:rsidR="00E7168B" w:rsidRPr="00D618B7" w14:paraId="1FCBD552" w14:textId="77777777" w:rsidTr="00E7168B">
        <w:trPr>
          <w:trHeight w:val="269"/>
        </w:trPr>
        <w:tc>
          <w:tcPr>
            <w:tcW w:w="1343" w:type="dxa"/>
            <w:tcBorders>
              <w:top w:val="nil"/>
              <w:left w:val="nil"/>
              <w:bottom w:val="nil"/>
              <w:right w:val="nil"/>
            </w:tcBorders>
            <w:shd w:val="clear" w:color="000000" w:fill="FFFFFF"/>
            <w:vAlign w:val="center"/>
            <w:hideMark/>
          </w:tcPr>
          <w:p w14:paraId="0651BB6D" w14:textId="77777777" w:rsidR="00E7168B" w:rsidRPr="00D618B7" w:rsidRDefault="00E7168B" w:rsidP="004B11B7">
            <w:pPr>
              <w:jc w:val="right"/>
              <w:rPr>
                <w:color w:val="000000"/>
                <w:sz w:val="20"/>
                <w:szCs w:val="20"/>
              </w:rPr>
            </w:pPr>
            <w:r w:rsidRPr="00D618B7">
              <w:rPr>
                <w:color w:val="000000"/>
                <w:sz w:val="20"/>
                <w:szCs w:val="20"/>
              </w:rPr>
              <w:t>-1</w:t>
            </w:r>
          </w:p>
        </w:tc>
        <w:tc>
          <w:tcPr>
            <w:tcW w:w="1036" w:type="dxa"/>
            <w:tcBorders>
              <w:top w:val="nil"/>
              <w:left w:val="nil"/>
              <w:bottom w:val="nil"/>
              <w:right w:val="nil"/>
            </w:tcBorders>
            <w:shd w:val="clear" w:color="000000" w:fill="FFFFFF"/>
            <w:noWrap/>
            <w:vAlign w:val="center"/>
            <w:hideMark/>
          </w:tcPr>
          <w:p w14:paraId="08900929" w14:textId="77777777" w:rsidR="00E7168B" w:rsidRPr="00D618B7" w:rsidRDefault="00E7168B" w:rsidP="004B11B7">
            <w:pPr>
              <w:jc w:val="right"/>
              <w:rPr>
                <w:color w:val="000000"/>
                <w:sz w:val="20"/>
                <w:szCs w:val="20"/>
              </w:rPr>
            </w:pPr>
            <w:r w:rsidRPr="00D618B7">
              <w:rPr>
                <w:color w:val="000000"/>
                <w:sz w:val="20"/>
                <w:szCs w:val="20"/>
              </w:rPr>
              <w:t>-0.0019</w:t>
            </w:r>
          </w:p>
        </w:tc>
        <w:tc>
          <w:tcPr>
            <w:tcW w:w="1101" w:type="dxa"/>
            <w:tcBorders>
              <w:top w:val="nil"/>
              <w:left w:val="nil"/>
              <w:bottom w:val="nil"/>
              <w:right w:val="nil"/>
            </w:tcBorders>
            <w:shd w:val="clear" w:color="000000" w:fill="FFFFFF"/>
            <w:noWrap/>
            <w:vAlign w:val="center"/>
            <w:hideMark/>
          </w:tcPr>
          <w:p w14:paraId="18BC2517" w14:textId="77777777" w:rsidR="00E7168B" w:rsidRPr="00D618B7" w:rsidRDefault="00E7168B" w:rsidP="004B11B7">
            <w:pPr>
              <w:jc w:val="right"/>
              <w:rPr>
                <w:color w:val="000000"/>
                <w:sz w:val="20"/>
                <w:szCs w:val="20"/>
              </w:rPr>
            </w:pPr>
            <w:r w:rsidRPr="00D618B7">
              <w:rPr>
                <w:color w:val="000000"/>
                <w:sz w:val="20"/>
                <w:szCs w:val="20"/>
              </w:rPr>
              <w:t>0.0008</w:t>
            </w:r>
          </w:p>
        </w:tc>
        <w:tc>
          <w:tcPr>
            <w:tcW w:w="1566" w:type="dxa"/>
            <w:tcBorders>
              <w:top w:val="nil"/>
              <w:left w:val="nil"/>
              <w:bottom w:val="nil"/>
              <w:right w:val="nil"/>
            </w:tcBorders>
            <w:shd w:val="clear" w:color="000000" w:fill="FFFFFF"/>
            <w:noWrap/>
            <w:vAlign w:val="center"/>
            <w:hideMark/>
          </w:tcPr>
          <w:p w14:paraId="04E7A9DE" w14:textId="77777777" w:rsidR="00E7168B" w:rsidRPr="00D618B7" w:rsidRDefault="00E7168B" w:rsidP="004B11B7">
            <w:pPr>
              <w:jc w:val="right"/>
              <w:rPr>
                <w:color w:val="000000"/>
                <w:sz w:val="20"/>
                <w:szCs w:val="20"/>
              </w:rPr>
            </w:pPr>
            <w:r w:rsidRPr="00D618B7">
              <w:rPr>
                <w:color w:val="000000"/>
                <w:sz w:val="20"/>
                <w:szCs w:val="20"/>
              </w:rPr>
              <w:t>0.0000</w:t>
            </w:r>
          </w:p>
        </w:tc>
        <w:tc>
          <w:tcPr>
            <w:tcW w:w="1090" w:type="dxa"/>
            <w:tcBorders>
              <w:top w:val="nil"/>
              <w:left w:val="nil"/>
              <w:bottom w:val="nil"/>
              <w:right w:val="nil"/>
            </w:tcBorders>
            <w:shd w:val="clear" w:color="000000" w:fill="FFFFFF"/>
            <w:noWrap/>
            <w:vAlign w:val="center"/>
            <w:hideMark/>
          </w:tcPr>
          <w:p w14:paraId="466C5A34" w14:textId="77777777" w:rsidR="00E7168B" w:rsidRPr="00D618B7" w:rsidRDefault="00E7168B" w:rsidP="004B11B7">
            <w:pPr>
              <w:jc w:val="right"/>
              <w:rPr>
                <w:color w:val="000000"/>
                <w:sz w:val="20"/>
                <w:szCs w:val="20"/>
              </w:rPr>
            </w:pPr>
            <w:r w:rsidRPr="00D618B7">
              <w:rPr>
                <w:color w:val="000000"/>
                <w:sz w:val="20"/>
                <w:szCs w:val="20"/>
              </w:rPr>
              <w:t>0.0001</w:t>
            </w:r>
          </w:p>
        </w:tc>
        <w:tc>
          <w:tcPr>
            <w:tcW w:w="1621" w:type="dxa"/>
            <w:tcBorders>
              <w:top w:val="nil"/>
              <w:left w:val="nil"/>
              <w:bottom w:val="nil"/>
              <w:right w:val="nil"/>
            </w:tcBorders>
            <w:shd w:val="clear" w:color="000000" w:fill="FFFFFF"/>
            <w:noWrap/>
            <w:vAlign w:val="center"/>
            <w:hideMark/>
          </w:tcPr>
          <w:p w14:paraId="45CD4B57" w14:textId="77777777" w:rsidR="00E7168B" w:rsidRPr="00D618B7" w:rsidRDefault="00E7168B" w:rsidP="004B11B7">
            <w:pPr>
              <w:jc w:val="right"/>
              <w:rPr>
                <w:color w:val="000000"/>
                <w:sz w:val="20"/>
                <w:szCs w:val="20"/>
              </w:rPr>
            </w:pPr>
            <w:r w:rsidRPr="00D618B7">
              <w:rPr>
                <w:color w:val="000000"/>
                <w:sz w:val="20"/>
                <w:szCs w:val="20"/>
              </w:rPr>
              <w:t>0.0029</w:t>
            </w:r>
          </w:p>
        </w:tc>
        <w:tc>
          <w:tcPr>
            <w:tcW w:w="1128" w:type="dxa"/>
            <w:tcBorders>
              <w:top w:val="nil"/>
              <w:left w:val="nil"/>
              <w:bottom w:val="nil"/>
              <w:right w:val="nil"/>
            </w:tcBorders>
            <w:shd w:val="clear" w:color="000000" w:fill="FFFFFF"/>
            <w:noWrap/>
            <w:vAlign w:val="center"/>
            <w:hideMark/>
          </w:tcPr>
          <w:p w14:paraId="6FD02943" w14:textId="77777777" w:rsidR="00E7168B" w:rsidRPr="00D618B7" w:rsidRDefault="00E7168B" w:rsidP="004B11B7">
            <w:pPr>
              <w:jc w:val="right"/>
              <w:rPr>
                <w:color w:val="000000"/>
                <w:sz w:val="20"/>
                <w:szCs w:val="20"/>
              </w:rPr>
            </w:pPr>
            <w:r w:rsidRPr="00D618B7">
              <w:rPr>
                <w:color w:val="000000"/>
                <w:sz w:val="20"/>
                <w:szCs w:val="20"/>
              </w:rPr>
              <w:t>0.0006</w:t>
            </w:r>
          </w:p>
        </w:tc>
      </w:tr>
      <w:tr w:rsidR="00E7168B" w:rsidRPr="00D618B7" w14:paraId="17CA3287" w14:textId="77777777" w:rsidTr="00E7168B">
        <w:trPr>
          <w:trHeight w:val="269"/>
        </w:trPr>
        <w:tc>
          <w:tcPr>
            <w:tcW w:w="1343" w:type="dxa"/>
            <w:tcBorders>
              <w:top w:val="nil"/>
              <w:left w:val="nil"/>
              <w:bottom w:val="nil"/>
              <w:right w:val="nil"/>
            </w:tcBorders>
            <w:shd w:val="clear" w:color="000000" w:fill="FFFFFF"/>
            <w:vAlign w:val="center"/>
            <w:hideMark/>
          </w:tcPr>
          <w:p w14:paraId="69C36681" w14:textId="77777777" w:rsidR="00E7168B" w:rsidRPr="00D618B7" w:rsidRDefault="00E7168B" w:rsidP="004B11B7">
            <w:pPr>
              <w:jc w:val="right"/>
              <w:rPr>
                <w:color w:val="000000"/>
                <w:sz w:val="20"/>
                <w:szCs w:val="20"/>
              </w:rPr>
            </w:pPr>
            <w:r w:rsidRPr="00D618B7">
              <w:rPr>
                <w:color w:val="000000"/>
                <w:sz w:val="20"/>
                <w:szCs w:val="20"/>
              </w:rPr>
              <w:t>0</w:t>
            </w:r>
          </w:p>
        </w:tc>
        <w:tc>
          <w:tcPr>
            <w:tcW w:w="1036" w:type="dxa"/>
            <w:tcBorders>
              <w:top w:val="nil"/>
              <w:left w:val="nil"/>
              <w:bottom w:val="nil"/>
              <w:right w:val="nil"/>
            </w:tcBorders>
            <w:shd w:val="clear" w:color="000000" w:fill="FFFFFF"/>
            <w:noWrap/>
            <w:vAlign w:val="center"/>
            <w:hideMark/>
          </w:tcPr>
          <w:p w14:paraId="08405A27" w14:textId="77777777" w:rsidR="00E7168B" w:rsidRPr="00D618B7" w:rsidRDefault="00E7168B" w:rsidP="004B11B7">
            <w:pPr>
              <w:jc w:val="right"/>
              <w:rPr>
                <w:color w:val="000000"/>
                <w:sz w:val="20"/>
                <w:szCs w:val="20"/>
              </w:rPr>
            </w:pPr>
            <w:r w:rsidRPr="00D618B7">
              <w:rPr>
                <w:color w:val="000000"/>
                <w:sz w:val="20"/>
                <w:szCs w:val="20"/>
              </w:rPr>
              <w:t>0.0003</w:t>
            </w:r>
          </w:p>
        </w:tc>
        <w:tc>
          <w:tcPr>
            <w:tcW w:w="1101" w:type="dxa"/>
            <w:tcBorders>
              <w:top w:val="nil"/>
              <w:left w:val="nil"/>
              <w:bottom w:val="nil"/>
              <w:right w:val="nil"/>
            </w:tcBorders>
            <w:shd w:val="clear" w:color="000000" w:fill="FFFFFF"/>
            <w:noWrap/>
            <w:vAlign w:val="center"/>
            <w:hideMark/>
          </w:tcPr>
          <w:p w14:paraId="27CF443D" w14:textId="77777777" w:rsidR="00E7168B" w:rsidRPr="00D618B7" w:rsidRDefault="00E7168B" w:rsidP="004B11B7">
            <w:pPr>
              <w:jc w:val="right"/>
              <w:rPr>
                <w:color w:val="000000"/>
                <w:sz w:val="20"/>
                <w:szCs w:val="20"/>
              </w:rPr>
            </w:pPr>
            <w:r w:rsidRPr="00D618B7">
              <w:rPr>
                <w:color w:val="000000"/>
                <w:sz w:val="20"/>
                <w:szCs w:val="20"/>
              </w:rPr>
              <w:t>0.0002</w:t>
            </w:r>
          </w:p>
        </w:tc>
        <w:tc>
          <w:tcPr>
            <w:tcW w:w="1566" w:type="dxa"/>
            <w:tcBorders>
              <w:top w:val="nil"/>
              <w:left w:val="nil"/>
              <w:bottom w:val="nil"/>
              <w:right w:val="nil"/>
            </w:tcBorders>
            <w:shd w:val="clear" w:color="000000" w:fill="FFFFFF"/>
            <w:noWrap/>
            <w:vAlign w:val="center"/>
            <w:hideMark/>
          </w:tcPr>
          <w:p w14:paraId="5579A93B" w14:textId="77777777" w:rsidR="00E7168B" w:rsidRPr="00D618B7" w:rsidRDefault="00E7168B" w:rsidP="004B11B7">
            <w:pPr>
              <w:jc w:val="right"/>
              <w:rPr>
                <w:color w:val="000000"/>
                <w:sz w:val="20"/>
                <w:szCs w:val="20"/>
              </w:rPr>
            </w:pPr>
            <w:r w:rsidRPr="00D618B7">
              <w:rPr>
                <w:color w:val="000000"/>
                <w:sz w:val="20"/>
                <w:szCs w:val="20"/>
              </w:rPr>
              <w:t>-0.0002</w:t>
            </w:r>
          </w:p>
        </w:tc>
        <w:tc>
          <w:tcPr>
            <w:tcW w:w="1090" w:type="dxa"/>
            <w:tcBorders>
              <w:top w:val="nil"/>
              <w:left w:val="nil"/>
              <w:bottom w:val="nil"/>
              <w:right w:val="nil"/>
            </w:tcBorders>
            <w:shd w:val="clear" w:color="000000" w:fill="FFFFFF"/>
            <w:noWrap/>
            <w:vAlign w:val="center"/>
            <w:hideMark/>
          </w:tcPr>
          <w:p w14:paraId="375E2ACE"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329CE9AB" w14:textId="77777777" w:rsidR="00E7168B" w:rsidRPr="00D618B7" w:rsidRDefault="00E7168B" w:rsidP="004B11B7">
            <w:pPr>
              <w:jc w:val="right"/>
              <w:rPr>
                <w:color w:val="000000"/>
                <w:sz w:val="20"/>
                <w:szCs w:val="20"/>
              </w:rPr>
            </w:pPr>
            <w:r w:rsidRPr="00D618B7">
              <w:rPr>
                <w:color w:val="000000"/>
                <w:sz w:val="20"/>
                <w:szCs w:val="20"/>
              </w:rPr>
              <w:t>-0.0021</w:t>
            </w:r>
          </w:p>
        </w:tc>
        <w:tc>
          <w:tcPr>
            <w:tcW w:w="1128" w:type="dxa"/>
            <w:tcBorders>
              <w:top w:val="nil"/>
              <w:left w:val="nil"/>
              <w:bottom w:val="nil"/>
              <w:right w:val="nil"/>
            </w:tcBorders>
            <w:shd w:val="clear" w:color="000000" w:fill="FFFFFF"/>
            <w:noWrap/>
            <w:vAlign w:val="center"/>
            <w:hideMark/>
          </w:tcPr>
          <w:p w14:paraId="48BD0DE0" w14:textId="77777777" w:rsidR="00E7168B" w:rsidRPr="00D618B7" w:rsidRDefault="00E7168B" w:rsidP="004B11B7">
            <w:pPr>
              <w:jc w:val="right"/>
              <w:rPr>
                <w:color w:val="000000"/>
                <w:sz w:val="20"/>
                <w:szCs w:val="20"/>
              </w:rPr>
            </w:pPr>
            <w:r w:rsidRPr="00D618B7">
              <w:rPr>
                <w:color w:val="000000"/>
                <w:sz w:val="20"/>
                <w:szCs w:val="20"/>
              </w:rPr>
              <w:t>0.0006</w:t>
            </w:r>
          </w:p>
        </w:tc>
      </w:tr>
      <w:tr w:rsidR="00E7168B" w:rsidRPr="00D618B7" w14:paraId="60286666" w14:textId="77777777" w:rsidTr="00E7168B">
        <w:trPr>
          <w:trHeight w:val="269"/>
        </w:trPr>
        <w:tc>
          <w:tcPr>
            <w:tcW w:w="1343" w:type="dxa"/>
            <w:tcBorders>
              <w:top w:val="nil"/>
              <w:left w:val="nil"/>
              <w:bottom w:val="nil"/>
              <w:right w:val="nil"/>
            </w:tcBorders>
            <w:shd w:val="clear" w:color="000000" w:fill="FFFFFF"/>
            <w:vAlign w:val="center"/>
            <w:hideMark/>
          </w:tcPr>
          <w:p w14:paraId="43012AF4" w14:textId="77777777" w:rsidR="00E7168B" w:rsidRPr="00D618B7" w:rsidRDefault="00E7168B" w:rsidP="004B11B7">
            <w:pPr>
              <w:jc w:val="right"/>
              <w:rPr>
                <w:color w:val="000000"/>
                <w:sz w:val="20"/>
                <w:szCs w:val="20"/>
              </w:rPr>
            </w:pPr>
            <w:r w:rsidRPr="00D618B7">
              <w:rPr>
                <w:color w:val="000000"/>
                <w:sz w:val="20"/>
                <w:szCs w:val="20"/>
              </w:rPr>
              <w:t>1</w:t>
            </w:r>
          </w:p>
        </w:tc>
        <w:tc>
          <w:tcPr>
            <w:tcW w:w="1036" w:type="dxa"/>
            <w:tcBorders>
              <w:top w:val="nil"/>
              <w:left w:val="nil"/>
              <w:bottom w:val="nil"/>
              <w:right w:val="nil"/>
            </w:tcBorders>
            <w:shd w:val="clear" w:color="000000" w:fill="FFFFFF"/>
            <w:noWrap/>
            <w:vAlign w:val="center"/>
            <w:hideMark/>
          </w:tcPr>
          <w:p w14:paraId="1ED9982D" w14:textId="77777777" w:rsidR="00E7168B" w:rsidRPr="00D618B7" w:rsidRDefault="00E7168B" w:rsidP="004B11B7">
            <w:pPr>
              <w:jc w:val="right"/>
              <w:rPr>
                <w:color w:val="000000"/>
                <w:sz w:val="20"/>
                <w:szCs w:val="20"/>
              </w:rPr>
            </w:pPr>
            <w:r w:rsidRPr="00D618B7">
              <w:rPr>
                <w:color w:val="000000"/>
                <w:sz w:val="20"/>
                <w:szCs w:val="20"/>
              </w:rPr>
              <w:t>0.0021</w:t>
            </w:r>
          </w:p>
        </w:tc>
        <w:tc>
          <w:tcPr>
            <w:tcW w:w="1101" w:type="dxa"/>
            <w:tcBorders>
              <w:top w:val="nil"/>
              <w:left w:val="nil"/>
              <w:bottom w:val="nil"/>
              <w:right w:val="nil"/>
            </w:tcBorders>
            <w:shd w:val="clear" w:color="000000" w:fill="FFFFFF"/>
            <w:noWrap/>
            <w:vAlign w:val="center"/>
            <w:hideMark/>
          </w:tcPr>
          <w:p w14:paraId="1CAFBF68" w14:textId="77777777" w:rsidR="00E7168B" w:rsidRPr="00D618B7" w:rsidRDefault="00E7168B" w:rsidP="004B11B7">
            <w:pPr>
              <w:jc w:val="right"/>
              <w:rPr>
                <w:color w:val="000000"/>
                <w:sz w:val="20"/>
                <w:szCs w:val="20"/>
              </w:rPr>
            </w:pPr>
            <w:r w:rsidRPr="00D618B7">
              <w:rPr>
                <w:color w:val="000000"/>
                <w:sz w:val="20"/>
                <w:szCs w:val="20"/>
              </w:rPr>
              <w:t>0.0008</w:t>
            </w:r>
          </w:p>
        </w:tc>
        <w:tc>
          <w:tcPr>
            <w:tcW w:w="1566" w:type="dxa"/>
            <w:tcBorders>
              <w:top w:val="nil"/>
              <w:left w:val="nil"/>
              <w:bottom w:val="nil"/>
              <w:right w:val="nil"/>
            </w:tcBorders>
            <w:shd w:val="clear" w:color="000000" w:fill="FFFFFF"/>
            <w:noWrap/>
            <w:vAlign w:val="center"/>
            <w:hideMark/>
          </w:tcPr>
          <w:p w14:paraId="1D4EB015" w14:textId="77777777" w:rsidR="00E7168B" w:rsidRPr="00D618B7" w:rsidRDefault="00E7168B" w:rsidP="004B11B7">
            <w:pPr>
              <w:jc w:val="right"/>
              <w:rPr>
                <w:color w:val="000000"/>
                <w:sz w:val="20"/>
                <w:szCs w:val="20"/>
              </w:rPr>
            </w:pPr>
            <w:r w:rsidRPr="00D618B7">
              <w:rPr>
                <w:color w:val="000000"/>
                <w:sz w:val="20"/>
                <w:szCs w:val="20"/>
              </w:rPr>
              <w:t>0.0005</w:t>
            </w:r>
          </w:p>
        </w:tc>
        <w:tc>
          <w:tcPr>
            <w:tcW w:w="1090" w:type="dxa"/>
            <w:tcBorders>
              <w:top w:val="nil"/>
              <w:left w:val="nil"/>
              <w:bottom w:val="nil"/>
              <w:right w:val="nil"/>
            </w:tcBorders>
            <w:shd w:val="clear" w:color="000000" w:fill="FFFFFF"/>
            <w:noWrap/>
            <w:vAlign w:val="center"/>
            <w:hideMark/>
          </w:tcPr>
          <w:p w14:paraId="6EC5CB0D"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350B9F1E" w14:textId="77777777" w:rsidR="00E7168B" w:rsidRPr="00D618B7" w:rsidRDefault="00E7168B" w:rsidP="004B11B7">
            <w:pPr>
              <w:jc w:val="right"/>
              <w:rPr>
                <w:color w:val="000000"/>
                <w:sz w:val="20"/>
                <w:szCs w:val="20"/>
              </w:rPr>
            </w:pPr>
            <w:r w:rsidRPr="00D618B7">
              <w:rPr>
                <w:color w:val="000000"/>
                <w:sz w:val="20"/>
                <w:szCs w:val="20"/>
              </w:rPr>
              <w:t>-0.0025</w:t>
            </w:r>
          </w:p>
        </w:tc>
        <w:tc>
          <w:tcPr>
            <w:tcW w:w="1128" w:type="dxa"/>
            <w:tcBorders>
              <w:top w:val="nil"/>
              <w:left w:val="nil"/>
              <w:bottom w:val="nil"/>
              <w:right w:val="nil"/>
            </w:tcBorders>
            <w:shd w:val="clear" w:color="000000" w:fill="FFFFFF"/>
            <w:noWrap/>
            <w:vAlign w:val="center"/>
            <w:hideMark/>
          </w:tcPr>
          <w:p w14:paraId="19E4233C" w14:textId="77777777" w:rsidR="00E7168B" w:rsidRPr="00D618B7" w:rsidRDefault="00E7168B" w:rsidP="004B11B7">
            <w:pPr>
              <w:jc w:val="right"/>
              <w:rPr>
                <w:color w:val="000000"/>
                <w:sz w:val="20"/>
                <w:szCs w:val="20"/>
              </w:rPr>
            </w:pPr>
            <w:r w:rsidRPr="00D618B7">
              <w:rPr>
                <w:color w:val="000000"/>
                <w:sz w:val="20"/>
                <w:szCs w:val="20"/>
              </w:rPr>
              <w:t>0.0009</w:t>
            </w:r>
          </w:p>
        </w:tc>
      </w:tr>
      <w:tr w:rsidR="00E7168B" w:rsidRPr="00D618B7" w14:paraId="46F96164" w14:textId="77777777" w:rsidTr="00E7168B">
        <w:trPr>
          <w:trHeight w:val="269"/>
        </w:trPr>
        <w:tc>
          <w:tcPr>
            <w:tcW w:w="1343" w:type="dxa"/>
            <w:tcBorders>
              <w:top w:val="nil"/>
              <w:left w:val="nil"/>
              <w:bottom w:val="nil"/>
              <w:right w:val="nil"/>
            </w:tcBorders>
            <w:shd w:val="clear" w:color="000000" w:fill="FFFFFF"/>
            <w:vAlign w:val="center"/>
            <w:hideMark/>
          </w:tcPr>
          <w:p w14:paraId="08ED3A57" w14:textId="77777777" w:rsidR="00E7168B" w:rsidRPr="00D618B7" w:rsidRDefault="00E7168B" w:rsidP="004B11B7">
            <w:pPr>
              <w:jc w:val="right"/>
              <w:rPr>
                <w:color w:val="000000"/>
                <w:sz w:val="20"/>
                <w:szCs w:val="20"/>
              </w:rPr>
            </w:pPr>
            <w:r w:rsidRPr="00D618B7">
              <w:rPr>
                <w:color w:val="000000"/>
                <w:sz w:val="20"/>
                <w:szCs w:val="20"/>
              </w:rPr>
              <w:t>2</w:t>
            </w:r>
          </w:p>
        </w:tc>
        <w:tc>
          <w:tcPr>
            <w:tcW w:w="1036" w:type="dxa"/>
            <w:tcBorders>
              <w:top w:val="nil"/>
              <w:left w:val="nil"/>
              <w:bottom w:val="nil"/>
              <w:right w:val="nil"/>
            </w:tcBorders>
            <w:shd w:val="clear" w:color="000000" w:fill="FFFFFF"/>
            <w:noWrap/>
            <w:vAlign w:val="center"/>
            <w:hideMark/>
          </w:tcPr>
          <w:p w14:paraId="0FE3C292" w14:textId="77777777" w:rsidR="00E7168B" w:rsidRPr="00D618B7" w:rsidRDefault="00E7168B" w:rsidP="004B11B7">
            <w:pPr>
              <w:jc w:val="right"/>
              <w:rPr>
                <w:color w:val="000000"/>
                <w:sz w:val="20"/>
                <w:szCs w:val="20"/>
              </w:rPr>
            </w:pPr>
            <w:r w:rsidRPr="00D618B7">
              <w:rPr>
                <w:color w:val="000000"/>
                <w:sz w:val="20"/>
                <w:szCs w:val="20"/>
              </w:rPr>
              <w:t>-0.0017</w:t>
            </w:r>
          </w:p>
        </w:tc>
        <w:tc>
          <w:tcPr>
            <w:tcW w:w="1101" w:type="dxa"/>
            <w:tcBorders>
              <w:top w:val="nil"/>
              <w:left w:val="nil"/>
              <w:bottom w:val="nil"/>
              <w:right w:val="nil"/>
            </w:tcBorders>
            <w:shd w:val="clear" w:color="000000" w:fill="FFFFFF"/>
            <w:noWrap/>
            <w:vAlign w:val="center"/>
            <w:hideMark/>
          </w:tcPr>
          <w:p w14:paraId="2FAC1FE6" w14:textId="77777777" w:rsidR="00E7168B" w:rsidRPr="00D618B7" w:rsidRDefault="00E7168B" w:rsidP="004B11B7">
            <w:pPr>
              <w:jc w:val="right"/>
              <w:rPr>
                <w:color w:val="000000"/>
                <w:sz w:val="20"/>
                <w:szCs w:val="20"/>
              </w:rPr>
            </w:pPr>
            <w:r w:rsidRPr="00D618B7">
              <w:rPr>
                <w:color w:val="000000"/>
                <w:sz w:val="20"/>
                <w:szCs w:val="20"/>
              </w:rPr>
              <w:t>0.0008</w:t>
            </w:r>
          </w:p>
        </w:tc>
        <w:tc>
          <w:tcPr>
            <w:tcW w:w="1566" w:type="dxa"/>
            <w:tcBorders>
              <w:top w:val="nil"/>
              <w:left w:val="nil"/>
              <w:bottom w:val="nil"/>
              <w:right w:val="nil"/>
            </w:tcBorders>
            <w:shd w:val="clear" w:color="000000" w:fill="FFFFFF"/>
            <w:noWrap/>
            <w:vAlign w:val="center"/>
            <w:hideMark/>
          </w:tcPr>
          <w:p w14:paraId="7950919E" w14:textId="77777777" w:rsidR="00E7168B" w:rsidRPr="00D618B7" w:rsidRDefault="00E7168B" w:rsidP="004B11B7">
            <w:pPr>
              <w:jc w:val="right"/>
              <w:rPr>
                <w:color w:val="000000"/>
                <w:sz w:val="20"/>
                <w:szCs w:val="20"/>
              </w:rPr>
            </w:pPr>
            <w:r w:rsidRPr="00D618B7">
              <w:rPr>
                <w:color w:val="000000"/>
                <w:sz w:val="20"/>
                <w:szCs w:val="20"/>
              </w:rPr>
              <w:t>-0.0002</w:t>
            </w:r>
          </w:p>
        </w:tc>
        <w:tc>
          <w:tcPr>
            <w:tcW w:w="1090" w:type="dxa"/>
            <w:tcBorders>
              <w:top w:val="nil"/>
              <w:left w:val="nil"/>
              <w:bottom w:val="nil"/>
              <w:right w:val="nil"/>
            </w:tcBorders>
            <w:shd w:val="clear" w:color="000000" w:fill="FFFFFF"/>
            <w:noWrap/>
            <w:vAlign w:val="center"/>
            <w:hideMark/>
          </w:tcPr>
          <w:p w14:paraId="22EF5D27" w14:textId="77777777" w:rsidR="00E7168B" w:rsidRPr="00D618B7" w:rsidRDefault="00E7168B" w:rsidP="004B11B7">
            <w:pPr>
              <w:jc w:val="right"/>
              <w:rPr>
                <w:color w:val="000000"/>
                <w:sz w:val="20"/>
                <w:szCs w:val="20"/>
              </w:rPr>
            </w:pPr>
            <w:r w:rsidRPr="00D618B7">
              <w:rPr>
                <w:color w:val="000000"/>
                <w:sz w:val="20"/>
                <w:szCs w:val="20"/>
              </w:rPr>
              <w:t>0.0001</w:t>
            </w:r>
          </w:p>
        </w:tc>
        <w:tc>
          <w:tcPr>
            <w:tcW w:w="1621" w:type="dxa"/>
            <w:tcBorders>
              <w:top w:val="nil"/>
              <w:left w:val="nil"/>
              <w:bottom w:val="nil"/>
              <w:right w:val="nil"/>
            </w:tcBorders>
            <w:shd w:val="clear" w:color="000000" w:fill="FFFFFF"/>
            <w:noWrap/>
            <w:vAlign w:val="center"/>
            <w:hideMark/>
          </w:tcPr>
          <w:p w14:paraId="53D5534B" w14:textId="77777777" w:rsidR="00E7168B" w:rsidRPr="00D618B7" w:rsidRDefault="00E7168B" w:rsidP="004B11B7">
            <w:pPr>
              <w:jc w:val="right"/>
              <w:rPr>
                <w:color w:val="000000"/>
                <w:sz w:val="20"/>
                <w:szCs w:val="20"/>
              </w:rPr>
            </w:pPr>
            <w:r w:rsidRPr="00D618B7">
              <w:rPr>
                <w:color w:val="000000"/>
                <w:sz w:val="20"/>
                <w:szCs w:val="20"/>
              </w:rPr>
              <w:t>0.0019</w:t>
            </w:r>
          </w:p>
        </w:tc>
        <w:tc>
          <w:tcPr>
            <w:tcW w:w="1128" w:type="dxa"/>
            <w:tcBorders>
              <w:top w:val="nil"/>
              <w:left w:val="nil"/>
              <w:bottom w:val="nil"/>
              <w:right w:val="nil"/>
            </w:tcBorders>
            <w:shd w:val="clear" w:color="000000" w:fill="FFFFFF"/>
            <w:noWrap/>
            <w:vAlign w:val="center"/>
            <w:hideMark/>
          </w:tcPr>
          <w:p w14:paraId="39E951F1" w14:textId="77777777" w:rsidR="00E7168B" w:rsidRPr="00D618B7" w:rsidRDefault="00E7168B" w:rsidP="004B11B7">
            <w:pPr>
              <w:jc w:val="right"/>
              <w:rPr>
                <w:color w:val="000000"/>
                <w:sz w:val="20"/>
                <w:szCs w:val="20"/>
              </w:rPr>
            </w:pPr>
            <w:r w:rsidRPr="00D618B7">
              <w:rPr>
                <w:color w:val="000000"/>
                <w:sz w:val="20"/>
                <w:szCs w:val="20"/>
              </w:rPr>
              <w:t>0.0005</w:t>
            </w:r>
          </w:p>
        </w:tc>
      </w:tr>
      <w:tr w:rsidR="00E7168B" w:rsidRPr="00D618B7" w14:paraId="236A197F" w14:textId="77777777" w:rsidTr="00E7168B">
        <w:trPr>
          <w:trHeight w:val="269"/>
        </w:trPr>
        <w:tc>
          <w:tcPr>
            <w:tcW w:w="1343" w:type="dxa"/>
            <w:tcBorders>
              <w:top w:val="nil"/>
              <w:left w:val="nil"/>
              <w:bottom w:val="nil"/>
              <w:right w:val="nil"/>
            </w:tcBorders>
            <w:shd w:val="clear" w:color="000000" w:fill="FFFFFF"/>
            <w:vAlign w:val="center"/>
            <w:hideMark/>
          </w:tcPr>
          <w:p w14:paraId="681A272C" w14:textId="77777777" w:rsidR="00E7168B" w:rsidRPr="00D618B7" w:rsidRDefault="00E7168B" w:rsidP="004B11B7">
            <w:pPr>
              <w:jc w:val="right"/>
              <w:rPr>
                <w:color w:val="000000"/>
                <w:sz w:val="20"/>
                <w:szCs w:val="20"/>
              </w:rPr>
            </w:pPr>
            <w:r w:rsidRPr="00D618B7">
              <w:rPr>
                <w:color w:val="000000"/>
                <w:sz w:val="20"/>
                <w:szCs w:val="20"/>
              </w:rPr>
              <w:t>3</w:t>
            </w:r>
          </w:p>
        </w:tc>
        <w:tc>
          <w:tcPr>
            <w:tcW w:w="1036" w:type="dxa"/>
            <w:tcBorders>
              <w:top w:val="nil"/>
              <w:left w:val="nil"/>
              <w:bottom w:val="nil"/>
              <w:right w:val="nil"/>
            </w:tcBorders>
            <w:shd w:val="clear" w:color="000000" w:fill="FFFFFF"/>
            <w:noWrap/>
            <w:vAlign w:val="center"/>
            <w:hideMark/>
          </w:tcPr>
          <w:p w14:paraId="4E5DA7C3" w14:textId="77777777" w:rsidR="00E7168B" w:rsidRPr="00D618B7" w:rsidRDefault="00E7168B" w:rsidP="004B11B7">
            <w:pPr>
              <w:jc w:val="right"/>
              <w:rPr>
                <w:color w:val="000000"/>
                <w:sz w:val="20"/>
                <w:szCs w:val="20"/>
              </w:rPr>
            </w:pPr>
            <w:r w:rsidRPr="00D618B7">
              <w:rPr>
                <w:color w:val="000000"/>
                <w:sz w:val="20"/>
                <w:szCs w:val="20"/>
              </w:rPr>
              <w:t>-0.0012</w:t>
            </w:r>
          </w:p>
        </w:tc>
        <w:tc>
          <w:tcPr>
            <w:tcW w:w="1101" w:type="dxa"/>
            <w:tcBorders>
              <w:top w:val="nil"/>
              <w:left w:val="nil"/>
              <w:bottom w:val="nil"/>
              <w:right w:val="nil"/>
            </w:tcBorders>
            <w:shd w:val="clear" w:color="000000" w:fill="FFFFFF"/>
            <w:noWrap/>
            <w:vAlign w:val="center"/>
            <w:hideMark/>
          </w:tcPr>
          <w:p w14:paraId="79F9C970" w14:textId="77777777" w:rsidR="00E7168B" w:rsidRPr="00D618B7" w:rsidRDefault="00E7168B" w:rsidP="004B11B7">
            <w:pPr>
              <w:jc w:val="right"/>
              <w:rPr>
                <w:color w:val="000000"/>
                <w:sz w:val="20"/>
                <w:szCs w:val="20"/>
              </w:rPr>
            </w:pPr>
            <w:r w:rsidRPr="00D618B7">
              <w:rPr>
                <w:color w:val="000000"/>
                <w:sz w:val="20"/>
                <w:szCs w:val="20"/>
              </w:rPr>
              <w:t>0.0004</w:t>
            </w:r>
          </w:p>
        </w:tc>
        <w:tc>
          <w:tcPr>
            <w:tcW w:w="1566" w:type="dxa"/>
            <w:tcBorders>
              <w:top w:val="nil"/>
              <w:left w:val="nil"/>
              <w:bottom w:val="nil"/>
              <w:right w:val="nil"/>
            </w:tcBorders>
            <w:shd w:val="clear" w:color="000000" w:fill="FFFFFF"/>
            <w:noWrap/>
            <w:vAlign w:val="center"/>
            <w:hideMark/>
          </w:tcPr>
          <w:p w14:paraId="7EB1D993" w14:textId="77777777" w:rsidR="00E7168B" w:rsidRPr="00D618B7" w:rsidRDefault="00E7168B" w:rsidP="004B11B7">
            <w:pPr>
              <w:jc w:val="right"/>
              <w:rPr>
                <w:color w:val="000000"/>
                <w:sz w:val="20"/>
                <w:szCs w:val="20"/>
              </w:rPr>
            </w:pPr>
            <w:r w:rsidRPr="00D618B7">
              <w:rPr>
                <w:color w:val="000000"/>
                <w:sz w:val="20"/>
                <w:szCs w:val="20"/>
              </w:rPr>
              <w:t>-0.0007</w:t>
            </w:r>
          </w:p>
        </w:tc>
        <w:tc>
          <w:tcPr>
            <w:tcW w:w="1090" w:type="dxa"/>
            <w:tcBorders>
              <w:top w:val="nil"/>
              <w:left w:val="nil"/>
              <w:bottom w:val="nil"/>
              <w:right w:val="nil"/>
            </w:tcBorders>
            <w:shd w:val="clear" w:color="000000" w:fill="FFFFFF"/>
            <w:noWrap/>
            <w:vAlign w:val="center"/>
            <w:hideMark/>
          </w:tcPr>
          <w:p w14:paraId="07F4E167" w14:textId="77777777" w:rsidR="00E7168B" w:rsidRPr="00D618B7" w:rsidRDefault="00E7168B" w:rsidP="004B11B7">
            <w:pPr>
              <w:jc w:val="right"/>
              <w:rPr>
                <w:color w:val="000000"/>
                <w:sz w:val="20"/>
                <w:szCs w:val="20"/>
              </w:rPr>
            </w:pPr>
            <w:r w:rsidRPr="00D618B7">
              <w:rPr>
                <w:color w:val="000000"/>
                <w:sz w:val="20"/>
                <w:szCs w:val="20"/>
              </w:rPr>
              <w:t>0.0003</w:t>
            </w:r>
          </w:p>
        </w:tc>
        <w:tc>
          <w:tcPr>
            <w:tcW w:w="1621" w:type="dxa"/>
            <w:tcBorders>
              <w:top w:val="nil"/>
              <w:left w:val="nil"/>
              <w:bottom w:val="nil"/>
              <w:right w:val="nil"/>
            </w:tcBorders>
            <w:shd w:val="clear" w:color="000000" w:fill="FFFFFF"/>
            <w:noWrap/>
            <w:vAlign w:val="center"/>
            <w:hideMark/>
          </w:tcPr>
          <w:p w14:paraId="5877EFC7" w14:textId="77777777" w:rsidR="00E7168B" w:rsidRPr="00D618B7" w:rsidRDefault="00E7168B" w:rsidP="004B11B7">
            <w:pPr>
              <w:jc w:val="right"/>
              <w:rPr>
                <w:color w:val="000000"/>
                <w:sz w:val="20"/>
                <w:szCs w:val="20"/>
              </w:rPr>
            </w:pPr>
            <w:r w:rsidRPr="00D618B7">
              <w:rPr>
                <w:color w:val="000000"/>
                <w:sz w:val="20"/>
                <w:szCs w:val="20"/>
              </w:rPr>
              <w:t>0.0022</w:t>
            </w:r>
          </w:p>
        </w:tc>
        <w:tc>
          <w:tcPr>
            <w:tcW w:w="1128" w:type="dxa"/>
            <w:tcBorders>
              <w:top w:val="nil"/>
              <w:left w:val="nil"/>
              <w:bottom w:val="nil"/>
              <w:right w:val="nil"/>
            </w:tcBorders>
            <w:shd w:val="clear" w:color="000000" w:fill="FFFFFF"/>
            <w:noWrap/>
            <w:vAlign w:val="center"/>
            <w:hideMark/>
          </w:tcPr>
          <w:p w14:paraId="0C368A73" w14:textId="77777777" w:rsidR="00E7168B" w:rsidRPr="00D618B7" w:rsidRDefault="00E7168B" w:rsidP="004B11B7">
            <w:pPr>
              <w:jc w:val="right"/>
              <w:rPr>
                <w:color w:val="000000"/>
                <w:sz w:val="20"/>
                <w:szCs w:val="20"/>
              </w:rPr>
            </w:pPr>
            <w:r w:rsidRPr="00D618B7">
              <w:rPr>
                <w:color w:val="000000"/>
                <w:sz w:val="20"/>
                <w:szCs w:val="20"/>
              </w:rPr>
              <w:t>0.0008</w:t>
            </w:r>
          </w:p>
        </w:tc>
      </w:tr>
      <w:tr w:rsidR="00E7168B" w:rsidRPr="00D618B7" w14:paraId="72A0B695" w14:textId="77777777" w:rsidTr="00E7168B">
        <w:trPr>
          <w:trHeight w:val="269"/>
        </w:trPr>
        <w:tc>
          <w:tcPr>
            <w:tcW w:w="1343" w:type="dxa"/>
            <w:tcBorders>
              <w:top w:val="nil"/>
              <w:left w:val="nil"/>
              <w:right w:val="nil"/>
            </w:tcBorders>
            <w:shd w:val="clear" w:color="000000" w:fill="FFFFFF"/>
            <w:vAlign w:val="center"/>
            <w:hideMark/>
          </w:tcPr>
          <w:p w14:paraId="3860EE0F" w14:textId="77777777" w:rsidR="00E7168B" w:rsidRPr="00D618B7" w:rsidRDefault="00E7168B" w:rsidP="004B11B7">
            <w:pPr>
              <w:jc w:val="right"/>
              <w:rPr>
                <w:color w:val="000000"/>
                <w:sz w:val="20"/>
                <w:szCs w:val="20"/>
              </w:rPr>
            </w:pPr>
            <w:r w:rsidRPr="00D618B7">
              <w:rPr>
                <w:color w:val="000000"/>
                <w:sz w:val="20"/>
                <w:szCs w:val="20"/>
              </w:rPr>
              <w:t>4</w:t>
            </w:r>
          </w:p>
        </w:tc>
        <w:tc>
          <w:tcPr>
            <w:tcW w:w="1036" w:type="dxa"/>
            <w:tcBorders>
              <w:top w:val="nil"/>
              <w:left w:val="nil"/>
              <w:right w:val="nil"/>
            </w:tcBorders>
            <w:shd w:val="clear" w:color="000000" w:fill="FFFFFF"/>
            <w:noWrap/>
            <w:vAlign w:val="center"/>
            <w:hideMark/>
          </w:tcPr>
          <w:p w14:paraId="799995E1" w14:textId="77777777" w:rsidR="00E7168B" w:rsidRPr="00D618B7" w:rsidRDefault="00E7168B" w:rsidP="004B11B7">
            <w:pPr>
              <w:jc w:val="right"/>
              <w:rPr>
                <w:color w:val="000000"/>
                <w:sz w:val="20"/>
                <w:szCs w:val="20"/>
              </w:rPr>
            </w:pPr>
            <w:r w:rsidRPr="00D618B7">
              <w:rPr>
                <w:color w:val="000000"/>
                <w:sz w:val="20"/>
                <w:szCs w:val="20"/>
              </w:rPr>
              <w:t>0.0005</w:t>
            </w:r>
          </w:p>
        </w:tc>
        <w:tc>
          <w:tcPr>
            <w:tcW w:w="1101" w:type="dxa"/>
            <w:tcBorders>
              <w:top w:val="nil"/>
              <w:left w:val="nil"/>
              <w:right w:val="nil"/>
            </w:tcBorders>
            <w:shd w:val="clear" w:color="000000" w:fill="FFFFFF"/>
            <w:noWrap/>
            <w:vAlign w:val="center"/>
            <w:hideMark/>
          </w:tcPr>
          <w:p w14:paraId="1417D02D" w14:textId="77777777" w:rsidR="00E7168B" w:rsidRPr="00D618B7" w:rsidRDefault="00E7168B" w:rsidP="004B11B7">
            <w:pPr>
              <w:jc w:val="right"/>
              <w:rPr>
                <w:color w:val="000000"/>
                <w:sz w:val="20"/>
                <w:szCs w:val="20"/>
              </w:rPr>
            </w:pPr>
            <w:r w:rsidRPr="00D618B7">
              <w:rPr>
                <w:color w:val="000000"/>
                <w:sz w:val="20"/>
                <w:szCs w:val="20"/>
              </w:rPr>
              <w:t>0.0006</w:t>
            </w:r>
          </w:p>
        </w:tc>
        <w:tc>
          <w:tcPr>
            <w:tcW w:w="1566" w:type="dxa"/>
            <w:tcBorders>
              <w:top w:val="nil"/>
              <w:left w:val="nil"/>
              <w:right w:val="nil"/>
            </w:tcBorders>
            <w:shd w:val="clear" w:color="000000" w:fill="FFFFFF"/>
            <w:noWrap/>
            <w:vAlign w:val="center"/>
            <w:hideMark/>
          </w:tcPr>
          <w:p w14:paraId="709A1680" w14:textId="77777777" w:rsidR="00E7168B" w:rsidRPr="00D618B7" w:rsidRDefault="00E7168B" w:rsidP="004B11B7">
            <w:pPr>
              <w:jc w:val="right"/>
              <w:rPr>
                <w:color w:val="000000"/>
                <w:sz w:val="20"/>
                <w:szCs w:val="20"/>
              </w:rPr>
            </w:pPr>
            <w:r w:rsidRPr="00D618B7">
              <w:rPr>
                <w:color w:val="000000"/>
                <w:sz w:val="20"/>
                <w:szCs w:val="20"/>
              </w:rPr>
              <w:t>0.0005</w:t>
            </w:r>
          </w:p>
        </w:tc>
        <w:tc>
          <w:tcPr>
            <w:tcW w:w="1090" w:type="dxa"/>
            <w:tcBorders>
              <w:top w:val="nil"/>
              <w:left w:val="nil"/>
              <w:right w:val="nil"/>
            </w:tcBorders>
            <w:shd w:val="clear" w:color="000000" w:fill="FFFFFF"/>
            <w:noWrap/>
            <w:vAlign w:val="center"/>
            <w:hideMark/>
          </w:tcPr>
          <w:p w14:paraId="625E29A1" w14:textId="77777777" w:rsidR="00E7168B" w:rsidRPr="00D618B7" w:rsidRDefault="00E7168B" w:rsidP="004B11B7">
            <w:pPr>
              <w:jc w:val="right"/>
              <w:rPr>
                <w:color w:val="000000"/>
                <w:sz w:val="20"/>
                <w:szCs w:val="20"/>
              </w:rPr>
            </w:pPr>
            <w:r w:rsidRPr="00D618B7">
              <w:rPr>
                <w:color w:val="000000"/>
                <w:sz w:val="20"/>
                <w:szCs w:val="20"/>
              </w:rPr>
              <w:t>0.0001</w:t>
            </w:r>
          </w:p>
        </w:tc>
        <w:tc>
          <w:tcPr>
            <w:tcW w:w="1621" w:type="dxa"/>
            <w:tcBorders>
              <w:top w:val="nil"/>
              <w:left w:val="nil"/>
              <w:right w:val="nil"/>
            </w:tcBorders>
            <w:shd w:val="clear" w:color="000000" w:fill="FFFFFF"/>
            <w:noWrap/>
            <w:vAlign w:val="center"/>
            <w:hideMark/>
          </w:tcPr>
          <w:p w14:paraId="516FEC84" w14:textId="77777777" w:rsidR="00E7168B" w:rsidRPr="00D618B7" w:rsidRDefault="00E7168B" w:rsidP="004B11B7">
            <w:pPr>
              <w:jc w:val="right"/>
              <w:rPr>
                <w:color w:val="000000"/>
                <w:sz w:val="20"/>
                <w:szCs w:val="20"/>
              </w:rPr>
            </w:pPr>
            <w:r w:rsidRPr="00D618B7">
              <w:rPr>
                <w:color w:val="000000"/>
                <w:sz w:val="20"/>
                <w:szCs w:val="20"/>
              </w:rPr>
              <w:t>-0.0008</w:t>
            </w:r>
          </w:p>
        </w:tc>
        <w:tc>
          <w:tcPr>
            <w:tcW w:w="1128" w:type="dxa"/>
            <w:tcBorders>
              <w:top w:val="nil"/>
              <w:left w:val="nil"/>
              <w:right w:val="nil"/>
            </w:tcBorders>
            <w:shd w:val="clear" w:color="000000" w:fill="FFFFFF"/>
            <w:noWrap/>
            <w:vAlign w:val="center"/>
            <w:hideMark/>
          </w:tcPr>
          <w:p w14:paraId="4DD1546D" w14:textId="77777777" w:rsidR="00E7168B" w:rsidRPr="00D618B7" w:rsidRDefault="00E7168B" w:rsidP="004B11B7">
            <w:pPr>
              <w:jc w:val="right"/>
              <w:rPr>
                <w:color w:val="000000"/>
                <w:sz w:val="20"/>
                <w:szCs w:val="20"/>
              </w:rPr>
            </w:pPr>
            <w:r w:rsidRPr="00D618B7">
              <w:rPr>
                <w:color w:val="000000"/>
                <w:sz w:val="20"/>
                <w:szCs w:val="20"/>
              </w:rPr>
              <w:t>0.0008</w:t>
            </w:r>
          </w:p>
        </w:tc>
      </w:tr>
      <w:tr w:rsidR="00E7168B" w:rsidRPr="00D618B7" w14:paraId="0DAFD160" w14:textId="77777777" w:rsidTr="00E7168B">
        <w:trPr>
          <w:trHeight w:val="269"/>
        </w:trPr>
        <w:tc>
          <w:tcPr>
            <w:tcW w:w="1343" w:type="dxa"/>
            <w:tcBorders>
              <w:top w:val="nil"/>
              <w:left w:val="nil"/>
              <w:bottom w:val="single" w:sz="18" w:space="0" w:color="auto"/>
              <w:right w:val="nil"/>
            </w:tcBorders>
            <w:shd w:val="clear" w:color="000000" w:fill="FFFFFF"/>
            <w:vAlign w:val="center"/>
            <w:hideMark/>
          </w:tcPr>
          <w:p w14:paraId="1A895BEE" w14:textId="77777777" w:rsidR="00E7168B" w:rsidRPr="00D618B7" w:rsidRDefault="00E7168B" w:rsidP="004B11B7">
            <w:pPr>
              <w:jc w:val="right"/>
              <w:rPr>
                <w:color w:val="000000"/>
                <w:sz w:val="20"/>
                <w:szCs w:val="20"/>
              </w:rPr>
            </w:pPr>
            <w:r w:rsidRPr="00D618B7">
              <w:rPr>
                <w:color w:val="000000"/>
                <w:sz w:val="20"/>
                <w:szCs w:val="20"/>
              </w:rPr>
              <w:t>5</w:t>
            </w:r>
          </w:p>
        </w:tc>
        <w:tc>
          <w:tcPr>
            <w:tcW w:w="1036" w:type="dxa"/>
            <w:tcBorders>
              <w:top w:val="nil"/>
              <w:left w:val="nil"/>
              <w:bottom w:val="single" w:sz="18" w:space="0" w:color="auto"/>
              <w:right w:val="nil"/>
            </w:tcBorders>
            <w:shd w:val="clear" w:color="000000" w:fill="FFFFFF"/>
            <w:noWrap/>
            <w:vAlign w:val="center"/>
            <w:hideMark/>
          </w:tcPr>
          <w:p w14:paraId="22987F39" w14:textId="77777777" w:rsidR="00E7168B" w:rsidRPr="00D618B7" w:rsidRDefault="00E7168B" w:rsidP="004B11B7">
            <w:pPr>
              <w:jc w:val="right"/>
              <w:rPr>
                <w:color w:val="000000"/>
                <w:sz w:val="20"/>
                <w:szCs w:val="20"/>
              </w:rPr>
            </w:pPr>
            <w:r w:rsidRPr="00D618B7">
              <w:rPr>
                <w:color w:val="000000"/>
                <w:sz w:val="20"/>
                <w:szCs w:val="20"/>
              </w:rPr>
              <w:t>0.0028</w:t>
            </w:r>
          </w:p>
        </w:tc>
        <w:tc>
          <w:tcPr>
            <w:tcW w:w="1101" w:type="dxa"/>
            <w:tcBorders>
              <w:top w:val="nil"/>
              <w:left w:val="nil"/>
              <w:bottom w:val="single" w:sz="18" w:space="0" w:color="auto"/>
              <w:right w:val="nil"/>
            </w:tcBorders>
            <w:shd w:val="clear" w:color="000000" w:fill="FFFFFF"/>
            <w:noWrap/>
            <w:vAlign w:val="center"/>
            <w:hideMark/>
          </w:tcPr>
          <w:p w14:paraId="4F55654E" w14:textId="77777777" w:rsidR="00E7168B" w:rsidRPr="00D618B7" w:rsidRDefault="00E7168B" w:rsidP="004B11B7">
            <w:pPr>
              <w:jc w:val="right"/>
              <w:rPr>
                <w:color w:val="000000"/>
                <w:sz w:val="20"/>
                <w:szCs w:val="20"/>
              </w:rPr>
            </w:pPr>
            <w:r w:rsidRPr="00D618B7">
              <w:rPr>
                <w:color w:val="000000"/>
                <w:sz w:val="20"/>
                <w:szCs w:val="20"/>
              </w:rPr>
              <w:t>0.0023</w:t>
            </w:r>
          </w:p>
        </w:tc>
        <w:tc>
          <w:tcPr>
            <w:tcW w:w="1566" w:type="dxa"/>
            <w:tcBorders>
              <w:top w:val="nil"/>
              <w:left w:val="nil"/>
              <w:bottom w:val="single" w:sz="18" w:space="0" w:color="auto"/>
              <w:right w:val="nil"/>
            </w:tcBorders>
            <w:shd w:val="clear" w:color="000000" w:fill="FFFFFF"/>
            <w:noWrap/>
            <w:vAlign w:val="center"/>
            <w:hideMark/>
          </w:tcPr>
          <w:p w14:paraId="1A1C32A3" w14:textId="77777777" w:rsidR="00E7168B" w:rsidRPr="00D618B7" w:rsidRDefault="00E7168B" w:rsidP="004B11B7">
            <w:pPr>
              <w:jc w:val="right"/>
              <w:rPr>
                <w:color w:val="000000"/>
                <w:sz w:val="20"/>
                <w:szCs w:val="20"/>
              </w:rPr>
            </w:pPr>
            <w:r w:rsidRPr="00D618B7">
              <w:rPr>
                <w:color w:val="000000"/>
                <w:sz w:val="20"/>
                <w:szCs w:val="20"/>
              </w:rPr>
              <w:t>0.0002</w:t>
            </w:r>
          </w:p>
        </w:tc>
        <w:tc>
          <w:tcPr>
            <w:tcW w:w="1090" w:type="dxa"/>
            <w:tcBorders>
              <w:top w:val="nil"/>
              <w:left w:val="nil"/>
              <w:bottom w:val="single" w:sz="18" w:space="0" w:color="auto"/>
              <w:right w:val="nil"/>
            </w:tcBorders>
            <w:shd w:val="clear" w:color="000000" w:fill="FFFFFF"/>
            <w:noWrap/>
            <w:vAlign w:val="center"/>
            <w:hideMark/>
          </w:tcPr>
          <w:p w14:paraId="46CF4DC3" w14:textId="77777777" w:rsidR="00E7168B" w:rsidRPr="00D618B7" w:rsidRDefault="00E7168B" w:rsidP="004B11B7">
            <w:pPr>
              <w:jc w:val="right"/>
              <w:rPr>
                <w:color w:val="000000"/>
                <w:sz w:val="20"/>
                <w:szCs w:val="20"/>
              </w:rPr>
            </w:pPr>
            <w:r w:rsidRPr="00D618B7">
              <w:rPr>
                <w:color w:val="000000"/>
                <w:sz w:val="20"/>
                <w:szCs w:val="20"/>
              </w:rPr>
              <w:t>0.0006</w:t>
            </w:r>
          </w:p>
        </w:tc>
        <w:tc>
          <w:tcPr>
            <w:tcW w:w="1621" w:type="dxa"/>
            <w:tcBorders>
              <w:top w:val="nil"/>
              <w:left w:val="nil"/>
              <w:bottom w:val="single" w:sz="18" w:space="0" w:color="auto"/>
              <w:right w:val="nil"/>
            </w:tcBorders>
            <w:shd w:val="clear" w:color="000000" w:fill="FFFFFF"/>
            <w:noWrap/>
            <w:vAlign w:val="center"/>
            <w:hideMark/>
          </w:tcPr>
          <w:p w14:paraId="19E714AC" w14:textId="77777777" w:rsidR="00E7168B" w:rsidRPr="00D618B7" w:rsidRDefault="00E7168B" w:rsidP="004B11B7">
            <w:pPr>
              <w:jc w:val="right"/>
              <w:rPr>
                <w:color w:val="000000"/>
                <w:sz w:val="20"/>
                <w:szCs w:val="20"/>
              </w:rPr>
            </w:pPr>
            <w:r w:rsidRPr="00D618B7">
              <w:rPr>
                <w:color w:val="000000"/>
                <w:sz w:val="20"/>
                <w:szCs w:val="20"/>
              </w:rPr>
              <w:t>-0.0018</w:t>
            </w:r>
          </w:p>
        </w:tc>
        <w:tc>
          <w:tcPr>
            <w:tcW w:w="1128" w:type="dxa"/>
            <w:tcBorders>
              <w:top w:val="nil"/>
              <w:left w:val="nil"/>
              <w:bottom w:val="single" w:sz="18" w:space="0" w:color="auto"/>
              <w:right w:val="nil"/>
            </w:tcBorders>
            <w:shd w:val="clear" w:color="000000" w:fill="FFFFFF"/>
            <w:noWrap/>
            <w:vAlign w:val="center"/>
            <w:hideMark/>
          </w:tcPr>
          <w:p w14:paraId="5110D45D" w14:textId="77777777" w:rsidR="00E7168B" w:rsidRPr="00D618B7" w:rsidRDefault="00E7168B" w:rsidP="004B11B7">
            <w:pPr>
              <w:jc w:val="right"/>
              <w:rPr>
                <w:color w:val="000000"/>
                <w:sz w:val="20"/>
                <w:szCs w:val="20"/>
              </w:rPr>
            </w:pPr>
            <w:r w:rsidRPr="00D618B7">
              <w:rPr>
                <w:color w:val="000000"/>
                <w:sz w:val="20"/>
                <w:szCs w:val="20"/>
              </w:rPr>
              <w:t>0.0019</w:t>
            </w:r>
          </w:p>
        </w:tc>
      </w:tr>
      <w:tr w:rsidR="00E7168B" w:rsidRPr="00D618B7" w14:paraId="1308E9DE" w14:textId="77777777" w:rsidTr="00E7168B">
        <w:trPr>
          <w:trHeight w:val="269"/>
        </w:trPr>
        <w:tc>
          <w:tcPr>
            <w:tcW w:w="1343" w:type="dxa"/>
            <w:tcBorders>
              <w:top w:val="single" w:sz="18" w:space="0" w:color="auto"/>
              <w:left w:val="nil"/>
              <w:bottom w:val="nil"/>
              <w:right w:val="nil"/>
            </w:tcBorders>
            <w:shd w:val="clear" w:color="000000" w:fill="FFFFFF"/>
            <w:noWrap/>
            <w:vAlign w:val="bottom"/>
            <w:hideMark/>
          </w:tcPr>
          <w:p w14:paraId="2CFFFE55" w14:textId="77777777" w:rsidR="00E7168B" w:rsidRPr="00D618B7" w:rsidRDefault="00E7168B" w:rsidP="004B11B7">
            <w:pPr>
              <w:rPr>
                <w:color w:val="000000"/>
                <w:sz w:val="20"/>
                <w:szCs w:val="20"/>
              </w:rPr>
            </w:pPr>
            <w:r w:rsidRPr="00D618B7">
              <w:rPr>
                <w:color w:val="000000"/>
                <w:sz w:val="20"/>
                <w:szCs w:val="20"/>
              </w:rPr>
              <w:t> </w:t>
            </w:r>
          </w:p>
        </w:tc>
        <w:tc>
          <w:tcPr>
            <w:tcW w:w="7545" w:type="dxa"/>
            <w:gridSpan w:val="6"/>
            <w:tcBorders>
              <w:top w:val="single" w:sz="18" w:space="0" w:color="auto"/>
              <w:left w:val="nil"/>
              <w:bottom w:val="nil"/>
              <w:right w:val="nil"/>
            </w:tcBorders>
            <w:shd w:val="clear" w:color="000000" w:fill="FFFFFF"/>
            <w:noWrap/>
            <w:vAlign w:val="center"/>
            <w:hideMark/>
          </w:tcPr>
          <w:p w14:paraId="73CCCE07" w14:textId="77777777" w:rsidR="00E7168B" w:rsidRPr="00D618B7" w:rsidRDefault="00E7168B" w:rsidP="004B11B7">
            <w:pPr>
              <w:jc w:val="center"/>
              <w:rPr>
                <w:color w:val="000000"/>
                <w:sz w:val="20"/>
                <w:szCs w:val="20"/>
              </w:rPr>
            </w:pPr>
            <w:r w:rsidRPr="00D618B7">
              <w:rPr>
                <w:color w:val="000000"/>
                <w:sz w:val="20"/>
                <w:szCs w:val="20"/>
              </w:rPr>
              <w:t>Toy-in-Reach</w:t>
            </w:r>
          </w:p>
        </w:tc>
      </w:tr>
      <w:tr w:rsidR="00E7168B" w:rsidRPr="00D618B7" w14:paraId="7BF22742" w14:textId="77777777" w:rsidTr="00E7168B">
        <w:trPr>
          <w:trHeight w:val="269"/>
        </w:trPr>
        <w:tc>
          <w:tcPr>
            <w:tcW w:w="1343" w:type="dxa"/>
            <w:tcBorders>
              <w:top w:val="nil"/>
              <w:left w:val="nil"/>
              <w:bottom w:val="nil"/>
              <w:right w:val="nil"/>
            </w:tcBorders>
            <w:shd w:val="clear" w:color="000000" w:fill="FFFFFF"/>
            <w:vAlign w:val="center"/>
            <w:hideMark/>
          </w:tcPr>
          <w:p w14:paraId="58009EEC" w14:textId="77777777" w:rsidR="00E7168B" w:rsidRPr="00D618B7" w:rsidRDefault="00E7168B" w:rsidP="004B11B7">
            <w:pPr>
              <w:jc w:val="right"/>
              <w:rPr>
                <w:color w:val="000000"/>
                <w:sz w:val="20"/>
                <w:szCs w:val="20"/>
              </w:rPr>
            </w:pPr>
            <w:r w:rsidRPr="00D618B7">
              <w:rPr>
                <w:color w:val="000000"/>
                <w:sz w:val="20"/>
                <w:szCs w:val="20"/>
              </w:rPr>
              <w:t>-5</w:t>
            </w:r>
          </w:p>
        </w:tc>
        <w:tc>
          <w:tcPr>
            <w:tcW w:w="1036" w:type="dxa"/>
            <w:tcBorders>
              <w:top w:val="nil"/>
              <w:left w:val="nil"/>
              <w:bottom w:val="nil"/>
              <w:right w:val="nil"/>
            </w:tcBorders>
            <w:shd w:val="clear" w:color="000000" w:fill="FFFFFF"/>
            <w:noWrap/>
            <w:vAlign w:val="center"/>
            <w:hideMark/>
          </w:tcPr>
          <w:p w14:paraId="2ADDA332" w14:textId="77777777" w:rsidR="00E7168B" w:rsidRPr="00D618B7" w:rsidRDefault="00E7168B" w:rsidP="004B11B7">
            <w:pPr>
              <w:jc w:val="right"/>
              <w:rPr>
                <w:color w:val="000000"/>
                <w:sz w:val="20"/>
                <w:szCs w:val="20"/>
              </w:rPr>
            </w:pPr>
            <w:r w:rsidRPr="00D618B7">
              <w:rPr>
                <w:color w:val="000000"/>
                <w:sz w:val="20"/>
                <w:szCs w:val="20"/>
              </w:rPr>
              <w:t>0.0028</w:t>
            </w:r>
          </w:p>
        </w:tc>
        <w:tc>
          <w:tcPr>
            <w:tcW w:w="1101" w:type="dxa"/>
            <w:tcBorders>
              <w:top w:val="nil"/>
              <w:left w:val="nil"/>
              <w:bottom w:val="nil"/>
              <w:right w:val="nil"/>
            </w:tcBorders>
            <w:shd w:val="clear" w:color="000000" w:fill="FFFFFF"/>
            <w:noWrap/>
            <w:vAlign w:val="center"/>
            <w:hideMark/>
          </w:tcPr>
          <w:p w14:paraId="13CA7861" w14:textId="77777777" w:rsidR="00E7168B" w:rsidRPr="00D618B7" w:rsidRDefault="00E7168B" w:rsidP="004B11B7">
            <w:pPr>
              <w:jc w:val="right"/>
              <w:rPr>
                <w:color w:val="000000"/>
                <w:sz w:val="20"/>
                <w:szCs w:val="20"/>
              </w:rPr>
            </w:pPr>
            <w:r w:rsidRPr="00D618B7">
              <w:rPr>
                <w:color w:val="000000"/>
                <w:sz w:val="20"/>
                <w:szCs w:val="20"/>
              </w:rPr>
              <w:t>0.0013</w:t>
            </w:r>
          </w:p>
        </w:tc>
        <w:tc>
          <w:tcPr>
            <w:tcW w:w="1566" w:type="dxa"/>
            <w:tcBorders>
              <w:top w:val="nil"/>
              <w:left w:val="nil"/>
              <w:bottom w:val="nil"/>
              <w:right w:val="nil"/>
            </w:tcBorders>
            <w:shd w:val="clear" w:color="000000" w:fill="FFFFFF"/>
            <w:noWrap/>
            <w:vAlign w:val="center"/>
            <w:hideMark/>
          </w:tcPr>
          <w:p w14:paraId="5978D217" w14:textId="77777777" w:rsidR="00E7168B" w:rsidRPr="00D618B7" w:rsidRDefault="00E7168B" w:rsidP="004B11B7">
            <w:pPr>
              <w:jc w:val="right"/>
              <w:rPr>
                <w:color w:val="000000"/>
                <w:sz w:val="20"/>
                <w:szCs w:val="20"/>
              </w:rPr>
            </w:pPr>
            <w:r w:rsidRPr="00D618B7">
              <w:rPr>
                <w:color w:val="000000"/>
                <w:sz w:val="20"/>
                <w:szCs w:val="20"/>
              </w:rPr>
              <w:t>0.0009</w:t>
            </w:r>
          </w:p>
        </w:tc>
        <w:tc>
          <w:tcPr>
            <w:tcW w:w="1090" w:type="dxa"/>
            <w:tcBorders>
              <w:top w:val="nil"/>
              <w:left w:val="nil"/>
              <w:bottom w:val="nil"/>
              <w:right w:val="nil"/>
            </w:tcBorders>
            <w:shd w:val="clear" w:color="000000" w:fill="FFFFFF"/>
            <w:noWrap/>
            <w:vAlign w:val="center"/>
            <w:hideMark/>
          </w:tcPr>
          <w:p w14:paraId="0B20A6AF"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7EA73161" w14:textId="77777777" w:rsidR="00E7168B" w:rsidRPr="00D618B7" w:rsidRDefault="00E7168B" w:rsidP="004B11B7">
            <w:pPr>
              <w:jc w:val="right"/>
              <w:rPr>
                <w:color w:val="000000"/>
                <w:sz w:val="20"/>
                <w:szCs w:val="20"/>
              </w:rPr>
            </w:pPr>
            <w:r w:rsidRPr="00D618B7">
              <w:rPr>
                <w:color w:val="000000"/>
                <w:sz w:val="20"/>
                <w:szCs w:val="20"/>
              </w:rPr>
              <w:t>0.0007</w:t>
            </w:r>
          </w:p>
        </w:tc>
        <w:tc>
          <w:tcPr>
            <w:tcW w:w="1128" w:type="dxa"/>
            <w:tcBorders>
              <w:top w:val="nil"/>
              <w:left w:val="nil"/>
              <w:bottom w:val="nil"/>
              <w:right w:val="nil"/>
            </w:tcBorders>
            <w:shd w:val="clear" w:color="000000" w:fill="FFFFFF"/>
            <w:noWrap/>
            <w:vAlign w:val="center"/>
            <w:hideMark/>
          </w:tcPr>
          <w:p w14:paraId="6F1E6413" w14:textId="77777777" w:rsidR="00E7168B" w:rsidRPr="00D618B7" w:rsidRDefault="00E7168B" w:rsidP="004B11B7">
            <w:pPr>
              <w:jc w:val="right"/>
              <w:rPr>
                <w:color w:val="000000"/>
                <w:sz w:val="20"/>
                <w:szCs w:val="20"/>
              </w:rPr>
            </w:pPr>
            <w:r w:rsidRPr="00D618B7">
              <w:rPr>
                <w:color w:val="000000"/>
                <w:sz w:val="20"/>
                <w:szCs w:val="20"/>
              </w:rPr>
              <w:t>0.0005</w:t>
            </w:r>
          </w:p>
        </w:tc>
      </w:tr>
      <w:tr w:rsidR="00E7168B" w:rsidRPr="00D618B7" w14:paraId="04A43320" w14:textId="77777777" w:rsidTr="00E7168B">
        <w:trPr>
          <w:trHeight w:val="269"/>
        </w:trPr>
        <w:tc>
          <w:tcPr>
            <w:tcW w:w="1343" w:type="dxa"/>
            <w:tcBorders>
              <w:top w:val="nil"/>
              <w:left w:val="nil"/>
              <w:bottom w:val="nil"/>
              <w:right w:val="nil"/>
            </w:tcBorders>
            <w:shd w:val="clear" w:color="000000" w:fill="FFFFFF"/>
            <w:vAlign w:val="center"/>
            <w:hideMark/>
          </w:tcPr>
          <w:p w14:paraId="13D900A5" w14:textId="77777777" w:rsidR="00E7168B" w:rsidRPr="00D618B7" w:rsidRDefault="00E7168B" w:rsidP="004B11B7">
            <w:pPr>
              <w:jc w:val="right"/>
              <w:rPr>
                <w:color w:val="000000"/>
                <w:sz w:val="20"/>
                <w:szCs w:val="20"/>
              </w:rPr>
            </w:pPr>
            <w:r w:rsidRPr="00D618B7">
              <w:rPr>
                <w:color w:val="000000"/>
                <w:sz w:val="20"/>
                <w:szCs w:val="20"/>
              </w:rPr>
              <w:t>-4</w:t>
            </w:r>
          </w:p>
        </w:tc>
        <w:tc>
          <w:tcPr>
            <w:tcW w:w="1036" w:type="dxa"/>
            <w:tcBorders>
              <w:top w:val="nil"/>
              <w:left w:val="nil"/>
              <w:bottom w:val="nil"/>
              <w:right w:val="nil"/>
            </w:tcBorders>
            <w:shd w:val="clear" w:color="000000" w:fill="FFFFFF"/>
            <w:noWrap/>
            <w:vAlign w:val="center"/>
            <w:hideMark/>
          </w:tcPr>
          <w:p w14:paraId="06FA828D" w14:textId="77777777" w:rsidR="00E7168B" w:rsidRPr="00D618B7" w:rsidRDefault="00E7168B" w:rsidP="004B11B7">
            <w:pPr>
              <w:jc w:val="right"/>
              <w:rPr>
                <w:color w:val="000000"/>
                <w:sz w:val="20"/>
                <w:szCs w:val="20"/>
              </w:rPr>
            </w:pPr>
            <w:r w:rsidRPr="00D618B7">
              <w:rPr>
                <w:color w:val="000000"/>
                <w:sz w:val="20"/>
                <w:szCs w:val="20"/>
              </w:rPr>
              <w:t>-0.0016</w:t>
            </w:r>
          </w:p>
        </w:tc>
        <w:tc>
          <w:tcPr>
            <w:tcW w:w="1101" w:type="dxa"/>
            <w:tcBorders>
              <w:top w:val="nil"/>
              <w:left w:val="nil"/>
              <w:bottom w:val="nil"/>
              <w:right w:val="nil"/>
            </w:tcBorders>
            <w:shd w:val="clear" w:color="000000" w:fill="FFFFFF"/>
            <w:noWrap/>
            <w:vAlign w:val="center"/>
            <w:hideMark/>
          </w:tcPr>
          <w:p w14:paraId="536F0F12" w14:textId="77777777" w:rsidR="00E7168B" w:rsidRPr="00D618B7" w:rsidRDefault="00E7168B" w:rsidP="004B11B7">
            <w:pPr>
              <w:jc w:val="right"/>
              <w:rPr>
                <w:color w:val="000000"/>
                <w:sz w:val="20"/>
                <w:szCs w:val="20"/>
              </w:rPr>
            </w:pPr>
            <w:r w:rsidRPr="00D618B7">
              <w:rPr>
                <w:color w:val="000000"/>
                <w:sz w:val="20"/>
                <w:szCs w:val="20"/>
              </w:rPr>
              <w:t>0.0015</w:t>
            </w:r>
          </w:p>
        </w:tc>
        <w:tc>
          <w:tcPr>
            <w:tcW w:w="1566" w:type="dxa"/>
            <w:tcBorders>
              <w:top w:val="nil"/>
              <w:left w:val="nil"/>
              <w:bottom w:val="nil"/>
              <w:right w:val="nil"/>
            </w:tcBorders>
            <w:shd w:val="clear" w:color="000000" w:fill="FFFFFF"/>
            <w:noWrap/>
            <w:vAlign w:val="center"/>
            <w:hideMark/>
          </w:tcPr>
          <w:p w14:paraId="66A21A0D" w14:textId="77777777" w:rsidR="00E7168B" w:rsidRPr="00D618B7" w:rsidRDefault="00E7168B" w:rsidP="004B11B7">
            <w:pPr>
              <w:jc w:val="right"/>
              <w:rPr>
                <w:color w:val="000000"/>
                <w:sz w:val="20"/>
                <w:szCs w:val="20"/>
              </w:rPr>
            </w:pPr>
            <w:r w:rsidRPr="00D618B7">
              <w:rPr>
                <w:color w:val="000000"/>
                <w:sz w:val="20"/>
                <w:szCs w:val="20"/>
              </w:rPr>
              <w:t>-0.0007</w:t>
            </w:r>
          </w:p>
        </w:tc>
        <w:tc>
          <w:tcPr>
            <w:tcW w:w="1090" w:type="dxa"/>
            <w:tcBorders>
              <w:top w:val="nil"/>
              <w:left w:val="nil"/>
              <w:bottom w:val="nil"/>
              <w:right w:val="nil"/>
            </w:tcBorders>
            <w:shd w:val="clear" w:color="000000" w:fill="FFFFFF"/>
            <w:noWrap/>
            <w:vAlign w:val="center"/>
            <w:hideMark/>
          </w:tcPr>
          <w:p w14:paraId="73CE4FDE" w14:textId="77777777" w:rsidR="00E7168B" w:rsidRPr="00D618B7" w:rsidRDefault="00E7168B" w:rsidP="004B11B7">
            <w:pPr>
              <w:jc w:val="right"/>
              <w:rPr>
                <w:color w:val="000000"/>
                <w:sz w:val="20"/>
                <w:szCs w:val="20"/>
              </w:rPr>
            </w:pPr>
            <w:r w:rsidRPr="00D618B7">
              <w:rPr>
                <w:color w:val="000000"/>
                <w:sz w:val="20"/>
                <w:szCs w:val="20"/>
              </w:rPr>
              <w:t>0.0001</w:t>
            </w:r>
          </w:p>
        </w:tc>
        <w:tc>
          <w:tcPr>
            <w:tcW w:w="1621" w:type="dxa"/>
            <w:tcBorders>
              <w:top w:val="nil"/>
              <w:left w:val="nil"/>
              <w:bottom w:val="nil"/>
              <w:right w:val="nil"/>
            </w:tcBorders>
            <w:shd w:val="clear" w:color="000000" w:fill="FFFFFF"/>
            <w:noWrap/>
            <w:vAlign w:val="center"/>
            <w:hideMark/>
          </w:tcPr>
          <w:p w14:paraId="4CDAEE1C" w14:textId="77777777" w:rsidR="00E7168B" w:rsidRPr="00D618B7" w:rsidRDefault="00E7168B" w:rsidP="004B11B7">
            <w:pPr>
              <w:jc w:val="right"/>
              <w:rPr>
                <w:color w:val="000000"/>
                <w:sz w:val="20"/>
                <w:szCs w:val="20"/>
              </w:rPr>
            </w:pPr>
            <w:r w:rsidRPr="00D618B7">
              <w:rPr>
                <w:color w:val="000000"/>
                <w:sz w:val="20"/>
                <w:szCs w:val="20"/>
              </w:rPr>
              <w:t>-0.0008</w:t>
            </w:r>
          </w:p>
        </w:tc>
        <w:tc>
          <w:tcPr>
            <w:tcW w:w="1128" w:type="dxa"/>
            <w:tcBorders>
              <w:top w:val="nil"/>
              <w:left w:val="nil"/>
              <w:bottom w:val="nil"/>
              <w:right w:val="nil"/>
            </w:tcBorders>
            <w:shd w:val="clear" w:color="000000" w:fill="FFFFFF"/>
            <w:noWrap/>
            <w:vAlign w:val="center"/>
            <w:hideMark/>
          </w:tcPr>
          <w:p w14:paraId="05ED88C2" w14:textId="77777777" w:rsidR="00E7168B" w:rsidRPr="00D618B7" w:rsidRDefault="00E7168B" w:rsidP="004B11B7">
            <w:pPr>
              <w:jc w:val="right"/>
              <w:rPr>
                <w:color w:val="000000"/>
                <w:sz w:val="20"/>
                <w:szCs w:val="20"/>
              </w:rPr>
            </w:pPr>
            <w:r w:rsidRPr="00D618B7">
              <w:rPr>
                <w:color w:val="000000"/>
                <w:sz w:val="20"/>
                <w:szCs w:val="20"/>
              </w:rPr>
              <w:t>0.0004</w:t>
            </w:r>
          </w:p>
        </w:tc>
      </w:tr>
      <w:tr w:rsidR="00E7168B" w:rsidRPr="00D618B7" w14:paraId="7D93323D" w14:textId="77777777" w:rsidTr="00E7168B">
        <w:trPr>
          <w:trHeight w:val="269"/>
        </w:trPr>
        <w:tc>
          <w:tcPr>
            <w:tcW w:w="1343" w:type="dxa"/>
            <w:tcBorders>
              <w:top w:val="nil"/>
              <w:left w:val="nil"/>
              <w:bottom w:val="nil"/>
              <w:right w:val="nil"/>
            </w:tcBorders>
            <w:shd w:val="clear" w:color="000000" w:fill="FFFFFF"/>
            <w:vAlign w:val="center"/>
            <w:hideMark/>
          </w:tcPr>
          <w:p w14:paraId="2A4A1264" w14:textId="77777777" w:rsidR="00E7168B" w:rsidRPr="00D618B7" w:rsidRDefault="00E7168B" w:rsidP="004B11B7">
            <w:pPr>
              <w:jc w:val="right"/>
              <w:rPr>
                <w:color w:val="000000"/>
                <w:sz w:val="20"/>
                <w:szCs w:val="20"/>
              </w:rPr>
            </w:pPr>
            <w:r w:rsidRPr="00D618B7">
              <w:rPr>
                <w:color w:val="000000"/>
                <w:sz w:val="20"/>
                <w:szCs w:val="20"/>
              </w:rPr>
              <w:t>-3</w:t>
            </w:r>
          </w:p>
        </w:tc>
        <w:tc>
          <w:tcPr>
            <w:tcW w:w="1036" w:type="dxa"/>
            <w:tcBorders>
              <w:top w:val="nil"/>
              <w:left w:val="nil"/>
              <w:bottom w:val="nil"/>
              <w:right w:val="nil"/>
            </w:tcBorders>
            <w:shd w:val="clear" w:color="000000" w:fill="FFFFFF"/>
            <w:noWrap/>
            <w:vAlign w:val="center"/>
            <w:hideMark/>
          </w:tcPr>
          <w:p w14:paraId="76B04FE8" w14:textId="77777777" w:rsidR="00E7168B" w:rsidRPr="00D618B7" w:rsidRDefault="00E7168B" w:rsidP="004B11B7">
            <w:pPr>
              <w:jc w:val="right"/>
              <w:rPr>
                <w:color w:val="000000"/>
                <w:sz w:val="20"/>
                <w:szCs w:val="20"/>
              </w:rPr>
            </w:pPr>
            <w:r w:rsidRPr="00D618B7">
              <w:rPr>
                <w:color w:val="000000"/>
                <w:sz w:val="20"/>
                <w:szCs w:val="20"/>
              </w:rPr>
              <w:t>0.0018</w:t>
            </w:r>
          </w:p>
        </w:tc>
        <w:tc>
          <w:tcPr>
            <w:tcW w:w="1101" w:type="dxa"/>
            <w:tcBorders>
              <w:top w:val="nil"/>
              <w:left w:val="nil"/>
              <w:bottom w:val="nil"/>
              <w:right w:val="nil"/>
            </w:tcBorders>
            <w:shd w:val="clear" w:color="000000" w:fill="FFFFFF"/>
            <w:noWrap/>
            <w:vAlign w:val="center"/>
            <w:hideMark/>
          </w:tcPr>
          <w:p w14:paraId="64F65F5B" w14:textId="77777777" w:rsidR="00E7168B" w:rsidRPr="00D618B7" w:rsidRDefault="00E7168B" w:rsidP="004B11B7">
            <w:pPr>
              <w:jc w:val="right"/>
              <w:rPr>
                <w:color w:val="000000"/>
                <w:sz w:val="20"/>
                <w:szCs w:val="20"/>
              </w:rPr>
            </w:pPr>
            <w:r w:rsidRPr="00D618B7">
              <w:rPr>
                <w:color w:val="000000"/>
                <w:sz w:val="20"/>
                <w:szCs w:val="20"/>
              </w:rPr>
              <w:t>0.0015</w:t>
            </w:r>
          </w:p>
        </w:tc>
        <w:tc>
          <w:tcPr>
            <w:tcW w:w="1566" w:type="dxa"/>
            <w:tcBorders>
              <w:top w:val="nil"/>
              <w:left w:val="nil"/>
              <w:bottom w:val="nil"/>
              <w:right w:val="nil"/>
            </w:tcBorders>
            <w:shd w:val="clear" w:color="000000" w:fill="FFFFFF"/>
            <w:noWrap/>
            <w:vAlign w:val="center"/>
            <w:hideMark/>
          </w:tcPr>
          <w:p w14:paraId="5AB50B6F" w14:textId="77777777" w:rsidR="00E7168B" w:rsidRPr="00D618B7" w:rsidRDefault="00E7168B" w:rsidP="004B11B7">
            <w:pPr>
              <w:jc w:val="right"/>
              <w:rPr>
                <w:color w:val="000000"/>
                <w:sz w:val="20"/>
                <w:szCs w:val="20"/>
              </w:rPr>
            </w:pPr>
            <w:r w:rsidRPr="00D618B7">
              <w:rPr>
                <w:color w:val="000000"/>
                <w:sz w:val="20"/>
                <w:szCs w:val="20"/>
              </w:rPr>
              <w:t>0.0001</w:t>
            </w:r>
          </w:p>
        </w:tc>
        <w:tc>
          <w:tcPr>
            <w:tcW w:w="1090" w:type="dxa"/>
            <w:tcBorders>
              <w:top w:val="nil"/>
              <w:left w:val="nil"/>
              <w:bottom w:val="nil"/>
              <w:right w:val="nil"/>
            </w:tcBorders>
            <w:shd w:val="clear" w:color="000000" w:fill="FFFFFF"/>
            <w:noWrap/>
            <w:vAlign w:val="center"/>
            <w:hideMark/>
          </w:tcPr>
          <w:p w14:paraId="6E84984F"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6FD3F99F" w14:textId="77777777" w:rsidR="00E7168B" w:rsidRPr="00D618B7" w:rsidRDefault="00E7168B" w:rsidP="004B11B7">
            <w:pPr>
              <w:jc w:val="right"/>
              <w:rPr>
                <w:color w:val="000000"/>
                <w:sz w:val="20"/>
                <w:szCs w:val="20"/>
              </w:rPr>
            </w:pPr>
            <w:r w:rsidRPr="00D618B7">
              <w:rPr>
                <w:color w:val="000000"/>
                <w:sz w:val="20"/>
                <w:szCs w:val="20"/>
              </w:rPr>
              <w:t>0.0000</w:t>
            </w:r>
          </w:p>
        </w:tc>
        <w:tc>
          <w:tcPr>
            <w:tcW w:w="1128" w:type="dxa"/>
            <w:tcBorders>
              <w:top w:val="nil"/>
              <w:left w:val="nil"/>
              <w:bottom w:val="nil"/>
              <w:right w:val="nil"/>
            </w:tcBorders>
            <w:shd w:val="clear" w:color="000000" w:fill="FFFFFF"/>
            <w:noWrap/>
            <w:vAlign w:val="center"/>
            <w:hideMark/>
          </w:tcPr>
          <w:p w14:paraId="321C2A65" w14:textId="77777777" w:rsidR="00E7168B" w:rsidRPr="00D618B7" w:rsidRDefault="00E7168B" w:rsidP="004B11B7">
            <w:pPr>
              <w:jc w:val="right"/>
              <w:rPr>
                <w:color w:val="000000"/>
                <w:sz w:val="20"/>
                <w:szCs w:val="20"/>
              </w:rPr>
            </w:pPr>
            <w:r w:rsidRPr="00D618B7">
              <w:rPr>
                <w:color w:val="000000"/>
                <w:sz w:val="20"/>
                <w:szCs w:val="20"/>
              </w:rPr>
              <w:t>0.0003</w:t>
            </w:r>
          </w:p>
        </w:tc>
      </w:tr>
      <w:tr w:rsidR="00E7168B" w:rsidRPr="00D618B7" w14:paraId="3459014B" w14:textId="77777777" w:rsidTr="00E7168B">
        <w:trPr>
          <w:trHeight w:val="269"/>
        </w:trPr>
        <w:tc>
          <w:tcPr>
            <w:tcW w:w="1343" w:type="dxa"/>
            <w:tcBorders>
              <w:top w:val="nil"/>
              <w:left w:val="nil"/>
              <w:bottom w:val="nil"/>
              <w:right w:val="nil"/>
            </w:tcBorders>
            <w:shd w:val="clear" w:color="000000" w:fill="FFFFFF"/>
            <w:vAlign w:val="center"/>
            <w:hideMark/>
          </w:tcPr>
          <w:p w14:paraId="12FB4E4A" w14:textId="77777777" w:rsidR="00E7168B" w:rsidRPr="00D618B7" w:rsidRDefault="00E7168B" w:rsidP="004B11B7">
            <w:pPr>
              <w:jc w:val="right"/>
              <w:rPr>
                <w:color w:val="000000"/>
                <w:sz w:val="20"/>
                <w:szCs w:val="20"/>
              </w:rPr>
            </w:pPr>
            <w:r w:rsidRPr="00D618B7">
              <w:rPr>
                <w:color w:val="000000"/>
                <w:sz w:val="20"/>
                <w:szCs w:val="20"/>
              </w:rPr>
              <w:t>-2</w:t>
            </w:r>
          </w:p>
        </w:tc>
        <w:tc>
          <w:tcPr>
            <w:tcW w:w="1036" w:type="dxa"/>
            <w:tcBorders>
              <w:top w:val="nil"/>
              <w:left w:val="nil"/>
              <w:bottom w:val="nil"/>
              <w:right w:val="nil"/>
            </w:tcBorders>
            <w:shd w:val="clear" w:color="000000" w:fill="FFFFFF"/>
            <w:noWrap/>
            <w:vAlign w:val="center"/>
            <w:hideMark/>
          </w:tcPr>
          <w:p w14:paraId="4DF737BC" w14:textId="77777777" w:rsidR="00E7168B" w:rsidRPr="00D618B7" w:rsidRDefault="00E7168B" w:rsidP="004B11B7">
            <w:pPr>
              <w:jc w:val="right"/>
              <w:rPr>
                <w:color w:val="000000"/>
                <w:sz w:val="20"/>
                <w:szCs w:val="20"/>
              </w:rPr>
            </w:pPr>
            <w:r w:rsidRPr="00D618B7">
              <w:rPr>
                <w:color w:val="000000"/>
                <w:sz w:val="20"/>
                <w:szCs w:val="20"/>
              </w:rPr>
              <w:t>-0.0014</w:t>
            </w:r>
          </w:p>
        </w:tc>
        <w:tc>
          <w:tcPr>
            <w:tcW w:w="1101" w:type="dxa"/>
            <w:tcBorders>
              <w:top w:val="nil"/>
              <w:left w:val="nil"/>
              <w:bottom w:val="nil"/>
              <w:right w:val="nil"/>
            </w:tcBorders>
            <w:shd w:val="clear" w:color="000000" w:fill="FFFFFF"/>
            <w:noWrap/>
            <w:vAlign w:val="center"/>
            <w:hideMark/>
          </w:tcPr>
          <w:p w14:paraId="202212BF" w14:textId="77777777" w:rsidR="00E7168B" w:rsidRPr="00D618B7" w:rsidRDefault="00E7168B" w:rsidP="004B11B7">
            <w:pPr>
              <w:jc w:val="right"/>
              <w:rPr>
                <w:color w:val="000000"/>
                <w:sz w:val="20"/>
                <w:szCs w:val="20"/>
              </w:rPr>
            </w:pPr>
            <w:r w:rsidRPr="00D618B7">
              <w:rPr>
                <w:color w:val="000000"/>
                <w:sz w:val="20"/>
                <w:szCs w:val="20"/>
              </w:rPr>
              <w:t>0.0010</w:t>
            </w:r>
          </w:p>
        </w:tc>
        <w:tc>
          <w:tcPr>
            <w:tcW w:w="1566" w:type="dxa"/>
            <w:tcBorders>
              <w:top w:val="nil"/>
              <w:left w:val="nil"/>
              <w:bottom w:val="nil"/>
              <w:right w:val="nil"/>
            </w:tcBorders>
            <w:shd w:val="clear" w:color="000000" w:fill="FFFFFF"/>
            <w:noWrap/>
            <w:vAlign w:val="center"/>
            <w:hideMark/>
          </w:tcPr>
          <w:p w14:paraId="5635EEFE" w14:textId="77777777" w:rsidR="00E7168B" w:rsidRPr="00D618B7" w:rsidRDefault="00E7168B" w:rsidP="004B11B7">
            <w:pPr>
              <w:jc w:val="right"/>
              <w:rPr>
                <w:color w:val="000000"/>
                <w:sz w:val="20"/>
                <w:szCs w:val="20"/>
              </w:rPr>
            </w:pPr>
            <w:r w:rsidRPr="00D618B7">
              <w:rPr>
                <w:color w:val="000000"/>
                <w:sz w:val="20"/>
                <w:szCs w:val="20"/>
              </w:rPr>
              <w:t>0.0003</w:t>
            </w:r>
          </w:p>
        </w:tc>
        <w:tc>
          <w:tcPr>
            <w:tcW w:w="1090" w:type="dxa"/>
            <w:tcBorders>
              <w:top w:val="nil"/>
              <w:left w:val="nil"/>
              <w:bottom w:val="nil"/>
              <w:right w:val="nil"/>
            </w:tcBorders>
            <w:shd w:val="clear" w:color="000000" w:fill="FFFFFF"/>
            <w:noWrap/>
            <w:vAlign w:val="center"/>
            <w:hideMark/>
          </w:tcPr>
          <w:p w14:paraId="6E1E7CA8" w14:textId="77777777" w:rsidR="00E7168B" w:rsidRPr="00D618B7" w:rsidRDefault="00E7168B" w:rsidP="004B11B7">
            <w:pPr>
              <w:jc w:val="right"/>
              <w:rPr>
                <w:color w:val="000000"/>
                <w:sz w:val="20"/>
                <w:szCs w:val="20"/>
              </w:rPr>
            </w:pPr>
            <w:r w:rsidRPr="00D618B7">
              <w:rPr>
                <w:color w:val="000000"/>
                <w:sz w:val="20"/>
                <w:szCs w:val="20"/>
              </w:rPr>
              <w:t>0.0001</w:t>
            </w:r>
          </w:p>
        </w:tc>
        <w:tc>
          <w:tcPr>
            <w:tcW w:w="1621" w:type="dxa"/>
            <w:tcBorders>
              <w:top w:val="nil"/>
              <w:left w:val="nil"/>
              <w:bottom w:val="nil"/>
              <w:right w:val="nil"/>
            </w:tcBorders>
            <w:shd w:val="clear" w:color="000000" w:fill="FFFFFF"/>
            <w:noWrap/>
            <w:vAlign w:val="center"/>
            <w:hideMark/>
          </w:tcPr>
          <w:p w14:paraId="22A138F0" w14:textId="77777777" w:rsidR="00E7168B" w:rsidRPr="00D618B7" w:rsidRDefault="00E7168B" w:rsidP="004B11B7">
            <w:pPr>
              <w:jc w:val="right"/>
              <w:rPr>
                <w:color w:val="000000"/>
                <w:sz w:val="20"/>
                <w:szCs w:val="20"/>
              </w:rPr>
            </w:pPr>
            <w:r w:rsidRPr="00D618B7">
              <w:rPr>
                <w:color w:val="000000"/>
                <w:sz w:val="20"/>
                <w:szCs w:val="20"/>
              </w:rPr>
              <w:t>0.0007</w:t>
            </w:r>
          </w:p>
        </w:tc>
        <w:tc>
          <w:tcPr>
            <w:tcW w:w="1128" w:type="dxa"/>
            <w:tcBorders>
              <w:top w:val="nil"/>
              <w:left w:val="nil"/>
              <w:bottom w:val="nil"/>
              <w:right w:val="nil"/>
            </w:tcBorders>
            <w:shd w:val="clear" w:color="000000" w:fill="FFFFFF"/>
            <w:noWrap/>
            <w:vAlign w:val="center"/>
            <w:hideMark/>
          </w:tcPr>
          <w:p w14:paraId="1E120510" w14:textId="77777777" w:rsidR="00E7168B" w:rsidRPr="00D618B7" w:rsidRDefault="00E7168B" w:rsidP="004B11B7">
            <w:pPr>
              <w:jc w:val="right"/>
              <w:rPr>
                <w:color w:val="000000"/>
                <w:sz w:val="20"/>
                <w:szCs w:val="20"/>
              </w:rPr>
            </w:pPr>
            <w:r w:rsidRPr="00D618B7">
              <w:rPr>
                <w:color w:val="000000"/>
                <w:sz w:val="20"/>
                <w:szCs w:val="20"/>
              </w:rPr>
              <w:t>0.0004</w:t>
            </w:r>
          </w:p>
        </w:tc>
      </w:tr>
      <w:tr w:rsidR="00E7168B" w:rsidRPr="00D618B7" w14:paraId="6F0F6AA8" w14:textId="77777777" w:rsidTr="00E7168B">
        <w:trPr>
          <w:trHeight w:val="269"/>
        </w:trPr>
        <w:tc>
          <w:tcPr>
            <w:tcW w:w="1343" w:type="dxa"/>
            <w:tcBorders>
              <w:top w:val="nil"/>
              <w:left w:val="nil"/>
              <w:bottom w:val="nil"/>
              <w:right w:val="nil"/>
            </w:tcBorders>
            <w:shd w:val="clear" w:color="000000" w:fill="FFFFFF"/>
            <w:vAlign w:val="center"/>
            <w:hideMark/>
          </w:tcPr>
          <w:p w14:paraId="559362DA" w14:textId="77777777" w:rsidR="00E7168B" w:rsidRPr="00D618B7" w:rsidRDefault="00E7168B" w:rsidP="004B11B7">
            <w:pPr>
              <w:jc w:val="right"/>
              <w:rPr>
                <w:color w:val="000000"/>
                <w:sz w:val="20"/>
                <w:szCs w:val="20"/>
              </w:rPr>
            </w:pPr>
            <w:r w:rsidRPr="00D618B7">
              <w:rPr>
                <w:color w:val="000000"/>
                <w:sz w:val="20"/>
                <w:szCs w:val="20"/>
              </w:rPr>
              <w:t>-1</w:t>
            </w:r>
          </w:p>
        </w:tc>
        <w:tc>
          <w:tcPr>
            <w:tcW w:w="1036" w:type="dxa"/>
            <w:tcBorders>
              <w:top w:val="nil"/>
              <w:left w:val="nil"/>
              <w:bottom w:val="nil"/>
              <w:right w:val="nil"/>
            </w:tcBorders>
            <w:shd w:val="clear" w:color="000000" w:fill="FFFFFF"/>
            <w:noWrap/>
            <w:vAlign w:val="center"/>
            <w:hideMark/>
          </w:tcPr>
          <w:p w14:paraId="12441F69" w14:textId="77777777" w:rsidR="00E7168B" w:rsidRPr="00D618B7" w:rsidRDefault="00E7168B" w:rsidP="004B11B7">
            <w:pPr>
              <w:jc w:val="right"/>
              <w:rPr>
                <w:color w:val="000000"/>
                <w:sz w:val="20"/>
                <w:szCs w:val="20"/>
              </w:rPr>
            </w:pPr>
            <w:r w:rsidRPr="00D618B7">
              <w:rPr>
                <w:color w:val="000000"/>
                <w:sz w:val="20"/>
                <w:szCs w:val="20"/>
              </w:rPr>
              <w:t>-0.0006</w:t>
            </w:r>
          </w:p>
        </w:tc>
        <w:tc>
          <w:tcPr>
            <w:tcW w:w="1101" w:type="dxa"/>
            <w:tcBorders>
              <w:top w:val="nil"/>
              <w:left w:val="nil"/>
              <w:bottom w:val="nil"/>
              <w:right w:val="nil"/>
            </w:tcBorders>
            <w:shd w:val="clear" w:color="000000" w:fill="FFFFFF"/>
            <w:noWrap/>
            <w:vAlign w:val="center"/>
            <w:hideMark/>
          </w:tcPr>
          <w:p w14:paraId="5A75CD4B" w14:textId="77777777" w:rsidR="00E7168B" w:rsidRPr="00D618B7" w:rsidRDefault="00E7168B" w:rsidP="004B11B7">
            <w:pPr>
              <w:jc w:val="right"/>
              <w:rPr>
                <w:color w:val="000000"/>
                <w:sz w:val="20"/>
                <w:szCs w:val="20"/>
              </w:rPr>
            </w:pPr>
            <w:r w:rsidRPr="00D618B7">
              <w:rPr>
                <w:color w:val="000000"/>
                <w:sz w:val="20"/>
                <w:szCs w:val="20"/>
              </w:rPr>
              <w:t>0.0001</w:t>
            </w:r>
          </w:p>
        </w:tc>
        <w:tc>
          <w:tcPr>
            <w:tcW w:w="1566" w:type="dxa"/>
            <w:tcBorders>
              <w:top w:val="nil"/>
              <w:left w:val="nil"/>
              <w:bottom w:val="nil"/>
              <w:right w:val="nil"/>
            </w:tcBorders>
            <w:shd w:val="clear" w:color="000000" w:fill="FFFFFF"/>
            <w:noWrap/>
            <w:vAlign w:val="center"/>
            <w:hideMark/>
          </w:tcPr>
          <w:p w14:paraId="7451A164" w14:textId="77777777" w:rsidR="00E7168B" w:rsidRPr="00D618B7" w:rsidRDefault="00E7168B" w:rsidP="004B11B7">
            <w:pPr>
              <w:jc w:val="right"/>
              <w:rPr>
                <w:color w:val="000000"/>
                <w:sz w:val="20"/>
                <w:szCs w:val="20"/>
              </w:rPr>
            </w:pPr>
            <w:r w:rsidRPr="00D618B7">
              <w:rPr>
                <w:color w:val="000000"/>
                <w:sz w:val="20"/>
                <w:szCs w:val="20"/>
              </w:rPr>
              <w:t>-0.0001</w:t>
            </w:r>
          </w:p>
        </w:tc>
        <w:tc>
          <w:tcPr>
            <w:tcW w:w="1090" w:type="dxa"/>
            <w:tcBorders>
              <w:top w:val="nil"/>
              <w:left w:val="nil"/>
              <w:bottom w:val="nil"/>
              <w:right w:val="nil"/>
            </w:tcBorders>
            <w:shd w:val="clear" w:color="000000" w:fill="FFFFFF"/>
            <w:noWrap/>
            <w:vAlign w:val="center"/>
            <w:hideMark/>
          </w:tcPr>
          <w:p w14:paraId="7AA96FC9"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513278F7" w14:textId="77777777" w:rsidR="00E7168B" w:rsidRPr="00D618B7" w:rsidRDefault="00E7168B" w:rsidP="004B11B7">
            <w:pPr>
              <w:jc w:val="right"/>
              <w:rPr>
                <w:color w:val="000000"/>
                <w:sz w:val="20"/>
                <w:szCs w:val="20"/>
              </w:rPr>
            </w:pPr>
            <w:r w:rsidRPr="00D618B7">
              <w:rPr>
                <w:color w:val="000000"/>
                <w:sz w:val="20"/>
                <w:szCs w:val="20"/>
              </w:rPr>
              <w:t>0.0003</w:t>
            </w:r>
          </w:p>
        </w:tc>
        <w:tc>
          <w:tcPr>
            <w:tcW w:w="1128" w:type="dxa"/>
            <w:tcBorders>
              <w:top w:val="nil"/>
              <w:left w:val="nil"/>
              <w:bottom w:val="nil"/>
              <w:right w:val="nil"/>
            </w:tcBorders>
            <w:shd w:val="clear" w:color="000000" w:fill="FFFFFF"/>
            <w:noWrap/>
            <w:vAlign w:val="center"/>
            <w:hideMark/>
          </w:tcPr>
          <w:p w14:paraId="18577AD1" w14:textId="77777777" w:rsidR="00E7168B" w:rsidRPr="00D618B7" w:rsidRDefault="00E7168B" w:rsidP="004B11B7">
            <w:pPr>
              <w:jc w:val="right"/>
              <w:rPr>
                <w:color w:val="000000"/>
                <w:sz w:val="20"/>
                <w:szCs w:val="20"/>
              </w:rPr>
            </w:pPr>
            <w:r w:rsidRPr="00D618B7">
              <w:rPr>
                <w:color w:val="000000"/>
                <w:sz w:val="20"/>
                <w:szCs w:val="20"/>
              </w:rPr>
              <w:t>0.0001</w:t>
            </w:r>
          </w:p>
        </w:tc>
      </w:tr>
      <w:tr w:rsidR="00E7168B" w:rsidRPr="00D618B7" w14:paraId="04961667" w14:textId="77777777" w:rsidTr="00E7168B">
        <w:trPr>
          <w:trHeight w:val="269"/>
        </w:trPr>
        <w:tc>
          <w:tcPr>
            <w:tcW w:w="1343" w:type="dxa"/>
            <w:tcBorders>
              <w:top w:val="nil"/>
              <w:left w:val="nil"/>
              <w:bottom w:val="nil"/>
              <w:right w:val="nil"/>
            </w:tcBorders>
            <w:shd w:val="clear" w:color="000000" w:fill="FFFFFF"/>
            <w:vAlign w:val="center"/>
            <w:hideMark/>
          </w:tcPr>
          <w:p w14:paraId="3D7B9ADB" w14:textId="77777777" w:rsidR="00E7168B" w:rsidRPr="00D618B7" w:rsidRDefault="00E7168B" w:rsidP="004B11B7">
            <w:pPr>
              <w:jc w:val="right"/>
              <w:rPr>
                <w:color w:val="000000"/>
                <w:sz w:val="20"/>
                <w:szCs w:val="20"/>
              </w:rPr>
            </w:pPr>
            <w:r w:rsidRPr="00D618B7">
              <w:rPr>
                <w:color w:val="000000"/>
                <w:sz w:val="20"/>
                <w:szCs w:val="20"/>
              </w:rPr>
              <w:t>0</w:t>
            </w:r>
          </w:p>
        </w:tc>
        <w:tc>
          <w:tcPr>
            <w:tcW w:w="1036" w:type="dxa"/>
            <w:tcBorders>
              <w:top w:val="nil"/>
              <w:left w:val="nil"/>
              <w:bottom w:val="nil"/>
              <w:right w:val="nil"/>
            </w:tcBorders>
            <w:shd w:val="clear" w:color="000000" w:fill="FFFFFF"/>
            <w:noWrap/>
            <w:vAlign w:val="center"/>
            <w:hideMark/>
          </w:tcPr>
          <w:p w14:paraId="49F085B8" w14:textId="77777777" w:rsidR="00E7168B" w:rsidRPr="00D618B7" w:rsidRDefault="00E7168B" w:rsidP="004B11B7">
            <w:pPr>
              <w:jc w:val="right"/>
              <w:rPr>
                <w:color w:val="000000"/>
                <w:sz w:val="20"/>
                <w:szCs w:val="20"/>
              </w:rPr>
            </w:pPr>
            <w:r w:rsidRPr="00D618B7">
              <w:rPr>
                <w:color w:val="000000"/>
                <w:sz w:val="20"/>
                <w:szCs w:val="20"/>
              </w:rPr>
              <w:t>0.0139</w:t>
            </w:r>
          </w:p>
        </w:tc>
        <w:tc>
          <w:tcPr>
            <w:tcW w:w="1101" w:type="dxa"/>
            <w:tcBorders>
              <w:top w:val="nil"/>
              <w:left w:val="nil"/>
              <w:bottom w:val="nil"/>
              <w:right w:val="nil"/>
            </w:tcBorders>
            <w:shd w:val="clear" w:color="000000" w:fill="FFFFFF"/>
            <w:noWrap/>
            <w:vAlign w:val="center"/>
            <w:hideMark/>
          </w:tcPr>
          <w:p w14:paraId="2B46CC98" w14:textId="77777777" w:rsidR="00E7168B" w:rsidRPr="00D618B7" w:rsidRDefault="00E7168B" w:rsidP="004B11B7">
            <w:pPr>
              <w:jc w:val="right"/>
              <w:rPr>
                <w:color w:val="000000"/>
                <w:sz w:val="20"/>
                <w:szCs w:val="20"/>
              </w:rPr>
            </w:pPr>
            <w:r w:rsidRPr="00D618B7">
              <w:rPr>
                <w:color w:val="000000"/>
                <w:sz w:val="20"/>
                <w:szCs w:val="20"/>
              </w:rPr>
              <w:t>0.0109</w:t>
            </w:r>
          </w:p>
        </w:tc>
        <w:tc>
          <w:tcPr>
            <w:tcW w:w="1566" w:type="dxa"/>
            <w:tcBorders>
              <w:top w:val="nil"/>
              <w:left w:val="nil"/>
              <w:bottom w:val="nil"/>
              <w:right w:val="nil"/>
            </w:tcBorders>
            <w:shd w:val="clear" w:color="000000" w:fill="FFFFFF"/>
            <w:noWrap/>
            <w:vAlign w:val="center"/>
            <w:hideMark/>
          </w:tcPr>
          <w:p w14:paraId="5623BA82" w14:textId="77777777" w:rsidR="00E7168B" w:rsidRPr="00D618B7" w:rsidRDefault="00E7168B" w:rsidP="004B11B7">
            <w:pPr>
              <w:jc w:val="right"/>
              <w:rPr>
                <w:color w:val="000000"/>
                <w:sz w:val="20"/>
                <w:szCs w:val="20"/>
              </w:rPr>
            </w:pPr>
            <w:r w:rsidRPr="00D618B7">
              <w:rPr>
                <w:color w:val="000000"/>
                <w:sz w:val="20"/>
                <w:szCs w:val="20"/>
              </w:rPr>
              <w:t>-0.0002</w:t>
            </w:r>
          </w:p>
        </w:tc>
        <w:tc>
          <w:tcPr>
            <w:tcW w:w="1090" w:type="dxa"/>
            <w:tcBorders>
              <w:top w:val="nil"/>
              <w:left w:val="nil"/>
              <w:bottom w:val="nil"/>
              <w:right w:val="nil"/>
            </w:tcBorders>
            <w:shd w:val="clear" w:color="000000" w:fill="FFFFFF"/>
            <w:noWrap/>
            <w:vAlign w:val="center"/>
            <w:hideMark/>
          </w:tcPr>
          <w:p w14:paraId="33B6FE85"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0E4F005F" w14:textId="77777777" w:rsidR="00E7168B" w:rsidRPr="00D618B7" w:rsidRDefault="00E7168B" w:rsidP="004B11B7">
            <w:pPr>
              <w:jc w:val="right"/>
              <w:rPr>
                <w:color w:val="000000"/>
                <w:sz w:val="20"/>
                <w:szCs w:val="20"/>
              </w:rPr>
            </w:pPr>
            <w:r w:rsidRPr="00D618B7">
              <w:rPr>
                <w:color w:val="000000"/>
                <w:sz w:val="20"/>
                <w:szCs w:val="20"/>
              </w:rPr>
              <w:t>-0.0008</w:t>
            </w:r>
          </w:p>
        </w:tc>
        <w:tc>
          <w:tcPr>
            <w:tcW w:w="1128" w:type="dxa"/>
            <w:tcBorders>
              <w:top w:val="nil"/>
              <w:left w:val="nil"/>
              <w:bottom w:val="nil"/>
              <w:right w:val="nil"/>
            </w:tcBorders>
            <w:shd w:val="clear" w:color="000000" w:fill="FFFFFF"/>
            <w:noWrap/>
            <w:vAlign w:val="center"/>
            <w:hideMark/>
          </w:tcPr>
          <w:p w14:paraId="07CDFE01" w14:textId="77777777" w:rsidR="00E7168B" w:rsidRPr="00D618B7" w:rsidRDefault="00E7168B" w:rsidP="004B11B7">
            <w:pPr>
              <w:jc w:val="right"/>
              <w:rPr>
                <w:color w:val="000000"/>
                <w:sz w:val="20"/>
                <w:szCs w:val="20"/>
              </w:rPr>
            </w:pPr>
            <w:r w:rsidRPr="00D618B7">
              <w:rPr>
                <w:color w:val="000000"/>
                <w:sz w:val="20"/>
                <w:szCs w:val="20"/>
              </w:rPr>
              <w:t>0.0004</w:t>
            </w:r>
          </w:p>
        </w:tc>
      </w:tr>
      <w:tr w:rsidR="00E7168B" w:rsidRPr="00D618B7" w14:paraId="259CA6B9" w14:textId="77777777" w:rsidTr="00E7168B">
        <w:trPr>
          <w:trHeight w:val="269"/>
        </w:trPr>
        <w:tc>
          <w:tcPr>
            <w:tcW w:w="1343" w:type="dxa"/>
            <w:tcBorders>
              <w:top w:val="nil"/>
              <w:left w:val="nil"/>
              <w:bottom w:val="nil"/>
              <w:right w:val="nil"/>
            </w:tcBorders>
            <w:shd w:val="clear" w:color="000000" w:fill="FFFFFF"/>
            <w:vAlign w:val="center"/>
            <w:hideMark/>
          </w:tcPr>
          <w:p w14:paraId="0CE61D13" w14:textId="77777777" w:rsidR="00E7168B" w:rsidRPr="00D618B7" w:rsidRDefault="00E7168B" w:rsidP="004B11B7">
            <w:pPr>
              <w:jc w:val="right"/>
              <w:rPr>
                <w:color w:val="000000"/>
                <w:sz w:val="20"/>
                <w:szCs w:val="20"/>
              </w:rPr>
            </w:pPr>
            <w:r w:rsidRPr="00D618B7">
              <w:rPr>
                <w:color w:val="000000"/>
                <w:sz w:val="20"/>
                <w:szCs w:val="20"/>
              </w:rPr>
              <w:t>1</w:t>
            </w:r>
          </w:p>
        </w:tc>
        <w:tc>
          <w:tcPr>
            <w:tcW w:w="1036" w:type="dxa"/>
            <w:tcBorders>
              <w:top w:val="nil"/>
              <w:left w:val="nil"/>
              <w:bottom w:val="nil"/>
              <w:right w:val="nil"/>
            </w:tcBorders>
            <w:shd w:val="clear" w:color="000000" w:fill="FFFFFF"/>
            <w:noWrap/>
            <w:vAlign w:val="center"/>
            <w:hideMark/>
          </w:tcPr>
          <w:p w14:paraId="72F62975" w14:textId="77777777" w:rsidR="00E7168B" w:rsidRPr="00D618B7" w:rsidRDefault="00E7168B" w:rsidP="004B11B7">
            <w:pPr>
              <w:jc w:val="right"/>
              <w:rPr>
                <w:color w:val="000000"/>
                <w:sz w:val="20"/>
                <w:szCs w:val="20"/>
              </w:rPr>
            </w:pPr>
            <w:r w:rsidRPr="00D618B7">
              <w:rPr>
                <w:color w:val="000000"/>
                <w:sz w:val="20"/>
                <w:szCs w:val="20"/>
              </w:rPr>
              <w:t>0.0005</w:t>
            </w:r>
          </w:p>
        </w:tc>
        <w:tc>
          <w:tcPr>
            <w:tcW w:w="1101" w:type="dxa"/>
            <w:tcBorders>
              <w:top w:val="nil"/>
              <w:left w:val="nil"/>
              <w:bottom w:val="nil"/>
              <w:right w:val="nil"/>
            </w:tcBorders>
            <w:shd w:val="clear" w:color="000000" w:fill="FFFFFF"/>
            <w:noWrap/>
            <w:vAlign w:val="center"/>
            <w:hideMark/>
          </w:tcPr>
          <w:p w14:paraId="68A15940" w14:textId="77777777" w:rsidR="00E7168B" w:rsidRPr="00D618B7" w:rsidRDefault="00E7168B" w:rsidP="004B11B7">
            <w:pPr>
              <w:jc w:val="right"/>
              <w:rPr>
                <w:color w:val="000000"/>
                <w:sz w:val="20"/>
                <w:szCs w:val="20"/>
              </w:rPr>
            </w:pPr>
            <w:r w:rsidRPr="00D618B7">
              <w:rPr>
                <w:color w:val="000000"/>
                <w:sz w:val="20"/>
                <w:szCs w:val="20"/>
              </w:rPr>
              <w:t>0.0005</w:t>
            </w:r>
          </w:p>
        </w:tc>
        <w:tc>
          <w:tcPr>
            <w:tcW w:w="1566" w:type="dxa"/>
            <w:tcBorders>
              <w:top w:val="nil"/>
              <w:left w:val="nil"/>
              <w:bottom w:val="nil"/>
              <w:right w:val="nil"/>
            </w:tcBorders>
            <w:shd w:val="clear" w:color="000000" w:fill="FFFFFF"/>
            <w:noWrap/>
            <w:vAlign w:val="center"/>
            <w:hideMark/>
          </w:tcPr>
          <w:p w14:paraId="10E9CDE2" w14:textId="77777777" w:rsidR="00E7168B" w:rsidRPr="00D618B7" w:rsidRDefault="00E7168B" w:rsidP="004B11B7">
            <w:pPr>
              <w:jc w:val="right"/>
              <w:rPr>
                <w:color w:val="000000"/>
                <w:sz w:val="20"/>
                <w:szCs w:val="20"/>
              </w:rPr>
            </w:pPr>
            <w:r w:rsidRPr="00D618B7">
              <w:rPr>
                <w:color w:val="000000"/>
                <w:sz w:val="20"/>
                <w:szCs w:val="20"/>
              </w:rPr>
              <w:t>-0.0002</w:t>
            </w:r>
          </w:p>
        </w:tc>
        <w:tc>
          <w:tcPr>
            <w:tcW w:w="1090" w:type="dxa"/>
            <w:tcBorders>
              <w:top w:val="nil"/>
              <w:left w:val="nil"/>
              <w:bottom w:val="nil"/>
              <w:right w:val="nil"/>
            </w:tcBorders>
            <w:shd w:val="clear" w:color="000000" w:fill="FFFFFF"/>
            <w:noWrap/>
            <w:vAlign w:val="center"/>
            <w:hideMark/>
          </w:tcPr>
          <w:p w14:paraId="748C2493" w14:textId="77777777" w:rsidR="00E7168B" w:rsidRPr="00D618B7" w:rsidRDefault="00E7168B" w:rsidP="004B11B7">
            <w:pPr>
              <w:jc w:val="right"/>
              <w:rPr>
                <w:color w:val="000000"/>
                <w:sz w:val="20"/>
                <w:szCs w:val="20"/>
              </w:rPr>
            </w:pPr>
            <w:r w:rsidRPr="00D618B7">
              <w:rPr>
                <w:color w:val="000000"/>
                <w:sz w:val="20"/>
                <w:szCs w:val="20"/>
              </w:rPr>
              <w:t>0.0001</w:t>
            </w:r>
          </w:p>
        </w:tc>
        <w:tc>
          <w:tcPr>
            <w:tcW w:w="1621" w:type="dxa"/>
            <w:tcBorders>
              <w:top w:val="nil"/>
              <w:left w:val="nil"/>
              <w:bottom w:val="nil"/>
              <w:right w:val="nil"/>
            </w:tcBorders>
            <w:shd w:val="clear" w:color="000000" w:fill="FFFFFF"/>
            <w:noWrap/>
            <w:vAlign w:val="center"/>
            <w:hideMark/>
          </w:tcPr>
          <w:p w14:paraId="3F641490" w14:textId="77777777" w:rsidR="00E7168B" w:rsidRPr="00D618B7" w:rsidRDefault="00E7168B" w:rsidP="004B11B7">
            <w:pPr>
              <w:jc w:val="right"/>
              <w:rPr>
                <w:color w:val="000000"/>
                <w:sz w:val="20"/>
                <w:szCs w:val="20"/>
              </w:rPr>
            </w:pPr>
            <w:r w:rsidRPr="00D618B7">
              <w:rPr>
                <w:color w:val="000000"/>
                <w:sz w:val="20"/>
                <w:szCs w:val="20"/>
              </w:rPr>
              <w:t>-0.0002</w:t>
            </w:r>
          </w:p>
        </w:tc>
        <w:tc>
          <w:tcPr>
            <w:tcW w:w="1128" w:type="dxa"/>
            <w:tcBorders>
              <w:top w:val="nil"/>
              <w:left w:val="nil"/>
              <w:bottom w:val="nil"/>
              <w:right w:val="nil"/>
            </w:tcBorders>
            <w:shd w:val="clear" w:color="000000" w:fill="FFFFFF"/>
            <w:noWrap/>
            <w:vAlign w:val="center"/>
            <w:hideMark/>
          </w:tcPr>
          <w:p w14:paraId="7D75A735" w14:textId="77777777" w:rsidR="00E7168B" w:rsidRPr="00D618B7" w:rsidRDefault="00E7168B" w:rsidP="004B11B7">
            <w:pPr>
              <w:jc w:val="right"/>
              <w:rPr>
                <w:color w:val="000000"/>
                <w:sz w:val="20"/>
                <w:szCs w:val="20"/>
              </w:rPr>
            </w:pPr>
            <w:r w:rsidRPr="00D618B7">
              <w:rPr>
                <w:color w:val="000000"/>
                <w:sz w:val="20"/>
                <w:szCs w:val="20"/>
              </w:rPr>
              <w:t>0.0002</w:t>
            </w:r>
          </w:p>
        </w:tc>
      </w:tr>
      <w:tr w:rsidR="00E7168B" w:rsidRPr="00D618B7" w14:paraId="52F59C20" w14:textId="77777777" w:rsidTr="00E7168B">
        <w:trPr>
          <w:trHeight w:val="269"/>
        </w:trPr>
        <w:tc>
          <w:tcPr>
            <w:tcW w:w="1343" w:type="dxa"/>
            <w:tcBorders>
              <w:top w:val="nil"/>
              <w:left w:val="nil"/>
              <w:bottom w:val="nil"/>
              <w:right w:val="nil"/>
            </w:tcBorders>
            <w:shd w:val="clear" w:color="000000" w:fill="FFFFFF"/>
            <w:vAlign w:val="center"/>
            <w:hideMark/>
          </w:tcPr>
          <w:p w14:paraId="05B4D476" w14:textId="77777777" w:rsidR="00E7168B" w:rsidRPr="00D618B7" w:rsidRDefault="00E7168B" w:rsidP="004B11B7">
            <w:pPr>
              <w:jc w:val="right"/>
              <w:rPr>
                <w:color w:val="000000"/>
                <w:sz w:val="20"/>
                <w:szCs w:val="20"/>
              </w:rPr>
            </w:pPr>
            <w:r w:rsidRPr="00D618B7">
              <w:rPr>
                <w:color w:val="000000"/>
                <w:sz w:val="20"/>
                <w:szCs w:val="20"/>
              </w:rPr>
              <w:t>2</w:t>
            </w:r>
          </w:p>
        </w:tc>
        <w:tc>
          <w:tcPr>
            <w:tcW w:w="1036" w:type="dxa"/>
            <w:tcBorders>
              <w:top w:val="nil"/>
              <w:left w:val="nil"/>
              <w:bottom w:val="nil"/>
              <w:right w:val="nil"/>
            </w:tcBorders>
            <w:shd w:val="clear" w:color="000000" w:fill="FFFFFF"/>
            <w:noWrap/>
            <w:vAlign w:val="center"/>
            <w:hideMark/>
          </w:tcPr>
          <w:p w14:paraId="054770C3" w14:textId="77777777" w:rsidR="00E7168B" w:rsidRPr="00D618B7" w:rsidRDefault="00E7168B" w:rsidP="004B11B7">
            <w:pPr>
              <w:jc w:val="right"/>
              <w:rPr>
                <w:color w:val="000000"/>
                <w:sz w:val="20"/>
                <w:szCs w:val="20"/>
              </w:rPr>
            </w:pPr>
            <w:r w:rsidRPr="00D618B7">
              <w:rPr>
                <w:color w:val="000000"/>
                <w:sz w:val="20"/>
                <w:szCs w:val="20"/>
              </w:rPr>
              <w:t>0.0011</w:t>
            </w:r>
          </w:p>
        </w:tc>
        <w:tc>
          <w:tcPr>
            <w:tcW w:w="1101" w:type="dxa"/>
            <w:tcBorders>
              <w:top w:val="nil"/>
              <w:left w:val="nil"/>
              <w:bottom w:val="nil"/>
              <w:right w:val="nil"/>
            </w:tcBorders>
            <w:shd w:val="clear" w:color="000000" w:fill="FFFFFF"/>
            <w:noWrap/>
            <w:vAlign w:val="center"/>
            <w:hideMark/>
          </w:tcPr>
          <w:p w14:paraId="20BD9DAB" w14:textId="77777777" w:rsidR="00E7168B" w:rsidRPr="00D618B7" w:rsidRDefault="00E7168B" w:rsidP="004B11B7">
            <w:pPr>
              <w:jc w:val="right"/>
              <w:rPr>
                <w:color w:val="000000"/>
                <w:sz w:val="20"/>
                <w:szCs w:val="20"/>
              </w:rPr>
            </w:pPr>
            <w:r w:rsidRPr="00D618B7">
              <w:rPr>
                <w:color w:val="000000"/>
                <w:sz w:val="20"/>
                <w:szCs w:val="20"/>
              </w:rPr>
              <w:t>0.0014</w:t>
            </w:r>
          </w:p>
        </w:tc>
        <w:tc>
          <w:tcPr>
            <w:tcW w:w="1566" w:type="dxa"/>
            <w:tcBorders>
              <w:top w:val="nil"/>
              <w:left w:val="nil"/>
              <w:bottom w:val="nil"/>
              <w:right w:val="nil"/>
            </w:tcBorders>
            <w:shd w:val="clear" w:color="000000" w:fill="FFFFFF"/>
            <w:noWrap/>
            <w:vAlign w:val="center"/>
            <w:hideMark/>
          </w:tcPr>
          <w:p w14:paraId="25565EC6" w14:textId="77777777" w:rsidR="00E7168B" w:rsidRPr="00D618B7" w:rsidRDefault="00E7168B" w:rsidP="004B11B7">
            <w:pPr>
              <w:jc w:val="right"/>
              <w:rPr>
                <w:color w:val="000000"/>
                <w:sz w:val="20"/>
                <w:szCs w:val="20"/>
              </w:rPr>
            </w:pPr>
            <w:r w:rsidRPr="00D618B7">
              <w:rPr>
                <w:color w:val="000000"/>
                <w:sz w:val="20"/>
                <w:szCs w:val="20"/>
              </w:rPr>
              <w:t>0.0004</w:t>
            </w:r>
          </w:p>
        </w:tc>
        <w:tc>
          <w:tcPr>
            <w:tcW w:w="1090" w:type="dxa"/>
            <w:tcBorders>
              <w:top w:val="nil"/>
              <w:left w:val="nil"/>
              <w:bottom w:val="nil"/>
              <w:right w:val="nil"/>
            </w:tcBorders>
            <w:shd w:val="clear" w:color="000000" w:fill="FFFFFF"/>
            <w:noWrap/>
            <w:vAlign w:val="center"/>
            <w:hideMark/>
          </w:tcPr>
          <w:p w14:paraId="7D7E8780" w14:textId="77777777" w:rsidR="00E7168B" w:rsidRPr="00D618B7" w:rsidRDefault="00E7168B" w:rsidP="004B11B7">
            <w:pPr>
              <w:jc w:val="right"/>
              <w:rPr>
                <w:color w:val="000000"/>
                <w:sz w:val="20"/>
                <w:szCs w:val="20"/>
              </w:rPr>
            </w:pPr>
            <w:r w:rsidRPr="00D618B7">
              <w:rPr>
                <w:color w:val="000000"/>
                <w:sz w:val="20"/>
                <w:szCs w:val="20"/>
              </w:rPr>
              <w:t>0.0002</w:t>
            </w:r>
          </w:p>
        </w:tc>
        <w:tc>
          <w:tcPr>
            <w:tcW w:w="1621" w:type="dxa"/>
            <w:tcBorders>
              <w:top w:val="nil"/>
              <w:left w:val="nil"/>
              <w:bottom w:val="nil"/>
              <w:right w:val="nil"/>
            </w:tcBorders>
            <w:shd w:val="clear" w:color="000000" w:fill="FFFFFF"/>
            <w:noWrap/>
            <w:vAlign w:val="center"/>
            <w:hideMark/>
          </w:tcPr>
          <w:p w14:paraId="7A2134D4" w14:textId="77777777" w:rsidR="00E7168B" w:rsidRPr="00D618B7" w:rsidRDefault="00E7168B" w:rsidP="004B11B7">
            <w:pPr>
              <w:jc w:val="right"/>
              <w:rPr>
                <w:color w:val="000000"/>
                <w:sz w:val="20"/>
                <w:szCs w:val="20"/>
              </w:rPr>
            </w:pPr>
            <w:r w:rsidRPr="00D618B7">
              <w:rPr>
                <w:color w:val="000000"/>
                <w:sz w:val="20"/>
                <w:szCs w:val="20"/>
              </w:rPr>
              <w:t>0.0013</w:t>
            </w:r>
          </w:p>
        </w:tc>
        <w:tc>
          <w:tcPr>
            <w:tcW w:w="1128" w:type="dxa"/>
            <w:tcBorders>
              <w:top w:val="nil"/>
              <w:left w:val="nil"/>
              <w:bottom w:val="nil"/>
              <w:right w:val="nil"/>
            </w:tcBorders>
            <w:shd w:val="clear" w:color="000000" w:fill="FFFFFF"/>
            <w:noWrap/>
            <w:vAlign w:val="center"/>
            <w:hideMark/>
          </w:tcPr>
          <w:p w14:paraId="66F4A89E" w14:textId="77777777" w:rsidR="00E7168B" w:rsidRPr="00D618B7" w:rsidRDefault="00E7168B" w:rsidP="004B11B7">
            <w:pPr>
              <w:jc w:val="right"/>
              <w:rPr>
                <w:color w:val="000000"/>
                <w:sz w:val="20"/>
                <w:szCs w:val="20"/>
              </w:rPr>
            </w:pPr>
            <w:r w:rsidRPr="00D618B7">
              <w:rPr>
                <w:color w:val="000000"/>
                <w:sz w:val="20"/>
                <w:szCs w:val="20"/>
              </w:rPr>
              <w:t>0.0006</w:t>
            </w:r>
          </w:p>
        </w:tc>
      </w:tr>
      <w:tr w:rsidR="00E7168B" w:rsidRPr="00D618B7" w14:paraId="5C46C6F6" w14:textId="77777777" w:rsidTr="00E7168B">
        <w:trPr>
          <w:trHeight w:val="269"/>
        </w:trPr>
        <w:tc>
          <w:tcPr>
            <w:tcW w:w="1343" w:type="dxa"/>
            <w:tcBorders>
              <w:top w:val="nil"/>
              <w:left w:val="nil"/>
              <w:bottom w:val="nil"/>
              <w:right w:val="nil"/>
            </w:tcBorders>
            <w:shd w:val="clear" w:color="000000" w:fill="FFFFFF"/>
            <w:vAlign w:val="center"/>
            <w:hideMark/>
          </w:tcPr>
          <w:p w14:paraId="33735297" w14:textId="77777777" w:rsidR="00E7168B" w:rsidRPr="00D618B7" w:rsidRDefault="00E7168B" w:rsidP="004B11B7">
            <w:pPr>
              <w:jc w:val="right"/>
              <w:rPr>
                <w:color w:val="000000"/>
                <w:sz w:val="20"/>
                <w:szCs w:val="20"/>
              </w:rPr>
            </w:pPr>
            <w:r w:rsidRPr="00D618B7">
              <w:rPr>
                <w:color w:val="000000"/>
                <w:sz w:val="20"/>
                <w:szCs w:val="20"/>
              </w:rPr>
              <w:t>3</w:t>
            </w:r>
          </w:p>
        </w:tc>
        <w:tc>
          <w:tcPr>
            <w:tcW w:w="1036" w:type="dxa"/>
            <w:tcBorders>
              <w:top w:val="nil"/>
              <w:left w:val="nil"/>
              <w:bottom w:val="nil"/>
              <w:right w:val="nil"/>
            </w:tcBorders>
            <w:shd w:val="clear" w:color="000000" w:fill="FFFFFF"/>
            <w:noWrap/>
            <w:vAlign w:val="center"/>
            <w:hideMark/>
          </w:tcPr>
          <w:p w14:paraId="6A3431F6" w14:textId="77777777" w:rsidR="00E7168B" w:rsidRPr="00D618B7" w:rsidRDefault="00E7168B" w:rsidP="004B11B7">
            <w:pPr>
              <w:jc w:val="right"/>
              <w:rPr>
                <w:color w:val="000000"/>
                <w:sz w:val="20"/>
                <w:szCs w:val="20"/>
              </w:rPr>
            </w:pPr>
            <w:r w:rsidRPr="00D618B7">
              <w:rPr>
                <w:color w:val="000000"/>
                <w:sz w:val="20"/>
                <w:szCs w:val="20"/>
              </w:rPr>
              <w:t>-0.0013</w:t>
            </w:r>
          </w:p>
        </w:tc>
        <w:tc>
          <w:tcPr>
            <w:tcW w:w="1101" w:type="dxa"/>
            <w:tcBorders>
              <w:top w:val="nil"/>
              <w:left w:val="nil"/>
              <w:bottom w:val="nil"/>
              <w:right w:val="nil"/>
            </w:tcBorders>
            <w:shd w:val="clear" w:color="000000" w:fill="FFFFFF"/>
            <w:noWrap/>
            <w:vAlign w:val="center"/>
            <w:hideMark/>
          </w:tcPr>
          <w:p w14:paraId="6F6D92AA" w14:textId="77777777" w:rsidR="00E7168B" w:rsidRPr="00D618B7" w:rsidRDefault="00E7168B" w:rsidP="004B11B7">
            <w:pPr>
              <w:jc w:val="right"/>
              <w:rPr>
                <w:color w:val="000000"/>
                <w:sz w:val="20"/>
                <w:szCs w:val="20"/>
              </w:rPr>
            </w:pPr>
            <w:r w:rsidRPr="00D618B7">
              <w:rPr>
                <w:color w:val="000000"/>
                <w:sz w:val="20"/>
                <w:szCs w:val="20"/>
              </w:rPr>
              <w:t>0.0014</w:t>
            </w:r>
          </w:p>
        </w:tc>
        <w:tc>
          <w:tcPr>
            <w:tcW w:w="1566" w:type="dxa"/>
            <w:tcBorders>
              <w:top w:val="nil"/>
              <w:left w:val="nil"/>
              <w:bottom w:val="nil"/>
              <w:right w:val="nil"/>
            </w:tcBorders>
            <w:shd w:val="clear" w:color="000000" w:fill="FFFFFF"/>
            <w:noWrap/>
            <w:vAlign w:val="center"/>
            <w:hideMark/>
          </w:tcPr>
          <w:p w14:paraId="59A07DF7" w14:textId="77777777" w:rsidR="00E7168B" w:rsidRPr="00D618B7" w:rsidRDefault="00E7168B" w:rsidP="004B11B7">
            <w:pPr>
              <w:jc w:val="right"/>
              <w:rPr>
                <w:color w:val="000000"/>
                <w:sz w:val="20"/>
                <w:szCs w:val="20"/>
              </w:rPr>
            </w:pPr>
            <w:r w:rsidRPr="00D618B7">
              <w:rPr>
                <w:color w:val="000000"/>
                <w:sz w:val="20"/>
                <w:szCs w:val="20"/>
              </w:rPr>
              <w:t>0.0000</w:t>
            </w:r>
          </w:p>
        </w:tc>
        <w:tc>
          <w:tcPr>
            <w:tcW w:w="1090" w:type="dxa"/>
            <w:tcBorders>
              <w:top w:val="nil"/>
              <w:left w:val="nil"/>
              <w:bottom w:val="nil"/>
              <w:right w:val="nil"/>
            </w:tcBorders>
            <w:shd w:val="clear" w:color="000000" w:fill="FFFFFF"/>
            <w:noWrap/>
            <w:vAlign w:val="center"/>
            <w:hideMark/>
          </w:tcPr>
          <w:p w14:paraId="7D0D5075" w14:textId="77777777" w:rsidR="00E7168B" w:rsidRPr="00D618B7" w:rsidRDefault="00E7168B" w:rsidP="004B11B7">
            <w:pPr>
              <w:jc w:val="right"/>
              <w:rPr>
                <w:color w:val="000000"/>
                <w:sz w:val="20"/>
                <w:szCs w:val="20"/>
              </w:rPr>
            </w:pPr>
            <w:r w:rsidRPr="00D618B7">
              <w:rPr>
                <w:color w:val="000000"/>
                <w:sz w:val="20"/>
                <w:szCs w:val="20"/>
              </w:rPr>
              <w:t>0.0001</w:t>
            </w:r>
          </w:p>
        </w:tc>
        <w:tc>
          <w:tcPr>
            <w:tcW w:w="1621" w:type="dxa"/>
            <w:tcBorders>
              <w:top w:val="nil"/>
              <w:left w:val="nil"/>
              <w:bottom w:val="nil"/>
              <w:right w:val="nil"/>
            </w:tcBorders>
            <w:shd w:val="clear" w:color="000000" w:fill="FFFFFF"/>
            <w:noWrap/>
            <w:vAlign w:val="center"/>
            <w:hideMark/>
          </w:tcPr>
          <w:p w14:paraId="02D48FA5" w14:textId="77777777" w:rsidR="00E7168B" w:rsidRPr="00D618B7" w:rsidRDefault="00E7168B" w:rsidP="004B11B7">
            <w:pPr>
              <w:jc w:val="right"/>
              <w:rPr>
                <w:color w:val="000000"/>
                <w:sz w:val="20"/>
                <w:szCs w:val="20"/>
              </w:rPr>
            </w:pPr>
            <w:r w:rsidRPr="00D618B7">
              <w:rPr>
                <w:color w:val="000000"/>
                <w:sz w:val="20"/>
                <w:szCs w:val="20"/>
              </w:rPr>
              <w:t>0.0000</w:t>
            </w:r>
          </w:p>
        </w:tc>
        <w:tc>
          <w:tcPr>
            <w:tcW w:w="1128" w:type="dxa"/>
            <w:tcBorders>
              <w:top w:val="nil"/>
              <w:left w:val="nil"/>
              <w:bottom w:val="nil"/>
              <w:right w:val="nil"/>
            </w:tcBorders>
            <w:shd w:val="clear" w:color="000000" w:fill="FFFFFF"/>
            <w:noWrap/>
            <w:vAlign w:val="center"/>
            <w:hideMark/>
          </w:tcPr>
          <w:p w14:paraId="2F97593A" w14:textId="77777777" w:rsidR="00E7168B" w:rsidRPr="00D618B7" w:rsidRDefault="00E7168B" w:rsidP="004B11B7">
            <w:pPr>
              <w:jc w:val="right"/>
              <w:rPr>
                <w:color w:val="000000"/>
                <w:sz w:val="20"/>
                <w:szCs w:val="20"/>
              </w:rPr>
            </w:pPr>
            <w:r w:rsidRPr="00D618B7">
              <w:rPr>
                <w:color w:val="000000"/>
                <w:sz w:val="20"/>
                <w:szCs w:val="20"/>
              </w:rPr>
              <w:t>0.0002</w:t>
            </w:r>
          </w:p>
        </w:tc>
      </w:tr>
      <w:tr w:rsidR="00E7168B" w:rsidRPr="00D618B7" w14:paraId="28CCF2F4" w14:textId="77777777" w:rsidTr="00E7168B">
        <w:trPr>
          <w:trHeight w:val="269"/>
        </w:trPr>
        <w:tc>
          <w:tcPr>
            <w:tcW w:w="1343" w:type="dxa"/>
            <w:tcBorders>
              <w:top w:val="nil"/>
              <w:left w:val="nil"/>
              <w:right w:val="nil"/>
            </w:tcBorders>
            <w:shd w:val="clear" w:color="000000" w:fill="FFFFFF"/>
            <w:vAlign w:val="center"/>
            <w:hideMark/>
          </w:tcPr>
          <w:p w14:paraId="224BA163" w14:textId="77777777" w:rsidR="00E7168B" w:rsidRPr="00D618B7" w:rsidRDefault="00E7168B" w:rsidP="004B11B7">
            <w:pPr>
              <w:jc w:val="right"/>
              <w:rPr>
                <w:color w:val="000000"/>
                <w:sz w:val="20"/>
                <w:szCs w:val="20"/>
              </w:rPr>
            </w:pPr>
            <w:r w:rsidRPr="00D618B7">
              <w:rPr>
                <w:color w:val="000000"/>
                <w:sz w:val="20"/>
                <w:szCs w:val="20"/>
              </w:rPr>
              <w:t>4</w:t>
            </w:r>
          </w:p>
        </w:tc>
        <w:tc>
          <w:tcPr>
            <w:tcW w:w="1036" w:type="dxa"/>
            <w:tcBorders>
              <w:top w:val="nil"/>
              <w:left w:val="nil"/>
              <w:right w:val="nil"/>
            </w:tcBorders>
            <w:shd w:val="clear" w:color="000000" w:fill="FFFFFF"/>
            <w:noWrap/>
            <w:vAlign w:val="center"/>
            <w:hideMark/>
          </w:tcPr>
          <w:p w14:paraId="4A7B1A85" w14:textId="77777777" w:rsidR="00E7168B" w:rsidRPr="00D618B7" w:rsidRDefault="00E7168B" w:rsidP="004B11B7">
            <w:pPr>
              <w:jc w:val="right"/>
              <w:rPr>
                <w:color w:val="000000"/>
                <w:sz w:val="20"/>
                <w:szCs w:val="20"/>
              </w:rPr>
            </w:pPr>
            <w:r w:rsidRPr="00D618B7">
              <w:rPr>
                <w:color w:val="000000"/>
                <w:sz w:val="20"/>
                <w:szCs w:val="20"/>
              </w:rPr>
              <w:t>0.0007</w:t>
            </w:r>
          </w:p>
        </w:tc>
        <w:tc>
          <w:tcPr>
            <w:tcW w:w="1101" w:type="dxa"/>
            <w:tcBorders>
              <w:top w:val="nil"/>
              <w:left w:val="nil"/>
              <w:right w:val="nil"/>
            </w:tcBorders>
            <w:shd w:val="clear" w:color="000000" w:fill="FFFFFF"/>
            <w:noWrap/>
            <w:vAlign w:val="center"/>
            <w:hideMark/>
          </w:tcPr>
          <w:p w14:paraId="6FB54C10" w14:textId="77777777" w:rsidR="00E7168B" w:rsidRPr="00D618B7" w:rsidRDefault="00E7168B" w:rsidP="004B11B7">
            <w:pPr>
              <w:jc w:val="right"/>
              <w:rPr>
                <w:color w:val="000000"/>
                <w:sz w:val="20"/>
                <w:szCs w:val="20"/>
              </w:rPr>
            </w:pPr>
            <w:r w:rsidRPr="00D618B7">
              <w:rPr>
                <w:color w:val="000000"/>
                <w:sz w:val="20"/>
                <w:szCs w:val="20"/>
              </w:rPr>
              <w:t>0.0011</w:t>
            </w:r>
          </w:p>
        </w:tc>
        <w:tc>
          <w:tcPr>
            <w:tcW w:w="1566" w:type="dxa"/>
            <w:tcBorders>
              <w:top w:val="nil"/>
              <w:left w:val="nil"/>
              <w:right w:val="nil"/>
            </w:tcBorders>
            <w:shd w:val="clear" w:color="000000" w:fill="FFFFFF"/>
            <w:noWrap/>
            <w:vAlign w:val="center"/>
            <w:hideMark/>
          </w:tcPr>
          <w:p w14:paraId="1933E34C" w14:textId="77777777" w:rsidR="00E7168B" w:rsidRPr="00D618B7" w:rsidRDefault="00E7168B" w:rsidP="004B11B7">
            <w:pPr>
              <w:jc w:val="right"/>
              <w:rPr>
                <w:color w:val="000000"/>
                <w:sz w:val="20"/>
                <w:szCs w:val="20"/>
              </w:rPr>
            </w:pPr>
            <w:r w:rsidRPr="00D618B7">
              <w:rPr>
                <w:color w:val="000000"/>
                <w:sz w:val="20"/>
                <w:szCs w:val="20"/>
              </w:rPr>
              <w:t>-0.0001</w:t>
            </w:r>
          </w:p>
        </w:tc>
        <w:tc>
          <w:tcPr>
            <w:tcW w:w="1090" w:type="dxa"/>
            <w:tcBorders>
              <w:top w:val="nil"/>
              <w:left w:val="nil"/>
              <w:right w:val="nil"/>
            </w:tcBorders>
            <w:shd w:val="clear" w:color="000000" w:fill="FFFFFF"/>
            <w:noWrap/>
            <w:vAlign w:val="center"/>
            <w:hideMark/>
          </w:tcPr>
          <w:p w14:paraId="76A39A38" w14:textId="77777777" w:rsidR="00E7168B" w:rsidRPr="00D618B7" w:rsidRDefault="00E7168B" w:rsidP="004B11B7">
            <w:pPr>
              <w:jc w:val="right"/>
              <w:rPr>
                <w:color w:val="000000"/>
                <w:sz w:val="20"/>
                <w:szCs w:val="20"/>
              </w:rPr>
            </w:pPr>
            <w:r w:rsidRPr="00D618B7">
              <w:rPr>
                <w:color w:val="000000"/>
                <w:sz w:val="20"/>
                <w:szCs w:val="20"/>
              </w:rPr>
              <w:t>0.0001</w:t>
            </w:r>
          </w:p>
        </w:tc>
        <w:tc>
          <w:tcPr>
            <w:tcW w:w="1621" w:type="dxa"/>
            <w:tcBorders>
              <w:top w:val="nil"/>
              <w:left w:val="nil"/>
              <w:right w:val="nil"/>
            </w:tcBorders>
            <w:shd w:val="clear" w:color="000000" w:fill="FFFFFF"/>
            <w:noWrap/>
            <w:vAlign w:val="center"/>
            <w:hideMark/>
          </w:tcPr>
          <w:p w14:paraId="7D605EB6" w14:textId="77777777" w:rsidR="00E7168B" w:rsidRPr="00D618B7" w:rsidRDefault="00E7168B" w:rsidP="004B11B7">
            <w:pPr>
              <w:jc w:val="right"/>
              <w:rPr>
                <w:color w:val="000000"/>
                <w:sz w:val="20"/>
                <w:szCs w:val="20"/>
              </w:rPr>
            </w:pPr>
            <w:r w:rsidRPr="00D618B7">
              <w:rPr>
                <w:color w:val="000000"/>
                <w:sz w:val="20"/>
                <w:szCs w:val="20"/>
              </w:rPr>
              <w:t>-0.0004</w:t>
            </w:r>
          </w:p>
        </w:tc>
        <w:tc>
          <w:tcPr>
            <w:tcW w:w="1128" w:type="dxa"/>
            <w:tcBorders>
              <w:top w:val="nil"/>
              <w:left w:val="nil"/>
              <w:right w:val="nil"/>
            </w:tcBorders>
            <w:shd w:val="clear" w:color="000000" w:fill="FFFFFF"/>
            <w:noWrap/>
            <w:vAlign w:val="center"/>
            <w:hideMark/>
          </w:tcPr>
          <w:p w14:paraId="751E5C6F" w14:textId="77777777" w:rsidR="00E7168B" w:rsidRPr="00D618B7" w:rsidRDefault="00E7168B" w:rsidP="004B11B7">
            <w:pPr>
              <w:jc w:val="right"/>
              <w:rPr>
                <w:color w:val="000000"/>
                <w:sz w:val="20"/>
                <w:szCs w:val="20"/>
              </w:rPr>
            </w:pPr>
            <w:r w:rsidRPr="00D618B7">
              <w:rPr>
                <w:color w:val="000000"/>
                <w:sz w:val="20"/>
                <w:szCs w:val="20"/>
              </w:rPr>
              <w:t>0.0004</w:t>
            </w:r>
          </w:p>
        </w:tc>
      </w:tr>
      <w:tr w:rsidR="00E7168B" w:rsidRPr="00D618B7" w14:paraId="46B726A6" w14:textId="77777777" w:rsidTr="00E7168B">
        <w:trPr>
          <w:trHeight w:val="269"/>
        </w:trPr>
        <w:tc>
          <w:tcPr>
            <w:tcW w:w="1343" w:type="dxa"/>
            <w:tcBorders>
              <w:top w:val="nil"/>
              <w:left w:val="nil"/>
              <w:bottom w:val="single" w:sz="18" w:space="0" w:color="auto"/>
              <w:right w:val="nil"/>
            </w:tcBorders>
            <w:shd w:val="clear" w:color="000000" w:fill="FFFFFF"/>
            <w:vAlign w:val="center"/>
            <w:hideMark/>
          </w:tcPr>
          <w:p w14:paraId="59915261" w14:textId="77777777" w:rsidR="00E7168B" w:rsidRPr="00D618B7" w:rsidRDefault="00E7168B" w:rsidP="004B11B7">
            <w:pPr>
              <w:jc w:val="right"/>
              <w:rPr>
                <w:color w:val="000000"/>
                <w:sz w:val="20"/>
                <w:szCs w:val="20"/>
              </w:rPr>
            </w:pPr>
            <w:r w:rsidRPr="00D618B7">
              <w:rPr>
                <w:color w:val="000000"/>
                <w:sz w:val="20"/>
                <w:szCs w:val="20"/>
              </w:rPr>
              <w:t>5</w:t>
            </w:r>
          </w:p>
        </w:tc>
        <w:tc>
          <w:tcPr>
            <w:tcW w:w="1036" w:type="dxa"/>
            <w:tcBorders>
              <w:top w:val="nil"/>
              <w:left w:val="nil"/>
              <w:bottom w:val="single" w:sz="18" w:space="0" w:color="auto"/>
              <w:right w:val="nil"/>
            </w:tcBorders>
            <w:shd w:val="clear" w:color="000000" w:fill="FFFFFF"/>
            <w:noWrap/>
            <w:vAlign w:val="center"/>
            <w:hideMark/>
          </w:tcPr>
          <w:p w14:paraId="371247FA" w14:textId="77777777" w:rsidR="00E7168B" w:rsidRPr="00D618B7" w:rsidRDefault="00E7168B" w:rsidP="004B11B7">
            <w:pPr>
              <w:jc w:val="right"/>
              <w:rPr>
                <w:color w:val="000000"/>
                <w:sz w:val="20"/>
                <w:szCs w:val="20"/>
              </w:rPr>
            </w:pPr>
            <w:r w:rsidRPr="00D618B7">
              <w:rPr>
                <w:color w:val="000000"/>
                <w:sz w:val="20"/>
                <w:szCs w:val="20"/>
              </w:rPr>
              <w:t>0.0010</w:t>
            </w:r>
          </w:p>
        </w:tc>
        <w:tc>
          <w:tcPr>
            <w:tcW w:w="1101" w:type="dxa"/>
            <w:tcBorders>
              <w:top w:val="nil"/>
              <w:left w:val="nil"/>
              <w:bottom w:val="single" w:sz="18" w:space="0" w:color="auto"/>
              <w:right w:val="nil"/>
            </w:tcBorders>
            <w:shd w:val="clear" w:color="000000" w:fill="FFFFFF"/>
            <w:noWrap/>
            <w:vAlign w:val="center"/>
            <w:hideMark/>
          </w:tcPr>
          <w:p w14:paraId="53601B82" w14:textId="77777777" w:rsidR="00E7168B" w:rsidRPr="00D618B7" w:rsidRDefault="00E7168B" w:rsidP="004B11B7">
            <w:pPr>
              <w:jc w:val="right"/>
              <w:rPr>
                <w:color w:val="000000"/>
                <w:sz w:val="20"/>
                <w:szCs w:val="20"/>
              </w:rPr>
            </w:pPr>
            <w:r w:rsidRPr="00D618B7">
              <w:rPr>
                <w:color w:val="000000"/>
                <w:sz w:val="20"/>
                <w:szCs w:val="20"/>
              </w:rPr>
              <w:t>0.0005</w:t>
            </w:r>
          </w:p>
        </w:tc>
        <w:tc>
          <w:tcPr>
            <w:tcW w:w="1566" w:type="dxa"/>
            <w:tcBorders>
              <w:top w:val="nil"/>
              <w:left w:val="nil"/>
              <w:bottom w:val="single" w:sz="18" w:space="0" w:color="auto"/>
              <w:right w:val="nil"/>
            </w:tcBorders>
            <w:shd w:val="clear" w:color="000000" w:fill="FFFFFF"/>
            <w:noWrap/>
            <w:vAlign w:val="center"/>
            <w:hideMark/>
          </w:tcPr>
          <w:p w14:paraId="290C3454" w14:textId="77777777" w:rsidR="00E7168B" w:rsidRPr="00D618B7" w:rsidRDefault="00E7168B" w:rsidP="004B11B7">
            <w:pPr>
              <w:jc w:val="right"/>
              <w:rPr>
                <w:color w:val="000000"/>
                <w:sz w:val="20"/>
                <w:szCs w:val="20"/>
              </w:rPr>
            </w:pPr>
            <w:r w:rsidRPr="00D618B7">
              <w:rPr>
                <w:color w:val="000000"/>
                <w:sz w:val="20"/>
                <w:szCs w:val="20"/>
              </w:rPr>
              <w:t>0.0012</w:t>
            </w:r>
          </w:p>
        </w:tc>
        <w:tc>
          <w:tcPr>
            <w:tcW w:w="1090" w:type="dxa"/>
            <w:tcBorders>
              <w:top w:val="nil"/>
              <w:left w:val="nil"/>
              <w:bottom w:val="single" w:sz="18" w:space="0" w:color="auto"/>
              <w:right w:val="nil"/>
            </w:tcBorders>
            <w:shd w:val="clear" w:color="000000" w:fill="FFFFFF"/>
            <w:noWrap/>
            <w:vAlign w:val="center"/>
            <w:hideMark/>
          </w:tcPr>
          <w:p w14:paraId="544035C8" w14:textId="77777777" w:rsidR="00E7168B" w:rsidRPr="00D618B7" w:rsidRDefault="00E7168B" w:rsidP="004B11B7">
            <w:pPr>
              <w:jc w:val="right"/>
              <w:rPr>
                <w:color w:val="000000"/>
                <w:sz w:val="20"/>
                <w:szCs w:val="20"/>
              </w:rPr>
            </w:pPr>
            <w:r w:rsidRPr="00D618B7">
              <w:rPr>
                <w:color w:val="000000"/>
                <w:sz w:val="20"/>
                <w:szCs w:val="20"/>
              </w:rPr>
              <w:t>0.0008</w:t>
            </w:r>
          </w:p>
        </w:tc>
        <w:tc>
          <w:tcPr>
            <w:tcW w:w="1621" w:type="dxa"/>
            <w:tcBorders>
              <w:top w:val="nil"/>
              <w:left w:val="nil"/>
              <w:bottom w:val="single" w:sz="18" w:space="0" w:color="auto"/>
              <w:right w:val="nil"/>
            </w:tcBorders>
            <w:shd w:val="clear" w:color="000000" w:fill="FFFFFF"/>
            <w:noWrap/>
            <w:vAlign w:val="center"/>
            <w:hideMark/>
          </w:tcPr>
          <w:p w14:paraId="3E5C2D7F" w14:textId="77777777" w:rsidR="00E7168B" w:rsidRPr="00D618B7" w:rsidRDefault="00E7168B" w:rsidP="004B11B7">
            <w:pPr>
              <w:jc w:val="right"/>
              <w:rPr>
                <w:color w:val="000000"/>
                <w:sz w:val="20"/>
                <w:szCs w:val="20"/>
              </w:rPr>
            </w:pPr>
            <w:r w:rsidRPr="00D618B7">
              <w:rPr>
                <w:color w:val="000000"/>
                <w:sz w:val="20"/>
                <w:szCs w:val="20"/>
              </w:rPr>
              <w:t>-0.0017</w:t>
            </w:r>
          </w:p>
        </w:tc>
        <w:tc>
          <w:tcPr>
            <w:tcW w:w="1128" w:type="dxa"/>
            <w:tcBorders>
              <w:top w:val="nil"/>
              <w:left w:val="nil"/>
              <w:bottom w:val="single" w:sz="18" w:space="0" w:color="auto"/>
              <w:right w:val="nil"/>
            </w:tcBorders>
            <w:shd w:val="clear" w:color="000000" w:fill="FFFFFF"/>
            <w:noWrap/>
            <w:vAlign w:val="center"/>
            <w:hideMark/>
          </w:tcPr>
          <w:p w14:paraId="714A33EE" w14:textId="77777777" w:rsidR="00E7168B" w:rsidRPr="00D618B7" w:rsidRDefault="00E7168B" w:rsidP="004B11B7">
            <w:pPr>
              <w:jc w:val="right"/>
              <w:rPr>
                <w:color w:val="000000"/>
                <w:sz w:val="20"/>
                <w:szCs w:val="20"/>
              </w:rPr>
            </w:pPr>
            <w:r w:rsidRPr="00D618B7">
              <w:rPr>
                <w:color w:val="000000"/>
                <w:sz w:val="20"/>
                <w:szCs w:val="20"/>
              </w:rPr>
              <w:t>0.0011</w:t>
            </w:r>
          </w:p>
        </w:tc>
      </w:tr>
    </w:tbl>
    <w:p w14:paraId="28BC3F6D" w14:textId="77777777" w:rsidR="00E7168B" w:rsidRPr="00D618B7" w:rsidRDefault="00E7168B" w:rsidP="00E7168B">
      <w:r w:rsidRPr="00D618B7">
        <w:rPr>
          <w:i/>
          <w:iCs/>
        </w:rPr>
        <w:t>Note</w:t>
      </w:r>
      <w:r w:rsidRPr="00D618B7">
        <w:t>: This table lists the estimated mean rate per second and standard errors for face, hand, and mouth events for toy-out-of-reach, toy-moving-into-reach, and toy-in-reach for each week of observation around reach-onset for the late reach group.</w:t>
      </w:r>
    </w:p>
    <w:p w14:paraId="24E40381" w14:textId="77777777" w:rsidR="009D54DA" w:rsidRPr="00D618B7" w:rsidRDefault="009D54DA" w:rsidP="009D54DA">
      <w:r w:rsidRPr="00D618B7">
        <w:rPr>
          <w:noProof/>
        </w:rPr>
        <w:lastRenderedPageBreak/>
        <w:drawing>
          <wp:inline distT="0" distB="0" distL="0" distR="0" wp14:anchorId="44EFF2D3" wp14:editId="67FB401B">
            <wp:extent cx="5943600" cy="3051810"/>
            <wp:effectExtent l="0" t="0" r="0" b="0"/>
            <wp:docPr id="522772007" name="Chart 1">
              <a:extLst xmlns:a="http://schemas.openxmlformats.org/drawingml/2006/main">
                <a:ext uri="{FF2B5EF4-FFF2-40B4-BE49-F238E27FC236}">
                  <a16:creationId xmlns:a16="http://schemas.microsoft.com/office/drawing/2014/main" id="{9DC22B5B-C015-4249-BBDC-D1F7E26F00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D618B7">
        <w:rPr>
          <w:noProof/>
        </w:rPr>
        <w:drawing>
          <wp:inline distT="0" distB="0" distL="0" distR="0" wp14:anchorId="678B146D" wp14:editId="5D9B91B5">
            <wp:extent cx="5943600" cy="3452884"/>
            <wp:effectExtent l="0" t="0" r="0" b="0"/>
            <wp:docPr id="1323418309" name="Chart 2">
              <a:extLst xmlns:a="http://schemas.openxmlformats.org/drawingml/2006/main">
                <a:ext uri="{FF2B5EF4-FFF2-40B4-BE49-F238E27FC236}">
                  <a16:creationId xmlns:a16="http://schemas.microsoft.com/office/drawing/2014/main" id="{391F33AF-0197-4B6B-81A2-C2BD5DBEDA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4CD2635" w14:textId="77777777" w:rsidR="00F11AB1" w:rsidRPr="00D618B7" w:rsidRDefault="00F11AB1" w:rsidP="00F11AB1">
      <w:pPr>
        <w:pStyle w:val="Caption"/>
      </w:pPr>
      <w:bookmarkStart w:id="204" w:name="_Toc172716965"/>
      <w:r w:rsidRPr="00D618B7">
        <w:t xml:space="preserve">Figure </w:t>
      </w:r>
      <w:r>
        <w:fldChar w:fldCharType="begin"/>
      </w:r>
      <w:r>
        <w:instrText xml:space="preserve"> SEQ Figure \* ARABIC </w:instrText>
      </w:r>
      <w:r>
        <w:fldChar w:fldCharType="separate"/>
      </w:r>
      <w:r>
        <w:rPr>
          <w:noProof/>
        </w:rPr>
        <w:t>25</w:t>
      </w:r>
      <w:r>
        <w:rPr>
          <w:noProof/>
        </w:rPr>
        <w:fldChar w:fldCharType="end"/>
      </w:r>
      <w:r>
        <w:rPr>
          <w:noProof/>
        </w:rPr>
        <w:t>:</w:t>
      </w:r>
      <w:r w:rsidRPr="00674AB2">
        <w:t xml:space="preserve"> </w:t>
      </w:r>
      <w:r>
        <w:t>Event summed duration</w:t>
      </w:r>
      <w:r w:rsidRPr="00BA36EF">
        <w:t xml:space="preserve"> by </w:t>
      </w:r>
      <w:r>
        <w:t>type and week by group</w:t>
      </w:r>
      <w:bookmarkEnd w:id="204"/>
    </w:p>
    <w:p w14:paraId="2939AC1E" w14:textId="77777777" w:rsidR="00F11AB1" w:rsidRDefault="00F11AB1" w:rsidP="00F11AB1"/>
    <w:p w14:paraId="36AB3B66" w14:textId="2FDF6BDC" w:rsidR="00F11AB1" w:rsidRPr="00D618B7" w:rsidRDefault="00F11AB1" w:rsidP="00F11AB1">
      <w:r w:rsidRPr="00D618B7">
        <w:t>Estimated Mean Summed Duration of Event by Type and Week by Group</w:t>
      </w:r>
    </w:p>
    <w:p w14:paraId="5A673883" w14:textId="7C825AB9" w:rsidR="009D54DA" w:rsidRPr="00D618B7" w:rsidRDefault="009D54DA" w:rsidP="009D54DA">
      <w:r w:rsidRPr="00D618B7">
        <w:rPr>
          <w:i/>
          <w:iCs/>
        </w:rPr>
        <w:t>Note</w:t>
      </w:r>
      <w:r w:rsidRPr="00D618B7">
        <w:t>. This figure illustrates the estimated mean summed duration in milliseconds of face, hand, and mouth events for each week of observation around reach-onset for each reach group. Error bars show standard error.</w:t>
      </w:r>
    </w:p>
    <w:p w14:paraId="56A0ADE5" w14:textId="77777777" w:rsidR="009C4F78" w:rsidRPr="00D618B7" w:rsidRDefault="009C4F78" w:rsidP="009D1AF0">
      <w:pPr>
        <w:rPr>
          <w:b/>
          <w:bCs/>
        </w:rPr>
      </w:pPr>
    </w:p>
    <w:p w14:paraId="11F7DBB7" w14:textId="0C38DCB2" w:rsidR="009D1AF0" w:rsidRPr="00D618B7" w:rsidRDefault="009C4F78" w:rsidP="007C5074">
      <w:pPr>
        <w:pStyle w:val="Caption"/>
      </w:pPr>
      <w:bookmarkStart w:id="205" w:name="_Toc172716889"/>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61</w:t>
      </w:r>
      <w:r w:rsidR="00000000">
        <w:rPr>
          <w:noProof/>
        </w:rPr>
        <w:fldChar w:fldCharType="end"/>
      </w:r>
      <w:r w:rsidR="00691750">
        <w:rPr>
          <w:noProof/>
        </w:rPr>
        <w:t>:</w:t>
      </w:r>
      <w:r w:rsidR="00674AB2" w:rsidRPr="00674AB2">
        <w:t xml:space="preserve"> </w:t>
      </w:r>
      <w:r w:rsidR="00674AB2">
        <w:t>Event summed duration</w:t>
      </w:r>
      <w:r w:rsidR="00674AB2" w:rsidRPr="00BA36EF">
        <w:t xml:space="preserve"> </w:t>
      </w:r>
      <w:r w:rsidR="00674AB2">
        <w:t>by group</w:t>
      </w:r>
      <w:bookmarkEnd w:id="205"/>
    </w:p>
    <w:p w14:paraId="6CB4A716" w14:textId="77777777" w:rsidR="009D1AF0" w:rsidRPr="00D618B7" w:rsidRDefault="009D1AF0" w:rsidP="009D1AF0">
      <w:r w:rsidRPr="00D618B7">
        <w:t>Estimated Mean Summed Duration of Events by Group</w:t>
      </w:r>
    </w:p>
    <w:tbl>
      <w:tblPr>
        <w:tblW w:w="5000" w:type="pct"/>
        <w:tblLook w:val="04A0" w:firstRow="1" w:lastRow="0" w:firstColumn="1" w:lastColumn="0" w:noHBand="0" w:noVBand="1"/>
      </w:tblPr>
      <w:tblGrid>
        <w:gridCol w:w="4922"/>
        <w:gridCol w:w="1859"/>
        <w:gridCol w:w="1859"/>
      </w:tblGrid>
      <w:tr w:rsidR="009D1AF0" w:rsidRPr="00D618B7" w14:paraId="19A9CBDE" w14:textId="77777777" w:rsidTr="004B11B7">
        <w:trPr>
          <w:trHeight w:val="346"/>
        </w:trPr>
        <w:tc>
          <w:tcPr>
            <w:tcW w:w="2848" w:type="pct"/>
            <w:tcBorders>
              <w:top w:val="nil"/>
              <w:left w:val="nil"/>
              <w:bottom w:val="single" w:sz="8" w:space="0" w:color="auto"/>
              <w:right w:val="nil"/>
            </w:tcBorders>
            <w:shd w:val="clear" w:color="auto" w:fill="auto"/>
            <w:noWrap/>
            <w:vAlign w:val="bottom"/>
            <w:hideMark/>
          </w:tcPr>
          <w:p w14:paraId="697AEC41" w14:textId="77777777" w:rsidR="009D1AF0" w:rsidRPr="00D618B7" w:rsidRDefault="009D1AF0"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2BC65DCB" w14:textId="77777777" w:rsidR="009D1AF0" w:rsidRPr="00D618B7" w:rsidRDefault="009D1AF0"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740908F6" w14:textId="77777777" w:rsidR="009D1AF0" w:rsidRPr="00D618B7" w:rsidRDefault="009D1AF0" w:rsidP="004B11B7">
            <w:pPr>
              <w:rPr>
                <w:color w:val="000000"/>
              </w:rPr>
            </w:pPr>
            <w:r w:rsidRPr="00D618B7">
              <w:rPr>
                <w:color w:val="000000"/>
              </w:rPr>
              <w:t> </w:t>
            </w:r>
          </w:p>
        </w:tc>
      </w:tr>
      <w:tr w:rsidR="009D1AF0" w:rsidRPr="00D618B7" w14:paraId="3DBF5418" w14:textId="77777777" w:rsidTr="004B11B7">
        <w:trPr>
          <w:trHeight w:val="346"/>
        </w:trPr>
        <w:tc>
          <w:tcPr>
            <w:tcW w:w="2848" w:type="pct"/>
            <w:tcBorders>
              <w:top w:val="nil"/>
              <w:left w:val="nil"/>
              <w:bottom w:val="single" w:sz="8" w:space="0" w:color="auto"/>
              <w:right w:val="nil"/>
            </w:tcBorders>
            <w:shd w:val="clear" w:color="000000" w:fill="FFFFFF"/>
            <w:vAlign w:val="center"/>
            <w:hideMark/>
          </w:tcPr>
          <w:p w14:paraId="21FEB8ED" w14:textId="77777777" w:rsidR="009D1AF0" w:rsidRPr="00D618B7" w:rsidRDefault="009D1AF0" w:rsidP="004B11B7">
            <w:pPr>
              <w:rPr>
                <w:color w:val="000000"/>
              </w:rPr>
            </w:pPr>
            <w:r w:rsidRPr="00D618B7">
              <w:rPr>
                <w:color w:val="000000"/>
              </w:rPr>
              <w:t>Week</w:t>
            </w:r>
          </w:p>
        </w:tc>
        <w:tc>
          <w:tcPr>
            <w:tcW w:w="1076" w:type="pct"/>
            <w:tcBorders>
              <w:top w:val="nil"/>
              <w:left w:val="nil"/>
              <w:bottom w:val="single" w:sz="8" w:space="0" w:color="auto"/>
              <w:right w:val="nil"/>
            </w:tcBorders>
            <w:shd w:val="clear" w:color="000000" w:fill="FFFFFF"/>
            <w:noWrap/>
            <w:vAlign w:val="center"/>
            <w:hideMark/>
          </w:tcPr>
          <w:p w14:paraId="44091531" w14:textId="77777777" w:rsidR="009D1AF0" w:rsidRPr="00D618B7" w:rsidRDefault="009D1AF0" w:rsidP="004B11B7">
            <w:pPr>
              <w:jc w:val="right"/>
              <w:rPr>
                <w:color w:val="000000"/>
              </w:rPr>
            </w:pPr>
            <w:r w:rsidRPr="00D618B7">
              <w:rPr>
                <w:color w:val="000000"/>
              </w:rPr>
              <w:t>Mean</w:t>
            </w:r>
          </w:p>
        </w:tc>
        <w:tc>
          <w:tcPr>
            <w:tcW w:w="1076" w:type="pct"/>
            <w:tcBorders>
              <w:top w:val="nil"/>
              <w:left w:val="nil"/>
              <w:bottom w:val="single" w:sz="8" w:space="0" w:color="auto"/>
              <w:right w:val="nil"/>
            </w:tcBorders>
            <w:shd w:val="clear" w:color="000000" w:fill="FFFFFF"/>
            <w:noWrap/>
            <w:vAlign w:val="center"/>
            <w:hideMark/>
          </w:tcPr>
          <w:p w14:paraId="2B7EE260" w14:textId="77777777" w:rsidR="009D1AF0" w:rsidRPr="00D618B7" w:rsidRDefault="009D1AF0" w:rsidP="004B11B7">
            <w:pPr>
              <w:jc w:val="right"/>
              <w:rPr>
                <w:color w:val="000000"/>
              </w:rPr>
            </w:pPr>
            <w:r w:rsidRPr="00D618B7">
              <w:rPr>
                <w:color w:val="000000"/>
              </w:rPr>
              <w:t>Std. Error</w:t>
            </w:r>
          </w:p>
        </w:tc>
      </w:tr>
      <w:tr w:rsidR="009D1AF0" w:rsidRPr="00D618B7" w14:paraId="77D608EC" w14:textId="77777777" w:rsidTr="004B11B7">
        <w:trPr>
          <w:trHeight w:val="346"/>
        </w:trPr>
        <w:tc>
          <w:tcPr>
            <w:tcW w:w="2848" w:type="pct"/>
            <w:tcBorders>
              <w:top w:val="nil"/>
              <w:left w:val="nil"/>
              <w:bottom w:val="nil"/>
              <w:right w:val="nil"/>
            </w:tcBorders>
            <w:shd w:val="clear" w:color="000000" w:fill="FFFFFF"/>
            <w:vAlign w:val="center"/>
            <w:hideMark/>
          </w:tcPr>
          <w:p w14:paraId="7009E0AD" w14:textId="77777777" w:rsidR="009D1AF0" w:rsidRPr="00D618B7" w:rsidRDefault="009D1AF0" w:rsidP="004B11B7">
            <w:pPr>
              <w:rPr>
                <w:color w:val="000000"/>
              </w:rPr>
            </w:pPr>
            <w:r w:rsidRPr="00D618B7">
              <w:rPr>
                <w:color w:val="000000"/>
              </w:rPr>
              <w:t>Early Reach Group</w:t>
            </w:r>
          </w:p>
        </w:tc>
        <w:tc>
          <w:tcPr>
            <w:tcW w:w="1076" w:type="pct"/>
            <w:tcBorders>
              <w:top w:val="nil"/>
              <w:left w:val="nil"/>
              <w:bottom w:val="nil"/>
              <w:right w:val="nil"/>
            </w:tcBorders>
            <w:shd w:val="clear" w:color="000000" w:fill="FFFFFF"/>
            <w:noWrap/>
            <w:vAlign w:val="center"/>
            <w:hideMark/>
          </w:tcPr>
          <w:p w14:paraId="45FD4362" w14:textId="77777777" w:rsidR="009D1AF0" w:rsidRPr="00D618B7" w:rsidRDefault="009D1AF0" w:rsidP="004B11B7">
            <w:pPr>
              <w:jc w:val="right"/>
              <w:rPr>
                <w:color w:val="000000"/>
              </w:rPr>
            </w:pPr>
            <w:r w:rsidRPr="00D618B7">
              <w:rPr>
                <w:color w:val="000000"/>
              </w:rPr>
              <w:t>5184.81</w:t>
            </w:r>
          </w:p>
        </w:tc>
        <w:tc>
          <w:tcPr>
            <w:tcW w:w="1076" w:type="pct"/>
            <w:tcBorders>
              <w:top w:val="nil"/>
              <w:left w:val="nil"/>
              <w:bottom w:val="nil"/>
              <w:right w:val="nil"/>
            </w:tcBorders>
            <w:shd w:val="clear" w:color="000000" w:fill="FFFFFF"/>
            <w:noWrap/>
            <w:vAlign w:val="center"/>
            <w:hideMark/>
          </w:tcPr>
          <w:p w14:paraId="200EEE3B" w14:textId="77777777" w:rsidR="009D1AF0" w:rsidRPr="00D618B7" w:rsidRDefault="009D1AF0" w:rsidP="004B11B7">
            <w:pPr>
              <w:jc w:val="right"/>
              <w:rPr>
                <w:color w:val="000000"/>
              </w:rPr>
            </w:pPr>
            <w:r w:rsidRPr="00D618B7">
              <w:rPr>
                <w:color w:val="000000"/>
              </w:rPr>
              <w:t>964.45</w:t>
            </w:r>
          </w:p>
        </w:tc>
      </w:tr>
      <w:tr w:rsidR="009D1AF0" w:rsidRPr="00D618B7" w14:paraId="2D893A4C" w14:textId="77777777" w:rsidTr="004B11B7">
        <w:trPr>
          <w:trHeight w:val="346"/>
        </w:trPr>
        <w:tc>
          <w:tcPr>
            <w:tcW w:w="2848" w:type="pct"/>
            <w:tcBorders>
              <w:top w:val="nil"/>
              <w:left w:val="nil"/>
              <w:bottom w:val="single" w:sz="8" w:space="0" w:color="auto"/>
              <w:right w:val="nil"/>
            </w:tcBorders>
            <w:shd w:val="clear" w:color="000000" w:fill="FFFFFF"/>
            <w:vAlign w:val="center"/>
            <w:hideMark/>
          </w:tcPr>
          <w:p w14:paraId="69214E7A" w14:textId="77777777" w:rsidR="009D1AF0" w:rsidRPr="00D618B7" w:rsidRDefault="009D1AF0" w:rsidP="004B11B7">
            <w:pPr>
              <w:rPr>
                <w:color w:val="000000"/>
              </w:rPr>
            </w:pPr>
            <w:r w:rsidRPr="00D618B7">
              <w:rPr>
                <w:color w:val="000000"/>
              </w:rPr>
              <w:t>Late Reach Group</w:t>
            </w:r>
          </w:p>
        </w:tc>
        <w:tc>
          <w:tcPr>
            <w:tcW w:w="1076" w:type="pct"/>
            <w:tcBorders>
              <w:top w:val="nil"/>
              <w:left w:val="nil"/>
              <w:bottom w:val="single" w:sz="8" w:space="0" w:color="auto"/>
              <w:right w:val="nil"/>
            </w:tcBorders>
            <w:shd w:val="clear" w:color="000000" w:fill="FFFFFF"/>
            <w:noWrap/>
            <w:vAlign w:val="center"/>
            <w:hideMark/>
          </w:tcPr>
          <w:p w14:paraId="3DCC8B31" w14:textId="77777777" w:rsidR="009D1AF0" w:rsidRPr="00D618B7" w:rsidRDefault="009D1AF0" w:rsidP="004B11B7">
            <w:pPr>
              <w:jc w:val="right"/>
              <w:rPr>
                <w:color w:val="000000"/>
              </w:rPr>
            </w:pPr>
            <w:r w:rsidRPr="00D618B7">
              <w:rPr>
                <w:color w:val="000000"/>
              </w:rPr>
              <w:t>2378.57</w:t>
            </w:r>
          </w:p>
        </w:tc>
        <w:tc>
          <w:tcPr>
            <w:tcW w:w="1076" w:type="pct"/>
            <w:tcBorders>
              <w:top w:val="nil"/>
              <w:left w:val="nil"/>
              <w:bottom w:val="single" w:sz="8" w:space="0" w:color="auto"/>
              <w:right w:val="nil"/>
            </w:tcBorders>
            <w:shd w:val="clear" w:color="000000" w:fill="FFFFFF"/>
            <w:noWrap/>
            <w:vAlign w:val="center"/>
            <w:hideMark/>
          </w:tcPr>
          <w:p w14:paraId="6B04ADB7" w14:textId="77777777" w:rsidR="009D1AF0" w:rsidRPr="00D618B7" w:rsidRDefault="009D1AF0" w:rsidP="004B11B7">
            <w:pPr>
              <w:jc w:val="right"/>
              <w:rPr>
                <w:color w:val="000000"/>
              </w:rPr>
            </w:pPr>
            <w:r w:rsidRPr="00D618B7">
              <w:rPr>
                <w:color w:val="000000"/>
              </w:rPr>
              <w:t>295.48</w:t>
            </w:r>
          </w:p>
        </w:tc>
      </w:tr>
    </w:tbl>
    <w:p w14:paraId="048E2FFC" w14:textId="77777777" w:rsidR="009D1AF0" w:rsidRPr="00D618B7" w:rsidRDefault="009D1AF0" w:rsidP="009D1AF0">
      <w:pPr>
        <w:rPr>
          <w:i/>
          <w:iCs/>
        </w:rPr>
      </w:pPr>
    </w:p>
    <w:p w14:paraId="5DD376C4" w14:textId="77777777" w:rsidR="009D1AF0" w:rsidRPr="00D618B7" w:rsidRDefault="009D1AF0" w:rsidP="009D1AF0">
      <w:r w:rsidRPr="00D618B7">
        <w:rPr>
          <w:i/>
          <w:iCs/>
        </w:rPr>
        <w:t>Note</w:t>
      </w:r>
      <w:r w:rsidRPr="00D618B7">
        <w:t>: This table lists the estimated mean Summed Duration and standard errors for the early and late groups.</w:t>
      </w:r>
    </w:p>
    <w:p w14:paraId="14801B17" w14:textId="77777777" w:rsidR="009D1AF0" w:rsidRPr="00D618B7" w:rsidRDefault="009D1AF0" w:rsidP="009D1AF0">
      <w:pPr>
        <w:rPr>
          <w:b/>
          <w:bCs/>
        </w:rPr>
      </w:pPr>
    </w:p>
    <w:p w14:paraId="119C0BB0" w14:textId="52143063" w:rsidR="009D1AF0" w:rsidRPr="00D618B7" w:rsidRDefault="009C4F78" w:rsidP="007C5074">
      <w:pPr>
        <w:pStyle w:val="Caption"/>
      </w:pPr>
      <w:bookmarkStart w:id="206" w:name="_Toc172716890"/>
      <w:r w:rsidRPr="00D618B7">
        <w:t xml:space="preserve">Table </w:t>
      </w:r>
      <w:r w:rsidR="00000000">
        <w:fldChar w:fldCharType="begin"/>
      </w:r>
      <w:r w:rsidR="00000000">
        <w:instrText xml:space="preserve"> SEQ Table \* ARABIC </w:instrText>
      </w:r>
      <w:r w:rsidR="00000000">
        <w:fldChar w:fldCharType="separate"/>
      </w:r>
      <w:r w:rsidR="000C6E43">
        <w:rPr>
          <w:noProof/>
        </w:rPr>
        <w:t>62</w:t>
      </w:r>
      <w:r w:rsidR="00000000">
        <w:rPr>
          <w:noProof/>
        </w:rPr>
        <w:fldChar w:fldCharType="end"/>
      </w:r>
      <w:r w:rsidR="00691750">
        <w:rPr>
          <w:noProof/>
        </w:rPr>
        <w:t>:</w:t>
      </w:r>
      <w:r w:rsidR="00674AB2" w:rsidRPr="00674AB2">
        <w:t xml:space="preserve"> </w:t>
      </w:r>
      <w:r w:rsidR="00674AB2">
        <w:t>Event summed duration</w:t>
      </w:r>
      <w:r w:rsidR="00674AB2" w:rsidRPr="00BA36EF">
        <w:t xml:space="preserve"> by </w:t>
      </w:r>
      <w:r w:rsidR="00674AB2">
        <w:t>week by group</w:t>
      </w:r>
      <w:bookmarkEnd w:id="206"/>
    </w:p>
    <w:p w14:paraId="2A79199C" w14:textId="77777777" w:rsidR="009D1AF0" w:rsidRPr="00D618B7" w:rsidRDefault="009D1AF0" w:rsidP="009D1AF0">
      <w:r w:rsidRPr="00D618B7">
        <w:t>Estimated Mean Summed Duration of Events by Week and Group</w:t>
      </w:r>
    </w:p>
    <w:tbl>
      <w:tblPr>
        <w:tblW w:w="5000" w:type="pct"/>
        <w:tblLook w:val="04A0" w:firstRow="1" w:lastRow="0" w:firstColumn="1" w:lastColumn="0" w:noHBand="0" w:noVBand="1"/>
      </w:tblPr>
      <w:tblGrid>
        <w:gridCol w:w="3440"/>
        <w:gridCol w:w="1300"/>
        <w:gridCol w:w="1302"/>
        <w:gridCol w:w="1299"/>
        <w:gridCol w:w="1299"/>
      </w:tblGrid>
      <w:tr w:rsidR="009D1AF0" w:rsidRPr="00D618B7" w14:paraId="1FE6FFF0" w14:textId="77777777" w:rsidTr="004B11B7">
        <w:trPr>
          <w:trHeight w:val="284"/>
        </w:trPr>
        <w:tc>
          <w:tcPr>
            <w:tcW w:w="1990" w:type="pct"/>
            <w:tcBorders>
              <w:top w:val="nil"/>
              <w:left w:val="nil"/>
              <w:bottom w:val="single" w:sz="8" w:space="0" w:color="auto"/>
              <w:right w:val="nil"/>
            </w:tcBorders>
            <w:shd w:val="clear" w:color="auto" w:fill="auto"/>
            <w:noWrap/>
            <w:vAlign w:val="bottom"/>
            <w:hideMark/>
          </w:tcPr>
          <w:p w14:paraId="02D831C5" w14:textId="77777777" w:rsidR="009D1AF0" w:rsidRPr="00D618B7" w:rsidRDefault="009D1AF0" w:rsidP="004B11B7">
            <w:pPr>
              <w:rPr>
                <w:color w:val="000000"/>
              </w:rPr>
            </w:pPr>
            <w:r w:rsidRPr="00D618B7">
              <w:rPr>
                <w:color w:val="000000"/>
              </w:rPr>
              <w:t> </w:t>
            </w:r>
          </w:p>
        </w:tc>
        <w:tc>
          <w:tcPr>
            <w:tcW w:w="752" w:type="pct"/>
            <w:tcBorders>
              <w:top w:val="nil"/>
              <w:left w:val="nil"/>
              <w:bottom w:val="single" w:sz="8" w:space="0" w:color="auto"/>
              <w:right w:val="nil"/>
            </w:tcBorders>
            <w:shd w:val="clear" w:color="auto" w:fill="auto"/>
            <w:noWrap/>
            <w:vAlign w:val="bottom"/>
            <w:hideMark/>
          </w:tcPr>
          <w:p w14:paraId="3AF9F99B" w14:textId="77777777" w:rsidR="009D1AF0" w:rsidRPr="00D618B7" w:rsidRDefault="009D1AF0" w:rsidP="004B11B7">
            <w:pPr>
              <w:rPr>
                <w:color w:val="000000"/>
              </w:rPr>
            </w:pPr>
            <w:r w:rsidRPr="00D618B7">
              <w:rPr>
                <w:color w:val="000000"/>
              </w:rPr>
              <w:t> </w:t>
            </w:r>
          </w:p>
        </w:tc>
        <w:tc>
          <w:tcPr>
            <w:tcW w:w="753" w:type="pct"/>
            <w:tcBorders>
              <w:top w:val="nil"/>
              <w:left w:val="nil"/>
              <w:bottom w:val="single" w:sz="8" w:space="0" w:color="auto"/>
              <w:right w:val="nil"/>
            </w:tcBorders>
            <w:shd w:val="clear" w:color="auto" w:fill="auto"/>
            <w:noWrap/>
            <w:vAlign w:val="bottom"/>
            <w:hideMark/>
          </w:tcPr>
          <w:p w14:paraId="22E97B24" w14:textId="77777777" w:rsidR="009D1AF0" w:rsidRPr="00D618B7" w:rsidRDefault="009D1AF0" w:rsidP="004B11B7">
            <w:pPr>
              <w:rPr>
                <w:color w:val="000000"/>
              </w:rPr>
            </w:pPr>
            <w:r w:rsidRPr="00D618B7">
              <w:rPr>
                <w:color w:val="000000"/>
              </w:rPr>
              <w:t> </w:t>
            </w:r>
          </w:p>
        </w:tc>
        <w:tc>
          <w:tcPr>
            <w:tcW w:w="752" w:type="pct"/>
            <w:tcBorders>
              <w:top w:val="nil"/>
              <w:left w:val="nil"/>
              <w:bottom w:val="single" w:sz="8" w:space="0" w:color="auto"/>
              <w:right w:val="nil"/>
            </w:tcBorders>
            <w:shd w:val="clear" w:color="auto" w:fill="auto"/>
            <w:noWrap/>
            <w:vAlign w:val="bottom"/>
            <w:hideMark/>
          </w:tcPr>
          <w:p w14:paraId="7225D7A9" w14:textId="77777777" w:rsidR="009D1AF0" w:rsidRPr="00D618B7" w:rsidRDefault="009D1AF0" w:rsidP="004B11B7">
            <w:pPr>
              <w:rPr>
                <w:color w:val="000000"/>
              </w:rPr>
            </w:pPr>
            <w:r w:rsidRPr="00D618B7">
              <w:rPr>
                <w:color w:val="000000"/>
              </w:rPr>
              <w:t> </w:t>
            </w:r>
          </w:p>
        </w:tc>
        <w:tc>
          <w:tcPr>
            <w:tcW w:w="752" w:type="pct"/>
            <w:tcBorders>
              <w:top w:val="nil"/>
              <w:left w:val="nil"/>
              <w:bottom w:val="single" w:sz="8" w:space="0" w:color="auto"/>
              <w:right w:val="nil"/>
            </w:tcBorders>
            <w:shd w:val="clear" w:color="auto" w:fill="auto"/>
            <w:noWrap/>
            <w:vAlign w:val="bottom"/>
            <w:hideMark/>
          </w:tcPr>
          <w:p w14:paraId="30CF6874" w14:textId="77777777" w:rsidR="009D1AF0" w:rsidRPr="00D618B7" w:rsidRDefault="009D1AF0" w:rsidP="004B11B7">
            <w:pPr>
              <w:rPr>
                <w:color w:val="000000"/>
              </w:rPr>
            </w:pPr>
            <w:r w:rsidRPr="00D618B7">
              <w:rPr>
                <w:color w:val="000000"/>
              </w:rPr>
              <w:t> </w:t>
            </w:r>
          </w:p>
        </w:tc>
      </w:tr>
      <w:tr w:rsidR="009D1AF0" w:rsidRPr="00D618B7" w14:paraId="3D7DFD90" w14:textId="77777777" w:rsidTr="004B11B7">
        <w:trPr>
          <w:trHeight w:val="284"/>
        </w:trPr>
        <w:tc>
          <w:tcPr>
            <w:tcW w:w="1990" w:type="pct"/>
            <w:tcBorders>
              <w:top w:val="nil"/>
              <w:left w:val="nil"/>
              <w:bottom w:val="nil"/>
              <w:right w:val="nil"/>
            </w:tcBorders>
            <w:shd w:val="clear" w:color="000000" w:fill="FFFFFF"/>
            <w:vAlign w:val="center"/>
            <w:hideMark/>
          </w:tcPr>
          <w:p w14:paraId="7BF54CD6" w14:textId="77777777" w:rsidR="009D1AF0" w:rsidRPr="00D618B7" w:rsidRDefault="009D1AF0" w:rsidP="004B11B7">
            <w:pPr>
              <w:rPr>
                <w:color w:val="000000"/>
              </w:rPr>
            </w:pPr>
            <w:r w:rsidRPr="00D618B7">
              <w:rPr>
                <w:color w:val="000000"/>
              </w:rPr>
              <w:t>Week</w:t>
            </w:r>
          </w:p>
        </w:tc>
        <w:tc>
          <w:tcPr>
            <w:tcW w:w="1505" w:type="pct"/>
            <w:gridSpan w:val="2"/>
            <w:tcBorders>
              <w:top w:val="nil"/>
              <w:left w:val="nil"/>
              <w:bottom w:val="single" w:sz="8" w:space="0" w:color="auto"/>
              <w:right w:val="nil"/>
            </w:tcBorders>
            <w:shd w:val="clear" w:color="000000" w:fill="FFFFFF"/>
            <w:vAlign w:val="center"/>
            <w:hideMark/>
          </w:tcPr>
          <w:p w14:paraId="0C91A5DB" w14:textId="77777777" w:rsidR="009D1AF0" w:rsidRPr="00D618B7" w:rsidRDefault="009D1AF0" w:rsidP="004B11B7">
            <w:pPr>
              <w:jc w:val="center"/>
              <w:rPr>
                <w:color w:val="000000"/>
              </w:rPr>
            </w:pPr>
            <w:r w:rsidRPr="00D618B7">
              <w:rPr>
                <w:color w:val="000000"/>
              </w:rPr>
              <w:t>Early Reach Group</w:t>
            </w:r>
          </w:p>
        </w:tc>
        <w:tc>
          <w:tcPr>
            <w:tcW w:w="1504" w:type="pct"/>
            <w:gridSpan w:val="2"/>
            <w:tcBorders>
              <w:top w:val="nil"/>
              <w:left w:val="nil"/>
              <w:bottom w:val="single" w:sz="8" w:space="0" w:color="auto"/>
              <w:right w:val="nil"/>
            </w:tcBorders>
            <w:shd w:val="clear" w:color="000000" w:fill="FFFFFF"/>
            <w:vAlign w:val="center"/>
            <w:hideMark/>
          </w:tcPr>
          <w:p w14:paraId="4A947CA1" w14:textId="77777777" w:rsidR="009D1AF0" w:rsidRPr="00D618B7" w:rsidRDefault="009D1AF0" w:rsidP="004B11B7">
            <w:pPr>
              <w:jc w:val="center"/>
              <w:rPr>
                <w:color w:val="000000"/>
              </w:rPr>
            </w:pPr>
            <w:r w:rsidRPr="00D618B7">
              <w:rPr>
                <w:color w:val="000000"/>
              </w:rPr>
              <w:t>Late Reach Group</w:t>
            </w:r>
          </w:p>
        </w:tc>
      </w:tr>
      <w:tr w:rsidR="009D1AF0" w:rsidRPr="00D618B7" w14:paraId="0B6E1461" w14:textId="77777777" w:rsidTr="004B11B7">
        <w:trPr>
          <w:trHeight w:val="284"/>
        </w:trPr>
        <w:tc>
          <w:tcPr>
            <w:tcW w:w="1990" w:type="pct"/>
            <w:tcBorders>
              <w:top w:val="nil"/>
              <w:left w:val="nil"/>
              <w:bottom w:val="single" w:sz="8" w:space="0" w:color="auto"/>
              <w:right w:val="nil"/>
            </w:tcBorders>
            <w:shd w:val="clear" w:color="000000" w:fill="FFFFFF"/>
            <w:noWrap/>
            <w:vAlign w:val="bottom"/>
            <w:hideMark/>
          </w:tcPr>
          <w:p w14:paraId="25754552" w14:textId="77777777" w:rsidR="009D1AF0" w:rsidRPr="00D618B7" w:rsidRDefault="009D1AF0" w:rsidP="004B11B7">
            <w:pPr>
              <w:rPr>
                <w:color w:val="000000"/>
              </w:rPr>
            </w:pPr>
            <w:r w:rsidRPr="00D618B7">
              <w:rPr>
                <w:color w:val="000000"/>
              </w:rPr>
              <w:t> </w:t>
            </w:r>
          </w:p>
        </w:tc>
        <w:tc>
          <w:tcPr>
            <w:tcW w:w="752" w:type="pct"/>
            <w:tcBorders>
              <w:top w:val="nil"/>
              <w:left w:val="nil"/>
              <w:bottom w:val="single" w:sz="8" w:space="0" w:color="auto"/>
              <w:right w:val="nil"/>
            </w:tcBorders>
            <w:shd w:val="clear" w:color="000000" w:fill="FFFFFF"/>
            <w:noWrap/>
            <w:vAlign w:val="center"/>
            <w:hideMark/>
          </w:tcPr>
          <w:p w14:paraId="1EF1239F" w14:textId="77777777" w:rsidR="009D1AF0" w:rsidRPr="00D618B7" w:rsidRDefault="009D1AF0" w:rsidP="004B11B7">
            <w:pPr>
              <w:jc w:val="right"/>
              <w:rPr>
                <w:color w:val="000000"/>
              </w:rPr>
            </w:pPr>
            <w:r w:rsidRPr="00D618B7">
              <w:rPr>
                <w:color w:val="000000"/>
              </w:rPr>
              <w:t>Mean</w:t>
            </w:r>
          </w:p>
        </w:tc>
        <w:tc>
          <w:tcPr>
            <w:tcW w:w="753" w:type="pct"/>
            <w:tcBorders>
              <w:top w:val="nil"/>
              <w:left w:val="nil"/>
              <w:bottom w:val="single" w:sz="8" w:space="0" w:color="auto"/>
              <w:right w:val="nil"/>
            </w:tcBorders>
            <w:shd w:val="clear" w:color="000000" w:fill="FFFFFF"/>
            <w:noWrap/>
            <w:vAlign w:val="center"/>
            <w:hideMark/>
          </w:tcPr>
          <w:p w14:paraId="23F05385" w14:textId="77777777" w:rsidR="009D1AF0" w:rsidRPr="00D618B7" w:rsidRDefault="009D1AF0" w:rsidP="004B11B7">
            <w:pPr>
              <w:jc w:val="right"/>
              <w:rPr>
                <w:color w:val="000000"/>
              </w:rPr>
            </w:pPr>
            <w:r w:rsidRPr="00D618B7">
              <w:rPr>
                <w:color w:val="000000"/>
              </w:rPr>
              <w:t>Std. Error</w:t>
            </w:r>
          </w:p>
        </w:tc>
        <w:tc>
          <w:tcPr>
            <w:tcW w:w="752" w:type="pct"/>
            <w:tcBorders>
              <w:top w:val="nil"/>
              <w:left w:val="nil"/>
              <w:bottom w:val="single" w:sz="8" w:space="0" w:color="auto"/>
              <w:right w:val="nil"/>
            </w:tcBorders>
            <w:shd w:val="clear" w:color="000000" w:fill="FFFFFF"/>
            <w:noWrap/>
            <w:vAlign w:val="center"/>
            <w:hideMark/>
          </w:tcPr>
          <w:p w14:paraId="55C0D71A" w14:textId="77777777" w:rsidR="009D1AF0" w:rsidRPr="00D618B7" w:rsidRDefault="009D1AF0" w:rsidP="004B11B7">
            <w:pPr>
              <w:jc w:val="right"/>
              <w:rPr>
                <w:color w:val="000000"/>
              </w:rPr>
            </w:pPr>
            <w:r w:rsidRPr="00D618B7">
              <w:rPr>
                <w:color w:val="000000"/>
              </w:rPr>
              <w:t>Mean</w:t>
            </w:r>
          </w:p>
        </w:tc>
        <w:tc>
          <w:tcPr>
            <w:tcW w:w="752" w:type="pct"/>
            <w:tcBorders>
              <w:top w:val="nil"/>
              <w:left w:val="nil"/>
              <w:bottom w:val="single" w:sz="8" w:space="0" w:color="auto"/>
              <w:right w:val="nil"/>
            </w:tcBorders>
            <w:shd w:val="clear" w:color="000000" w:fill="FFFFFF"/>
            <w:noWrap/>
            <w:vAlign w:val="center"/>
            <w:hideMark/>
          </w:tcPr>
          <w:p w14:paraId="6208ECB7" w14:textId="77777777" w:rsidR="009D1AF0" w:rsidRPr="00D618B7" w:rsidRDefault="009D1AF0" w:rsidP="004B11B7">
            <w:pPr>
              <w:jc w:val="right"/>
              <w:rPr>
                <w:color w:val="000000"/>
              </w:rPr>
            </w:pPr>
            <w:r w:rsidRPr="00D618B7">
              <w:rPr>
                <w:color w:val="000000"/>
              </w:rPr>
              <w:t>Std. Error</w:t>
            </w:r>
          </w:p>
        </w:tc>
      </w:tr>
      <w:tr w:rsidR="009D1AF0" w:rsidRPr="00D618B7" w14:paraId="1696C77B" w14:textId="77777777" w:rsidTr="004B11B7">
        <w:trPr>
          <w:trHeight w:val="284"/>
        </w:trPr>
        <w:tc>
          <w:tcPr>
            <w:tcW w:w="1990" w:type="pct"/>
            <w:tcBorders>
              <w:top w:val="nil"/>
              <w:left w:val="nil"/>
              <w:bottom w:val="nil"/>
              <w:right w:val="nil"/>
            </w:tcBorders>
            <w:shd w:val="clear" w:color="000000" w:fill="FFFFFF"/>
            <w:vAlign w:val="center"/>
            <w:hideMark/>
          </w:tcPr>
          <w:p w14:paraId="1910964C" w14:textId="77777777" w:rsidR="009D1AF0" w:rsidRPr="00D618B7" w:rsidRDefault="009D1AF0" w:rsidP="004B11B7">
            <w:pPr>
              <w:jc w:val="center"/>
              <w:rPr>
                <w:color w:val="000000"/>
              </w:rPr>
            </w:pPr>
            <w:r w:rsidRPr="00D618B7">
              <w:rPr>
                <w:color w:val="000000"/>
              </w:rPr>
              <w:t>-5</w:t>
            </w:r>
          </w:p>
        </w:tc>
        <w:tc>
          <w:tcPr>
            <w:tcW w:w="752" w:type="pct"/>
            <w:tcBorders>
              <w:top w:val="nil"/>
              <w:left w:val="nil"/>
              <w:bottom w:val="nil"/>
              <w:right w:val="nil"/>
            </w:tcBorders>
            <w:shd w:val="clear" w:color="000000" w:fill="FFFFFF"/>
            <w:noWrap/>
            <w:vAlign w:val="center"/>
            <w:hideMark/>
          </w:tcPr>
          <w:p w14:paraId="2C6298E8" w14:textId="77777777" w:rsidR="009D1AF0" w:rsidRPr="00D618B7" w:rsidRDefault="009D1AF0" w:rsidP="004B11B7">
            <w:pPr>
              <w:jc w:val="right"/>
              <w:rPr>
                <w:color w:val="000000"/>
              </w:rPr>
            </w:pPr>
            <w:r w:rsidRPr="00D618B7">
              <w:rPr>
                <w:color w:val="000000"/>
              </w:rPr>
              <w:t>12687.98</w:t>
            </w:r>
          </w:p>
        </w:tc>
        <w:tc>
          <w:tcPr>
            <w:tcW w:w="753" w:type="pct"/>
            <w:tcBorders>
              <w:top w:val="nil"/>
              <w:left w:val="nil"/>
              <w:bottom w:val="nil"/>
              <w:right w:val="nil"/>
            </w:tcBorders>
            <w:shd w:val="clear" w:color="000000" w:fill="FFFFFF"/>
            <w:noWrap/>
            <w:vAlign w:val="center"/>
            <w:hideMark/>
          </w:tcPr>
          <w:p w14:paraId="5D90D811" w14:textId="77777777" w:rsidR="009D1AF0" w:rsidRPr="00D618B7" w:rsidRDefault="009D1AF0" w:rsidP="004B11B7">
            <w:pPr>
              <w:jc w:val="right"/>
              <w:rPr>
                <w:color w:val="000000"/>
              </w:rPr>
            </w:pPr>
            <w:r w:rsidRPr="00D618B7">
              <w:rPr>
                <w:color w:val="000000"/>
              </w:rPr>
              <w:t>2649.76</w:t>
            </w:r>
          </w:p>
        </w:tc>
        <w:tc>
          <w:tcPr>
            <w:tcW w:w="752" w:type="pct"/>
            <w:tcBorders>
              <w:top w:val="nil"/>
              <w:left w:val="nil"/>
              <w:bottom w:val="nil"/>
              <w:right w:val="nil"/>
            </w:tcBorders>
            <w:shd w:val="clear" w:color="000000" w:fill="FFFFFF"/>
            <w:noWrap/>
            <w:vAlign w:val="center"/>
            <w:hideMark/>
          </w:tcPr>
          <w:p w14:paraId="18BDF193" w14:textId="77777777" w:rsidR="009D1AF0" w:rsidRPr="00D618B7" w:rsidRDefault="009D1AF0" w:rsidP="004B11B7">
            <w:pPr>
              <w:jc w:val="right"/>
              <w:rPr>
                <w:color w:val="000000"/>
              </w:rPr>
            </w:pPr>
            <w:r w:rsidRPr="00D618B7">
              <w:rPr>
                <w:color w:val="000000"/>
              </w:rPr>
              <w:t>-280.15</w:t>
            </w:r>
          </w:p>
        </w:tc>
        <w:tc>
          <w:tcPr>
            <w:tcW w:w="752" w:type="pct"/>
            <w:tcBorders>
              <w:top w:val="nil"/>
              <w:left w:val="nil"/>
              <w:bottom w:val="nil"/>
              <w:right w:val="nil"/>
            </w:tcBorders>
            <w:shd w:val="clear" w:color="000000" w:fill="FFFFFF"/>
            <w:noWrap/>
            <w:vAlign w:val="center"/>
            <w:hideMark/>
          </w:tcPr>
          <w:p w14:paraId="49E94F5F" w14:textId="77777777" w:rsidR="009D1AF0" w:rsidRPr="00D618B7" w:rsidRDefault="009D1AF0" w:rsidP="004B11B7">
            <w:pPr>
              <w:jc w:val="right"/>
              <w:rPr>
                <w:color w:val="000000"/>
              </w:rPr>
            </w:pPr>
            <w:r w:rsidRPr="00D618B7">
              <w:rPr>
                <w:color w:val="000000"/>
              </w:rPr>
              <w:t>286.87</w:t>
            </w:r>
          </w:p>
        </w:tc>
      </w:tr>
      <w:tr w:rsidR="009D1AF0" w:rsidRPr="00D618B7" w14:paraId="32E6CDEA" w14:textId="77777777" w:rsidTr="004B11B7">
        <w:trPr>
          <w:trHeight w:val="284"/>
        </w:trPr>
        <w:tc>
          <w:tcPr>
            <w:tcW w:w="1990" w:type="pct"/>
            <w:tcBorders>
              <w:top w:val="nil"/>
              <w:left w:val="nil"/>
              <w:bottom w:val="nil"/>
              <w:right w:val="nil"/>
            </w:tcBorders>
            <w:shd w:val="clear" w:color="000000" w:fill="FFFFFF"/>
            <w:vAlign w:val="center"/>
            <w:hideMark/>
          </w:tcPr>
          <w:p w14:paraId="316F769A" w14:textId="77777777" w:rsidR="009D1AF0" w:rsidRPr="00D618B7" w:rsidRDefault="009D1AF0" w:rsidP="004B11B7">
            <w:pPr>
              <w:jc w:val="center"/>
              <w:rPr>
                <w:color w:val="000000"/>
              </w:rPr>
            </w:pPr>
            <w:r w:rsidRPr="00D618B7">
              <w:rPr>
                <w:color w:val="000000"/>
              </w:rPr>
              <w:t>-4</w:t>
            </w:r>
          </w:p>
        </w:tc>
        <w:tc>
          <w:tcPr>
            <w:tcW w:w="752" w:type="pct"/>
            <w:tcBorders>
              <w:top w:val="nil"/>
              <w:left w:val="nil"/>
              <w:bottom w:val="nil"/>
              <w:right w:val="nil"/>
            </w:tcBorders>
            <w:shd w:val="clear" w:color="000000" w:fill="FFFFFF"/>
            <w:noWrap/>
            <w:vAlign w:val="center"/>
            <w:hideMark/>
          </w:tcPr>
          <w:p w14:paraId="1C25BF46" w14:textId="77777777" w:rsidR="009D1AF0" w:rsidRPr="00D618B7" w:rsidRDefault="009D1AF0" w:rsidP="004B11B7">
            <w:pPr>
              <w:jc w:val="right"/>
              <w:rPr>
                <w:color w:val="000000"/>
              </w:rPr>
            </w:pPr>
            <w:r w:rsidRPr="00D618B7">
              <w:rPr>
                <w:color w:val="000000"/>
              </w:rPr>
              <w:t>-2545.81</w:t>
            </w:r>
          </w:p>
        </w:tc>
        <w:tc>
          <w:tcPr>
            <w:tcW w:w="753" w:type="pct"/>
            <w:tcBorders>
              <w:top w:val="nil"/>
              <w:left w:val="nil"/>
              <w:bottom w:val="nil"/>
              <w:right w:val="nil"/>
            </w:tcBorders>
            <w:shd w:val="clear" w:color="000000" w:fill="FFFFFF"/>
            <w:noWrap/>
            <w:vAlign w:val="center"/>
            <w:hideMark/>
          </w:tcPr>
          <w:p w14:paraId="6F27A549" w14:textId="77777777" w:rsidR="009D1AF0" w:rsidRPr="00D618B7" w:rsidRDefault="009D1AF0" w:rsidP="004B11B7">
            <w:pPr>
              <w:jc w:val="right"/>
              <w:rPr>
                <w:color w:val="000000"/>
              </w:rPr>
            </w:pPr>
            <w:r w:rsidRPr="00D618B7">
              <w:rPr>
                <w:color w:val="000000"/>
              </w:rPr>
              <w:t>1488.38</w:t>
            </w:r>
          </w:p>
        </w:tc>
        <w:tc>
          <w:tcPr>
            <w:tcW w:w="752" w:type="pct"/>
            <w:tcBorders>
              <w:top w:val="nil"/>
              <w:left w:val="nil"/>
              <w:bottom w:val="nil"/>
              <w:right w:val="nil"/>
            </w:tcBorders>
            <w:shd w:val="clear" w:color="000000" w:fill="FFFFFF"/>
            <w:noWrap/>
            <w:vAlign w:val="center"/>
            <w:hideMark/>
          </w:tcPr>
          <w:p w14:paraId="5EFCDEF3" w14:textId="77777777" w:rsidR="009D1AF0" w:rsidRPr="00D618B7" w:rsidRDefault="009D1AF0" w:rsidP="004B11B7">
            <w:pPr>
              <w:jc w:val="right"/>
              <w:rPr>
                <w:color w:val="000000"/>
              </w:rPr>
            </w:pPr>
            <w:r w:rsidRPr="00D618B7">
              <w:rPr>
                <w:color w:val="000000"/>
              </w:rPr>
              <w:t>133.39</w:t>
            </w:r>
          </w:p>
        </w:tc>
        <w:tc>
          <w:tcPr>
            <w:tcW w:w="752" w:type="pct"/>
            <w:tcBorders>
              <w:top w:val="nil"/>
              <w:left w:val="nil"/>
              <w:bottom w:val="nil"/>
              <w:right w:val="nil"/>
            </w:tcBorders>
            <w:shd w:val="clear" w:color="000000" w:fill="FFFFFF"/>
            <w:noWrap/>
            <w:vAlign w:val="center"/>
            <w:hideMark/>
          </w:tcPr>
          <w:p w14:paraId="2601ECD1" w14:textId="77777777" w:rsidR="009D1AF0" w:rsidRPr="00D618B7" w:rsidRDefault="009D1AF0" w:rsidP="004B11B7">
            <w:pPr>
              <w:jc w:val="right"/>
              <w:rPr>
                <w:color w:val="000000"/>
              </w:rPr>
            </w:pPr>
            <w:r w:rsidRPr="00D618B7">
              <w:rPr>
                <w:color w:val="000000"/>
              </w:rPr>
              <w:t>647.51</w:t>
            </w:r>
          </w:p>
        </w:tc>
      </w:tr>
      <w:tr w:rsidR="009D1AF0" w:rsidRPr="00D618B7" w14:paraId="7A91B4D6" w14:textId="77777777" w:rsidTr="004B11B7">
        <w:trPr>
          <w:trHeight w:val="284"/>
        </w:trPr>
        <w:tc>
          <w:tcPr>
            <w:tcW w:w="1990" w:type="pct"/>
            <w:tcBorders>
              <w:top w:val="nil"/>
              <w:left w:val="nil"/>
              <w:bottom w:val="nil"/>
              <w:right w:val="nil"/>
            </w:tcBorders>
            <w:shd w:val="clear" w:color="000000" w:fill="FFFFFF"/>
            <w:vAlign w:val="center"/>
            <w:hideMark/>
          </w:tcPr>
          <w:p w14:paraId="5B76687E" w14:textId="77777777" w:rsidR="009D1AF0" w:rsidRPr="00D618B7" w:rsidRDefault="009D1AF0" w:rsidP="004B11B7">
            <w:pPr>
              <w:jc w:val="center"/>
              <w:rPr>
                <w:color w:val="000000"/>
              </w:rPr>
            </w:pPr>
            <w:r w:rsidRPr="00D618B7">
              <w:rPr>
                <w:color w:val="000000"/>
              </w:rPr>
              <w:t>-3</w:t>
            </w:r>
          </w:p>
        </w:tc>
        <w:tc>
          <w:tcPr>
            <w:tcW w:w="752" w:type="pct"/>
            <w:tcBorders>
              <w:top w:val="nil"/>
              <w:left w:val="nil"/>
              <w:bottom w:val="nil"/>
              <w:right w:val="nil"/>
            </w:tcBorders>
            <w:shd w:val="clear" w:color="000000" w:fill="FFFFFF"/>
            <w:noWrap/>
            <w:vAlign w:val="center"/>
            <w:hideMark/>
          </w:tcPr>
          <w:p w14:paraId="6893857C" w14:textId="77777777" w:rsidR="009D1AF0" w:rsidRPr="00D618B7" w:rsidRDefault="009D1AF0" w:rsidP="004B11B7">
            <w:pPr>
              <w:jc w:val="right"/>
              <w:rPr>
                <w:color w:val="000000"/>
              </w:rPr>
            </w:pPr>
            <w:r w:rsidRPr="00D618B7">
              <w:rPr>
                <w:color w:val="000000"/>
              </w:rPr>
              <w:t>9688.78</w:t>
            </w:r>
          </w:p>
        </w:tc>
        <w:tc>
          <w:tcPr>
            <w:tcW w:w="753" w:type="pct"/>
            <w:tcBorders>
              <w:top w:val="nil"/>
              <w:left w:val="nil"/>
              <w:bottom w:val="nil"/>
              <w:right w:val="nil"/>
            </w:tcBorders>
            <w:shd w:val="clear" w:color="000000" w:fill="FFFFFF"/>
            <w:noWrap/>
            <w:vAlign w:val="center"/>
            <w:hideMark/>
          </w:tcPr>
          <w:p w14:paraId="7E74CC78" w14:textId="77777777" w:rsidR="009D1AF0" w:rsidRPr="00D618B7" w:rsidRDefault="009D1AF0" w:rsidP="004B11B7">
            <w:pPr>
              <w:jc w:val="right"/>
              <w:rPr>
                <w:color w:val="000000"/>
              </w:rPr>
            </w:pPr>
            <w:r w:rsidRPr="00D618B7">
              <w:rPr>
                <w:color w:val="000000"/>
              </w:rPr>
              <w:t>4528.69</w:t>
            </w:r>
          </w:p>
        </w:tc>
        <w:tc>
          <w:tcPr>
            <w:tcW w:w="752" w:type="pct"/>
            <w:tcBorders>
              <w:top w:val="nil"/>
              <w:left w:val="nil"/>
              <w:bottom w:val="nil"/>
              <w:right w:val="nil"/>
            </w:tcBorders>
            <w:shd w:val="clear" w:color="000000" w:fill="FFFFFF"/>
            <w:noWrap/>
            <w:vAlign w:val="center"/>
            <w:hideMark/>
          </w:tcPr>
          <w:p w14:paraId="61D52369" w14:textId="77777777" w:rsidR="009D1AF0" w:rsidRPr="00D618B7" w:rsidRDefault="009D1AF0" w:rsidP="004B11B7">
            <w:pPr>
              <w:jc w:val="right"/>
              <w:rPr>
                <w:color w:val="000000"/>
              </w:rPr>
            </w:pPr>
            <w:r w:rsidRPr="00D618B7">
              <w:rPr>
                <w:color w:val="000000"/>
              </w:rPr>
              <w:t>1759.47</w:t>
            </w:r>
          </w:p>
        </w:tc>
        <w:tc>
          <w:tcPr>
            <w:tcW w:w="752" w:type="pct"/>
            <w:tcBorders>
              <w:top w:val="nil"/>
              <w:left w:val="nil"/>
              <w:bottom w:val="nil"/>
              <w:right w:val="nil"/>
            </w:tcBorders>
            <w:shd w:val="clear" w:color="000000" w:fill="FFFFFF"/>
            <w:noWrap/>
            <w:vAlign w:val="center"/>
            <w:hideMark/>
          </w:tcPr>
          <w:p w14:paraId="48BC4AE3" w14:textId="77777777" w:rsidR="009D1AF0" w:rsidRPr="00D618B7" w:rsidRDefault="009D1AF0" w:rsidP="004B11B7">
            <w:pPr>
              <w:jc w:val="right"/>
              <w:rPr>
                <w:color w:val="000000"/>
              </w:rPr>
            </w:pPr>
            <w:r w:rsidRPr="00D618B7">
              <w:rPr>
                <w:color w:val="000000"/>
              </w:rPr>
              <w:t>994.80</w:t>
            </w:r>
          </w:p>
        </w:tc>
      </w:tr>
      <w:tr w:rsidR="009D1AF0" w:rsidRPr="00D618B7" w14:paraId="180E2F9A" w14:textId="77777777" w:rsidTr="004B11B7">
        <w:trPr>
          <w:trHeight w:val="284"/>
        </w:trPr>
        <w:tc>
          <w:tcPr>
            <w:tcW w:w="1990" w:type="pct"/>
            <w:tcBorders>
              <w:top w:val="nil"/>
              <w:left w:val="nil"/>
              <w:bottom w:val="nil"/>
              <w:right w:val="nil"/>
            </w:tcBorders>
            <w:shd w:val="clear" w:color="000000" w:fill="FFFFFF"/>
            <w:vAlign w:val="center"/>
            <w:hideMark/>
          </w:tcPr>
          <w:p w14:paraId="42D375CB" w14:textId="77777777" w:rsidR="009D1AF0" w:rsidRPr="00D618B7" w:rsidRDefault="009D1AF0" w:rsidP="004B11B7">
            <w:pPr>
              <w:jc w:val="center"/>
              <w:rPr>
                <w:color w:val="000000"/>
              </w:rPr>
            </w:pPr>
            <w:r w:rsidRPr="00D618B7">
              <w:rPr>
                <w:color w:val="000000"/>
              </w:rPr>
              <w:t>-2</w:t>
            </w:r>
          </w:p>
        </w:tc>
        <w:tc>
          <w:tcPr>
            <w:tcW w:w="752" w:type="pct"/>
            <w:tcBorders>
              <w:top w:val="nil"/>
              <w:left w:val="nil"/>
              <w:bottom w:val="nil"/>
              <w:right w:val="nil"/>
            </w:tcBorders>
            <w:shd w:val="clear" w:color="000000" w:fill="FFFFFF"/>
            <w:noWrap/>
            <w:vAlign w:val="center"/>
            <w:hideMark/>
          </w:tcPr>
          <w:p w14:paraId="455AD6EB" w14:textId="77777777" w:rsidR="009D1AF0" w:rsidRPr="00D618B7" w:rsidRDefault="009D1AF0" w:rsidP="004B11B7">
            <w:pPr>
              <w:jc w:val="right"/>
              <w:rPr>
                <w:color w:val="000000"/>
              </w:rPr>
            </w:pPr>
            <w:r w:rsidRPr="00D618B7">
              <w:rPr>
                <w:color w:val="000000"/>
              </w:rPr>
              <w:t>5196.87</w:t>
            </w:r>
          </w:p>
        </w:tc>
        <w:tc>
          <w:tcPr>
            <w:tcW w:w="753" w:type="pct"/>
            <w:tcBorders>
              <w:top w:val="nil"/>
              <w:left w:val="nil"/>
              <w:bottom w:val="nil"/>
              <w:right w:val="nil"/>
            </w:tcBorders>
            <w:shd w:val="clear" w:color="000000" w:fill="FFFFFF"/>
            <w:noWrap/>
            <w:vAlign w:val="center"/>
            <w:hideMark/>
          </w:tcPr>
          <w:p w14:paraId="48F3DDF9" w14:textId="77777777" w:rsidR="009D1AF0" w:rsidRPr="00D618B7" w:rsidRDefault="009D1AF0" w:rsidP="004B11B7">
            <w:pPr>
              <w:jc w:val="right"/>
              <w:rPr>
                <w:color w:val="000000"/>
              </w:rPr>
            </w:pPr>
            <w:r w:rsidRPr="00D618B7">
              <w:rPr>
                <w:color w:val="000000"/>
              </w:rPr>
              <w:t>3056.89</w:t>
            </w:r>
          </w:p>
        </w:tc>
        <w:tc>
          <w:tcPr>
            <w:tcW w:w="752" w:type="pct"/>
            <w:tcBorders>
              <w:top w:val="nil"/>
              <w:left w:val="nil"/>
              <w:bottom w:val="nil"/>
              <w:right w:val="nil"/>
            </w:tcBorders>
            <w:shd w:val="clear" w:color="000000" w:fill="FFFFFF"/>
            <w:noWrap/>
            <w:vAlign w:val="center"/>
            <w:hideMark/>
          </w:tcPr>
          <w:p w14:paraId="4E9762D0" w14:textId="77777777" w:rsidR="009D1AF0" w:rsidRPr="00D618B7" w:rsidRDefault="009D1AF0" w:rsidP="004B11B7">
            <w:pPr>
              <w:jc w:val="right"/>
              <w:rPr>
                <w:color w:val="000000"/>
              </w:rPr>
            </w:pPr>
            <w:r w:rsidRPr="00D618B7">
              <w:rPr>
                <w:color w:val="000000"/>
              </w:rPr>
              <w:t>95.14</w:t>
            </w:r>
          </w:p>
        </w:tc>
        <w:tc>
          <w:tcPr>
            <w:tcW w:w="752" w:type="pct"/>
            <w:tcBorders>
              <w:top w:val="nil"/>
              <w:left w:val="nil"/>
              <w:bottom w:val="nil"/>
              <w:right w:val="nil"/>
            </w:tcBorders>
            <w:shd w:val="clear" w:color="000000" w:fill="FFFFFF"/>
            <w:noWrap/>
            <w:vAlign w:val="center"/>
            <w:hideMark/>
          </w:tcPr>
          <w:p w14:paraId="20B698BC" w14:textId="77777777" w:rsidR="009D1AF0" w:rsidRPr="00D618B7" w:rsidRDefault="009D1AF0" w:rsidP="004B11B7">
            <w:pPr>
              <w:jc w:val="right"/>
              <w:rPr>
                <w:color w:val="000000"/>
              </w:rPr>
            </w:pPr>
            <w:r w:rsidRPr="00D618B7">
              <w:rPr>
                <w:color w:val="000000"/>
              </w:rPr>
              <w:t>239.65</w:t>
            </w:r>
          </w:p>
        </w:tc>
      </w:tr>
      <w:tr w:rsidR="009D1AF0" w:rsidRPr="00D618B7" w14:paraId="01753BE8" w14:textId="77777777" w:rsidTr="004B11B7">
        <w:trPr>
          <w:trHeight w:val="284"/>
        </w:trPr>
        <w:tc>
          <w:tcPr>
            <w:tcW w:w="1990" w:type="pct"/>
            <w:tcBorders>
              <w:top w:val="nil"/>
              <w:left w:val="nil"/>
              <w:bottom w:val="nil"/>
              <w:right w:val="nil"/>
            </w:tcBorders>
            <w:shd w:val="clear" w:color="000000" w:fill="FFFFFF"/>
            <w:vAlign w:val="center"/>
            <w:hideMark/>
          </w:tcPr>
          <w:p w14:paraId="7344EF79" w14:textId="77777777" w:rsidR="009D1AF0" w:rsidRPr="00D618B7" w:rsidRDefault="009D1AF0" w:rsidP="004B11B7">
            <w:pPr>
              <w:jc w:val="center"/>
              <w:rPr>
                <w:color w:val="000000"/>
              </w:rPr>
            </w:pPr>
            <w:r w:rsidRPr="00D618B7">
              <w:rPr>
                <w:color w:val="000000"/>
              </w:rPr>
              <w:t>-1</w:t>
            </w:r>
          </w:p>
        </w:tc>
        <w:tc>
          <w:tcPr>
            <w:tcW w:w="752" w:type="pct"/>
            <w:tcBorders>
              <w:top w:val="nil"/>
              <w:left w:val="nil"/>
              <w:bottom w:val="nil"/>
              <w:right w:val="nil"/>
            </w:tcBorders>
            <w:shd w:val="clear" w:color="000000" w:fill="FFFFFF"/>
            <w:noWrap/>
            <w:vAlign w:val="center"/>
            <w:hideMark/>
          </w:tcPr>
          <w:p w14:paraId="36A3EE91" w14:textId="77777777" w:rsidR="009D1AF0" w:rsidRPr="00D618B7" w:rsidRDefault="009D1AF0" w:rsidP="004B11B7">
            <w:pPr>
              <w:jc w:val="right"/>
              <w:rPr>
                <w:color w:val="000000"/>
              </w:rPr>
            </w:pPr>
            <w:r w:rsidRPr="00D618B7">
              <w:rPr>
                <w:color w:val="000000"/>
              </w:rPr>
              <w:t>17543.80</w:t>
            </w:r>
          </w:p>
        </w:tc>
        <w:tc>
          <w:tcPr>
            <w:tcW w:w="753" w:type="pct"/>
            <w:tcBorders>
              <w:top w:val="nil"/>
              <w:left w:val="nil"/>
              <w:bottom w:val="nil"/>
              <w:right w:val="nil"/>
            </w:tcBorders>
            <w:shd w:val="clear" w:color="000000" w:fill="FFFFFF"/>
            <w:noWrap/>
            <w:vAlign w:val="center"/>
            <w:hideMark/>
          </w:tcPr>
          <w:p w14:paraId="4A040306" w14:textId="77777777" w:rsidR="009D1AF0" w:rsidRPr="00D618B7" w:rsidRDefault="009D1AF0" w:rsidP="004B11B7">
            <w:pPr>
              <w:jc w:val="right"/>
              <w:rPr>
                <w:color w:val="000000"/>
              </w:rPr>
            </w:pPr>
            <w:r w:rsidRPr="00D618B7">
              <w:rPr>
                <w:color w:val="000000"/>
              </w:rPr>
              <w:t>5495.80</w:t>
            </w:r>
          </w:p>
        </w:tc>
        <w:tc>
          <w:tcPr>
            <w:tcW w:w="752" w:type="pct"/>
            <w:tcBorders>
              <w:top w:val="nil"/>
              <w:left w:val="nil"/>
              <w:bottom w:val="nil"/>
              <w:right w:val="nil"/>
            </w:tcBorders>
            <w:shd w:val="clear" w:color="000000" w:fill="FFFFFF"/>
            <w:noWrap/>
            <w:vAlign w:val="center"/>
            <w:hideMark/>
          </w:tcPr>
          <w:p w14:paraId="16F4C88F" w14:textId="77777777" w:rsidR="009D1AF0" w:rsidRPr="00D618B7" w:rsidRDefault="009D1AF0" w:rsidP="004B11B7">
            <w:pPr>
              <w:jc w:val="right"/>
              <w:rPr>
                <w:color w:val="000000"/>
              </w:rPr>
            </w:pPr>
            <w:r w:rsidRPr="00D618B7">
              <w:rPr>
                <w:color w:val="000000"/>
              </w:rPr>
              <w:t>2302.37</w:t>
            </w:r>
          </w:p>
        </w:tc>
        <w:tc>
          <w:tcPr>
            <w:tcW w:w="752" w:type="pct"/>
            <w:tcBorders>
              <w:top w:val="nil"/>
              <w:left w:val="nil"/>
              <w:bottom w:val="nil"/>
              <w:right w:val="nil"/>
            </w:tcBorders>
            <w:shd w:val="clear" w:color="000000" w:fill="FFFFFF"/>
            <w:noWrap/>
            <w:vAlign w:val="center"/>
            <w:hideMark/>
          </w:tcPr>
          <w:p w14:paraId="47BEE573" w14:textId="77777777" w:rsidR="009D1AF0" w:rsidRPr="00D618B7" w:rsidRDefault="009D1AF0" w:rsidP="004B11B7">
            <w:pPr>
              <w:jc w:val="right"/>
              <w:rPr>
                <w:color w:val="000000"/>
              </w:rPr>
            </w:pPr>
            <w:r w:rsidRPr="00D618B7">
              <w:rPr>
                <w:color w:val="000000"/>
              </w:rPr>
              <w:t>1485.66</w:t>
            </w:r>
          </w:p>
        </w:tc>
      </w:tr>
      <w:tr w:rsidR="009D1AF0" w:rsidRPr="00D618B7" w14:paraId="628B43A8" w14:textId="77777777" w:rsidTr="004B11B7">
        <w:trPr>
          <w:trHeight w:val="284"/>
        </w:trPr>
        <w:tc>
          <w:tcPr>
            <w:tcW w:w="1990" w:type="pct"/>
            <w:tcBorders>
              <w:top w:val="nil"/>
              <w:left w:val="nil"/>
              <w:bottom w:val="nil"/>
              <w:right w:val="nil"/>
            </w:tcBorders>
            <w:shd w:val="clear" w:color="000000" w:fill="FFFFFF"/>
            <w:vAlign w:val="center"/>
            <w:hideMark/>
          </w:tcPr>
          <w:p w14:paraId="0987DF91" w14:textId="77777777" w:rsidR="009D1AF0" w:rsidRPr="00D618B7" w:rsidRDefault="009D1AF0" w:rsidP="004B11B7">
            <w:pPr>
              <w:jc w:val="center"/>
              <w:rPr>
                <w:color w:val="000000"/>
              </w:rPr>
            </w:pPr>
            <w:r w:rsidRPr="00D618B7">
              <w:rPr>
                <w:color w:val="000000"/>
              </w:rPr>
              <w:t>0</w:t>
            </w:r>
          </w:p>
        </w:tc>
        <w:tc>
          <w:tcPr>
            <w:tcW w:w="752" w:type="pct"/>
            <w:tcBorders>
              <w:top w:val="nil"/>
              <w:left w:val="nil"/>
              <w:bottom w:val="nil"/>
              <w:right w:val="nil"/>
            </w:tcBorders>
            <w:shd w:val="clear" w:color="000000" w:fill="FFFFFF"/>
            <w:noWrap/>
            <w:vAlign w:val="center"/>
            <w:hideMark/>
          </w:tcPr>
          <w:p w14:paraId="3C987E91" w14:textId="77777777" w:rsidR="009D1AF0" w:rsidRPr="00D618B7" w:rsidRDefault="009D1AF0" w:rsidP="004B11B7">
            <w:pPr>
              <w:jc w:val="right"/>
              <w:rPr>
                <w:color w:val="000000"/>
              </w:rPr>
            </w:pPr>
            <w:r w:rsidRPr="00D618B7">
              <w:rPr>
                <w:color w:val="000000"/>
              </w:rPr>
              <w:t>5627.92</w:t>
            </w:r>
          </w:p>
        </w:tc>
        <w:tc>
          <w:tcPr>
            <w:tcW w:w="753" w:type="pct"/>
            <w:tcBorders>
              <w:top w:val="nil"/>
              <w:left w:val="nil"/>
              <w:bottom w:val="nil"/>
              <w:right w:val="nil"/>
            </w:tcBorders>
            <w:shd w:val="clear" w:color="000000" w:fill="FFFFFF"/>
            <w:noWrap/>
            <w:vAlign w:val="center"/>
            <w:hideMark/>
          </w:tcPr>
          <w:p w14:paraId="413C4B31" w14:textId="77777777" w:rsidR="009D1AF0" w:rsidRPr="00D618B7" w:rsidRDefault="009D1AF0" w:rsidP="004B11B7">
            <w:pPr>
              <w:jc w:val="right"/>
              <w:rPr>
                <w:color w:val="000000"/>
              </w:rPr>
            </w:pPr>
            <w:r w:rsidRPr="00D618B7">
              <w:rPr>
                <w:color w:val="000000"/>
              </w:rPr>
              <w:t>2453.40</w:t>
            </w:r>
          </w:p>
        </w:tc>
        <w:tc>
          <w:tcPr>
            <w:tcW w:w="752" w:type="pct"/>
            <w:tcBorders>
              <w:top w:val="nil"/>
              <w:left w:val="nil"/>
              <w:bottom w:val="nil"/>
              <w:right w:val="nil"/>
            </w:tcBorders>
            <w:shd w:val="clear" w:color="000000" w:fill="FFFFFF"/>
            <w:noWrap/>
            <w:vAlign w:val="center"/>
            <w:hideMark/>
          </w:tcPr>
          <w:p w14:paraId="411D761C" w14:textId="77777777" w:rsidR="009D1AF0" w:rsidRPr="00D618B7" w:rsidRDefault="009D1AF0" w:rsidP="004B11B7">
            <w:pPr>
              <w:jc w:val="right"/>
              <w:rPr>
                <w:color w:val="000000"/>
              </w:rPr>
            </w:pPr>
            <w:r w:rsidRPr="00D618B7">
              <w:rPr>
                <w:color w:val="000000"/>
              </w:rPr>
              <w:t>1041.01</w:t>
            </w:r>
          </w:p>
        </w:tc>
        <w:tc>
          <w:tcPr>
            <w:tcW w:w="752" w:type="pct"/>
            <w:tcBorders>
              <w:top w:val="nil"/>
              <w:left w:val="nil"/>
              <w:bottom w:val="nil"/>
              <w:right w:val="nil"/>
            </w:tcBorders>
            <w:shd w:val="clear" w:color="000000" w:fill="FFFFFF"/>
            <w:noWrap/>
            <w:vAlign w:val="center"/>
            <w:hideMark/>
          </w:tcPr>
          <w:p w14:paraId="2248EBD0" w14:textId="77777777" w:rsidR="009D1AF0" w:rsidRPr="00D618B7" w:rsidRDefault="009D1AF0" w:rsidP="004B11B7">
            <w:pPr>
              <w:jc w:val="right"/>
              <w:rPr>
                <w:color w:val="000000"/>
              </w:rPr>
            </w:pPr>
            <w:r w:rsidRPr="00D618B7">
              <w:rPr>
                <w:color w:val="000000"/>
              </w:rPr>
              <w:t>679.20</w:t>
            </w:r>
          </w:p>
        </w:tc>
      </w:tr>
      <w:tr w:rsidR="009D1AF0" w:rsidRPr="00D618B7" w14:paraId="301A82CF" w14:textId="77777777" w:rsidTr="004B11B7">
        <w:trPr>
          <w:trHeight w:val="284"/>
        </w:trPr>
        <w:tc>
          <w:tcPr>
            <w:tcW w:w="1990" w:type="pct"/>
            <w:tcBorders>
              <w:top w:val="nil"/>
              <w:left w:val="nil"/>
              <w:bottom w:val="nil"/>
              <w:right w:val="nil"/>
            </w:tcBorders>
            <w:shd w:val="clear" w:color="000000" w:fill="FFFFFF"/>
            <w:vAlign w:val="center"/>
            <w:hideMark/>
          </w:tcPr>
          <w:p w14:paraId="13AF6D9C" w14:textId="77777777" w:rsidR="009D1AF0" w:rsidRPr="00D618B7" w:rsidRDefault="009D1AF0" w:rsidP="004B11B7">
            <w:pPr>
              <w:jc w:val="center"/>
              <w:rPr>
                <w:color w:val="000000"/>
              </w:rPr>
            </w:pPr>
            <w:r w:rsidRPr="00D618B7">
              <w:rPr>
                <w:color w:val="000000"/>
              </w:rPr>
              <w:t>1</w:t>
            </w:r>
          </w:p>
        </w:tc>
        <w:tc>
          <w:tcPr>
            <w:tcW w:w="752" w:type="pct"/>
            <w:tcBorders>
              <w:top w:val="nil"/>
              <w:left w:val="nil"/>
              <w:bottom w:val="nil"/>
              <w:right w:val="nil"/>
            </w:tcBorders>
            <w:shd w:val="clear" w:color="000000" w:fill="FFFFFF"/>
            <w:noWrap/>
            <w:vAlign w:val="center"/>
            <w:hideMark/>
          </w:tcPr>
          <w:p w14:paraId="4C0CAA86" w14:textId="77777777" w:rsidR="009D1AF0" w:rsidRPr="00D618B7" w:rsidRDefault="009D1AF0" w:rsidP="004B11B7">
            <w:pPr>
              <w:jc w:val="right"/>
              <w:rPr>
                <w:color w:val="000000"/>
              </w:rPr>
            </w:pPr>
            <w:r w:rsidRPr="00D618B7">
              <w:rPr>
                <w:color w:val="000000"/>
              </w:rPr>
              <w:t>4874.99</w:t>
            </w:r>
          </w:p>
        </w:tc>
        <w:tc>
          <w:tcPr>
            <w:tcW w:w="753" w:type="pct"/>
            <w:tcBorders>
              <w:top w:val="nil"/>
              <w:left w:val="nil"/>
              <w:bottom w:val="nil"/>
              <w:right w:val="nil"/>
            </w:tcBorders>
            <w:shd w:val="clear" w:color="000000" w:fill="FFFFFF"/>
            <w:noWrap/>
            <w:vAlign w:val="center"/>
            <w:hideMark/>
          </w:tcPr>
          <w:p w14:paraId="1CF6C101" w14:textId="77777777" w:rsidR="009D1AF0" w:rsidRPr="00D618B7" w:rsidRDefault="009D1AF0" w:rsidP="004B11B7">
            <w:pPr>
              <w:jc w:val="right"/>
              <w:rPr>
                <w:color w:val="000000"/>
              </w:rPr>
            </w:pPr>
            <w:r w:rsidRPr="00D618B7">
              <w:rPr>
                <w:color w:val="000000"/>
              </w:rPr>
              <w:t>339.73</w:t>
            </w:r>
          </w:p>
        </w:tc>
        <w:tc>
          <w:tcPr>
            <w:tcW w:w="752" w:type="pct"/>
            <w:tcBorders>
              <w:top w:val="nil"/>
              <w:left w:val="nil"/>
              <w:bottom w:val="nil"/>
              <w:right w:val="nil"/>
            </w:tcBorders>
            <w:shd w:val="clear" w:color="000000" w:fill="FFFFFF"/>
            <w:noWrap/>
            <w:vAlign w:val="center"/>
            <w:hideMark/>
          </w:tcPr>
          <w:p w14:paraId="41571389" w14:textId="77777777" w:rsidR="009D1AF0" w:rsidRPr="00D618B7" w:rsidRDefault="009D1AF0" w:rsidP="004B11B7">
            <w:pPr>
              <w:jc w:val="right"/>
              <w:rPr>
                <w:color w:val="000000"/>
              </w:rPr>
            </w:pPr>
            <w:r w:rsidRPr="00D618B7">
              <w:rPr>
                <w:color w:val="000000"/>
              </w:rPr>
              <w:t>6982.07</w:t>
            </w:r>
          </w:p>
        </w:tc>
        <w:tc>
          <w:tcPr>
            <w:tcW w:w="752" w:type="pct"/>
            <w:tcBorders>
              <w:top w:val="nil"/>
              <w:left w:val="nil"/>
              <w:bottom w:val="nil"/>
              <w:right w:val="nil"/>
            </w:tcBorders>
            <w:shd w:val="clear" w:color="000000" w:fill="FFFFFF"/>
            <w:noWrap/>
            <w:vAlign w:val="center"/>
            <w:hideMark/>
          </w:tcPr>
          <w:p w14:paraId="4495563F" w14:textId="77777777" w:rsidR="009D1AF0" w:rsidRPr="00D618B7" w:rsidRDefault="009D1AF0" w:rsidP="004B11B7">
            <w:pPr>
              <w:jc w:val="right"/>
              <w:rPr>
                <w:color w:val="000000"/>
              </w:rPr>
            </w:pPr>
            <w:r w:rsidRPr="00D618B7">
              <w:rPr>
                <w:color w:val="000000"/>
              </w:rPr>
              <w:t>4410.41</w:t>
            </w:r>
          </w:p>
        </w:tc>
      </w:tr>
      <w:tr w:rsidR="009D1AF0" w:rsidRPr="00D618B7" w14:paraId="32BC3649" w14:textId="77777777" w:rsidTr="004B11B7">
        <w:trPr>
          <w:trHeight w:val="284"/>
        </w:trPr>
        <w:tc>
          <w:tcPr>
            <w:tcW w:w="1990" w:type="pct"/>
            <w:tcBorders>
              <w:top w:val="nil"/>
              <w:left w:val="nil"/>
              <w:bottom w:val="nil"/>
              <w:right w:val="nil"/>
            </w:tcBorders>
            <w:shd w:val="clear" w:color="000000" w:fill="FFFFFF"/>
            <w:vAlign w:val="center"/>
            <w:hideMark/>
          </w:tcPr>
          <w:p w14:paraId="04190376" w14:textId="77777777" w:rsidR="009D1AF0" w:rsidRPr="00D618B7" w:rsidRDefault="009D1AF0" w:rsidP="004B11B7">
            <w:pPr>
              <w:jc w:val="center"/>
              <w:rPr>
                <w:color w:val="000000"/>
              </w:rPr>
            </w:pPr>
            <w:r w:rsidRPr="00D618B7">
              <w:rPr>
                <w:color w:val="000000"/>
              </w:rPr>
              <w:t>2</w:t>
            </w:r>
          </w:p>
        </w:tc>
        <w:tc>
          <w:tcPr>
            <w:tcW w:w="752" w:type="pct"/>
            <w:tcBorders>
              <w:top w:val="nil"/>
              <w:left w:val="nil"/>
              <w:bottom w:val="nil"/>
              <w:right w:val="nil"/>
            </w:tcBorders>
            <w:shd w:val="clear" w:color="000000" w:fill="FFFFFF"/>
            <w:noWrap/>
            <w:vAlign w:val="center"/>
            <w:hideMark/>
          </w:tcPr>
          <w:p w14:paraId="4EA68B8D" w14:textId="77777777" w:rsidR="009D1AF0" w:rsidRPr="00D618B7" w:rsidRDefault="009D1AF0" w:rsidP="004B11B7">
            <w:pPr>
              <w:jc w:val="right"/>
              <w:rPr>
                <w:color w:val="000000"/>
              </w:rPr>
            </w:pPr>
            <w:r w:rsidRPr="00D618B7">
              <w:rPr>
                <w:color w:val="000000"/>
              </w:rPr>
              <w:t>-4004.06</w:t>
            </w:r>
          </w:p>
        </w:tc>
        <w:tc>
          <w:tcPr>
            <w:tcW w:w="753" w:type="pct"/>
            <w:tcBorders>
              <w:top w:val="nil"/>
              <w:left w:val="nil"/>
              <w:bottom w:val="nil"/>
              <w:right w:val="nil"/>
            </w:tcBorders>
            <w:shd w:val="clear" w:color="000000" w:fill="FFFFFF"/>
            <w:noWrap/>
            <w:vAlign w:val="center"/>
            <w:hideMark/>
          </w:tcPr>
          <w:p w14:paraId="66447736" w14:textId="77777777" w:rsidR="009D1AF0" w:rsidRPr="00D618B7" w:rsidRDefault="009D1AF0" w:rsidP="004B11B7">
            <w:pPr>
              <w:jc w:val="right"/>
              <w:rPr>
                <w:color w:val="000000"/>
              </w:rPr>
            </w:pPr>
            <w:r w:rsidRPr="00D618B7">
              <w:rPr>
                <w:color w:val="000000"/>
              </w:rPr>
              <w:t>1889.62</w:t>
            </w:r>
          </w:p>
        </w:tc>
        <w:tc>
          <w:tcPr>
            <w:tcW w:w="752" w:type="pct"/>
            <w:tcBorders>
              <w:top w:val="nil"/>
              <w:left w:val="nil"/>
              <w:bottom w:val="nil"/>
              <w:right w:val="nil"/>
            </w:tcBorders>
            <w:shd w:val="clear" w:color="000000" w:fill="FFFFFF"/>
            <w:noWrap/>
            <w:vAlign w:val="center"/>
            <w:hideMark/>
          </w:tcPr>
          <w:p w14:paraId="6B9E4E65" w14:textId="77777777" w:rsidR="009D1AF0" w:rsidRPr="00D618B7" w:rsidRDefault="009D1AF0" w:rsidP="004B11B7">
            <w:pPr>
              <w:jc w:val="right"/>
              <w:rPr>
                <w:color w:val="000000"/>
              </w:rPr>
            </w:pPr>
            <w:r w:rsidRPr="00D618B7">
              <w:rPr>
                <w:color w:val="000000"/>
              </w:rPr>
              <w:t>4002.96</w:t>
            </w:r>
          </w:p>
        </w:tc>
        <w:tc>
          <w:tcPr>
            <w:tcW w:w="752" w:type="pct"/>
            <w:tcBorders>
              <w:top w:val="nil"/>
              <w:left w:val="nil"/>
              <w:bottom w:val="nil"/>
              <w:right w:val="nil"/>
            </w:tcBorders>
            <w:shd w:val="clear" w:color="000000" w:fill="FFFFFF"/>
            <w:noWrap/>
            <w:vAlign w:val="center"/>
            <w:hideMark/>
          </w:tcPr>
          <w:p w14:paraId="33327B98" w14:textId="77777777" w:rsidR="009D1AF0" w:rsidRPr="00D618B7" w:rsidRDefault="009D1AF0" w:rsidP="004B11B7">
            <w:pPr>
              <w:jc w:val="right"/>
              <w:rPr>
                <w:color w:val="000000"/>
              </w:rPr>
            </w:pPr>
            <w:r w:rsidRPr="00D618B7">
              <w:rPr>
                <w:color w:val="000000"/>
              </w:rPr>
              <w:t>1151.64</w:t>
            </w:r>
          </w:p>
        </w:tc>
      </w:tr>
      <w:tr w:rsidR="009D1AF0" w:rsidRPr="00D618B7" w14:paraId="4C7824C8" w14:textId="77777777" w:rsidTr="004B11B7">
        <w:trPr>
          <w:trHeight w:val="284"/>
        </w:trPr>
        <w:tc>
          <w:tcPr>
            <w:tcW w:w="1990" w:type="pct"/>
            <w:tcBorders>
              <w:top w:val="nil"/>
              <w:left w:val="nil"/>
              <w:bottom w:val="nil"/>
              <w:right w:val="nil"/>
            </w:tcBorders>
            <w:shd w:val="clear" w:color="000000" w:fill="FFFFFF"/>
            <w:vAlign w:val="center"/>
            <w:hideMark/>
          </w:tcPr>
          <w:p w14:paraId="797B4D9B" w14:textId="77777777" w:rsidR="009D1AF0" w:rsidRPr="00D618B7" w:rsidRDefault="009D1AF0" w:rsidP="004B11B7">
            <w:pPr>
              <w:jc w:val="center"/>
              <w:rPr>
                <w:color w:val="000000"/>
              </w:rPr>
            </w:pPr>
            <w:r w:rsidRPr="00D618B7">
              <w:rPr>
                <w:color w:val="000000"/>
              </w:rPr>
              <w:t>3</w:t>
            </w:r>
          </w:p>
        </w:tc>
        <w:tc>
          <w:tcPr>
            <w:tcW w:w="752" w:type="pct"/>
            <w:tcBorders>
              <w:top w:val="nil"/>
              <w:left w:val="nil"/>
              <w:bottom w:val="nil"/>
              <w:right w:val="nil"/>
            </w:tcBorders>
            <w:shd w:val="clear" w:color="000000" w:fill="FFFFFF"/>
            <w:noWrap/>
            <w:vAlign w:val="center"/>
            <w:hideMark/>
          </w:tcPr>
          <w:p w14:paraId="0A5D3144" w14:textId="77777777" w:rsidR="009D1AF0" w:rsidRPr="00D618B7" w:rsidRDefault="009D1AF0" w:rsidP="004B11B7">
            <w:pPr>
              <w:jc w:val="right"/>
              <w:rPr>
                <w:color w:val="000000"/>
              </w:rPr>
            </w:pPr>
            <w:r w:rsidRPr="00D618B7">
              <w:rPr>
                <w:color w:val="000000"/>
              </w:rPr>
              <w:t>3787.47</w:t>
            </w:r>
          </w:p>
        </w:tc>
        <w:tc>
          <w:tcPr>
            <w:tcW w:w="753" w:type="pct"/>
            <w:tcBorders>
              <w:top w:val="nil"/>
              <w:left w:val="nil"/>
              <w:bottom w:val="nil"/>
              <w:right w:val="nil"/>
            </w:tcBorders>
            <w:shd w:val="clear" w:color="000000" w:fill="FFFFFF"/>
            <w:noWrap/>
            <w:vAlign w:val="center"/>
            <w:hideMark/>
          </w:tcPr>
          <w:p w14:paraId="3437BE38" w14:textId="77777777" w:rsidR="009D1AF0" w:rsidRPr="00D618B7" w:rsidRDefault="009D1AF0" w:rsidP="004B11B7">
            <w:pPr>
              <w:jc w:val="right"/>
              <w:rPr>
                <w:color w:val="000000"/>
              </w:rPr>
            </w:pPr>
            <w:r w:rsidRPr="00D618B7">
              <w:rPr>
                <w:color w:val="000000"/>
              </w:rPr>
              <w:t>1091.74</w:t>
            </w:r>
          </w:p>
        </w:tc>
        <w:tc>
          <w:tcPr>
            <w:tcW w:w="752" w:type="pct"/>
            <w:tcBorders>
              <w:top w:val="nil"/>
              <w:left w:val="nil"/>
              <w:bottom w:val="nil"/>
              <w:right w:val="nil"/>
            </w:tcBorders>
            <w:shd w:val="clear" w:color="000000" w:fill="FFFFFF"/>
            <w:noWrap/>
            <w:vAlign w:val="center"/>
            <w:hideMark/>
          </w:tcPr>
          <w:p w14:paraId="59892CE1" w14:textId="77777777" w:rsidR="009D1AF0" w:rsidRPr="00D618B7" w:rsidRDefault="009D1AF0" w:rsidP="004B11B7">
            <w:pPr>
              <w:jc w:val="right"/>
              <w:rPr>
                <w:color w:val="000000"/>
              </w:rPr>
            </w:pPr>
            <w:r w:rsidRPr="00D618B7">
              <w:rPr>
                <w:color w:val="000000"/>
              </w:rPr>
              <w:t>2546.06</w:t>
            </w:r>
          </w:p>
        </w:tc>
        <w:tc>
          <w:tcPr>
            <w:tcW w:w="752" w:type="pct"/>
            <w:tcBorders>
              <w:top w:val="nil"/>
              <w:left w:val="nil"/>
              <w:bottom w:val="nil"/>
              <w:right w:val="nil"/>
            </w:tcBorders>
            <w:shd w:val="clear" w:color="000000" w:fill="FFFFFF"/>
            <w:noWrap/>
            <w:vAlign w:val="center"/>
            <w:hideMark/>
          </w:tcPr>
          <w:p w14:paraId="7E8B98F7" w14:textId="77777777" w:rsidR="009D1AF0" w:rsidRPr="00D618B7" w:rsidRDefault="009D1AF0" w:rsidP="004B11B7">
            <w:pPr>
              <w:jc w:val="right"/>
              <w:rPr>
                <w:color w:val="000000"/>
              </w:rPr>
            </w:pPr>
            <w:r w:rsidRPr="00D618B7">
              <w:rPr>
                <w:color w:val="000000"/>
              </w:rPr>
              <w:t>312.05</w:t>
            </w:r>
          </w:p>
        </w:tc>
      </w:tr>
      <w:tr w:rsidR="009D1AF0" w:rsidRPr="00D618B7" w14:paraId="5A75128F" w14:textId="77777777" w:rsidTr="004B11B7">
        <w:trPr>
          <w:trHeight w:val="284"/>
        </w:trPr>
        <w:tc>
          <w:tcPr>
            <w:tcW w:w="1990" w:type="pct"/>
            <w:tcBorders>
              <w:top w:val="nil"/>
              <w:left w:val="nil"/>
              <w:bottom w:val="nil"/>
              <w:right w:val="nil"/>
            </w:tcBorders>
            <w:shd w:val="clear" w:color="000000" w:fill="FFFFFF"/>
            <w:vAlign w:val="center"/>
            <w:hideMark/>
          </w:tcPr>
          <w:p w14:paraId="3827D99C" w14:textId="77777777" w:rsidR="009D1AF0" w:rsidRPr="00D618B7" w:rsidRDefault="009D1AF0" w:rsidP="004B11B7">
            <w:pPr>
              <w:jc w:val="center"/>
              <w:rPr>
                <w:color w:val="000000"/>
              </w:rPr>
            </w:pPr>
            <w:r w:rsidRPr="00D618B7">
              <w:rPr>
                <w:color w:val="000000"/>
              </w:rPr>
              <w:t>4</w:t>
            </w:r>
          </w:p>
        </w:tc>
        <w:tc>
          <w:tcPr>
            <w:tcW w:w="752" w:type="pct"/>
            <w:tcBorders>
              <w:top w:val="nil"/>
              <w:left w:val="nil"/>
              <w:bottom w:val="nil"/>
              <w:right w:val="nil"/>
            </w:tcBorders>
            <w:shd w:val="clear" w:color="000000" w:fill="FFFFFF"/>
            <w:noWrap/>
            <w:vAlign w:val="center"/>
            <w:hideMark/>
          </w:tcPr>
          <w:p w14:paraId="6BD3FE0D" w14:textId="77777777" w:rsidR="009D1AF0" w:rsidRPr="00D618B7" w:rsidRDefault="009D1AF0" w:rsidP="004B11B7">
            <w:pPr>
              <w:jc w:val="right"/>
              <w:rPr>
                <w:color w:val="000000"/>
              </w:rPr>
            </w:pPr>
            <w:r w:rsidRPr="00D618B7">
              <w:rPr>
                <w:color w:val="000000"/>
              </w:rPr>
              <w:t>3642.97</w:t>
            </w:r>
          </w:p>
        </w:tc>
        <w:tc>
          <w:tcPr>
            <w:tcW w:w="753" w:type="pct"/>
            <w:tcBorders>
              <w:top w:val="nil"/>
              <w:left w:val="nil"/>
              <w:bottom w:val="nil"/>
              <w:right w:val="nil"/>
            </w:tcBorders>
            <w:shd w:val="clear" w:color="000000" w:fill="FFFFFF"/>
            <w:noWrap/>
            <w:vAlign w:val="center"/>
            <w:hideMark/>
          </w:tcPr>
          <w:p w14:paraId="3EC62465" w14:textId="77777777" w:rsidR="009D1AF0" w:rsidRPr="00D618B7" w:rsidRDefault="009D1AF0" w:rsidP="004B11B7">
            <w:pPr>
              <w:jc w:val="right"/>
              <w:rPr>
                <w:color w:val="000000"/>
              </w:rPr>
            </w:pPr>
            <w:r w:rsidRPr="00D618B7">
              <w:rPr>
                <w:color w:val="000000"/>
              </w:rPr>
              <w:t>2959.40</w:t>
            </w:r>
          </w:p>
        </w:tc>
        <w:tc>
          <w:tcPr>
            <w:tcW w:w="752" w:type="pct"/>
            <w:tcBorders>
              <w:top w:val="nil"/>
              <w:left w:val="nil"/>
              <w:bottom w:val="nil"/>
              <w:right w:val="nil"/>
            </w:tcBorders>
            <w:shd w:val="clear" w:color="000000" w:fill="FFFFFF"/>
            <w:noWrap/>
            <w:vAlign w:val="center"/>
            <w:hideMark/>
          </w:tcPr>
          <w:p w14:paraId="526F1147" w14:textId="77777777" w:rsidR="009D1AF0" w:rsidRPr="00D618B7" w:rsidRDefault="009D1AF0" w:rsidP="004B11B7">
            <w:pPr>
              <w:jc w:val="right"/>
              <w:rPr>
                <w:color w:val="000000"/>
              </w:rPr>
            </w:pPr>
            <w:r w:rsidRPr="00D618B7">
              <w:rPr>
                <w:color w:val="000000"/>
              </w:rPr>
              <w:t>9654.74</w:t>
            </w:r>
          </w:p>
        </w:tc>
        <w:tc>
          <w:tcPr>
            <w:tcW w:w="752" w:type="pct"/>
            <w:tcBorders>
              <w:top w:val="nil"/>
              <w:left w:val="nil"/>
              <w:bottom w:val="nil"/>
              <w:right w:val="nil"/>
            </w:tcBorders>
            <w:shd w:val="clear" w:color="000000" w:fill="FFFFFF"/>
            <w:noWrap/>
            <w:vAlign w:val="center"/>
            <w:hideMark/>
          </w:tcPr>
          <w:p w14:paraId="09F6C1CA" w14:textId="77777777" w:rsidR="009D1AF0" w:rsidRPr="00D618B7" w:rsidRDefault="009D1AF0" w:rsidP="004B11B7">
            <w:pPr>
              <w:jc w:val="right"/>
              <w:rPr>
                <w:color w:val="000000"/>
              </w:rPr>
            </w:pPr>
            <w:r w:rsidRPr="00D618B7">
              <w:rPr>
                <w:color w:val="000000"/>
              </w:rPr>
              <w:t>1229.42</w:t>
            </w:r>
          </w:p>
        </w:tc>
      </w:tr>
      <w:tr w:rsidR="009D1AF0" w:rsidRPr="00D618B7" w14:paraId="26BFE3F0" w14:textId="77777777" w:rsidTr="004B11B7">
        <w:trPr>
          <w:trHeight w:val="284"/>
        </w:trPr>
        <w:tc>
          <w:tcPr>
            <w:tcW w:w="1990" w:type="pct"/>
            <w:tcBorders>
              <w:top w:val="nil"/>
              <w:left w:val="nil"/>
              <w:bottom w:val="single" w:sz="8" w:space="0" w:color="auto"/>
              <w:right w:val="nil"/>
            </w:tcBorders>
            <w:shd w:val="clear" w:color="000000" w:fill="FFFFFF"/>
            <w:vAlign w:val="center"/>
            <w:hideMark/>
          </w:tcPr>
          <w:p w14:paraId="5855F048" w14:textId="77777777" w:rsidR="009D1AF0" w:rsidRPr="00D618B7" w:rsidRDefault="009D1AF0" w:rsidP="004B11B7">
            <w:pPr>
              <w:jc w:val="center"/>
              <w:rPr>
                <w:color w:val="000000"/>
              </w:rPr>
            </w:pPr>
            <w:r w:rsidRPr="00D618B7">
              <w:rPr>
                <w:color w:val="000000"/>
              </w:rPr>
              <w:t>5</w:t>
            </w:r>
          </w:p>
        </w:tc>
        <w:tc>
          <w:tcPr>
            <w:tcW w:w="752" w:type="pct"/>
            <w:tcBorders>
              <w:top w:val="nil"/>
              <w:left w:val="nil"/>
              <w:bottom w:val="single" w:sz="8" w:space="0" w:color="auto"/>
              <w:right w:val="nil"/>
            </w:tcBorders>
            <w:shd w:val="clear" w:color="000000" w:fill="FFFFFF"/>
            <w:noWrap/>
            <w:vAlign w:val="center"/>
            <w:hideMark/>
          </w:tcPr>
          <w:p w14:paraId="73EFEF6B" w14:textId="77777777" w:rsidR="009D1AF0" w:rsidRPr="00D618B7" w:rsidRDefault="009D1AF0" w:rsidP="004B11B7">
            <w:pPr>
              <w:jc w:val="right"/>
              <w:rPr>
                <w:color w:val="000000"/>
              </w:rPr>
            </w:pPr>
            <w:r w:rsidRPr="00D618B7">
              <w:rPr>
                <w:color w:val="000000"/>
              </w:rPr>
              <w:t>531.98</w:t>
            </w:r>
          </w:p>
        </w:tc>
        <w:tc>
          <w:tcPr>
            <w:tcW w:w="753" w:type="pct"/>
            <w:tcBorders>
              <w:top w:val="nil"/>
              <w:left w:val="nil"/>
              <w:bottom w:val="single" w:sz="8" w:space="0" w:color="auto"/>
              <w:right w:val="nil"/>
            </w:tcBorders>
            <w:shd w:val="clear" w:color="000000" w:fill="FFFFFF"/>
            <w:noWrap/>
            <w:vAlign w:val="center"/>
            <w:hideMark/>
          </w:tcPr>
          <w:p w14:paraId="56C0BFF9" w14:textId="77777777" w:rsidR="009D1AF0" w:rsidRPr="00D618B7" w:rsidRDefault="009D1AF0" w:rsidP="004B11B7">
            <w:pPr>
              <w:jc w:val="right"/>
              <w:rPr>
                <w:color w:val="000000"/>
              </w:rPr>
            </w:pPr>
            <w:r w:rsidRPr="00D618B7">
              <w:rPr>
                <w:color w:val="000000"/>
              </w:rPr>
              <w:t>735.30</w:t>
            </w:r>
          </w:p>
        </w:tc>
        <w:tc>
          <w:tcPr>
            <w:tcW w:w="752" w:type="pct"/>
            <w:tcBorders>
              <w:top w:val="nil"/>
              <w:left w:val="nil"/>
              <w:bottom w:val="single" w:sz="8" w:space="0" w:color="auto"/>
              <w:right w:val="nil"/>
            </w:tcBorders>
            <w:shd w:val="clear" w:color="000000" w:fill="FFFFFF"/>
            <w:noWrap/>
            <w:vAlign w:val="center"/>
            <w:hideMark/>
          </w:tcPr>
          <w:p w14:paraId="3B91A712" w14:textId="77777777" w:rsidR="009D1AF0" w:rsidRPr="00D618B7" w:rsidRDefault="009D1AF0" w:rsidP="004B11B7">
            <w:pPr>
              <w:jc w:val="right"/>
              <w:rPr>
                <w:color w:val="000000"/>
              </w:rPr>
            </w:pPr>
            <w:r w:rsidRPr="00D618B7">
              <w:rPr>
                <w:color w:val="000000"/>
              </w:rPr>
              <w:t>-2072.74</w:t>
            </w:r>
          </w:p>
        </w:tc>
        <w:tc>
          <w:tcPr>
            <w:tcW w:w="752" w:type="pct"/>
            <w:tcBorders>
              <w:top w:val="nil"/>
              <w:left w:val="nil"/>
              <w:bottom w:val="single" w:sz="8" w:space="0" w:color="auto"/>
              <w:right w:val="nil"/>
            </w:tcBorders>
            <w:shd w:val="clear" w:color="000000" w:fill="FFFFFF"/>
            <w:noWrap/>
            <w:vAlign w:val="center"/>
            <w:hideMark/>
          </w:tcPr>
          <w:p w14:paraId="5DC341CB" w14:textId="77777777" w:rsidR="009D1AF0" w:rsidRPr="00D618B7" w:rsidRDefault="009D1AF0" w:rsidP="004B11B7">
            <w:pPr>
              <w:jc w:val="right"/>
              <w:rPr>
                <w:color w:val="000000"/>
              </w:rPr>
            </w:pPr>
            <w:r w:rsidRPr="00D618B7">
              <w:rPr>
                <w:color w:val="000000"/>
              </w:rPr>
              <w:t>1469.78</w:t>
            </w:r>
          </w:p>
        </w:tc>
      </w:tr>
    </w:tbl>
    <w:p w14:paraId="2A9823D6" w14:textId="77777777" w:rsidR="009D1AF0" w:rsidRPr="00D618B7" w:rsidRDefault="009D1AF0" w:rsidP="009D1AF0">
      <w:pPr>
        <w:rPr>
          <w:b/>
          <w:bCs/>
        </w:rPr>
      </w:pPr>
    </w:p>
    <w:p w14:paraId="29A3A4AE" w14:textId="77777777" w:rsidR="009D1AF0" w:rsidRPr="00D618B7" w:rsidRDefault="009D1AF0" w:rsidP="009D1AF0">
      <w:r w:rsidRPr="00D618B7">
        <w:rPr>
          <w:i/>
          <w:iCs/>
        </w:rPr>
        <w:t>Note</w:t>
      </w:r>
      <w:r w:rsidRPr="00D618B7">
        <w:t>: This table lists the estimated mean Summed Duration and standard errors for each week of observation around reach-onset for each group.</w:t>
      </w:r>
    </w:p>
    <w:p w14:paraId="5585D3AF" w14:textId="562257AC" w:rsidR="00005FEB" w:rsidRPr="00990BE1" w:rsidRDefault="00005FEB" w:rsidP="00005FEB">
      <w:r w:rsidRPr="00D618B7">
        <w:br w:type="page"/>
      </w:r>
    </w:p>
    <w:p w14:paraId="6AA5715E" w14:textId="6AEF5D98" w:rsidR="00117EC2" w:rsidRPr="00D618B7" w:rsidRDefault="00117EC2" w:rsidP="007C5074">
      <w:pPr>
        <w:pStyle w:val="Caption"/>
      </w:pPr>
      <w:bookmarkStart w:id="207" w:name="_Toc172716891"/>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63</w:t>
      </w:r>
      <w:r w:rsidR="00000000">
        <w:rPr>
          <w:noProof/>
        </w:rPr>
        <w:fldChar w:fldCharType="end"/>
      </w:r>
      <w:r w:rsidR="00691750">
        <w:rPr>
          <w:noProof/>
        </w:rPr>
        <w:t>:</w:t>
      </w:r>
      <w:r w:rsidR="00AC6256" w:rsidRPr="00AC6256">
        <w:t xml:space="preserve"> </w:t>
      </w:r>
      <w:r w:rsidR="00AC6256">
        <w:t>Event summed duration</w:t>
      </w:r>
      <w:r w:rsidR="00AC6256" w:rsidRPr="00BA36EF">
        <w:t xml:space="preserve"> by </w:t>
      </w:r>
      <w:r w:rsidR="00AC6256">
        <w:t>type by group</w:t>
      </w:r>
      <w:bookmarkEnd w:id="207"/>
    </w:p>
    <w:p w14:paraId="2F9EDF01" w14:textId="5001A861" w:rsidR="00005FEB" w:rsidRPr="00D618B7" w:rsidRDefault="00005FEB" w:rsidP="00005FEB">
      <w:r w:rsidRPr="00D618B7">
        <w:t>Estimated Mean Summed Duration of Events by Type and Group</w:t>
      </w:r>
    </w:p>
    <w:tbl>
      <w:tblPr>
        <w:tblW w:w="5000" w:type="pct"/>
        <w:tblLook w:val="04A0" w:firstRow="1" w:lastRow="0" w:firstColumn="1" w:lastColumn="0" w:noHBand="0" w:noVBand="1"/>
      </w:tblPr>
      <w:tblGrid>
        <w:gridCol w:w="3000"/>
        <w:gridCol w:w="1379"/>
        <w:gridCol w:w="1237"/>
        <w:gridCol w:w="276"/>
        <w:gridCol w:w="96"/>
        <w:gridCol w:w="1078"/>
        <w:gridCol w:w="1574"/>
      </w:tblGrid>
      <w:tr w:rsidR="00005FEB" w:rsidRPr="00D618B7" w14:paraId="3153FCF4" w14:textId="77777777" w:rsidTr="004B11B7">
        <w:trPr>
          <w:trHeight w:val="343"/>
        </w:trPr>
        <w:tc>
          <w:tcPr>
            <w:tcW w:w="1739" w:type="pct"/>
            <w:tcBorders>
              <w:top w:val="nil"/>
              <w:left w:val="nil"/>
              <w:bottom w:val="single" w:sz="8" w:space="0" w:color="auto"/>
              <w:right w:val="nil"/>
            </w:tcBorders>
            <w:shd w:val="clear" w:color="auto" w:fill="auto"/>
            <w:noWrap/>
            <w:vAlign w:val="bottom"/>
            <w:hideMark/>
          </w:tcPr>
          <w:p w14:paraId="7CDDF2B7" w14:textId="77777777" w:rsidR="00005FEB" w:rsidRPr="00D618B7" w:rsidRDefault="00005FEB" w:rsidP="004B11B7">
            <w:pPr>
              <w:rPr>
                <w:color w:val="000000"/>
              </w:rPr>
            </w:pPr>
          </w:p>
        </w:tc>
        <w:tc>
          <w:tcPr>
            <w:tcW w:w="1519" w:type="pct"/>
            <w:gridSpan w:val="2"/>
            <w:tcBorders>
              <w:top w:val="nil"/>
              <w:left w:val="nil"/>
              <w:bottom w:val="single" w:sz="8" w:space="0" w:color="auto"/>
              <w:right w:val="nil"/>
            </w:tcBorders>
            <w:shd w:val="clear" w:color="auto" w:fill="auto"/>
            <w:noWrap/>
            <w:vAlign w:val="bottom"/>
            <w:hideMark/>
          </w:tcPr>
          <w:p w14:paraId="69B55003" w14:textId="77777777" w:rsidR="00005FEB" w:rsidRPr="00D618B7" w:rsidRDefault="00005FEB" w:rsidP="004B11B7">
            <w:pPr>
              <w:rPr>
                <w:color w:val="000000"/>
              </w:rPr>
            </w:pPr>
            <w:r w:rsidRPr="00D618B7">
              <w:rPr>
                <w:color w:val="000000"/>
              </w:rPr>
              <w:t> </w:t>
            </w:r>
          </w:p>
        </w:tc>
        <w:tc>
          <w:tcPr>
            <w:tcW w:w="145" w:type="pct"/>
            <w:tcBorders>
              <w:top w:val="nil"/>
              <w:left w:val="nil"/>
              <w:bottom w:val="single" w:sz="8" w:space="0" w:color="auto"/>
              <w:right w:val="nil"/>
            </w:tcBorders>
            <w:shd w:val="clear" w:color="auto" w:fill="auto"/>
            <w:noWrap/>
            <w:vAlign w:val="bottom"/>
            <w:hideMark/>
          </w:tcPr>
          <w:p w14:paraId="6BCB74E7" w14:textId="77777777" w:rsidR="00005FEB" w:rsidRPr="00D618B7" w:rsidRDefault="00005FEB" w:rsidP="004B11B7">
            <w:pPr>
              <w:rPr>
                <w:color w:val="000000"/>
              </w:rPr>
            </w:pPr>
            <w:r w:rsidRPr="00D618B7">
              <w:rPr>
                <w:color w:val="000000"/>
              </w:rPr>
              <w:t> </w:t>
            </w:r>
          </w:p>
        </w:tc>
        <w:tc>
          <w:tcPr>
            <w:tcW w:w="684" w:type="pct"/>
            <w:gridSpan w:val="2"/>
            <w:tcBorders>
              <w:top w:val="nil"/>
              <w:left w:val="nil"/>
              <w:bottom w:val="single" w:sz="8" w:space="0" w:color="auto"/>
              <w:right w:val="nil"/>
            </w:tcBorders>
            <w:shd w:val="clear" w:color="auto" w:fill="auto"/>
            <w:noWrap/>
            <w:vAlign w:val="bottom"/>
            <w:hideMark/>
          </w:tcPr>
          <w:p w14:paraId="7750BEBF" w14:textId="77777777" w:rsidR="00005FEB" w:rsidRPr="00D618B7" w:rsidRDefault="00005FEB" w:rsidP="004B11B7">
            <w:pPr>
              <w:rPr>
                <w:color w:val="000000"/>
              </w:rPr>
            </w:pPr>
            <w:r w:rsidRPr="00D618B7">
              <w:rPr>
                <w:color w:val="000000"/>
              </w:rPr>
              <w:t> </w:t>
            </w:r>
          </w:p>
        </w:tc>
        <w:tc>
          <w:tcPr>
            <w:tcW w:w="913" w:type="pct"/>
            <w:tcBorders>
              <w:top w:val="nil"/>
              <w:left w:val="nil"/>
              <w:bottom w:val="single" w:sz="8" w:space="0" w:color="auto"/>
              <w:right w:val="nil"/>
            </w:tcBorders>
            <w:shd w:val="clear" w:color="auto" w:fill="auto"/>
            <w:noWrap/>
            <w:vAlign w:val="bottom"/>
            <w:hideMark/>
          </w:tcPr>
          <w:p w14:paraId="6FB296E7" w14:textId="77777777" w:rsidR="00005FEB" w:rsidRPr="00D618B7" w:rsidRDefault="00005FEB" w:rsidP="004B11B7">
            <w:pPr>
              <w:rPr>
                <w:color w:val="000000"/>
              </w:rPr>
            </w:pPr>
            <w:r w:rsidRPr="00D618B7">
              <w:rPr>
                <w:color w:val="000000"/>
              </w:rPr>
              <w:t> </w:t>
            </w:r>
          </w:p>
        </w:tc>
      </w:tr>
      <w:tr w:rsidR="00005FEB" w:rsidRPr="00D618B7" w14:paraId="76A3D372" w14:textId="77777777" w:rsidTr="004B11B7">
        <w:trPr>
          <w:trHeight w:val="343"/>
        </w:trPr>
        <w:tc>
          <w:tcPr>
            <w:tcW w:w="1739" w:type="pct"/>
            <w:tcBorders>
              <w:top w:val="nil"/>
              <w:left w:val="nil"/>
              <w:bottom w:val="nil"/>
              <w:right w:val="nil"/>
            </w:tcBorders>
            <w:shd w:val="clear" w:color="000000" w:fill="FFFFFF"/>
            <w:vAlign w:val="center"/>
            <w:hideMark/>
          </w:tcPr>
          <w:p w14:paraId="7E1BD8CE" w14:textId="77777777" w:rsidR="00005FEB" w:rsidRPr="00D618B7" w:rsidRDefault="00005FEB" w:rsidP="004B11B7">
            <w:pPr>
              <w:rPr>
                <w:color w:val="000000"/>
              </w:rPr>
            </w:pPr>
            <w:r w:rsidRPr="00D618B7">
              <w:rPr>
                <w:color w:val="000000"/>
              </w:rPr>
              <w:t>Week</w:t>
            </w:r>
          </w:p>
        </w:tc>
        <w:tc>
          <w:tcPr>
            <w:tcW w:w="1722" w:type="pct"/>
            <w:gridSpan w:val="4"/>
            <w:tcBorders>
              <w:top w:val="nil"/>
              <w:left w:val="nil"/>
              <w:bottom w:val="single" w:sz="8" w:space="0" w:color="auto"/>
              <w:right w:val="nil"/>
            </w:tcBorders>
            <w:shd w:val="clear" w:color="000000" w:fill="FFFFFF"/>
            <w:vAlign w:val="center"/>
            <w:hideMark/>
          </w:tcPr>
          <w:p w14:paraId="0D595192" w14:textId="77777777" w:rsidR="00005FEB" w:rsidRPr="00D618B7" w:rsidRDefault="00005FEB" w:rsidP="004B11B7">
            <w:pPr>
              <w:jc w:val="center"/>
              <w:rPr>
                <w:color w:val="000000"/>
              </w:rPr>
            </w:pPr>
            <w:r w:rsidRPr="00D618B7">
              <w:rPr>
                <w:color w:val="000000"/>
              </w:rPr>
              <w:t>Early Reach Group</w:t>
            </w:r>
          </w:p>
        </w:tc>
        <w:tc>
          <w:tcPr>
            <w:tcW w:w="1539" w:type="pct"/>
            <w:gridSpan w:val="2"/>
            <w:tcBorders>
              <w:top w:val="nil"/>
              <w:left w:val="nil"/>
              <w:bottom w:val="single" w:sz="8" w:space="0" w:color="auto"/>
              <w:right w:val="nil"/>
            </w:tcBorders>
            <w:shd w:val="clear" w:color="000000" w:fill="FFFFFF"/>
            <w:vAlign w:val="center"/>
            <w:hideMark/>
          </w:tcPr>
          <w:p w14:paraId="369B15E5" w14:textId="77777777" w:rsidR="00005FEB" w:rsidRPr="00D618B7" w:rsidRDefault="00005FEB" w:rsidP="004B11B7">
            <w:pPr>
              <w:jc w:val="center"/>
              <w:rPr>
                <w:color w:val="000000"/>
              </w:rPr>
            </w:pPr>
            <w:r w:rsidRPr="00D618B7">
              <w:rPr>
                <w:color w:val="000000"/>
              </w:rPr>
              <w:t>Late Reach Group</w:t>
            </w:r>
          </w:p>
        </w:tc>
      </w:tr>
      <w:tr w:rsidR="00005FEB" w:rsidRPr="00D618B7" w14:paraId="576A7B8E" w14:textId="77777777" w:rsidTr="004B11B7">
        <w:trPr>
          <w:trHeight w:val="343"/>
        </w:trPr>
        <w:tc>
          <w:tcPr>
            <w:tcW w:w="1739" w:type="pct"/>
            <w:tcBorders>
              <w:top w:val="nil"/>
              <w:left w:val="nil"/>
              <w:bottom w:val="single" w:sz="8" w:space="0" w:color="auto"/>
              <w:right w:val="nil"/>
            </w:tcBorders>
            <w:shd w:val="clear" w:color="000000" w:fill="FFFFFF"/>
            <w:noWrap/>
            <w:vAlign w:val="bottom"/>
            <w:hideMark/>
          </w:tcPr>
          <w:p w14:paraId="05F3B3C7" w14:textId="77777777" w:rsidR="00005FEB" w:rsidRPr="00D618B7" w:rsidRDefault="00005FEB" w:rsidP="004B11B7">
            <w:pPr>
              <w:rPr>
                <w:color w:val="000000"/>
              </w:rPr>
            </w:pPr>
            <w:r w:rsidRPr="00D618B7">
              <w:rPr>
                <w:color w:val="000000"/>
              </w:rPr>
              <w:t> </w:t>
            </w:r>
          </w:p>
        </w:tc>
        <w:tc>
          <w:tcPr>
            <w:tcW w:w="801" w:type="pct"/>
            <w:tcBorders>
              <w:top w:val="nil"/>
              <w:left w:val="nil"/>
              <w:bottom w:val="single" w:sz="8" w:space="0" w:color="auto"/>
              <w:right w:val="nil"/>
            </w:tcBorders>
            <w:shd w:val="clear" w:color="000000" w:fill="FFFFFF"/>
            <w:noWrap/>
            <w:vAlign w:val="center"/>
            <w:hideMark/>
          </w:tcPr>
          <w:p w14:paraId="71449A67" w14:textId="77777777" w:rsidR="00005FEB" w:rsidRPr="00D618B7" w:rsidRDefault="00005FEB" w:rsidP="004B11B7">
            <w:pPr>
              <w:jc w:val="right"/>
              <w:rPr>
                <w:color w:val="000000"/>
              </w:rPr>
            </w:pPr>
            <w:r w:rsidRPr="00D618B7">
              <w:rPr>
                <w:color w:val="000000"/>
              </w:rPr>
              <w:t>Mean</w:t>
            </w:r>
          </w:p>
        </w:tc>
        <w:tc>
          <w:tcPr>
            <w:tcW w:w="921" w:type="pct"/>
            <w:gridSpan w:val="3"/>
            <w:tcBorders>
              <w:top w:val="nil"/>
              <w:left w:val="nil"/>
              <w:bottom w:val="single" w:sz="8" w:space="0" w:color="auto"/>
              <w:right w:val="nil"/>
            </w:tcBorders>
            <w:shd w:val="clear" w:color="000000" w:fill="FFFFFF"/>
            <w:noWrap/>
            <w:vAlign w:val="center"/>
            <w:hideMark/>
          </w:tcPr>
          <w:p w14:paraId="6FE45BB3" w14:textId="77777777" w:rsidR="00005FEB" w:rsidRPr="00D618B7" w:rsidRDefault="00005FEB" w:rsidP="004B11B7">
            <w:pPr>
              <w:jc w:val="right"/>
              <w:rPr>
                <w:color w:val="000000"/>
              </w:rPr>
            </w:pPr>
            <w:r w:rsidRPr="00D618B7">
              <w:rPr>
                <w:color w:val="000000"/>
              </w:rPr>
              <w:t>Std. Error</w:t>
            </w:r>
          </w:p>
        </w:tc>
        <w:tc>
          <w:tcPr>
            <w:tcW w:w="626" w:type="pct"/>
            <w:tcBorders>
              <w:top w:val="nil"/>
              <w:left w:val="nil"/>
              <w:bottom w:val="single" w:sz="8" w:space="0" w:color="auto"/>
              <w:right w:val="nil"/>
            </w:tcBorders>
            <w:shd w:val="clear" w:color="000000" w:fill="FFFFFF"/>
            <w:noWrap/>
            <w:vAlign w:val="center"/>
            <w:hideMark/>
          </w:tcPr>
          <w:p w14:paraId="269ECCA7" w14:textId="77777777" w:rsidR="00005FEB" w:rsidRPr="00D618B7" w:rsidRDefault="00005FEB" w:rsidP="004B11B7">
            <w:pPr>
              <w:jc w:val="right"/>
              <w:rPr>
                <w:color w:val="000000"/>
              </w:rPr>
            </w:pPr>
            <w:r w:rsidRPr="00D618B7">
              <w:rPr>
                <w:color w:val="000000"/>
              </w:rPr>
              <w:t>Mean</w:t>
            </w:r>
          </w:p>
        </w:tc>
        <w:tc>
          <w:tcPr>
            <w:tcW w:w="913" w:type="pct"/>
            <w:tcBorders>
              <w:top w:val="nil"/>
              <w:left w:val="nil"/>
              <w:bottom w:val="single" w:sz="8" w:space="0" w:color="auto"/>
              <w:right w:val="nil"/>
            </w:tcBorders>
            <w:shd w:val="clear" w:color="000000" w:fill="FFFFFF"/>
            <w:noWrap/>
            <w:vAlign w:val="center"/>
            <w:hideMark/>
          </w:tcPr>
          <w:p w14:paraId="351DE86D" w14:textId="77777777" w:rsidR="00005FEB" w:rsidRPr="00D618B7" w:rsidRDefault="00005FEB" w:rsidP="004B11B7">
            <w:pPr>
              <w:jc w:val="right"/>
              <w:rPr>
                <w:color w:val="000000"/>
              </w:rPr>
            </w:pPr>
            <w:r w:rsidRPr="00D618B7">
              <w:rPr>
                <w:color w:val="000000"/>
              </w:rPr>
              <w:t>Std. Error</w:t>
            </w:r>
          </w:p>
        </w:tc>
      </w:tr>
      <w:tr w:rsidR="00005FEB" w:rsidRPr="00D618B7" w14:paraId="74E8FAAD" w14:textId="77777777" w:rsidTr="004B11B7">
        <w:trPr>
          <w:trHeight w:val="343"/>
        </w:trPr>
        <w:tc>
          <w:tcPr>
            <w:tcW w:w="1739" w:type="pct"/>
            <w:tcBorders>
              <w:top w:val="nil"/>
              <w:left w:val="nil"/>
              <w:bottom w:val="nil"/>
              <w:right w:val="nil"/>
            </w:tcBorders>
            <w:shd w:val="clear" w:color="000000" w:fill="FFFFFF"/>
            <w:vAlign w:val="center"/>
            <w:hideMark/>
          </w:tcPr>
          <w:p w14:paraId="2B12EE3F" w14:textId="77777777" w:rsidR="00005FEB" w:rsidRPr="00D618B7" w:rsidRDefault="00005FEB" w:rsidP="004B11B7">
            <w:pPr>
              <w:rPr>
                <w:color w:val="000000"/>
              </w:rPr>
            </w:pPr>
            <w:r w:rsidRPr="00D618B7">
              <w:rPr>
                <w:color w:val="000000"/>
              </w:rPr>
              <w:t>Face</w:t>
            </w:r>
          </w:p>
        </w:tc>
        <w:tc>
          <w:tcPr>
            <w:tcW w:w="801" w:type="pct"/>
            <w:tcBorders>
              <w:top w:val="nil"/>
              <w:left w:val="nil"/>
              <w:bottom w:val="nil"/>
              <w:right w:val="nil"/>
            </w:tcBorders>
            <w:shd w:val="clear" w:color="000000" w:fill="FFFFFF"/>
            <w:noWrap/>
            <w:vAlign w:val="center"/>
            <w:hideMark/>
          </w:tcPr>
          <w:p w14:paraId="104AC3CD" w14:textId="77777777" w:rsidR="00005FEB" w:rsidRPr="00D618B7" w:rsidRDefault="00005FEB" w:rsidP="004B11B7">
            <w:pPr>
              <w:jc w:val="right"/>
              <w:rPr>
                <w:color w:val="000000"/>
              </w:rPr>
            </w:pPr>
            <w:r w:rsidRPr="00D618B7">
              <w:rPr>
                <w:color w:val="000000"/>
              </w:rPr>
              <w:t>1868.19</w:t>
            </w:r>
          </w:p>
        </w:tc>
        <w:tc>
          <w:tcPr>
            <w:tcW w:w="921" w:type="pct"/>
            <w:gridSpan w:val="3"/>
            <w:tcBorders>
              <w:top w:val="nil"/>
              <w:left w:val="nil"/>
              <w:bottom w:val="nil"/>
              <w:right w:val="nil"/>
            </w:tcBorders>
            <w:shd w:val="clear" w:color="000000" w:fill="FFFFFF"/>
            <w:noWrap/>
            <w:vAlign w:val="center"/>
            <w:hideMark/>
          </w:tcPr>
          <w:p w14:paraId="1F464BF1" w14:textId="77777777" w:rsidR="00005FEB" w:rsidRPr="00D618B7" w:rsidRDefault="00005FEB" w:rsidP="004B11B7">
            <w:pPr>
              <w:jc w:val="right"/>
              <w:rPr>
                <w:color w:val="000000"/>
              </w:rPr>
            </w:pPr>
            <w:r w:rsidRPr="00D618B7">
              <w:rPr>
                <w:color w:val="000000"/>
              </w:rPr>
              <w:t>271.80</w:t>
            </w:r>
          </w:p>
        </w:tc>
        <w:tc>
          <w:tcPr>
            <w:tcW w:w="626" w:type="pct"/>
            <w:tcBorders>
              <w:top w:val="nil"/>
              <w:left w:val="nil"/>
              <w:bottom w:val="nil"/>
              <w:right w:val="nil"/>
            </w:tcBorders>
            <w:shd w:val="clear" w:color="000000" w:fill="FFFFFF"/>
            <w:noWrap/>
            <w:vAlign w:val="center"/>
            <w:hideMark/>
          </w:tcPr>
          <w:p w14:paraId="66DC266E" w14:textId="77777777" w:rsidR="00005FEB" w:rsidRPr="00D618B7" w:rsidRDefault="00005FEB" w:rsidP="004B11B7">
            <w:pPr>
              <w:jc w:val="right"/>
              <w:rPr>
                <w:color w:val="000000"/>
              </w:rPr>
            </w:pPr>
            <w:r w:rsidRPr="00D618B7">
              <w:rPr>
                <w:color w:val="000000"/>
              </w:rPr>
              <w:t>124.17</w:t>
            </w:r>
          </w:p>
        </w:tc>
        <w:tc>
          <w:tcPr>
            <w:tcW w:w="913" w:type="pct"/>
            <w:tcBorders>
              <w:top w:val="nil"/>
              <w:left w:val="nil"/>
              <w:bottom w:val="nil"/>
              <w:right w:val="nil"/>
            </w:tcBorders>
            <w:shd w:val="clear" w:color="000000" w:fill="FFFFFF"/>
            <w:noWrap/>
            <w:vAlign w:val="center"/>
            <w:hideMark/>
          </w:tcPr>
          <w:p w14:paraId="26BB278C" w14:textId="77777777" w:rsidR="00005FEB" w:rsidRPr="00D618B7" w:rsidRDefault="00005FEB" w:rsidP="004B11B7">
            <w:pPr>
              <w:jc w:val="right"/>
              <w:rPr>
                <w:color w:val="000000"/>
              </w:rPr>
            </w:pPr>
            <w:r w:rsidRPr="00D618B7">
              <w:rPr>
                <w:color w:val="000000"/>
              </w:rPr>
              <w:t>39.25</w:t>
            </w:r>
          </w:p>
        </w:tc>
      </w:tr>
      <w:tr w:rsidR="00005FEB" w:rsidRPr="00D618B7" w14:paraId="3289DD9E" w14:textId="77777777" w:rsidTr="004B11B7">
        <w:trPr>
          <w:trHeight w:val="343"/>
        </w:trPr>
        <w:tc>
          <w:tcPr>
            <w:tcW w:w="1739" w:type="pct"/>
            <w:tcBorders>
              <w:top w:val="nil"/>
              <w:left w:val="nil"/>
              <w:bottom w:val="nil"/>
              <w:right w:val="nil"/>
            </w:tcBorders>
            <w:shd w:val="clear" w:color="000000" w:fill="FFFFFF"/>
            <w:vAlign w:val="center"/>
            <w:hideMark/>
          </w:tcPr>
          <w:p w14:paraId="28E5B05E" w14:textId="77777777" w:rsidR="00005FEB" w:rsidRPr="00D618B7" w:rsidRDefault="00005FEB" w:rsidP="004B11B7">
            <w:pPr>
              <w:rPr>
                <w:color w:val="000000"/>
              </w:rPr>
            </w:pPr>
            <w:r w:rsidRPr="00D618B7">
              <w:rPr>
                <w:color w:val="000000"/>
              </w:rPr>
              <w:t>Hand</w:t>
            </w:r>
          </w:p>
        </w:tc>
        <w:tc>
          <w:tcPr>
            <w:tcW w:w="801" w:type="pct"/>
            <w:tcBorders>
              <w:top w:val="nil"/>
              <w:left w:val="nil"/>
              <w:bottom w:val="nil"/>
              <w:right w:val="nil"/>
            </w:tcBorders>
            <w:shd w:val="clear" w:color="000000" w:fill="FFFFFF"/>
            <w:noWrap/>
            <w:vAlign w:val="center"/>
            <w:hideMark/>
          </w:tcPr>
          <w:p w14:paraId="0EABC0D2" w14:textId="77777777" w:rsidR="00005FEB" w:rsidRPr="00D618B7" w:rsidRDefault="00005FEB" w:rsidP="004B11B7">
            <w:pPr>
              <w:jc w:val="right"/>
              <w:rPr>
                <w:color w:val="000000"/>
              </w:rPr>
            </w:pPr>
            <w:r w:rsidRPr="00D618B7">
              <w:rPr>
                <w:color w:val="000000"/>
              </w:rPr>
              <w:t>-22.87</w:t>
            </w:r>
          </w:p>
        </w:tc>
        <w:tc>
          <w:tcPr>
            <w:tcW w:w="921" w:type="pct"/>
            <w:gridSpan w:val="3"/>
            <w:tcBorders>
              <w:top w:val="nil"/>
              <w:left w:val="nil"/>
              <w:bottom w:val="nil"/>
              <w:right w:val="nil"/>
            </w:tcBorders>
            <w:shd w:val="clear" w:color="000000" w:fill="FFFFFF"/>
            <w:noWrap/>
            <w:vAlign w:val="center"/>
            <w:hideMark/>
          </w:tcPr>
          <w:p w14:paraId="6E10F461" w14:textId="77777777" w:rsidR="00005FEB" w:rsidRPr="00D618B7" w:rsidRDefault="00005FEB" w:rsidP="004B11B7">
            <w:pPr>
              <w:jc w:val="right"/>
              <w:rPr>
                <w:color w:val="000000"/>
              </w:rPr>
            </w:pPr>
            <w:r w:rsidRPr="00D618B7">
              <w:rPr>
                <w:color w:val="000000"/>
              </w:rPr>
              <w:t>358.62</w:t>
            </w:r>
          </w:p>
        </w:tc>
        <w:tc>
          <w:tcPr>
            <w:tcW w:w="626" w:type="pct"/>
            <w:tcBorders>
              <w:top w:val="nil"/>
              <w:left w:val="nil"/>
              <w:bottom w:val="nil"/>
              <w:right w:val="nil"/>
            </w:tcBorders>
            <w:shd w:val="clear" w:color="000000" w:fill="FFFFFF"/>
            <w:noWrap/>
            <w:vAlign w:val="center"/>
            <w:hideMark/>
          </w:tcPr>
          <w:p w14:paraId="1B7C2101" w14:textId="77777777" w:rsidR="00005FEB" w:rsidRPr="00D618B7" w:rsidRDefault="00005FEB" w:rsidP="004B11B7">
            <w:pPr>
              <w:jc w:val="right"/>
              <w:rPr>
                <w:color w:val="000000"/>
              </w:rPr>
            </w:pPr>
            <w:r w:rsidRPr="00D618B7">
              <w:rPr>
                <w:color w:val="000000"/>
              </w:rPr>
              <w:t>-56.38</w:t>
            </w:r>
          </w:p>
        </w:tc>
        <w:tc>
          <w:tcPr>
            <w:tcW w:w="913" w:type="pct"/>
            <w:tcBorders>
              <w:top w:val="nil"/>
              <w:left w:val="nil"/>
              <w:bottom w:val="nil"/>
              <w:right w:val="nil"/>
            </w:tcBorders>
            <w:shd w:val="clear" w:color="000000" w:fill="FFFFFF"/>
            <w:noWrap/>
            <w:vAlign w:val="center"/>
            <w:hideMark/>
          </w:tcPr>
          <w:p w14:paraId="040AEF45" w14:textId="77777777" w:rsidR="00005FEB" w:rsidRPr="00D618B7" w:rsidRDefault="00005FEB" w:rsidP="004B11B7">
            <w:pPr>
              <w:jc w:val="right"/>
              <w:rPr>
                <w:color w:val="000000"/>
              </w:rPr>
            </w:pPr>
            <w:r w:rsidRPr="00D618B7">
              <w:rPr>
                <w:color w:val="000000"/>
              </w:rPr>
              <w:t>70.39</w:t>
            </w:r>
          </w:p>
        </w:tc>
      </w:tr>
      <w:tr w:rsidR="00005FEB" w:rsidRPr="00D618B7" w14:paraId="7E2EFB60" w14:textId="77777777" w:rsidTr="004B11B7">
        <w:trPr>
          <w:trHeight w:val="343"/>
        </w:trPr>
        <w:tc>
          <w:tcPr>
            <w:tcW w:w="1739" w:type="pct"/>
            <w:tcBorders>
              <w:top w:val="nil"/>
              <w:left w:val="nil"/>
              <w:bottom w:val="single" w:sz="8" w:space="0" w:color="auto"/>
              <w:right w:val="nil"/>
            </w:tcBorders>
            <w:shd w:val="clear" w:color="000000" w:fill="FFFFFF"/>
            <w:vAlign w:val="center"/>
            <w:hideMark/>
          </w:tcPr>
          <w:p w14:paraId="6E07CF09" w14:textId="77777777" w:rsidR="00005FEB" w:rsidRPr="00D618B7" w:rsidRDefault="00005FEB" w:rsidP="004B11B7">
            <w:pPr>
              <w:rPr>
                <w:color w:val="000000"/>
              </w:rPr>
            </w:pPr>
            <w:r w:rsidRPr="00D618B7">
              <w:rPr>
                <w:color w:val="000000"/>
              </w:rPr>
              <w:t>Mouth</w:t>
            </w:r>
          </w:p>
        </w:tc>
        <w:tc>
          <w:tcPr>
            <w:tcW w:w="801" w:type="pct"/>
            <w:tcBorders>
              <w:top w:val="nil"/>
              <w:left w:val="nil"/>
              <w:bottom w:val="single" w:sz="8" w:space="0" w:color="auto"/>
              <w:right w:val="nil"/>
            </w:tcBorders>
            <w:shd w:val="clear" w:color="000000" w:fill="FFFFFF"/>
            <w:noWrap/>
            <w:vAlign w:val="center"/>
            <w:hideMark/>
          </w:tcPr>
          <w:p w14:paraId="3C9E87E7" w14:textId="77777777" w:rsidR="00005FEB" w:rsidRPr="00D618B7" w:rsidRDefault="00005FEB" w:rsidP="004B11B7">
            <w:pPr>
              <w:jc w:val="right"/>
              <w:rPr>
                <w:color w:val="000000"/>
              </w:rPr>
            </w:pPr>
            <w:r w:rsidRPr="00D618B7">
              <w:rPr>
                <w:color w:val="000000"/>
              </w:rPr>
              <w:t>13709.10</w:t>
            </w:r>
          </w:p>
        </w:tc>
        <w:tc>
          <w:tcPr>
            <w:tcW w:w="921" w:type="pct"/>
            <w:gridSpan w:val="3"/>
            <w:tcBorders>
              <w:top w:val="nil"/>
              <w:left w:val="nil"/>
              <w:bottom w:val="single" w:sz="8" w:space="0" w:color="auto"/>
              <w:right w:val="nil"/>
            </w:tcBorders>
            <w:shd w:val="clear" w:color="000000" w:fill="FFFFFF"/>
            <w:noWrap/>
            <w:vAlign w:val="center"/>
            <w:hideMark/>
          </w:tcPr>
          <w:p w14:paraId="28D077AB" w14:textId="77777777" w:rsidR="00005FEB" w:rsidRPr="00D618B7" w:rsidRDefault="00005FEB" w:rsidP="004B11B7">
            <w:pPr>
              <w:jc w:val="right"/>
              <w:rPr>
                <w:color w:val="000000"/>
              </w:rPr>
            </w:pPr>
            <w:r w:rsidRPr="00D618B7">
              <w:rPr>
                <w:color w:val="000000"/>
              </w:rPr>
              <w:t>2707.92</w:t>
            </w:r>
          </w:p>
        </w:tc>
        <w:tc>
          <w:tcPr>
            <w:tcW w:w="626" w:type="pct"/>
            <w:tcBorders>
              <w:top w:val="nil"/>
              <w:left w:val="nil"/>
              <w:bottom w:val="single" w:sz="8" w:space="0" w:color="auto"/>
              <w:right w:val="nil"/>
            </w:tcBorders>
            <w:shd w:val="clear" w:color="000000" w:fill="FFFFFF"/>
            <w:noWrap/>
            <w:vAlign w:val="center"/>
            <w:hideMark/>
          </w:tcPr>
          <w:p w14:paraId="608BB149" w14:textId="77777777" w:rsidR="00005FEB" w:rsidRPr="00D618B7" w:rsidRDefault="00005FEB" w:rsidP="004B11B7">
            <w:pPr>
              <w:jc w:val="right"/>
              <w:rPr>
                <w:color w:val="000000"/>
              </w:rPr>
            </w:pPr>
            <w:r w:rsidRPr="00D618B7">
              <w:rPr>
                <w:color w:val="000000"/>
              </w:rPr>
              <w:t>7067.93</w:t>
            </w:r>
          </w:p>
        </w:tc>
        <w:tc>
          <w:tcPr>
            <w:tcW w:w="913" w:type="pct"/>
            <w:tcBorders>
              <w:top w:val="nil"/>
              <w:left w:val="nil"/>
              <w:bottom w:val="single" w:sz="8" w:space="0" w:color="auto"/>
              <w:right w:val="nil"/>
            </w:tcBorders>
            <w:shd w:val="clear" w:color="000000" w:fill="FFFFFF"/>
            <w:noWrap/>
            <w:vAlign w:val="center"/>
            <w:hideMark/>
          </w:tcPr>
          <w:p w14:paraId="6A1D3960" w14:textId="77777777" w:rsidR="00005FEB" w:rsidRPr="00D618B7" w:rsidRDefault="00005FEB" w:rsidP="004B11B7">
            <w:pPr>
              <w:jc w:val="right"/>
              <w:rPr>
                <w:color w:val="000000"/>
              </w:rPr>
            </w:pPr>
            <w:r w:rsidRPr="00D618B7">
              <w:rPr>
                <w:color w:val="000000"/>
              </w:rPr>
              <w:t>908.09</w:t>
            </w:r>
          </w:p>
        </w:tc>
      </w:tr>
    </w:tbl>
    <w:p w14:paraId="6B6E9A78" w14:textId="77777777" w:rsidR="00005FEB" w:rsidRPr="00D618B7" w:rsidRDefault="00005FEB" w:rsidP="00005FEB">
      <w:pPr>
        <w:rPr>
          <w:i/>
          <w:iCs/>
        </w:rPr>
      </w:pPr>
    </w:p>
    <w:p w14:paraId="0D28CC88" w14:textId="77777777" w:rsidR="00005FEB" w:rsidRPr="00D618B7" w:rsidRDefault="00005FEB" w:rsidP="00005FEB">
      <w:r w:rsidRPr="00D618B7">
        <w:rPr>
          <w:i/>
          <w:iCs/>
        </w:rPr>
        <w:t>Note</w:t>
      </w:r>
      <w:r w:rsidRPr="00D618B7">
        <w:t>: This table lists the estimated mean Summed Duration and standard errors for face, hand, and mouth events by group.</w:t>
      </w:r>
    </w:p>
    <w:p w14:paraId="713B3646" w14:textId="77777777" w:rsidR="00005FEB" w:rsidRPr="00D618B7" w:rsidRDefault="00005FEB" w:rsidP="00005FEB">
      <w:pPr>
        <w:rPr>
          <w:b/>
          <w:bCs/>
        </w:rPr>
      </w:pPr>
    </w:p>
    <w:p w14:paraId="064D9680" w14:textId="0F32C8DA" w:rsidR="00117EC2" w:rsidRPr="00D618B7" w:rsidRDefault="00117EC2" w:rsidP="007C5074">
      <w:pPr>
        <w:pStyle w:val="Caption"/>
      </w:pPr>
      <w:bookmarkStart w:id="208" w:name="_Toc172716892"/>
      <w:r w:rsidRPr="00D618B7">
        <w:t xml:space="preserve">Table </w:t>
      </w:r>
      <w:r w:rsidR="00000000">
        <w:fldChar w:fldCharType="begin"/>
      </w:r>
      <w:r w:rsidR="00000000">
        <w:instrText xml:space="preserve"> SEQ Table \* ARABIC </w:instrText>
      </w:r>
      <w:r w:rsidR="00000000">
        <w:fldChar w:fldCharType="separate"/>
      </w:r>
      <w:r w:rsidR="000C6E43">
        <w:rPr>
          <w:noProof/>
        </w:rPr>
        <w:t>64</w:t>
      </w:r>
      <w:r w:rsidR="00000000">
        <w:rPr>
          <w:noProof/>
        </w:rPr>
        <w:fldChar w:fldCharType="end"/>
      </w:r>
      <w:r w:rsidR="00691750">
        <w:rPr>
          <w:noProof/>
        </w:rPr>
        <w:t>:</w:t>
      </w:r>
      <w:r w:rsidR="00AC6256" w:rsidRPr="00AC6256">
        <w:t xml:space="preserve"> </w:t>
      </w:r>
      <w:r w:rsidR="00AC6256">
        <w:t>Event summed duration</w:t>
      </w:r>
      <w:r w:rsidR="00AC6256" w:rsidRPr="00BA36EF">
        <w:t xml:space="preserve"> by </w:t>
      </w:r>
      <w:r w:rsidR="00AC6256">
        <w:t>proximity by group</w:t>
      </w:r>
      <w:bookmarkEnd w:id="208"/>
    </w:p>
    <w:p w14:paraId="56D09098" w14:textId="77777777" w:rsidR="00005FEB" w:rsidRPr="00D618B7" w:rsidRDefault="00005FEB" w:rsidP="00005FEB">
      <w:r w:rsidRPr="00D618B7">
        <w:t>Estimated Mean Summed Duration of Events by Proximity and Group</w:t>
      </w:r>
    </w:p>
    <w:tbl>
      <w:tblPr>
        <w:tblW w:w="5000" w:type="pct"/>
        <w:tblLook w:val="04A0" w:firstRow="1" w:lastRow="0" w:firstColumn="1" w:lastColumn="0" w:noHBand="0" w:noVBand="1"/>
      </w:tblPr>
      <w:tblGrid>
        <w:gridCol w:w="3011"/>
        <w:gridCol w:w="1474"/>
        <w:gridCol w:w="1495"/>
        <w:gridCol w:w="1082"/>
        <w:gridCol w:w="1578"/>
      </w:tblGrid>
      <w:tr w:rsidR="00005FEB" w:rsidRPr="00D618B7" w14:paraId="425F5476" w14:textId="77777777" w:rsidTr="004B11B7">
        <w:trPr>
          <w:trHeight w:val="322"/>
        </w:trPr>
        <w:tc>
          <w:tcPr>
            <w:tcW w:w="1743" w:type="pct"/>
            <w:tcBorders>
              <w:top w:val="nil"/>
              <w:left w:val="nil"/>
              <w:bottom w:val="single" w:sz="8" w:space="0" w:color="auto"/>
              <w:right w:val="nil"/>
            </w:tcBorders>
            <w:shd w:val="clear" w:color="auto" w:fill="auto"/>
            <w:noWrap/>
            <w:vAlign w:val="bottom"/>
            <w:hideMark/>
          </w:tcPr>
          <w:p w14:paraId="1A480E5B" w14:textId="77777777" w:rsidR="00005FEB" w:rsidRPr="00D618B7" w:rsidRDefault="00005FEB" w:rsidP="004B11B7">
            <w:pPr>
              <w:rPr>
                <w:color w:val="000000"/>
              </w:rPr>
            </w:pPr>
            <w:r w:rsidRPr="00D618B7">
              <w:rPr>
                <w:color w:val="000000"/>
              </w:rPr>
              <w:t> </w:t>
            </w:r>
          </w:p>
        </w:tc>
        <w:tc>
          <w:tcPr>
            <w:tcW w:w="853" w:type="pct"/>
            <w:tcBorders>
              <w:top w:val="nil"/>
              <w:left w:val="nil"/>
              <w:bottom w:val="single" w:sz="8" w:space="0" w:color="auto"/>
              <w:right w:val="nil"/>
            </w:tcBorders>
            <w:shd w:val="clear" w:color="auto" w:fill="auto"/>
            <w:noWrap/>
            <w:vAlign w:val="bottom"/>
            <w:hideMark/>
          </w:tcPr>
          <w:p w14:paraId="595B8B8E" w14:textId="77777777" w:rsidR="00005FEB" w:rsidRPr="00D618B7" w:rsidRDefault="00005FEB" w:rsidP="004B11B7">
            <w:pPr>
              <w:rPr>
                <w:color w:val="000000"/>
              </w:rPr>
            </w:pPr>
            <w:r w:rsidRPr="00D618B7">
              <w:rPr>
                <w:color w:val="000000"/>
              </w:rPr>
              <w:t> </w:t>
            </w:r>
          </w:p>
        </w:tc>
        <w:tc>
          <w:tcPr>
            <w:tcW w:w="865" w:type="pct"/>
            <w:tcBorders>
              <w:top w:val="nil"/>
              <w:left w:val="nil"/>
              <w:bottom w:val="single" w:sz="8" w:space="0" w:color="auto"/>
              <w:right w:val="nil"/>
            </w:tcBorders>
            <w:shd w:val="clear" w:color="auto" w:fill="auto"/>
            <w:noWrap/>
            <w:vAlign w:val="bottom"/>
            <w:hideMark/>
          </w:tcPr>
          <w:p w14:paraId="28059FE7" w14:textId="77777777" w:rsidR="00005FEB" w:rsidRPr="00D618B7" w:rsidRDefault="00005FEB" w:rsidP="004B11B7">
            <w:pPr>
              <w:rPr>
                <w:color w:val="000000"/>
              </w:rPr>
            </w:pPr>
            <w:r w:rsidRPr="00D618B7">
              <w:rPr>
                <w:color w:val="000000"/>
              </w:rPr>
              <w:t> </w:t>
            </w:r>
          </w:p>
        </w:tc>
        <w:tc>
          <w:tcPr>
            <w:tcW w:w="626" w:type="pct"/>
            <w:tcBorders>
              <w:top w:val="nil"/>
              <w:left w:val="nil"/>
              <w:bottom w:val="single" w:sz="8" w:space="0" w:color="auto"/>
              <w:right w:val="nil"/>
            </w:tcBorders>
            <w:shd w:val="clear" w:color="auto" w:fill="auto"/>
            <w:noWrap/>
            <w:vAlign w:val="bottom"/>
            <w:hideMark/>
          </w:tcPr>
          <w:p w14:paraId="7AD4282C" w14:textId="77777777" w:rsidR="00005FEB" w:rsidRPr="00D618B7" w:rsidRDefault="00005FEB" w:rsidP="004B11B7">
            <w:pPr>
              <w:rPr>
                <w:color w:val="000000"/>
              </w:rPr>
            </w:pPr>
            <w:r w:rsidRPr="00D618B7">
              <w:rPr>
                <w:color w:val="000000"/>
              </w:rPr>
              <w:t> </w:t>
            </w:r>
          </w:p>
        </w:tc>
        <w:tc>
          <w:tcPr>
            <w:tcW w:w="913" w:type="pct"/>
            <w:tcBorders>
              <w:top w:val="nil"/>
              <w:left w:val="nil"/>
              <w:bottom w:val="single" w:sz="8" w:space="0" w:color="auto"/>
              <w:right w:val="nil"/>
            </w:tcBorders>
            <w:shd w:val="clear" w:color="auto" w:fill="auto"/>
            <w:noWrap/>
            <w:vAlign w:val="bottom"/>
            <w:hideMark/>
          </w:tcPr>
          <w:p w14:paraId="38161639" w14:textId="77777777" w:rsidR="00005FEB" w:rsidRPr="00D618B7" w:rsidRDefault="00005FEB" w:rsidP="004B11B7">
            <w:pPr>
              <w:rPr>
                <w:color w:val="000000"/>
              </w:rPr>
            </w:pPr>
            <w:r w:rsidRPr="00D618B7">
              <w:rPr>
                <w:color w:val="000000"/>
              </w:rPr>
              <w:t> </w:t>
            </w:r>
          </w:p>
        </w:tc>
      </w:tr>
      <w:tr w:rsidR="00005FEB" w:rsidRPr="00D618B7" w14:paraId="0A3BEDA1" w14:textId="77777777" w:rsidTr="004B11B7">
        <w:trPr>
          <w:trHeight w:val="322"/>
        </w:trPr>
        <w:tc>
          <w:tcPr>
            <w:tcW w:w="1743" w:type="pct"/>
            <w:tcBorders>
              <w:top w:val="nil"/>
              <w:left w:val="nil"/>
              <w:bottom w:val="nil"/>
              <w:right w:val="nil"/>
            </w:tcBorders>
            <w:shd w:val="clear" w:color="000000" w:fill="FFFFFF"/>
            <w:vAlign w:val="center"/>
            <w:hideMark/>
          </w:tcPr>
          <w:p w14:paraId="5E37FED8" w14:textId="77777777" w:rsidR="00005FEB" w:rsidRPr="00D618B7" w:rsidRDefault="00005FEB" w:rsidP="004B11B7">
            <w:pPr>
              <w:rPr>
                <w:color w:val="000000"/>
              </w:rPr>
            </w:pPr>
            <w:r w:rsidRPr="00D618B7">
              <w:rPr>
                <w:color w:val="000000"/>
              </w:rPr>
              <w:t>Week</w:t>
            </w:r>
          </w:p>
        </w:tc>
        <w:tc>
          <w:tcPr>
            <w:tcW w:w="1718" w:type="pct"/>
            <w:gridSpan w:val="2"/>
            <w:tcBorders>
              <w:top w:val="nil"/>
              <w:left w:val="nil"/>
              <w:bottom w:val="single" w:sz="8" w:space="0" w:color="auto"/>
              <w:right w:val="nil"/>
            </w:tcBorders>
            <w:shd w:val="clear" w:color="000000" w:fill="FFFFFF"/>
            <w:vAlign w:val="center"/>
            <w:hideMark/>
          </w:tcPr>
          <w:p w14:paraId="2538855A" w14:textId="77777777" w:rsidR="00005FEB" w:rsidRPr="00D618B7" w:rsidRDefault="00005FEB" w:rsidP="004B11B7">
            <w:pPr>
              <w:jc w:val="center"/>
              <w:rPr>
                <w:color w:val="000000"/>
              </w:rPr>
            </w:pPr>
            <w:r w:rsidRPr="00D618B7">
              <w:rPr>
                <w:color w:val="000000"/>
              </w:rPr>
              <w:t>Early Reach Group</w:t>
            </w:r>
          </w:p>
        </w:tc>
        <w:tc>
          <w:tcPr>
            <w:tcW w:w="1539" w:type="pct"/>
            <w:gridSpan w:val="2"/>
            <w:tcBorders>
              <w:top w:val="nil"/>
              <w:left w:val="nil"/>
              <w:bottom w:val="single" w:sz="8" w:space="0" w:color="auto"/>
              <w:right w:val="nil"/>
            </w:tcBorders>
            <w:shd w:val="clear" w:color="000000" w:fill="FFFFFF"/>
            <w:vAlign w:val="center"/>
            <w:hideMark/>
          </w:tcPr>
          <w:p w14:paraId="0460A238" w14:textId="77777777" w:rsidR="00005FEB" w:rsidRPr="00D618B7" w:rsidRDefault="00005FEB" w:rsidP="004B11B7">
            <w:pPr>
              <w:jc w:val="center"/>
              <w:rPr>
                <w:color w:val="000000"/>
              </w:rPr>
            </w:pPr>
            <w:r w:rsidRPr="00D618B7">
              <w:rPr>
                <w:color w:val="000000"/>
              </w:rPr>
              <w:t>Late Reach Group</w:t>
            </w:r>
          </w:p>
        </w:tc>
      </w:tr>
      <w:tr w:rsidR="00005FEB" w:rsidRPr="00D618B7" w14:paraId="6DB83D40" w14:textId="77777777" w:rsidTr="004B11B7">
        <w:trPr>
          <w:trHeight w:val="322"/>
        </w:trPr>
        <w:tc>
          <w:tcPr>
            <w:tcW w:w="1743" w:type="pct"/>
            <w:tcBorders>
              <w:top w:val="nil"/>
              <w:left w:val="nil"/>
              <w:bottom w:val="single" w:sz="8" w:space="0" w:color="auto"/>
              <w:right w:val="nil"/>
            </w:tcBorders>
            <w:shd w:val="clear" w:color="000000" w:fill="FFFFFF"/>
            <w:noWrap/>
            <w:vAlign w:val="bottom"/>
            <w:hideMark/>
          </w:tcPr>
          <w:p w14:paraId="3817DE34" w14:textId="77777777" w:rsidR="00005FEB" w:rsidRPr="00D618B7" w:rsidRDefault="00005FEB" w:rsidP="004B11B7">
            <w:pPr>
              <w:rPr>
                <w:color w:val="000000"/>
              </w:rPr>
            </w:pPr>
            <w:r w:rsidRPr="00D618B7">
              <w:rPr>
                <w:color w:val="000000"/>
              </w:rPr>
              <w:t> </w:t>
            </w:r>
          </w:p>
        </w:tc>
        <w:tc>
          <w:tcPr>
            <w:tcW w:w="853" w:type="pct"/>
            <w:tcBorders>
              <w:top w:val="nil"/>
              <w:left w:val="nil"/>
              <w:bottom w:val="single" w:sz="8" w:space="0" w:color="auto"/>
              <w:right w:val="nil"/>
            </w:tcBorders>
            <w:shd w:val="clear" w:color="000000" w:fill="FFFFFF"/>
            <w:noWrap/>
            <w:vAlign w:val="center"/>
            <w:hideMark/>
          </w:tcPr>
          <w:p w14:paraId="06B44AE2" w14:textId="77777777" w:rsidR="00005FEB" w:rsidRPr="00D618B7" w:rsidRDefault="00005FEB" w:rsidP="004B11B7">
            <w:pPr>
              <w:jc w:val="right"/>
              <w:rPr>
                <w:color w:val="000000"/>
              </w:rPr>
            </w:pPr>
            <w:r w:rsidRPr="00D618B7">
              <w:rPr>
                <w:color w:val="000000"/>
              </w:rPr>
              <w:t>Mean</w:t>
            </w:r>
          </w:p>
        </w:tc>
        <w:tc>
          <w:tcPr>
            <w:tcW w:w="865" w:type="pct"/>
            <w:tcBorders>
              <w:top w:val="nil"/>
              <w:left w:val="nil"/>
              <w:bottom w:val="single" w:sz="8" w:space="0" w:color="auto"/>
              <w:right w:val="nil"/>
            </w:tcBorders>
            <w:shd w:val="clear" w:color="000000" w:fill="FFFFFF"/>
            <w:noWrap/>
            <w:vAlign w:val="center"/>
            <w:hideMark/>
          </w:tcPr>
          <w:p w14:paraId="4DA97959" w14:textId="77777777" w:rsidR="00005FEB" w:rsidRPr="00D618B7" w:rsidRDefault="00005FEB" w:rsidP="004B11B7">
            <w:pPr>
              <w:jc w:val="right"/>
              <w:rPr>
                <w:color w:val="000000"/>
              </w:rPr>
            </w:pPr>
            <w:r w:rsidRPr="00D618B7">
              <w:rPr>
                <w:color w:val="000000"/>
              </w:rPr>
              <w:t>Std. Error</w:t>
            </w:r>
          </w:p>
        </w:tc>
        <w:tc>
          <w:tcPr>
            <w:tcW w:w="626" w:type="pct"/>
            <w:tcBorders>
              <w:top w:val="nil"/>
              <w:left w:val="nil"/>
              <w:bottom w:val="single" w:sz="8" w:space="0" w:color="auto"/>
              <w:right w:val="nil"/>
            </w:tcBorders>
            <w:shd w:val="clear" w:color="000000" w:fill="FFFFFF"/>
            <w:noWrap/>
            <w:vAlign w:val="center"/>
            <w:hideMark/>
          </w:tcPr>
          <w:p w14:paraId="79A11C7A" w14:textId="77777777" w:rsidR="00005FEB" w:rsidRPr="00D618B7" w:rsidRDefault="00005FEB" w:rsidP="004B11B7">
            <w:pPr>
              <w:jc w:val="right"/>
              <w:rPr>
                <w:color w:val="000000"/>
              </w:rPr>
            </w:pPr>
            <w:r w:rsidRPr="00D618B7">
              <w:rPr>
                <w:color w:val="000000"/>
              </w:rPr>
              <w:t>Mean</w:t>
            </w:r>
          </w:p>
        </w:tc>
        <w:tc>
          <w:tcPr>
            <w:tcW w:w="913" w:type="pct"/>
            <w:tcBorders>
              <w:top w:val="nil"/>
              <w:left w:val="nil"/>
              <w:bottom w:val="single" w:sz="8" w:space="0" w:color="auto"/>
              <w:right w:val="nil"/>
            </w:tcBorders>
            <w:shd w:val="clear" w:color="000000" w:fill="FFFFFF"/>
            <w:noWrap/>
            <w:vAlign w:val="center"/>
            <w:hideMark/>
          </w:tcPr>
          <w:p w14:paraId="34CE69A9" w14:textId="77777777" w:rsidR="00005FEB" w:rsidRPr="00D618B7" w:rsidRDefault="00005FEB" w:rsidP="004B11B7">
            <w:pPr>
              <w:jc w:val="right"/>
              <w:rPr>
                <w:color w:val="000000"/>
              </w:rPr>
            </w:pPr>
            <w:r w:rsidRPr="00D618B7">
              <w:rPr>
                <w:color w:val="000000"/>
              </w:rPr>
              <w:t>Std. Error</w:t>
            </w:r>
          </w:p>
        </w:tc>
      </w:tr>
      <w:tr w:rsidR="00005FEB" w:rsidRPr="00D618B7" w14:paraId="79EF0752" w14:textId="77777777" w:rsidTr="004B11B7">
        <w:trPr>
          <w:trHeight w:val="322"/>
        </w:trPr>
        <w:tc>
          <w:tcPr>
            <w:tcW w:w="1743" w:type="pct"/>
            <w:tcBorders>
              <w:top w:val="nil"/>
              <w:left w:val="nil"/>
              <w:bottom w:val="nil"/>
              <w:right w:val="nil"/>
            </w:tcBorders>
            <w:shd w:val="clear" w:color="000000" w:fill="FFFFFF"/>
            <w:hideMark/>
          </w:tcPr>
          <w:p w14:paraId="5012BDAE" w14:textId="77777777" w:rsidR="00005FEB" w:rsidRPr="00D618B7" w:rsidRDefault="00005FEB" w:rsidP="004B11B7">
            <w:pPr>
              <w:rPr>
                <w:color w:val="000000"/>
              </w:rPr>
            </w:pPr>
            <w:r w:rsidRPr="00D618B7">
              <w:t>Toy-out-of-Reach</w:t>
            </w:r>
          </w:p>
        </w:tc>
        <w:tc>
          <w:tcPr>
            <w:tcW w:w="853" w:type="pct"/>
            <w:tcBorders>
              <w:top w:val="nil"/>
              <w:left w:val="nil"/>
              <w:bottom w:val="nil"/>
              <w:right w:val="nil"/>
            </w:tcBorders>
            <w:shd w:val="clear" w:color="000000" w:fill="FFFFFF"/>
            <w:noWrap/>
            <w:vAlign w:val="center"/>
            <w:hideMark/>
          </w:tcPr>
          <w:p w14:paraId="7A0398BF" w14:textId="77777777" w:rsidR="00005FEB" w:rsidRPr="00D618B7" w:rsidRDefault="00005FEB" w:rsidP="004B11B7">
            <w:pPr>
              <w:jc w:val="right"/>
              <w:rPr>
                <w:color w:val="000000"/>
              </w:rPr>
            </w:pPr>
            <w:r w:rsidRPr="00D618B7">
              <w:rPr>
                <w:color w:val="000000"/>
              </w:rPr>
              <w:t>8701.02</w:t>
            </w:r>
          </w:p>
        </w:tc>
        <w:tc>
          <w:tcPr>
            <w:tcW w:w="865" w:type="pct"/>
            <w:tcBorders>
              <w:top w:val="nil"/>
              <w:left w:val="nil"/>
              <w:bottom w:val="nil"/>
              <w:right w:val="nil"/>
            </w:tcBorders>
            <w:shd w:val="clear" w:color="000000" w:fill="FFFFFF"/>
            <w:noWrap/>
            <w:vAlign w:val="center"/>
            <w:hideMark/>
          </w:tcPr>
          <w:p w14:paraId="7707BDBC" w14:textId="77777777" w:rsidR="00005FEB" w:rsidRPr="00D618B7" w:rsidRDefault="00005FEB" w:rsidP="004B11B7">
            <w:pPr>
              <w:jc w:val="right"/>
              <w:rPr>
                <w:color w:val="000000"/>
              </w:rPr>
            </w:pPr>
            <w:r w:rsidRPr="00D618B7">
              <w:rPr>
                <w:color w:val="000000"/>
              </w:rPr>
              <w:t>193.43</w:t>
            </w:r>
          </w:p>
        </w:tc>
        <w:tc>
          <w:tcPr>
            <w:tcW w:w="626" w:type="pct"/>
            <w:tcBorders>
              <w:top w:val="nil"/>
              <w:left w:val="nil"/>
              <w:bottom w:val="nil"/>
              <w:right w:val="nil"/>
            </w:tcBorders>
            <w:shd w:val="clear" w:color="000000" w:fill="FFFFFF"/>
            <w:noWrap/>
            <w:vAlign w:val="center"/>
            <w:hideMark/>
          </w:tcPr>
          <w:p w14:paraId="7F06DA4B" w14:textId="77777777" w:rsidR="00005FEB" w:rsidRPr="00D618B7" w:rsidRDefault="00005FEB" w:rsidP="004B11B7">
            <w:pPr>
              <w:jc w:val="right"/>
              <w:rPr>
                <w:color w:val="000000"/>
              </w:rPr>
            </w:pPr>
            <w:r w:rsidRPr="00D618B7">
              <w:rPr>
                <w:color w:val="000000"/>
              </w:rPr>
              <w:t>6205.73</w:t>
            </w:r>
          </w:p>
        </w:tc>
        <w:tc>
          <w:tcPr>
            <w:tcW w:w="913" w:type="pct"/>
            <w:tcBorders>
              <w:top w:val="nil"/>
              <w:left w:val="nil"/>
              <w:bottom w:val="nil"/>
              <w:right w:val="nil"/>
            </w:tcBorders>
            <w:shd w:val="clear" w:color="000000" w:fill="FFFFFF"/>
            <w:noWrap/>
            <w:vAlign w:val="center"/>
            <w:hideMark/>
          </w:tcPr>
          <w:p w14:paraId="44F158F8" w14:textId="77777777" w:rsidR="00005FEB" w:rsidRPr="00D618B7" w:rsidRDefault="00005FEB" w:rsidP="004B11B7">
            <w:pPr>
              <w:jc w:val="right"/>
              <w:rPr>
                <w:color w:val="000000"/>
              </w:rPr>
            </w:pPr>
            <w:r w:rsidRPr="00D618B7">
              <w:rPr>
                <w:color w:val="000000"/>
              </w:rPr>
              <w:t>893.05</w:t>
            </w:r>
          </w:p>
        </w:tc>
      </w:tr>
      <w:tr w:rsidR="00005FEB" w:rsidRPr="00D618B7" w14:paraId="399A98CD" w14:textId="77777777" w:rsidTr="004B11B7">
        <w:trPr>
          <w:trHeight w:val="322"/>
        </w:trPr>
        <w:tc>
          <w:tcPr>
            <w:tcW w:w="1743" w:type="pct"/>
            <w:tcBorders>
              <w:top w:val="nil"/>
              <w:left w:val="nil"/>
              <w:bottom w:val="nil"/>
              <w:right w:val="nil"/>
            </w:tcBorders>
            <w:shd w:val="clear" w:color="000000" w:fill="FFFFFF"/>
            <w:hideMark/>
          </w:tcPr>
          <w:p w14:paraId="61F8BDD6" w14:textId="77777777" w:rsidR="00005FEB" w:rsidRPr="00D618B7" w:rsidRDefault="00005FEB" w:rsidP="004B11B7">
            <w:pPr>
              <w:rPr>
                <w:color w:val="000000"/>
              </w:rPr>
            </w:pPr>
            <w:r w:rsidRPr="00D618B7">
              <w:t>Toy-Moving-into-Reach</w:t>
            </w:r>
          </w:p>
        </w:tc>
        <w:tc>
          <w:tcPr>
            <w:tcW w:w="853" w:type="pct"/>
            <w:tcBorders>
              <w:top w:val="nil"/>
              <w:left w:val="nil"/>
              <w:bottom w:val="nil"/>
              <w:right w:val="nil"/>
            </w:tcBorders>
            <w:shd w:val="clear" w:color="000000" w:fill="FFFFFF"/>
            <w:noWrap/>
            <w:vAlign w:val="center"/>
            <w:hideMark/>
          </w:tcPr>
          <w:p w14:paraId="1E97AE0F" w14:textId="77777777" w:rsidR="00005FEB" w:rsidRPr="00D618B7" w:rsidRDefault="00005FEB" w:rsidP="004B11B7">
            <w:pPr>
              <w:jc w:val="right"/>
              <w:rPr>
                <w:color w:val="000000"/>
              </w:rPr>
            </w:pPr>
            <w:r w:rsidRPr="00D618B7">
              <w:rPr>
                <w:color w:val="000000"/>
              </w:rPr>
              <w:t>1321.21</w:t>
            </w:r>
          </w:p>
        </w:tc>
        <w:tc>
          <w:tcPr>
            <w:tcW w:w="865" w:type="pct"/>
            <w:tcBorders>
              <w:top w:val="nil"/>
              <w:left w:val="nil"/>
              <w:bottom w:val="nil"/>
              <w:right w:val="nil"/>
            </w:tcBorders>
            <w:shd w:val="clear" w:color="000000" w:fill="FFFFFF"/>
            <w:noWrap/>
            <w:vAlign w:val="center"/>
            <w:hideMark/>
          </w:tcPr>
          <w:p w14:paraId="3BFD3DD5" w14:textId="77777777" w:rsidR="00005FEB" w:rsidRPr="00D618B7" w:rsidRDefault="00005FEB" w:rsidP="004B11B7">
            <w:pPr>
              <w:jc w:val="right"/>
              <w:rPr>
                <w:color w:val="000000"/>
              </w:rPr>
            </w:pPr>
            <w:r w:rsidRPr="00D618B7">
              <w:rPr>
                <w:color w:val="000000"/>
              </w:rPr>
              <w:t>327.19</w:t>
            </w:r>
          </w:p>
        </w:tc>
        <w:tc>
          <w:tcPr>
            <w:tcW w:w="626" w:type="pct"/>
            <w:tcBorders>
              <w:top w:val="nil"/>
              <w:left w:val="nil"/>
              <w:bottom w:val="nil"/>
              <w:right w:val="nil"/>
            </w:tcBorders>
            <w:shd w:val="clear" w:color="000000" w:fill="FFFFFF"/>
            <w:noWrap/>
            <w:vAlign w:val="center"/>
            <w:hideMark/>
          </w:tcPr>
          <w:p w14:paraId="7D39D9AF" w14:textId="77777777" w:rsidR="00005FEB" w:rsidRPr="00D618B7" w:rsidRDefault="00005FEB" w:rsidP="004B11B7">
            <w:pPr>
              <w:jc w:val="right"/>
              <w:rPr>
                <w:color w:val="000000"/>
              </w:rPr>
            </w:pPr>
            <w:r w:rsidRPr="00D618B7">
              <w:rPr>
                <w:color w:val="000000"/>
              </w:rPr>
              <w:t>382.70</w:t>
            </w:r>
          </w:p>
        </w:tc>
        <w:tc>
          <w:tcPr>
            <w:tcW w:w="913" w:type="pct"/>
            <w:tcBorders>
              <w:top w:val="nil"/>
              <w:left w:val="nil"/>
              <w:bottom w:val="nil"/>
              <w:right w:val="nil"/>
            </w:tcBorders>
            <w:shd w:val="clear" w:color="000000" w:fill="FFFFFF"/>
            <w:noWrap/>
            <w:vAlign w:val="center"/>
            <w:hideMark/>
          </w:tcPr>
          <w:p w14:paraId="2F610F74" w14:textId="77777777" w:rsidR="00005FEB" w:rsidRPr="00D618B7" w:rsidRDefault="00005FEB" w:rsidP="004B11B7">
            <w:pPr>
              <w:jc w:val="right"/>
              <w:rPr>
                <w:color w:val="000000"/>
              </w:rPr>
            </w:pPr>
            <w:r w:rsidRPr="00D618B7">
              <w:rPr>
                <w:color w:val="000000"/>
              </w:rPr>
              <w:t>131.49</w:t>
            </w:r>
          </w:p>
        </w:tc>
      </w:tr>
      <w:tr w:rsidR="00005FEB" w:rsidRPr="00D618B7" w14:paraId="19CF313E" w14:textId="77777777" w:rsidTr="004B11B7">
        <w:trPr>
          <w:trHeight w:val="322"/>
        </w:trPr>
        <w:tc>
          <w:tcPr>
            <w:tcW w:w="1743" w:type="pct"/>
            <w:tcBorders>
              <w:top w:val="nil"/>
              <w:left w:val="nil"/>
              <w:bottom w:val="single" w:sz="8" w:space="0" w:color="auto"/>
              <w:right w:val="nil"/>
            </w:tcBorders>
            <w:shd w:val="clear" w:color="000000" w:fill="FFFFFF"/>
            <w:hideMark/>
          </w:tcPr>
          <w:p w14:paraId="7AE4CB22" w14:textId="77777777" w:rsidR="00005FEB" w:rsidRPr="00D618B7" w:rsidRDefault="00005FEB" w:rsidP="004B11B7">
            <w:pPr>
              <w:rPr>
                <w:color w:val="000000"/>
              </w:rPr>
            </w:pPr>
            <w:r w:rsidRPr="00D618B7">
              <w:t>Toy-in-Reach</w:t>
            </w:r>
          </w:p>
        </w:tc>
        <w:tc>
          <w:tcPr>
            <w:tcW w:w="853" w:type="pct"/>
            <w:tcBorders>
              <w:top w:val="nil"/>
              <w:left w:val="nil"/>
              <w:bottom w:val="single" w:sz="8" w:space="0" w:color="auto"/>
              <w:right w:val="nil"/>
            </w:tcBorders>
            <w:shd w:val="clear" w:color="000000" w:fill="FFFFFF"/>
            <w:noWrap/>
            <w:vAlign w:val="center"/>
            <w:hideMark/>
          </w:tcPr>
          <w:p w14:paraId="3651CF50" w14:textId="77777777" w:rsidR="00005FEB" w:rsidRPr="00D618B7" w:rsidRDefault="00005FEB" w:rsidP="004B11B7">
            <w:pPr>
              <w:jc w:val="right"/>
              <w:rPr>
                <w:color w:val="000000"/>
              </w:rPr>
            </w:pPr>
            <w:r w:rsidRPr="00D618B7">
              <w:rPr>
                <w:color w:val="000000"/>
              </w:rPr>
              <w:t>5532.19</w:t>
            </w:r>
          </w:p>
        </w:tc>
        <w:tc>
          <w:tcPr>
            <w:tcW w:w="865" w:type="pct"/>
            <w:tcBorders>
              <w:top w:val="nil"/>
              <w:left w:val="nil"/>
              <w:bottom w:val="single" w:sz="8" w:space="0" w:color="auto"/>
              <w:right w:val="nil"/>
            </w:tcBorders>
            <w:shd w:val="clear" w:color="000000" w:fill="FFFFFF"/>
            <w:noWrap/>
            <w:vAlign w:val="center"/>
            <w:hideMark/>
          </w:tcPr>
          <w:p w14:paraId="7B8B028E" w14:textId="77777777" w:rsidR="00005FEB" w:rsidRPr="00D618B7" w:rsidRDefault="00005FEB" w:rsidP="004B11B7">
            <w:pPr>
              <w:jc w:val="right"/>
              <w:rPr>
                <w:color w:val="000000"/>
              </w:rPr>
            </w:pPr>
            <w:r w:rsidRPr="00D618B7">
              <w:rPr>
                <w:color w:val="000000"/>
              </w:rPr>
              <w:t>2378.67</w:t>
            </w:r>
          </w:p>
        </w:tc>
        <w:tc>
          <w:tcPr>
            <w:tcW w:w="626" w:type="pct"/>
            <w:tcBorders>
              <w:top w:val="nil"/>
              <w:left w:val="nil"/>
              <w:bottom w:val="single" w:sz="8" w:space="0" w:color="auto"/>
              <w:right w:val="nil"/>
            </w:tcBorders>
            <w:shd w:val="clear" w:color="000000" w:fill="FFFFFF"/>
            <w:noWrap/>
            <w:vAlign w:val="center"/>
            <w:hideMark/>
          </w:tcPr>
          <w:p w14:paraId="1EEE0144" w14:textId="77777777" w:rsidR="00005FEB" w:rsidRPr="00D618B7" w:rsidRDefault="00005FEB" w:rsidP="004B11B7">
            <w:pPr>
              <w:jc w:val="right"/>
              <w:rPr>
                <w:color w:val="000000"/>
              </w:rPr>
            </w:pPr>
            <w:r w:rsidRPr="00D618B7">
              <w:rPr>
                <w:color w:val="000000"/>
              </w:rPr>
              <w:t>547.30</w:t>
            </w:r>
          </w:p>
        </w:tc>
        <w:tc>
          <w:tcPr>
            <w:tcW w:w="913" w:type="pct"/>
            <w:tcBorders>
              <w:top w:val="nil"/>
              <w:left w:val="nil"/>
              <w:bottom w:val="single" w:sz="8" w:space="0" w:color="auto"/>
              <w:right w:val="nil"/>
            </w:tcBorders>
            <w:shd w:val="clear" w:color="000000" w:fill="FFFFFF"/>
            <w:noWrap/>
            <w:vAlign w:val="center"/>
            <w:hideMark/>
          </w:tcPr>
          <w:p w14:paraId="2BB354F6" w14:textId="77777777" w:rsidR="00005FEB" w:rsidRPr="00D618B7" w:rsidRDefault="00005FEB" w:rsidP="004B11B7">
            <w:pPr>
              <w:jc w:val="right"/>
              <w:rPr>
                <w:color w:val="000000"/>
              </w:rPr>
            </w:pPr>
            <w:r w:rsidRPr="00D618B7">
              <w:rPr>
                <w:color w:val="000000"/>
              </w:rPr>
              <w:t>120.43</w:t>
            </w:r>
          </w:p>
        </w:tc>
      </w:tr>
    </w:tbl>
    <w:p w14:paraId="3CA0E320" w14:textId="77777777" w:rsidR="00005FEB" w:rsidRPr="00D618B7" w:rsidRDefault="00005FEB" w:rsidP="00005FEB">
      <w:pPr>
        <w:rPr>
          <w:i/>
          <w:iCs/>
        </w:rPr>
      </w:pPr>
    </w:p>
    <w:p w14:paraId="03362708" w14:textId="77777777" w:rsidR="00005FEB" w:rsidRPr="00D618B7" w:rsidRDefault="00005FEB" w:rsidP="00005FEB">
      <w:r w:rsidRPr="00D618B7">
        <w:rPr>
          <w:i/>
          <w:iCs/>
        </w:rPr>
        <w:t>Note</w:t>
      </w:r>
      <w:r w:rsidRPr="00D618B7">
        <w:t>: This table lists the estimated mean Summed Duration and standard errors for toy-out-of-reach, toy-moving-into-reach, and toy-in-reach events by group.</w:t>
      </w:r>
    </w:p>
    <w:p w14:paraId="4F8420AB" w14:textId="77777777" w:rsidR="00005FEB" w:rsidRPr="00D618B7" w:rsidRDefault="00005FEB" w:rsidP="00005FEB">
      <w:r w:rsidRPr="00D618B7">
        <w:br w:type="page"/>
      </w:r>
    </w:p>
    <w:p w14:paraId="153DF1B5" w14:textId="5C41F8F7" w:rsidR="00086E8F" w:rsidRPr="00D618B7" w:rsidRDefault="00086E8F" w:rsidP="007C5074">
      <w:pPr>
        <w:pStyle w:val="Caption"/>
      </w:pPr>
      <w:bookmarkStart w:id="209" w:name="_Toc172716893"/>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65</w:t>
      </w:r>
      <w:r w:rsidR="00000000">
        <w:rPr>
          <w:noProof/>
        </w:rPr>
        <w:fldChar w:fldCharType="end"/>
      </w:r>
      <w:r w:rsidR="00691750">
        <w:rPr>
          <w:noProof/>
        </w:rPr>
        <w:t>:</w:t>
      </w:r>
      <w:r w:rsidR="00AC6256" w:rsidRPr="00AC6256">
        <w:t xml:space="preserve"> </w:t>
      </w:r>
      <w:r w:rsidR="00AC6256">
        <w:t>Event summed duration</w:t>
      </w:r>
      <w:r w:rsidR="00AC6256" w:rsidRPr="00BA36EF">
        <w:t xml:space="preserve"> by </w:t>
      </w:r>
      <w:r w:rsidR="00AC6256">
        <w:t>type and week by group</w:t>
      </w:r>
      <w:bookmarkEnd w:id="209"/>
    </w:p>
    <w:p w14:paraId="46B877D8" w14:textId="211A9E77" w:rsidR="00EE4F74" w:rsidRPr="00D618B7" w:rsidRDefault="00EE4F74" w:rsidP="00EE4F74">
      <w:r w:rsidRPr="00D618B7">
        <w:t>Estimated Mean Summed Duration of Events by Type and Week by Group</w:t>
      </w:r>
    </w:p>
    <w:tbl>
      <w:tblPr>
        <w:tblW w:w="8788" w:type="dxa"/>
        <w:tblLook w:val="04A0" w:firstRow="1" w:lastRow="0" w:firstColumn="1" w:lastColumn="0" w:noHBand="0" w:noVBand="1"/>
      </w:tblPr>
      <w:tblGrid>
        <w:gridCol w:w="1248"/>
        <w:gridCol w:w="1116"/>
        <w:gridCol w:w="1418"/>
        <w:gridCol w:w="1138"/>
        <w:gridCol w:w="1358"/>
        <w:gridCol w:w="1225"/>
        <w:gridCol w:w="1321"/>
      </w:tblGrid>
      <w:tr w:rsidR="00EE4F74" w:rsidRPr="00D618B7" w14:paraId="1C47EA2E" w14:textId="77777777" w:rsidTr="004B11B7">
        <w:trPr>
          <w:trHeight w:val="318"/>
        </w:trPr>
        <w:tc>
          <w:tcPr>
            <w:tcW w:w="1248" w:type="dxa"/>
            <w:tcBorders>
              <w:top w:val="nil"/>
              <w:left w:val="nil"/>
              <w:bottom w:val="nil"/>
              <w:right w:val="nil"/>
            </w:tcBorders>
            <w:shd w:val="clear" w:color="000000" w:fill="FFFFFF"/>
            <w:vAlign w:val="center"/>
            <w:hideMark/>
          </w:tcPr>
          <w:p w14:paraId="2DDA782E" w14:textId="77777777" w:rsidR="00EE4F74" w:rsidRPr="00D618B7" w:rsidRDefault="00EE4F74" w:rsidP="004B11B7">
            <w:pPr>
              <w:rPr>
                <w:color w:val="000000"/>
              </w:rPr>
            </w:pPr>
            <w:r w:rsidRPr="00D618B7">
              <w:rPr>
                <w:color w:val="000000"/>
              </w:rPr>
              <w:t>Week</w:t>
            </w:r>
          </w:p>
        </w:tc>
        <w:tc>
          <w:tcPr>
            <w:tcW w:w="2498" w:type="dxa"/>
            <w:gridSpan w:val="2"/>
            <w:tcBorders>
              <w:top w:val="nil"/>
              <w:left w:val="nil"/>
              <w:bottom w:val="single" w:sz="8" w:space="0" w:color="auto"/>
              <w:right w:val="nil"/>
            </w:tcBorders>
            <w:shd w:val="clear" w:color="000000" w:fill="FFFFFF"/>
            <w:vAlign w:val="center"/>
            <w:hideMark/>
          </w:tcPr>
          <w:p w14:paraId="314146F7" w14:textId="77777777" w:rsidR="00EE4F74" w:rsidRPr="00D618B7" w:rsidRDefault="00EE4F74" w:rsidP="004B11B7">
            <w:pPr>
              <w:jc w:val="center"/>
              <w:rPr>
                <w:color w:val="000000"/>
              </w:rPr>
            </w:pPr>
            <w:r w:rsidRPr="00D618B7">
              <w:rPr>
                <w:color w:val="000000"/>
              </w:rPr>
              <w:t>Face</w:t>
            </w:r>
          </w:p>
        </w:tc>
        <w:tc>
          <w:tcPr>
            <w:tcW w:w="2496" w:type="dxa"/>
            <w:gridSpan w:val="2"/>
            <w:tcBorders>
              <w:top w:val="nil"/>
              <w:left w:val="nil"/>
              <w:bottom w:val="single" w:sz="8" w:space="0" w:color="auto"/>
              <w:right w:val="nil"/>
            </w:tcBorders>
            <w:shd w:val="clear" w:color="000000" w:fill="FFFFFF"/>
            <w:vAlign w:val="center"/>
            <w:hideMark/>
          </w:tcPr>
          <w:p w14:paraId="304C4BCC" w14:textId="77777777" w:rsidR="00EE4F74" w:rsidRPr="00D618B7" w:rsidRDefault="00EE4F74" w:rsidP="004B11B7">
            <w:pPr>
              <w:jc w:val="center"/>
              <w:rPr>
                <w:color w:val="000000"/>
              </w:rPr>
            </w:pPr>
            <w:r w:rsidRPr="00D618B7">
              <w:rPr>
                <w:color w:val="000000"/>
              </w:rPr>
              <w:t>Hand</w:t>
            </w:r>
          </w:p>
        </w:tc>
        <w:tc>
          <w:tcPr>
            <w:tcW w:w="2546" w:type="dxa"/>
            <w:gridSpan w:val="2"/>
            <w:tcBorders>
              <w:top w:val="nil"/>
              <w:left w:val="nil"/>
              <w:bottom w:val="single" w:sz="8" w:space="0" w:color="auto"/>
              <w:right w:val="nil"/>
            </w:tcBorders>
            <w:shd w:val="clear" w:color="000000" w:fill="FFFFFF"/>
            <w:vAlign w:val="center"/>
            <w:hideMark/>
          </w:tcPr>
          <w:p w14:paraId="7A049152" w14:textId="77777777" w:rsidR="00EE4F74" w:rsidRPr="00D618B7" w:rsidRDefault="00EE4F74" w:rsidP="004B11B7">
            <w:pPr>
              <w:jc w:val="center"/>
              <w:rPr>
                <w:color w:val="000000"/>
              </w:rPr>
            </w:pPr>
            <w:r w:rsidRPr="00D618B7">
              <w:rPr>
                <w:color w:val="000000"/>
              </w:rPr>
              <w:t>Mouth</w:t>
            </w:r>
          </w:p>
        </w:tc>
      </w:tr>
      <w:tr w:rsidR="00EE4F74" w:rsidRPr="00D618B7" w14:paraId="383A54A1" w14:textId="77777777" w:rsidTr="004B11B7">
        <w:trPr>
          <w:trHeight w:val="318"/>
        </w:trPr>
        <w:tc>
          <w:tcPr>
            <w:tcW w:w="1248" w:type="dxa"/>
            <w:tcBorders>
              <w:top w:val="nil"/>
              <w:left w:val="nil"/>
              <w:bottom w:val="single" w:sz="8" w:space="0" w:color="auto"/>
              <w:right w:val="nil"/>
            </w:tcBorders>
            <w:shd w:val="clear" w:color="000000" w:fill="FFFFFF"/>
            <w:noWrap/>
            <w:vAlign w:val="bottom"/>
            <w:hideMark/>
          </w:tcPr>
          <w:p w14:paraId="0DEFB610" w14:textId="77777777" w:rsidR="00EE4F74" w:rsidRPr="00D618B7" w:rsidRDefault="00EE4F74" w:rsidP="004B11B7">
            <w:pPr>
              <w:rPr>
                <w:color w:val="000000"/>
              </w:rPr>
            </w:pPr>
            <w:r w:rsidRPr="00D618B7">
              <w:rPr>
                <w:color w:val="000000"/>
              </w:rPr>
              <w:t> </w:t>
            </w:r>
          </w:p>
        </w:tc>
        <w:tc>
          <w:tcPr>
            <w:tcW w:w="1080" w:type="dxa"/>
            <w:tcBorders>
              <w:top w:val="nil"/>
              <w:left w:val="nil"/>
              <w:bottom w:val="single" w:sz="8" w:space="0" w:color="auto"/>
              <w:right w:val="nil"/>
            </w:tcBorders>
            <w:shd w:val="clear" w:color="000000" w:fill="FFFFFF"/>
            <w:noWrap/>
            <w:vAlign w:val="center"/>
            <w:hideMark/>
          </w:tcPr>
          <w:p w14:paraId="40284500" w14:textId="77777777" w:rsidR="00EE4F74" w:rsidRPr="00D618B7" w:rsidRDefault="00EE4F74" w:rsidP="004B11B7">
            <w:pPr>
              <w:jc w:val="right"/>
              <w:rPr>
                <w:color w:val="000000"/>
              </w:rPr>
            </w:pPr>
            <w:r w:rsidRPr="00D618B7">
              <w:rPr>
                <w:color w:val="000000"/>
              </w:rPr>
              <w:t>Mean</w:t>
            </w:r>
          </w:p>
        </w:tc>
        <w:tc>
          <w:tcPr>
            <w:tcW w:w="1418" w:type="dxa"/>
            <w:tcBorders>
              <w:top w:val="nil"/>
              <w:left w:val="nil"/>
              <w:bottom w:val="single" w:sz="8" w:space="0" w:color="auto"/>
              <w:right w:val="nil"/>
            </w:tcBorders>
            <w:shd w:val="clear" w:color="000000" w:fill="FFFFFF"/>
            <w:noWrap/>
            <w:vAlign w:val="center"/>
            <w:hideMark/>
          </w:tcPr>
          <w:p w14:paraId="63EBEBE3" w14:textId="77777777" w:rsidR="00EE4F74" w:rsidRPr="00D618B7" w:rsidRDefault="00EE4F74" w:rsidP="004B11B7">
            <w:pPr>
              <w:jc w:val="right"/>
              <w:rPr>
                <w:color w:val="000000"/>
              </w:rPr>
            </w:pPr>
            <w:r w:rsidRPr="00D618B7">
              <w:rPr>
                <w:color w:val="000000"/>
              </w:rPr>
              <w:t>Std. Error</w:t>
            </w:r>
          </w:p>
        </w:tc>
        <w:tc>
          <w:tcPr>
            <w:tcW w:w="1138" w:type="dxa"/>
            <w:tcBorders>
              <w:top w:val="nil"/>
              <w:left w:val="nil"/>
              <w:bottom w:val="single" w:sz="8" w:space="0" w:color="auto"/>
              <w:right w:val="nil"/>
            </w:tcBorders>
            <w:shd w:val="clear" w:color="000000" w:fill="FFFFFF"/>
            <w:noWrap/>
            <w:vAlign w:val="center"/>
            <w:hideMark/>
          </w:tcPr>
          <w:p w14:paraId="6CC549F7" w14:textId="77777777" w:rsidR="00EE4F74" w:rsidRPr="00D618B7" w:rsidRDefault="00EE4F74" w:rsidP="004B11B7">
            <w:pPr>
              <w:jc w:val="right"/>
              <w:rPr>
                <w:color w:val="000000"/>
              </w:rPr>
            </w:pPr>
            <w:r w:rsidRPr="00D618B7">
              <w:rPr>
                <w:color w:val="000000"/>
              </w:rPr>
              <w:t>Mean</w:t>
            </w:r>
          </w:p>
        </w:tc>
        <w:tc>
          <w:tcPr>
            <w:tcW w:w="1358" w:type="dxa"/>
            <w:tcBorders>
              <w:top w:val="nil"/>
              <w:left w:val="nil"/>
              <w:bottom w:val="single" w:sz="8" w:space="0" w:color="auto"/>
              <w:right w:val="nil"/>
            </w:tcBorders>
            <w:shd w:val="clear" w:color="000000" w:fill="FFFFFF"/>
            <w:noWrap/>
            <w:vAlign w:val="center"/>
            <w:hideMark/>
          </w:tcPr>
          <w:p w14:paraId="67B37526" w14:textId="77777777" w:rsidR="00EE4F74" w:rsidRPr="00D618B7" w:rsidRDefault="00EE4F74" w:rsidP="004B11B7">
            <w:pPr>
              <w:jc w:val="right"/>
              <w:rPr>
                <w:color w:val="000000"/>
              </w:rPr>
            </w:pPr>
            <w:r w:rsidRPr="00D618B7">
              <w:rPr>
                <w:color w:val="000000"/>
              </w:rPr>
              <w:t>Std. Error</w:t>
            </w:r>
          </w:p>
        </w:tc>
        <w:tc>
          <w:tcPr>
            <w:tcW w:w="1225" w:type="dxa"/>
            <w:tcBorders>
              <w:top w:val="nil"/>
              <w:left w:val="nil"/>
              <w:bottom w:val="single" w:sz="8" w:space="0" w:color="auto"/>
              <w:right w:val="nil"/>
            </w:tcBorders>
            <w:shd w:val="clear" w:color="000000" w:fill="FFFFFF"/>
            <w:noWrap/>
            <w:vAlign w:val="center"/>
            <w:hideMark/>
          </w:tcPr>
          <w:p w14:paraId="6AA22CB6" w14:textId="77777777" w:rsidR="00EE4F74" w:rsidRPr="00D618B7" w:rsidRDefault="00EE4F74" w:rsidP="004B11B7">
            <w:pPr>
              <w:jc w:val="right"/>
              <w:rPr>
                <w:color w:val="000000"/>
              </w:rPr>
            </w:pPr>
            <w:r w:rsidRPr="00D618B7">
              <w:rPr>
                <w:color w:val="000000"/>
              </w:rPr>
              <w:t>Mean</w:t>
            </w:r>
          </w:p>
        </w:tc>
        <w:tc>
          <w:tcPr>
            <w:tcW w:w="1321" w:type="dxa"/>
            <w:tcBorders>
              <w:top w:val="nil"/>
              <w:left w:val="nil"/>
              <w:bottom w:val="single" w:sz="8" w:space="0" w:color="auto"/>
              <w:right w:val="nil"/>
            </w:tcBorders>
            <w:shd w:val="clear" w:color="000000" w:fill="FFFFFF"/>
            <w:noWrap/>
            <w:vAlign w:val="center"/>
            <w:hideMark/>
          </w:tcPr>
          <w:p w14:paraId="6A9A3042" w14:textId="77777777" w:rsidR="00EE4F74" w:rsidRPr="00D618B7" w:rsidRDefault="00EE4F74" w:rsidP="004B11B7">
            <w:pPr>
              <w:jc w:val="right"/>
              <w:rPr>
                <w:color w:val="000000"/>
              </w:rPr>
            </w:pPr>
            <w:r w:rsidRPr="00D618B7">
              <w:rPr>
                <w:color w:val="000000"/>
              </w:rPr>
              <w:t>Std. Error</w:t>
            </w:r>
          </w:p>
        </w:tc>
      </w:tr>
      <w:tr w:rsidR="00EE4F74" w:rsidRPr="00D618B7" w14:paraId="1EC8B1B8" w14:textId="77777777" w:rsidTr="004B11B7">
        <w:trPr>
          <w:trHeight w:val="303"/>
        </w:trPr>
        <w:tc>
          <w:tcPr>
            <w:tcW w:w="1248" w:type="dxa"/>
            <w:tcBorders>
              <w:top w:val="nil"/>
              <w:left w:val="nil"/>
              <w:bottom w:val="nil"/>
              <w:right w:val="nil"/>
            </w:tcBorders>
            <w:shd w:val="clear" w:color="000000" w:fill="FFFFFF"/>
            <w:noWrap/>
            <w:vAlign w:val="bottom"/>
            <w:hideMark/>
          </w:tcPr>
          <w:p w14:paraId="30CD799C" w14:textId="77777777" w:rsidR="00EE4F74" w:rsidRPr="00D618B7" w:rsidRDefault="00EE4F74" w:rsidP="004B11B7">
            <w:pPr>
              <w:rPr>
                <w:color w:val="000000"/>
              </w:rPr>
            </w:pPr>
            <w:r w:rsidRPr="00D618B7">
              <w:rPr>
                <w:color w:val="000000"/>
              </w:rPr>
              <w:t> </w:t>
            </w:r>
          </w:p>
        </w:tc>
        <w:tc>
          <w:tcPr>
            <w:tcW w:w="7540" w:type="dxa"/>
            <w:gridSpan w:val="6"/>
            <w:tcBorders>
              <w:top w:val="single" w:sz="8" w:space="0" w:color="auto"/>
              <w:left w:val="nil"/>
              <w:bottom w:val="nil"/>
              <w:right w:val="nil"/>
            </w:tcBorders>
            <w:shd w:val="clear" w:color="000000" w:fill="FFFFFF"/>
            <w:noWrap/>
            <w:vAlign w:val="center"/>
            <w:hideMark/>
          </w:tcPr>
          <w:p w14:paraId="55BF1656" w14:textId="77777777" w:rsidR="00EE4F74" w:rsidRPr="00D618B7" w:rsidRDefault="00EE4F74" w:rsidP="004B11B7">
            <w:pPr>
              <w:jc w:val="center"/>
              <w:rPr>
                <w:color w:val="000000"/>
              </w:rPr>
            </w:pPr>
            <w:r w:rsidRPr="00D618B7">
              <w:rPr>
                <w:color w:val="000000"/>
              </w:rPr>
              <w:t>Early Reach Group</w:t>
            </w:r>
          </w:p>
        </w:tc>
      </w:tr>
      <w:tr w:rsidR="00EE4F74" w:rsidRPr="00D618B7" w14:paraId="5812EFE7" w14:textId="77777777" w:rsidTr="004B11B7">
        <w:trPr>
          <w:trHeight w:val="303"/>
        </w:trPr>
        <w:tc>
          <w:tcPr>
            <w:tcW w:w="1248" w:type="dxa"/>
            <w:tcBorders>
              <w:top w:val="nil"/>
              <w:left w:val="nil"/>
              <w:bottom w:val="nil"/>
              <w:right w:val="nil"/>
            </w:tcBorders>
            <w:shd w:val="clear" w:color="000000" w:fill="FFFFFF"/>
            <w:vAlign w:val="center"/>
            <w:hideMark/>
          </w:tcPr>
          <w:p w14:paraId="14569678" w14:textId="77777777" w:rsidR="00EE4F74" w:rsidRPr="00D618B7" w:rsidRDefault="00EE4F74" w:rsidP="004B11B7">
            <w:pPr>
              <w:jc w:val="right"/>
              <w:rPr>
                <w:color w:val="000000"/>
              </w:rPr>
            </w:pPr>
            <w:r w:rsidRPr="00D618B7">
              <w:rPr>
                <w:color w:val="000000"/>
              </w:rPr>
              <w:t>-5</w:t>
            </w:r>
          </w:p>
        </w:tc>
        <w:tc>
          <w:tcPr>
            <w:tcW w:w="1080" w:type="dxa"/>
            <w:tcBorders>
              <w:top w:val="nil"/>
              <w:left w:val="nil"/>
              <w:bottom w:val="nil"/>
              <w:right w:val="nil"/>
            </w:tcBorders>
            <w:shd w:val="clear" w:color="000000" w:fill="FFFFFF"/>
            <w:noWrap/>
            <w:vAlign w:val="bottom"/>
            <w:hideMark/>
          </w:tcPr>
          <w:p w14:paraId="58D73D07" w14:textId="77777777" w:rsidR="00EE4F74" w:rsidRPr="00D618B7" w:rsidRDefault="00EE4F74" w:rsidP="004B11B7">
            <w:pPr>
              <w:jc w:val="right"/>
              <w:rPr>
                <w:color w:val="000000"/>
              </w:rPr>
            </w:pPr>
            <w:r w:rsidRPr="00D618B7">
              <w:rPr>
                <w:color w:val="000000"/>
              </w:rPr>
              <w:t>15718.91</w:t>
            </w:r>
          </w:p>
        </w:tc>
        <w:tc>
          <w:tcPr>
            <w:tcW w:w="1418" w:type="dxa"/>
            <w:tcBorders>
              <w:top w:val="nil"/>
              <w:left w:val="nil"/>
              <w:bottom w:val="nil"/>
              <w:right w:val="nil"/>
            </w:tcBorders>
            <w:shd w:val="clear" w:color="000000" w:fill="FFFFFF"/>
            <w:noWrap/>
            <w:vAlign w:val="bottom"/>
            <w:hideMark/>
          </w:tcPr>
          <w:p w14:paraId="544D21AA" w14:textId="77777777" w:rsidR="00EE4F74" w:rsidRPr="00D618B7" w:rsidRDefault="00EE4F74" w:rsidP="004B11B7">
            <w:pPr>
              <w:jc w:val="right"/>
              <w:rPr>
                <w:color w:val="000000"/>
              </w:rPr>
            </w:pPr>
            <w:r w:rsidRPr="00D618B7">
              <w:rPr>
                <w:color w:val="000000"/>
              </w:rPr>
              <w:t>490.91</w:t>
            </w:r>
          </w:p>
        </w:tc>
        <w:tc>
          <w:tcPr>
            <w:tcW w:w="1138" w:type="dxa"/>
            <w:tcBorders>
              <w:top w:val="nil"/>
              <w:left w:val="nil"/>
              <w:bottom w:val="nil"/>
              <w:right w:val="nil"/>
            </w:tcBorders>
            <w:shd w:val="clear" w:color="000000" w:fill="FFFFFF"/>
            <w:noWrap/>
            <w:vAlign w:val="bottom"/>
            <w:hideMark/>
          </w:tcPr>
          <w:p w14:paraId="2E1154B8" w14:textId="77777777" w:rsidR="00EE4F74" w:rsidRPr="00D618B7" w:rsidRDefault="00EE4F74" w:rsidP="004B11B7">
            <w:pPr>
              <w:jc w:val="right"/>
              <w:rPr>
                <w:color w:val="000000"/>
              </w:rPr>
            </w:pPr>
            <w:r w:rsidRPr="00D618B7">
              <w:rPr>
                <w:color w:val="000000"/>
              </w:rPr>
              <w:t>370.36</w:t>
            </w:r>
          </w:p>
        </w:tc>
        <w:tc>
          <w:tcPr>
            <w:tcW w:w="1358" w:type="dxa"/>
            <w:tcBorders>
              <w:top w:val="nil"/>
              <w:left w:val="nil"/>
              <w:bottom w:val="nil"/>
              <w:right w:val="nil"/>
            </w:tcBorders>
            <w:shd w:val="clear" w:color="000000" w:fill="FFFFFF"/>
            <w:noWrap/>
            <w:vAlign w:val="bottom"/>
            <w:hideMark/>
          </w:tcPr>
          <w:p w14:paraId="69EBE824" w14:textId="77777777" w:rsidR="00EE4F74" w:rsidRPr="00D618B7" w:rsidRDefault="00EE4F74" w:rsidP="004B11B7">
            <w:pPr>
              <w:jc w:val="right"/>
              <w:rPr>
                <w:color w:val="000000"/>
              </w:rPr>
            </w:pPr>
            <w:r w:rsidRPr="00D618B7">
              <w:rPr>
                <w:color w:val="000000"/>
              </w:rPr>
              <w:t>1804.32</w:t>
            </w:r>
          </w:p>
        </w:tc>
        <w:tc>
          <w:tcPr>
            <w:tcW w:w="1225" w:type="dxa"/>
            <w:tcBorders>
              <w:top w:val="nil"/>
              <w:left w:val="nil"/>
              <w:bottom w:val="nil"/>
              <w:right w:val="nil"/>
            </w:tcBorders>
            <w:shd w:val="clear" w:color="000000" w:fill="FFFFFF"/>
            <w:noWrap/>
            <w:vAlign w:val="bottom"/>
            <w:hideMark/>
          </w:tcPr>
          <w:p w14:paraId="1A3589FE" w14:textId="77777777" w:rsidR="00EE4F74" w:rsidRPr="00D618B7" w:rsidRDefault="00EE4F74" w:rsidP="004B11B7">
            <w:pPr>
              <w:jc w:val="right"/>
              <w:rPr>
                <w:color w:val="000000"/>
              </w:rPr>
            </w:pPr>
            <w:r w:rsidRPr="00D618B7">
              <w:rPr>
                <w:color w:val="000000"/>
              </w:rPr>
              <w:t>21974.68</w:t>
            </w:r>
          </w:p>
        </w:tc>
        <w:tc>
          <w:tcPr>
            <w:tcW w:w="1321" w:type="dxa"/>
            <w:tcBorders>
              <w:top w:val="nil"/>
              <w:left w:val="nil"/>
              <w:bottom w:val="nil"/>
              <w:right w:val="nil"/>
            </w:tcBorders>
            <w:shd w:val="clear" w:color="000000" w:fill="FFFFFF"/>
            <w:noWrap/>
            <w:vAlign w:val="bottom"/>
            <w:hideMark/>
          </w:tcPr>
          <w:p w14:paraId="12FB91BE" w14:textId="77777777" w:rsidR="00EE4F74" w:rsidRPr="00D618B7" w:rsidRDefault="00EE4F74" w:rsidP="004B11B7">
            <w:pPr>
              <w:jc w:val="right"/>
              <w:rPr>
                <w:color w:val="000000"/>
              </w:rPr>
            </w:pPr>
            <w:r w:rsidRPr="00D618B7">
              <w:rPr>
                <w:color w:val="000000"/>
              </w:rPr>
              <w:t>8295.46</w:t>
            </w:r>
          </w:p>
        </w:tc>
      </w:tr>
      <w:tr w:rsidR="00EE4F74" w:rsidRPr="00D618B7" w14:paraId="520ACAD8" w14:textId="77777777" w:rsidTr="004B11B7">
        <w:trPr>
          <w:trHeight w:val="303"/>
        </w:trPr>
        <w:tc>
          <w:tcPr>
            <w:tcW w:w="1248" w:type="dxa"/>
            <w:tcBorders>
              <w:top w:val="nil"/>
              <w:left w:val="nil"/>
              <w:bottom w:val="nil"/>
              <w:right w:val="nil"/>
            </w:tcBorders>
            <w:shd w:val="clear" w:color="000000" w:fill="FFFFFF"/>
            <w:vAlign w:val="center"/>
            <w:hideMark/>
          </w:tcPr>
          <w:p w14:paraId="698A4E80" w14:textId="77777777" w:rsidR="00EE4F74" w:rsidRPr="00D618B7" w:rsidRDefault="00EE4F74"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bottom"/>
            <w:hideMark/>
          </w:tcPr>
          <w:p w14:paraId="79F27FAE" w14:textId="77777777" w:rsidR="00EE4F74" w:rsidRPr="00D618B7" w:rsidRDefault="00EE4F74" w:rsidP="004B11B7">
            <w:pPr>
              <w:jc w:val="right"/>
              <w:rPr>
                <w:color w:val="000000"/>
              </w:rPr>
            </w:pPr>
            <w:r w:rsidRPr="00D618B7">
              <w:rPr>
                <w:color w:val="000000"/>
              </w:rPr>
              <w:t>-223.22</w:t>
            </w:r>
          </w:p>
        </w:tc>
        <w:tc>
          <w:tcPr>
            <w:tcW w:w="1418" w:type="dxa"/>
            <w:tcBorders>
              <w:top w:val="nil"/>
              <w:left w:val="nil"/>
              <w:bottom w:val="nil"/>
              <w:right w:val="nil"/>
            </w:tcBorders>
            <w:shd w:val="clear" w:color="000000" w:fill="FFFFFF"/>
            <w:noWrap/>
            <w:vAlign w:val="bottom"/>
            <w:hideMark/>
          </w:tcPr>
          <w:p w14:paraId="671927BA" w14:textId="77777777" w:rsidR="00EE4F74" w:rsidRPr="00D618B7" w:rsidRDefault="00EE4F74" w:rsidP="004B11B7">
            <w:pPr>
              <w:jc w:val="right"/>
              <w:rPr>
                <w:color w:val="000000"/>
              </w:rPr>
            </w:pPr>
            <w:r w:rsidRPr="00D618B7">
              <w:rPr>
                <w:color w:val="000000"/>
              </w:rPr>
              <w:t>343.79</w:t>
            </w:r>
          </w:p>
        </w:tc>
        <w:tc>
          <w:tcPr>
            <w:tcW w:w="1138" w:type="dxa"/>
            <w:tcBorders>
              <w:top w:val="nil"/>
              <w:left w:val="nil"/>
              <w:bottom w:val="nil"/>
              <w:right w:val="nil"/>
            </w:tcBorders>
            <w:shd w:val="clear" w:color="000000" w:fill="FFFFFF"/>
            <w:noWrap/>
            <w:vAlign w:val="bottom"/>
            <w:hideMark/>
          </w:tcPr>
          <w:p w14:paraId="4B15EB9A" w14:textId="77777777" w:rsidR="00EE4F74" w:rsidRPr="00D618B7" w:rsidRDefault="00EE4F74" w:rsidP="004B11B7">
            <w:pPr>
              <w:jc w:val="right"/>
              <w:rPr>
                <w:color w:val="000000"/>
              </w:rPr>
            </w:pPr>
            <w:r w:rsidRPr="00D618B7">
              <w:rPr>
                <w:color w:val="000000"/>
              </w:rPr>
              <w:t>925.06</w:t>
            </w:r>
          </w:p>
        </w:tc>
        <w:tc>
          <w:tcPr>
            <w:tcW w:w="1358" w:type="dxa"/>
            <w:tcBorders>
              <w:top w:val="nil"/>
              <w:left w:val="nil"/>
              <w:bottom w:val="nil"/>
              <w:right w:val="nil"/>
            </w:tcBorders>
            <w:shd w:val="clear" w:color="000000" w:fill="FFFFFF"/>
            <w:noWrap/>
            <w:vAlign w:val="bottom"/>
            <w:hideMark/>
          </w:tcPr>
          <w:p w14:paraId="22FC5567" w14:textId="77777777" w:rsidR="00EE4F74" w:rsidRPr="00D618B7" w:rsidRDefault="00EE4F74" w:rsidP="004B11B7">
            <w:pPr>
              <w:jc w:val="right"/>
              <w:rPr>
                <w:color w:val="000000"/>
              </w:rPr>
            </w:pPr>
            <w:r w:rsidRPr="00D618B7">
              <w:rPr>
                <w:color w:val="000000"/>
              </w:rPr>
              <w:t>1041.49</w:t>
            </w:r>
          </w:p>
        </w:tc>
        <w:tc>
          <w:tcPr>
            <w:tcW w:w="1225" w:type="dxa"/>
            <w:tcBorders>
              <w:top w:val="nil"/>
              <w:left w:val="nil"/>
              <w:bottom w:val="nil"/>
              <w:right w:val="nil"/>
            </w:tcBorders>
            <w:shd w:val="clear" w:color="000000" w:fill="FFFFFF"/>
            <w:noWrap/>
            <w:vAlign w:val="bottom"/>
            <w:hideMark/>
          </w:tcPr>
          <w:p w14:paraId="45651DD2" w14:textId="77777777" w:rsidR="00EE4F74" w:rsidRPr="00D618B7" w:rsidRDefault="00EE4F74" w:rsidP="004B11B7">
            <w:pPr>
              <w:jc w:val="right"/>
              <w:rPr>
                <w:color w:val="000000"/>
              </w:rPr>
            </w:pPr>
            <w:r w:rsidRPr="00D618B7">
              <w:rPr>
                <w:color w:val="000000"/>
              </w:rPr>
              <w:t>-8339.27</w:t>
            </w:r>
          </w:p>
        </w:tc>
        <w:tc>
          <w:tcPr>
            <w:tcW w:w="1321" w:type="dxa"/>
            <w:tcBorders>
              <w:top w:val="nil"/>
              <w:left w:val="nil"/>
              <w:bottom w:val="nil"/>
              <w:right w:val="nil"/>
            </w:tcBorders>
            <w:shd w:val="clear" w:color="000000" w:fill="FFFFFF"/>
            <w:noWrap/>
            <w:vAlign w:val="bottom"/>
            <w:hideMark/>
          </w:tcPr>
          <w:p w14:paraId="5335CD1E" w14:textId="77777777" w:rsidR="00EE4F74" w:rsidRPr="00D618B7" w:rsidRDefault="00EE4F74" w:rsidP="004B11B7">
            <w:pPr>
              <w:jc w:val="right"/>
              <w:rPr>
                <w:color w:val="000000"/>
              </w:rPr>
            </w:pPr>
            <w:r w:rsidRPr="00D618B7">
              <w:rPr>
                <w:color w:val="000000"/>
              </w:rPr>
              <w:t>3782.04</w:t>
            </w:r>
          </w:p>
        </w:tc>
      </w:tr>
      <w:tr w:rsidR="00EE4F74" w:rsidRPr="00D618B7" w14:paraId="2D9D7593" w14:textId="77777777" w:rsidTr="004B11B7">
        <w:trPr>
          <w:trHeight w:val="303"/>
        </w:trPr>
        <w:tc>
          <w:tcPr>
            <w:tcW w:w="1248" w:type="dxa"/>
            <w:tcBorders>
              <w:top w:val="nil"/>
              <w:left w:val="nil"/>
              <w:bottom w:val="nil"/>
              <w:right w:val="nil"/>
            </w:tcBorders>
            <w:shd w:val="clear" w:color="000000" w:fill="FFFFFF"/>
            <w:vAlign w:val="center"/>
            <w:hideMark/>
          </w:tcPr>
          <w:p w14:paraId="03149D3C" w14:textId="77777777" w:rsidR="00EE4F74" w:rsidRPr="00D618B7" w:rsidRDefault="00EE4F74"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bottom"/>
            <w:hideMark/>
          </w:tcPr>
          <w:p w14:paraId="48E0B554" w14:textId="77777777" w:rsidR="00EE4F74" w:rsidRPr="00D618B7" w:rsidRDefault="00EE4F74" w:rsidP="004B11B7">
            <w:pPr>
              <w:jc w:val="right"/>
              <w:rPr>
                <w:color w:val="000000"/>
              </w:rPr>
            </w:pPr>
            <w:r w:rsidRPr="00D618B7">
              <w:rPr>
                <w:color w:val="000000"/>
              </w:rPr>
              <w:t>1129.74</w:t>
            </w:r>
          </w:p>
        </w:tc>
        <w:tc>
          <w:tcPr>
            <w:tcW w:w="1418" w:type="dxa"/>
            <w:tcBorders>
              <w:top w:val="nil"/>
              <w:left w:val="nil"/>
              <w:bottom w:val="nil"/>
              <w:right w:val="nil"/>
            </w:tcBorders>
            <w:shd w:val="clear" w:color="000000" w:fill="FFFFFF"/>
            <w:noWrap/>
            <w:vAlign w:val="bottom"/>
            <w:hideMark/>
          </w:tcPr>
          <w:p w14:paraId="6F9929A3" w14:textId="77777777" w:rsidR="00EE4F74" w:rsidRPr="00D618B7" w:rsidRDefault="00EE4F74" w:rsidP="004B11B7">
            <w:pPr>
              <w:jc w:val="right"/>
              <w:rPr>
                <w:color w:val="000000"/>
              </w:rPr>
            </w:pPr>
            <w:r w:rsidRPr="00D618B7">
              <w:rPr>
                <w:color w:val="000000"/>
              </w:rPr>
              <w:t>382.94</w:t>
            </w:r>
          </w:p>
        </w:tc>
        <w:tc>
          <w:tcPr>
            <w:tcW w:w="1138" w:type="dxa"/>
            <w:tcBorders>
              <w:top w:val="nil"/>
              <w:left w:val="nil"/>
              <w:bottom w:val="nil"/>
              <w:right w:val="nil"/>
            </w:tcBorders>
            <w:shd w:val="clear" w:color="000000" w:fill="FFFFFF"/>
            <w:noWrap/>
            <w:vAlign w:val="bottom"/>
            <w:hideMark/>
          </w:tcPr>
          <w:p w14:paraId="61DF460D" w14:textId="77777777" w:rsidR="00EE4F74" w:rsidRPr="00D618B7" w:rsidRDefault="00EE4F74" w:rsidP="004B11B7">
            <w:pPr>
              <w:jc w:val="right"/>
              <w:rPr>
                <w:color w:val="000000"/>
              </w:rPr>
            </w:pPr>
            <w:r w:rsidRPr="00D618B7">
              <w:rPr>
                <w:color w:val="000000"/>
              </w:rPr>
              <w:t>-1453.53</w:t>
            </w:r>
          </w:p>
        </w:tc>
        <w:tc>
          <w:tcPr>
            <w:tcW w:w="1358" w:type="dxa"/>
            <w:tcBorders>
              <w:top w:val="nil"/>
              <w:left w:val="nil"/>
              <w:bottom w:val="nil"/>
              <w:right w:val="nil"/>
            </w:tcBorders>
            <w:shd w:val="clear" w:color="000000" w:fill="FFFFFF"/>
            <w:noWrap/>
            <w:vAlign w:val="bottom"/>
            <w:hideMark/>
          </w:tcPr>
          <w:p w14:paraId="4D8F5A08" w14:textId="77777777" w:rsidR="00EE4F74" w:rsidRPr="00D618B7" w:rsidRDefault="00EE4F74" w:rsidP="004B11B7">
            <w:pPr>
              <w:jc w:val="right"/>
              <w:rPr>
                <w:color w:val="000000"/>
              </w:rPr>
            </w:pPr>
            <w:r w:rsidRPr="00D618B7">
              <w:rPr>
                <w:color w:val="000000"/>
              </w:rPr>
              <w:t>1011.89</w:t>
            </w:r>
          </w:p>
        </w:tc>
        <w:tc>
          <w:tcPr>
            <w:tcW w:w="1225" w:type="dxa"/>
            <w:tcBorders>
              <w:top w:val="nil"/>
              <w:left w:val="nil"/>
              <w:bottom w:val="nil"/>
              <w:right w:val="nil"/>
            </w:tcBorders>
            <w:shd w:val="clear" w:color="000000" w:fill="FFFFFF"/>
            <w:noWrap/>
            <w:vAlign w:val="bottom"/>
            <w:hideMark/>
          </w:tcPr>
          <w:p w14:paraId="0F7DC1AC" w14:textId="77777777" w:rsidR="00EE4F74" w:rsidRPr="00D618B7" w:rsidRDefault="00EE4F74" w:rsidP="004B11B7">
            <w:pPr>
              <w:jc w:val="right"/>
              <w:rPr>
                <w:color w:val="000000"/>
              </w:rPr>
            </w:pPr>
            <w:r w:rsidRPr="00D618B7">
              <w:rPr>
                <w:color w:val="000000"/>
              </w:rPr>
              <w:t>29390.12</w:t>
            </w:r>
          </w:p>
        </w:tc>
        <w:tc>
          <w:tcPr>
            <w:tcW w:w="1321" w:type="dxa"/>
            <w:tcBorders>
              <w:top w:val="nil"/>
              <w:left w:val="nil"/>
              <w:bottom w:val="nil"/>
              <w:right w:val="nil"/>
            </w:tcBorders>
            <w:shd w:val="clear" w:color="000000" w:fill="FFFFFF"/>
            <w:noWrap/>
            <w:vAlign w:val="bottom"/>
            <w:hideMark/>
          </w:tcPr>
          <w:p w14:paraId="667B9203" w14:textId="77777777" w:rsidR="00EE4F74" w:rsidRPr="00D618B7" w:rsidRDefault="00EE4F74" w:rsidP="004B11B7">
            <w:pPr>
              <w:jc w:val="right"/>
              <w:rPr>
                <w:color w:val="000000"/>
              </w:rPr>
            </w:pPr>
            <w:r w:rsidRPr="00D618B7">
              <w:rPr>
                <w:color w:val="000000"/>
              </w:rPr>
              <w:t>13432.69</w:t>
            </w:r>
          </w:p>
        </w:tc>
      </w:tr>
      <w:tr w:rsidR="00EE4F74" w:rsidRPr="00D618B7" w14:paraId="5D213AC9" w14:textId="77777777" w:rsidTr="004B11B7">
        <w:trPr>
          <w:trHeight w:val="303"/>
        </w:trPr>
        <w:tc>
          <w:tcPr>
            <w:tcW w:w="1248" w:type="dxa"/>
            <w:tcBorders>
              <w:top w:val="nil"/>
              <w:left w:val="nil"/>
              <w:bottom w:val="nil"/>
              <w:right w:val="nil"/>
            </w:tcBorders>
            <w:shd w:val="clear" w:color="000000" w:fill="FFFFFF"/>
            <w:vAlign w:val="center"/>
            <w:hideMark/>
          </w:tcPr>
          <w:p w14:paraId="0CB4653E" w14:textId="77777777" w:rsidR="00EE4F74" w:rsidRPr="00D618B7" w:rsidRDefault="00EE4F74"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bottom"/>
            <w:hideMark/>
          </w:tcPr>
          <w:p w14:paraId="7F9CB105" w14:textId="77777777" w:rsidR="00EE4F74" w:rsidRPr="00D618B7" w:rsidRDefault="00EE4F74" w:rsidP="004B11B7">
            <w:pPr>
              <w:jc w:val="right"/>
              <w:rPr>
                <w:color w:val="000000"/>
              </w:rPr>
            </w:pPr>
            <w:r w:rsidRPr="00D618B7">
              <w:rPr>
                <w:color w:val="000000"/>
              </w:rPr>
              <w:t>1947.43</w:t>
            </w:r>
          </w:p>
        </w:tc>
        <w:tc>
          <w:tcPr>
            <w:tcW w:w="1418" w:type="dxa"/>
            <w:tcBorders>
              <w:top w:val="nil"/>
              <w:left w:val="nil"/>
              <w:bottom w:val="nil"/>
              <w:right w:val="nil"/>
            </w:tcBorders>
            <w:shd w:val="clear" w:color="000000" w:fill="FFFFFF"/>
            <w:noWrap/>
            <w:vAlign w:val="bottom"/>
            <w:hideMark/>
          </w:tcPr>
          <w:p w14:paraId="3940012E" w14:textId="77777777" w:rsidR="00EE4F74" w:rsidRPr="00D618B7" w:rsidRDefault="00EE4F74" w:rsidP="004B11B7">
            <w:pPr>
              <w:jc w:val="right"/>
              <w:rPr>
                <w:color w:val="000000"/>
              </w:rPr>
            </w:pPr>
            <w:r w:rsidRPr="00D618B7">
              <w:rPr>
                <w:color w:val="000000"/>
              </w:rPr>
              <w:t>1786.16</w:t>
            </w:r>
          </w:p>
        </w:tc>
        <w:tc>
          <w:tcPr>
            <w:tcW w:w="1138" w:type="dxa"/>
            <w:tcBorders>
              <w:top w:val="nil"/>
              <w:left w:val="nil"/>
              <w:bottom w:val="nil"/>
              <w:right w:val="nil"/>
            </w:tcBorders>
            <w:shd w:val="clear" w:color="000000" w:fill="FFFFFF"/>
            <w:noWrap/>
            <w:vAlign w:val="bottom"/>
            <w:hideMark/>
          </w:tcPr>
          <w:p w14:paraId="677A1EFF" w14:textId="77777777" w:rsidR="00EE4F74" w:rsidRPr="00D618B7" w:rsidRDefault="00EE4F74" w:rsidP="004B11B7">
            <w:pPr>
              <w:jc w:val="right"/>
              <w:rPr>
                <w:color w:val="000000"/>
              </w:rPr>
            </w:pPr>
            <w:r w:rsidRPr="00D618B7">
              <w:rPr>
                <w:color w:val="000000"/>
              </w:rPr>
              <w:t>-1605.75</w:t>
            </w:r>
          </w:p>
        </w:tc>
        <w:tc>
          <w:tcPr>
            <w:tcW w:w="1358" w:type="dxa"/>
            <w:tcBorders>
              <w:top w:val="nil"/>
              <w:left w:val="nil"/>
              <w:bottom w:val="nil"/>
              <w:right w:val="nil"/>
            </w:tcBorders>
            <w:shd w:val="clear" w:color="000000" w:fill="FFFFFF"/>
            <w:noWrap/>
            <w:vAlign w:val="bottom"/>
            <w:hideMark/>
          </w:tcPr>
          <w:p w14:paraId="5303FBF2" w14:textId="77777777" w:rsidR="00EE4F74" w:rsidRPr="00D618B7" w:rsidRDefault="00EE4F74" w:rsidP="004B11B7">
            <w:pPr>
              <w:jc w:val="right"/>
              <w:rPr>
                <w:color w:val="000000"/>
              </w:rPr>
            </w:pPr>
            <w:r w:rsidRPr="00D618B7">
              <w:rPr>
                <w:color w:val="000000"/>
              </w:rPr>
              <w:t>1068.98</w:t>
            </w:r>
          </w:p>
        </w:tc>
        <w:tc>
          <w:tcPr>
            <w:tcW w:w="1225" w:type="dxa"/>
            <w:tcBorders>
              <w:top w:val="nil"/>
              <w:left w:val="nil"/>
              <w:bottom w:val="nil"/>
              <w:right w:val="nil"/>
            </w:tcBorders>
            <w:shd w:val="clear" w:color="000000" w:fill="FFFFFF"/>
            <w:noWrap/>
            <w:vAlign w:val="bottom"/>
            <w:hideMark/>
          </w:tcPr>
          <w:p w14:paraId="5AE54E8D" w14:textId="77777777" w:rsidR="00EE4F74" w:rsidRPr="00D618B7" w:rsidRDefault="00EE4F74" w:rsidP="004B11B7">
            <w:pPr>
              <w:jc w:val="right"/>
              <w:rPr>
                <w:color w:val="000000"/>
              </w:rPr>
            </w:pPr>
            <w:r w:rsidRPr="00D618B7">
              <w:rPr>
                <w:color w:val="000000"/>
              </w:rPr>
              <w:t>15248.93</w:t>
            </w:r>
          </w:p>
        </w:tc>
        <w:tc>
          <w:tcPr>
            <w:tcW w:w="1321" w:type="dxa"/>
            <w:tcBorders>
              <w:top w:val="nil"/>
              <w:left w:val="nil"/>
              <w:bottom w:val="nil"/>
              <w:right w:val="nil"/>
            </w:tcBorders>
            <w:shd w:val="clear" w:color="000000" w:fill="FFFFFF"/>
            <w:noWrap/>
            <w:vAlign w:val="bottom"/>
            <w:hideMark/>
          </w:tcPr>
          <w:p w14:paraId="2A0356AF" w14:textId="77777777" w:rsidR="00EE4F74" w:rsidRPr="00D618B7" w:rsidRDefault="00EE4F74" w:rsidP="004B11B7">
            <w:pPr>
              <w:jc w:val="right"/>
              <w:rPr>
                <w:color w:val="000000"/>
              </w:rPr>
            </w:pPr>
            <w:r w:rsidRPr="00D618B7">
              <w:rPr>
                <w:color w:val="000000"/>
              </w:rPr>
              <w:t>11508.23</w:t>
            </w:r>
          </w:p>
        </w:tc>
      </w:tr>
      <w:tr w:rsidR="00EE4F74" w:rsidRPr="00D618B7" w14:paraId="02F35126" w14:textId="77777777" w:rsidTr="004B11B7">
        <w:trPr>
          <w:trHeight w:val="303"/>
        </w:trPr>
        <w:tc>
          <w:tcPr>
            <w:tcW w:w="1248" w:type="dxa"/>
            <w:tcBorders>
              <w:top w:val="nil"/>
              <w:left w:val="nil"/>
              <w:bottom w:val="nil"/>
              <w:right w:val="nil"/>
            </w:tcBorders>
            <w:shd w:val="clear" w:color="000000" w:fill="FFFFFF"/>
            <w:vAlign w:val="center"/>
            <w:hideMark/>
          </w:tcPr>
          <w:p w14:paraId="5ED9083C" w14:textId="77777777" w:rsidR="00EE4F74" w:rsidRPr="00D618B7" w:rsidRDefault="00EE4F74"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bottom"/>
            <w:hideMark/>
          </w:tcPr>
          <w:p w14:paraId="471DD01F" w14:textId="77777777" w:rsidR="00EE4F74" w:rsidRPr="00D618B7" w:rsidRDefault="00EE4F74" w:rsidP="004B11B7">
            <w:pPr>
              <w:jc w:val="right"/>
              <w:rPr>
                <w:color w:val="000000"/>
              </w:rPr>
            </w:pPr>
            <w:r w:rsidRPr="00D618B7">
              <w:rPr>
                <w:color w:val="000000"/>
              </w:rPr>
              <w:t>401.99</w:t>
            </w:r>
          </w:p>
        </w:tc>
        <w:tc>
          <w:tcPr>
            <w:tcW w:w="1418" w:type="dxa"/>
            <w:tcBorders>
              <w:top w:val="nil"/>
              <w:left w:val="nil"/>
              <w:bottom w:val="nil"/>
              <w:right w:val="nil"/>
            </w:tcBorders>
            <w:shd w:val="clear" w:color="000000" w:fill="FFFFFF"/>
            <w:noWrap/>
            <w:vAlign w:val="bottom"/>
            <w:hideMark/>
          </w:tcPr>
          <w:p w14:paraId="5DC6056F" w14:textId="77777777" w:rsidR="00EE4F74" w:rsidRPr="00D618B7" w:rsidRDefault="00EE4F74" w:rsidP="004B11B7">
            <w:pPr>
              <w:jc w:val="right"/>
              <w:rPr>
                <w:color w:val="000000"/>
              </w:rPr>
            </w:pPr>
            <w:r w:rsidRPr="00D618B7">
              <w:rPr>
                <w:color w:val="000000"/>
              </w:rPr>
              <w:t>157.72</w:t>
            </w:r>
          </w:p>
        </w:tc>
        <w:tc>
          <w:tcPr>
            <w:tcW w:w="1138" w:type="dxa"/>
            <w:tcBorders>
              <w:top w:val="nil"/>
              <w:left w:val="nil"/>
              <w:bottom w:val="nil"/>
              <w:right w:val="nil"/>
            </w:tcBorders>
            <w:shd w:val="clear" w:color="000000" w:fill="FFFFFF"/>
            <w:noWrap/>
            <w:vAlign w:val="bottom"/>
            <w:hideMark/>
          </w:tcPr>
          <w:p w14:paraId="10CB5ACE" w14:textId="77777777" w:rsidR="00EE4F74" w:rsidRPr="00D618B7" w:rsidRDefault="00EE4F74" w:rsidP="004B11B7">
            <w:pPr>
              <w:jc w:val="right"/>
              <w:rPr>
                <w:color w:val="000000"/>
              </w:rPr>
            </w:pPr>
            <w:r w:rsidRPr="00D618B7">
              <w:rPr>
                <w:color w:val="000000"/>
              </w:rPr>
              <w:t>2181.36</w:t>
            </w:r>
          </w:p>
        </w:tc>
        <w:tc>
          <w:tcPr>
            <w:tcW w:w="1358" w:type="dxa"/>
            <w:tcBorders>
              <w:top w:val="nil"/>
              <w:left w:val="nil"/>
              <w:bottom w:val="nil"/>
              <w:right w:val="nil"/>
            </w:tcBorders>
            <w:shd w:val="clear" w:color="000000" w:fill="FFFFFF"/>
            <w:noWrap/>
            <w:vAlign w:val="bottom"/>
            <w:hideMark/>
          </w:tcPr>
          <w:p w14:paraId="64673E64" w14:textId="77777777" w:rsidR="00EE4F74" w:rsidRPr="00D618B7" w:rsidRDefault="00EE4F74" w:rsidP="004B11B7">
            <w:pPr>
              <w:jc w:val="right"/>
              <w:rPr>
                <w:color w:val="000000"/>
              </w:rPr>
            </w:pPr>
            <w:r w:rsidRPr="00D618B7">
              <w:rPr>
                <w:color w:val="000000"/>
              </w:rPr>
              <w:t>1094.33</w:t>
            </w:r>
          </w:p>
        </w:tc>
        <w:tc>
          <w:tcPr>
            <w:tcW w:w="1225" w:type="dxa"/>
            <w:tcBorders>
              <w:top w:val="nil"/>
              <w:left w:val="nil"/>
              <w:bottom w:val="nil"/>
              <w:right w:val="nil"/>
            </w:tcBorders>
            <w:shd w:val="clear" w:color="000000" w:fill="FFFFFF"/>
            <w:noWrap/>
            <w:vAlign w:val="bottom"/>
            <w:hideMark/>
          </w:tcPr>
          <w:p w14:paraId="67D16CF3" w14:textId="77777777" w:rsidR="00EE4F74" w:rsidRPr="00D618B7" w:rsidRDefault="00EE4F74" w:rsidP="004B11B7">
            <w:pPr>
              <w:jc w:val="right"/>
              <w:rPr>
                <w:color w:val="000000"/>
              </w:rPr>
            </w:pPr>
            <w:r w:rsidRPr="00D618B7">
              <w:rPr>
                <w:color w:val="000000"/>
              </w:rPr>
              <w:t>50048.04</w:t>
            </w:r>
          </w:p>
        </w:tc>
        <w:tc>
          <w:tcPr>
            <w:tcW w:w="1321" w:type="dxa"/>
            <w:tcBorders>
              <w:top w:val="nil"/>
              <w:left w:val="nil"/>
              <w:bottom w:val="nil"/>
              <w:right w:val="nil"/>
            </w:tcBorders>
            <w:shd w:val="clear" w:color="000000" w:fill="FFFFFF"/>
            <w:noWrap/>
            <w:vAlign w:val="bottom"/>
            <w:hideMark/>
          </w:tcPr>
          <w:p w14:paraId="684D9252" w14:textId="77777777" w:rsidR="00EE4F74" w:rsidRPr="00D618B7" w:rsidRDefault="00EE4F74" w:rsidP="004B11B7">
            <w:pPr>
              <w:jc w:val="right"/>
              <w:rPr>
                <w:color w:val="000000"/>
              </w:rPr>
            </w:pPr>
            <w:r w:rsidRPr="00D618B7">
              <w:rPr>
                <w:color w:val="000000"/>
              </w:rPr>
              <w:t>16102.21</w:t>
            </w:r>
          </w:p>
        </w:tc>
      </w:tr>
      <w:tr w:rsidR="00EE4F74" w:rsidRPr="00D618B7" w14:paraId="42170720" w14:textId="77777777" w:rsidTr="004B11B7">
        <w:trPr>
          <w:trHeight w:val="303"/>
        </w:trPr>
        <w:tc>
          <w:tcPr>
            <w:tcW w:w="1248" w:type="dxa"/>
            <w:tcBorders>
              <w:top w:val="nil"/>
              <w:left w:val="nil"/>
              <w:bottom w:val="nil"/>
              <w:right w:val="nil"/>
            </w:tcBorders>
            <w:shd w:val="clear" w:color="000000" w:fill="FFFFFF"/>
            <w:vAlign w:val="center"/>
            <w:hideMark/>
          </w:tcPr>
          <w:p w14:paraId="4B7CCDDC" w14:textId="77777777" w:rsidR="00EE4F74" w:rsidRPr="00D618B7" w:rsidRDefault="00EE4F74" w:rsidP="004B11B7">
            <w:pPr>
              <w:jc w:val="right"/>
              <w:rPr>
                <w:color w:val="000000"/>
              </w:rPr>
            </w:pPr>
            <w:r w:rsidRPr="00D618B7">
              <w:rPr>
                <w:color w:val="000000"/>
              </w:rPr>
              <w:t>0</w:t>
            </w:r>
          </w:p>
        </w:tc>
        <w:tc>
          <w:tcPr>
            <w:tcW w:w="1080" w:type="dxa"/>
            <w:tcBorders>
              <w:top w:val="nil"/>
              <w:left w:val="nil"/>
              <w:bottom w:val="nil"/>
              <w:right w:val="nil"/>
            </w:tcBorders>
            <w:shd w:val="clear" w:color="000000" w:fill="FFFFFF"/>
            <w:noWrap/>
            <w:vAlign w:val="bottom"/>
            <w:hideMark/>
          </w:tcPr>
          <w:p w14:paraId="0DF24D77" w14:textId="77777777" w:rsidR="00EE4F74" w:rsidRPr="00D618B7" w:rsidRDefault="00EE4F74" w:rsidP="004B11B7">
            <w:pPr>
              <w:jc w:val="right"/>
              <w:rPr>
                <w:color w:val="000000"/>
              </w:rPr>
            </w:pPr>
            <w:r w:rsidRPr="00D618B7">
              <w:rPr>
                <w:color w:val="000000"/>
              </w:rPr>
              <w:t>-219.12</w:t>
            </w:r>
          </w:p>
        </w:tc>
        <w:tc>
          <w:tcPr>
            <w:tcW w:w="1418" w:type="dxa"/>
            <w:tcBorders>
              <w:top w:val="nil"/>
              <w:left w:val="nil"/>
              <w:bottom w:val="nil"/>
              <w:right w:val="nil"/>
            </w:tcBorders>
            <w:shd w:val="clear" w:color="000000" w:fill="FFFFFF"/>
            <w:noWrap/>
            <w:vAlign w:val="bottom"/>
            <w:hideMark/>
          </w:tcPr>
          <w:p w14:paraId="23927EDC" w14:textId="77777777" w:rsidR="00EE4F74" w:rsidRPr="00D618B7" w:rsidRDefault="00EE4F74" w:rsidP="004B11B7">
            <w:pPr>
              <w:jc w:val="right"/>
              <w:rPr>
                <w:color w:val="000000"/>
              </w:rPr>
            </w:pPr>
            <w:r w:rsidRPr="00D618B7">
              <w:rPr>
                <w:color w:val="000000"/>
              </w:rPr>
              <w:t>67.51</w:t>
            </w:r>
          </w:p>
        </w:tc>
        <w:tc>
          <w:tcPr>
            <w:tcW w:w="1138" w:type="dxa"/>
            <w:tcBorders>
              <w:top w:val="nil"/>
              <w:left w:val="nil"/>
              <w:bottom w:val="nil"/>
              <w:right w:val="nil"/>
            </w:tcBorders>
            <w:shd w:val="clear" w:color="000000" w:fill="FFFFFF"/>
            <w:noWrap/>
            <w:vAlign w:val="bottom"/>
            <w:hideMark/>
          </w:tcPr>
          <w:p w14:paraId="46199357" w14:textId="77777777" w:rsidR="00EE4F74" w:rsidRPr="00D618B7" w:rsidRDefault="00EE4F74" w:rsidP="004B11B7">
            <w:pPr>
              <w:jc w:val="right"/>
              <w:rPr>
                <w:color w:val="000000"/>
              </w:rPr>
            </w:pPr>
            <w:r w:rsidRPr="00D618B7">
              <w:rPr>
                <w:color w:val="000000"/>
              </w:rPr>
              <w:t>-3892.37</w:t>
            </w:r>
          </w:p>
        </w:tc>
        <w:tc>
          <w:tcPr>
            <w:tcW w:w="1358" w:type="dxa"/>
            <w:tcBorders>
              <w:top w:val="nil"/>
              <w:left w:val="nil"/>
              <w:bottom w:val="nil"/>
              <w:right w:val="nil"/>
            </w:tcBorders>
            <w:shd w:val="clear" w:color="000000" w:fill="FFFFFF"/>
            <w:noWrap/>
            <w:vAlign w:val="bottom"/>
            <w:hideMark/>
          </w:tcPr>
          <w:p w14:paraId="5E364D24" w14:textId="77777777" w:rsidR="00EE4F74" w:rsidRPr="00D618B7" w:rsidRDefault="00EE4F74" w:rsidP="004B11B7">
            <w:pPr>
              <w:jc w:val="right"/>
              <w:rPr>
                <w:color w:val="000000"/>
              </w:rPr>
            </w:pPr>
            <w:r w:rsidRPr="00D618B7">
              <w:rPr>
                <w:color w:val="000000"/>
              </w:rPr>
              <w:t>1539.01</w:t>
            </w:r>
          </w:p>
        </w:tc>
        <w:tc>
          <w:tcPr>
            <w:tcW w:w="1225" w:type="dxa"/>
            <w:tcBorders>
              <w:top w:val="nil"/>
              <w:left w:val="nil"/>
              <w:bottom w:val="nil"/>
              <w:right w:val="nil"/>
            </w:tcBorders>
            <w:shd w:val="clear" w:color="000000" w:fill="FFFFFF"/>
            <w:noWrap/>
            <w:vAlign w:val="bottom"/>
            <w:hideMark/>
          </w:tcPr>
          <w:p w14:paraId="643A446E" w14:textId="77777777" w:rsidR="00EE4F74" w:rsidRPr="00D618B7" w:rsidRDefault="00EE4F74" w:rsidP="004B11B7">
            <w:pPr>
              <w:jc w:val="right"/>
              <w:rPr>
                <w:color w:val="000000"/>
              </w:rPr>
            </w:pPr>
            <w:r w:rsidRPr="00D618B7">
              <w:rPr>
                <w:color w:val="000000"/>
              </w:rPr>
              <w:t>20995.23</w:t>
            </w:r>
          </w:p>
        </w:tc>
        <w:tc>
          <w:tcPr>
            <w:tcW w:w="1321" w:type="dxa"/>
            <w:tcBorders>
              <w:top w:val="nil"/>
              <w:left w:val="nil"/>
              <w:bottom w:val="nil"/>
              <w:right w:val="nil"/>
            </w:tcBorders>
            <w:shd w:val="clear" w:color="000000" w:fill="FFFFFF"/>
            <w:noWrap/>
            <w:vAlign w:val="bottom"/>
            <w:hideMark/>
          </w:tcPr>
          <w:p w14:paraId="2A600E72" w14:textId="77777777" w:rsidR="00EE4F74" w:rsidRPr="00D618B7" w:rsidRDefault="00EE4F74" w:rsidP="004B11B7">
            <w:pPr>
              <w:jc w:val="right"/>
              <w:rPr>
                <w:color w:val="000000"/>
              </w:rPr>
            </w:pPr>
            <w:r w:rsidRPr="00D618B7">
              <w:rPr>
                <w:color w:val="000000"/>
              </w:rPr>
              <w:t>6347.33</w:t>
            </w:r>
          </w:p>
        </w:tc>
      </w:tr>
      <w:tr w:rsidR="00EE4F74" w:rsidRPr="00D618B7" w14:paraId="7E9F5B3F" w14:textId="77777777" w:rsidTr="004B11B7">
        <w:trPr>
          <w:trHeight w:val="303"/>
        </w:trPr>
        <w:tc>
          <w:tcPr>
            <w:tcW w:w="1248" w:type="dxa"/>
            <w:tcBorders>
              <w:top w:val="nil"/>
              <w:left w:val="nil"/>
              <w:bottom w:val="nil"/>
              <w:right w:val="nil"/>
            </w:tcBorders>
            <w:shd w:val="clear" w:color="000000" w:fill="FFFFFF"/>
            <w:vAlign w:val="center"/>
            <w:hideMark/>
          </w:tcPr>
          <w:p w14:paraId="08793D0E" w14:textId="77777777" w:rsidR="00EE4F74" w:rsidRPr="00D618B7" w:rsidRDefault="00EE4F74"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bottom"/>
            <w:hideMark/>
          </w:tcPr>
          <w:p w14:paraId="2E28012D" w14:textId="77777777" w:rsidR="00EE4F74" w:rsidRPr="00D618B7" w:rsidRDefault="00EE4F74" w:rsidP="004B11B7">
            <w:pPr>
              <w:jc w:val="right"/>
              <w:rPr>
                <w:color w:val="000000"/>
              </w:rPr>
            </w:pPr>
            <w:r w:rsidRPr="00D618B7">
              <w:rPr>
                <w:color w:val="000000"/>
              </w:rPr>
              <w:t>1268.35</w:t>
            </w:r>
          </w:p>
        </w:tc>
        <w:tc>
          <w:tcPr>
            <w:tcW w:w="1418" w:type="dxa"/>
            <w:tcBorders>
              <w:top w:val="nil"/>
              <w:left w:val="nil"/>
              <w:bottom w:val="nil"/>
              <w:right w:val="nil"/>
            </w:tcBorders>
            <w:shd w:val="clear" w:color="000000" w:fill="FFFFFF"/>
            <w:noWrap/>
            <w:vAlign w:val="bottom"/>
            <w:hideMark/>
          </w:tcPr>
          <w:p w14:paraId="4FC1F2F0" w14:textId="77777777" w:rsidR="00EE4F74" w:rsidRPr="00D618B7" w:rsidRDefault="00EE4F74" w:rsidP="004B11B7">
            <w:pPr>
              <w:jc w:val="right"/>
              <w:rPr>
                <w:color w:val="000000"/>
              </w:rPr>
            </w:pPr>
            <w:r w:rsidRPr="00D618B7">
              <w:rPr>
                <w:color w:val="000000"/>
              </w:rPr>
              <w:t>924.97</w:t>
            </w:r>
          </w:p>
        </w:tc>
        <w:tc>
          <w:tcPr>
            <w:tcW w:w="1138" w:type="dxa"/>
            <w:tcBorders>
              <w:top w:val="nil"/>
              <w:left w:val="nil"/>
              <w:bottom w:val="nil"/>
              <w:right w:val="nil"/>
            </w:tcBorders>
            <w:shd w:val="clear" w:color="000000" w:fill="FFFFFF"/>
            <w:noWrap/>
            <w:vAlign w:val="bottom"/>
            <w:hideMark/>
          </w:tcPr>
          <w:p w14:paraId="5E91C7FD" w14:textId="77777777" w:rsidR="00EE4F74" w:rsidRPr="00D618B7" w:rsidRDefault="00EE4F74" w:rsidP="004B11B7">
            <w:pPr>
              <w:jc w:val="right"/>
              <w:rPr>
                <w:color w:val="000000"/>
              </w:rPr>
            </w:pPr>
            <w:r w:rsidRPr="00D618B7">
              <w:rPr>
                <w:color w:val="000000"/>
              </w:rPr>
              <w:t>6129.88</w:t>
            </w:r>
          </w:p>
        </w:tc>
        <w:tc>
          <w:tcPr>
            <w:tcW w:w="1358" w:type="dxa"/>
            <w:tcBorders>
              <w:top w:val="nil"/>
              <w:left w:val="nil"/>
              <w:bottom w:val="nil"/>
              <w:right w:val="nil"/>
            </w:tcBorders>
            <w:shd w:val="clear" w:color="000000" w:fill="FFFFFF"/>
            <w:noWrap/>
            <w:vAlign w:val="bottom"/>
            <w:hideMark/>
          </w:tcPr>
          <w:p w14:paraId="19B216D8" w14:textId="77777777" w:rsidR="00EE4F74" w:rsidRPr="00D618B7" w:rsidRDefault="00EE4F74" w:rsidP="004B11B7">
            <w:pPr>
              <w:jc w:val="right"/>
              <w:rPr>
                <w:color w:val="000000"/>
              </w:rPr>
            </w:pPr>
            <w:r w:rsidRPr="00D618B7">
              <w:rPr>
                <w:color w:val="000000"/>
              </w:rPr>
              <w:t>1402.95</w:t>
            </w:r>
          </w:p>
        </w:tc>
        <w:tc>
          <w:tcPr>
            <w:tcW w:w="1225" w:type="dxa"/>
            <w:tcBorders>
              <w:top w:val="nil"/>
              <w:left w:val="nil"/>
              <w:bottom w:val="nil"/>
              <w:right w:val="nil"/>
            </w:tcBorders>
            <w:shd w:val="clear" w:color="000000" w:fill="FFFFFF"/>
            <w:noWrap/>
            <w:vAlign w:val="bottom"/>
            <w:hideMark/>
          </w:tcPr>
          <w:p w14:paraId="60231F74" w14:textId="77777777" w:rsidR="00EE4F74" w:rsidRPr="00D618B7" w:rsidRDefault="00EE4F74" w:rsidP="004B11B7">
            <w:pPr>
              <w:jc w:val="right"/>
              <w:rPr>
                <w:color w:val="000000"/>
              </w:rPr>
            </w:pPr>
            <w:r w:rsidRPr="00D618B7">
              <w:rPr>
                <w:color w:val="000000"/>
              </w:rPr>
              <w:t>7226.75</w:t>
            </w:r>
          </w:p>
        </w:tc>
        <w:tc>
          <w:tcPr>
            <w:tcW w:w="1321" w:type="dxa"/>
            <w:tcBorders>
              <w:top w:val="nil"/>
              <w:left w:val="nil"/>
              <w:bottom w:val="nil"/>
              <w:right w:val="nil"/>
            </w:tcBorders>
            <w:shd w:val="clear" w:color="000000" w:fill="FFFFFF"/>
            <w:noWrap/>
            <w:vAlign w:val="bottom"/>
            <w:hideMark/>
          </w:tcPr>
          <w:p w14:paraId="3E7A8DD1" w14:textId="77777777" w:rsidR="00EE4F74" w:rsidRPr="00D618B7" w:rsidRDefault="00EE4F74" w:rsidP="004B11B7">
            <w:pPr>
              <w:jc w:val="right"/>
              <w:rPr>
                <w:color w:val="000000"/>
              </w:rPr>
            </w:pPr>
            <w:r w:rsidRPr="00D618B7">
              <w:rPr>
                <w:color w:val="000000"/>
              </w:rPr>
              <w:t>1334.55</w:t>
            </w:r>
          </w:p>
        </w:tc>
      </w:tr>
      <w:tr w:rsidR="00EE4F74" w:rsidRPr="00D618B7" w14:paraId="39BD93B9" w14:textId="77777777" w:rsidTr="004B11B7">
        <w:trPr>
          <w:trHeight w:val="303"/>
        </w:trPr>
        <w:tc>
          <w:tcPr>
            <w:tcW w:w="1248" w:type="dxa"/>
            <w:tcBorders>
              <w:top w:val="nil"/>
              <w:left w:val="nil"/>
              <w:bottom w:val="nil"/>
              <w:right w:val="nil"/>
            </w:tcBorders>
            <w:shd w:val="clear" w:color="000000" w:fill="FFFFFF"/>
            <w:vAlign w:val="center"/>
            <w:hideMark/>
          </w:tcPr>
          <w:p w14:paraId="427C754D" w14:textId="77777777" w:rsidR="00EE4F74" w:rsidRPr="00D618B7" w:rsidRDefault="00EE4F74"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bottom"/>
            <w:hideMark/>
          </w:tcPr>
          <w:p w14:paraId="3BACD6BA" w14:textId="77777777" w:rsidR="00EE4F74" w:rsidRPr="00D618B7" w:rsidRDefault="00EE4F74" w:rsidP="004B11B7">
            <w:pPr>
              <w:jc w:val="right"/>
              <w:rPr>
                <w:color w:val="000000"/>
              </w:rPr>
            </w:pPr>
            <w:r w:rsidRPr="00D618B7">
              <w:rPr>
                <w:color w:val="000000"/>
              </w:rPr>
              <w:t>707.73</w:t>
            </w:r>
          </w:p>
        </w:tc>
        <w:tc>
          <w:tcPr>
            <w:tcW w:w="1418" w:type="dxa"/>
            <w:tcBorders>
              <w:top w:val="nil"/>
              <w:left w:val="nil"/>
              <w:bottom w:val="nil"/>
              <w:right w:val="nil"/>
            </w:tcBorders>
            <w:shd w:val="clear" w:color="000000" w:fill="FFFFFF"/>
            <w:noWrap/>
            <w:vAlign w:val="bottom"/>
            <w:hideMark/>
          </w:tcPr>
          <w:p w14:paraId="70B6698C" w14:textId="77777777" w:rsidR="00EE4F74" w:rsidRPr="00D618B7" w:rsidRDefault="00EE4F74" w:rsidP="004B11B7">
            <w:pPr>
              <w:jc w:val="right"/>
              <w:rPr>
                <w:color w:val="000000"/>
              </w:rPr>
            </w:pPr>
            <w:r w:rsidRPr="00D618B7">
              <w:rPr>
                <w:color w:val="000000"/>
              </w:rPr>
              <w:t>491.79</w:t>
            </w:r>
          </w:p>
        </w:tc>
        <w:tc>
          <w:tcPr>
            <w:tcW w:w="1138" w:type="dxa"/>
            <w:tcBorders>
              <w:top w:val="nil"/>
              <w:left w:val="nil"/>
              <w:bottom w:val="nil"/>
              <w:right w:val="nil"/>
            </w:tcBorders>
            <w:shd w:val="clear" w:color="000000" w:fill="FFFFFF"/>
            <w:noWrap/>
            <w:vAlign w:val="bottom"/>
            <w:hideMark/>
          </w:tcPr>
          <w:p w14:paraId="20FC00BE" w14:textId="77777777" w:rsidR="00EE4F74" w:rsidRPr="00D618B7" w:rsidRDefault="00EE4F74" w:rsidP="004B11B7">
            <w:pPr>
              <w:jc w:val="right"/>
              <w:rPr>
                <w:color w:val="000000"/>
              </w:rPr>
            </w:pPr>
            <w:r w:rsidRPr="00D618B7">
              <w:rPr>
                <w:color w:val="000000"/>
              </w:rPr>
              <w:t>-5097.99</w:t>
            </w:r>
          </w:p>
        </w:tc>
        <w:tc>
          <w:tcPr>
            <w:tcW w:w="1358" w:type="dxa"/>
            <w:tcBorders>
              <w:top w:val="nil"/>
              <w:left w:val="nil"/>
              <w:bottom w:val="nil"/>
              <w:right w:val="nil"/>
            </w:tcBorders>
            <w:shd w:val="clear" w:color="000000" w:fill="FFFFFF"/>
            <w:noWrap/>
            <w:vAlign w:val="bottom"/>
            <w:hideMark/>
          </w:tcPr>
          <w:p w14:paraId="7EB54D9D" w14:textId="77777777" w:rsidR="00EE4F74" w:rsidRPr="00D618B7" w:rsidRDefault="00EE4F74" w:rsidP="004B11B7">
            <w:pPr>
              <w:jc w:val="right"/>
              <w:rPr>
                <w:color w:val="000000"/>
              </w:rPr>
            </w:pPr>
            <w:r w:rsidRPr="00D618B7">
              <w:rPr>
                <w:color w:val="000000"/>
              </w:rPr>
              <w:t>2549.30</w:t>
            </w:r>
          </w:p>
        </w:tc>
        <w:tc>
          <w:tcPr>
            <w:tcW w:w="1225" w:type="dxa"/>
            <w:tcBorders>
              <w:top w:val="nil"/>
              <w:left w:val="nil"/>
              <w:bottom w:val="nil"/>
              <w:right w:val="nil"/>
            </w:tcBorders>
            <w:shd w:val="clear" w:color="000000" w:fill="FFFFFF"/>
            <w:noWrap/>
            <w:vAlign w:val="bottom"/>
            <w:hideMark/>
          </w:tcPr>
          <w:p w14:paraId="0C6F8303" w14:textId="77777777" w:rsidR="00EE4F74" w:rsidRPr="00D618B7" w:rsidRDefault="00EE4F74" w:rsidP="004B11B7">
            <w:pPr>
              <w:jc w:val="right"/>
              <w:rPr>
                <w:color w:val="000000"/>
              </w:rPr>
            </w:pPr>
            <w:r w:rsidRPr="00D618B7">
              <w:rPr>
                <w:color w:val="000000"/>
              </w:rPr>
              <w:t>-7621.92</w:t>
            </w:r>
          </w:p>
        </w:tc>
        <w:tc>
          <w:tcPr>
            <w:tcW w:w="1321" w:type="dxa"/>
            <w:tcBorders>
              <w:top w:val="nil"/>
              <w:left w:val="nil"/>
              <w:bottom w:val="nil"/>
              <w:right w:val="nil"/>
            </w:tcBorders>
            <w:shd w:val="clear" w:color="000000" w:fill="FFFFFF"/>
            <w:noWrap/>
            <w:vAlign w:val="bottom"/>
            <w:hideMark/>
          </w:tcPr>
          <w:p w14:paraId="2D01D10C" w14:textId="77777777" w:rsidR="00EE4F74" w:rsidRPr="00D618B7" w:rsidRDefault="00EE4F74" w:rsidP="004B11B7">
            <w:pPr>
              <w:jc w:val="right"/>
              <w:rPr>
                <w:color w:val="000000"/>
              </w:rPr>
            </w:pPr>
            <w:r w:rsidRPr="00D618B7">
              <w:rPr>
                <w:color w:val="000000"/>
              </w:rPr>
              <w:t>2676.15</w:t>
            </w:r>
          </w:p>
        </w:tc>
      </w:tr>
      <w:tr w:rsidR="00EE4F74" w:rsidRPr="00D618B7" w14:paraId="3F168DA2" w14:textId="77777777" w:rsidTr="004B11B7">
        <w:trPr>
          <w:trHeight w:val="303"/>
        </w:trPr>
        <w:tc>
          <w:tcPr>
            <w:tcW w:w="1248" w:type="dxa"/>
            <w:tcBorders>
              <w:top w:val="nil"/>
              <w:left w:val="nil"/>
              <w:bottom w:val="nil"/>
              <w:right w:val="nil"/>
            </w:tcBorders>
            <w:shd w:val="clear" w:color="000000" w:fill="FFFFFF"/>
            <w:vAlign w:val="center"/>
            <w:hideMark/>
          </w:tcPr>
          <w:p w14:paraId="38D8FC4B" w14:textId="77777777" w:rsidR="00EE4F74" w:rsidRPr="00D618B7" w:rsidRDefault="00EE4F74"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bottom"/>
            <w:hideMark/>
          </w:tcPr>
          <w:p w14:paraId="7753AC26" w14:textId="77777777" w:rsidR="00EE4F74" w:rsidRPr="00D618B7" w:rsidRDefault="00EE4F74" w:rsidP="004B11B7">
            <w:pPr>
              <w:jc w:val="right"/>
              <w:rPr>
                <w:color w:val="000000"/>
              </w:rPr>
            </w:pPr>
            <w:r w:rsidRPr="00D618B7">
              <w:rPr>
                <w:color w:val="000000"/>
              </w:rPr>
              <w:t>-575.31</w:t>
            </w:r>
          </w:p>
        </w:tc>
        <w:tc>
          <w:tcPr>
            <w:tcW w:w="1418" w:type="dxa"/>
            <w:tcBorders>
              <w:top w:val="nil"/>
              <w:left w:val="nil"/>
              <w:bottom w:val="nil"/>
              <w:right w:val="nil"/>
            </w:tcBorders>
            <w:shd w:val="clear" w:color="000000" w:fill="FFFFFF"/>
            <w:noWrap/>
            <w:vAlign w:val="bottom"/>
            <w:hideMark/>
          </w:tcPr>
          <w:p w14:paraId="60002504" w14:textId="77777777" w:rsidR="00EE4F74" w:rsidRPr="00D618B7" w:rsidRDefault="00EE4F74" w:rsidP="004B11B7">
            <w:pPr>
              <w:jc w:val="right"/>
              <w:rPr>
                <w:color w:val="000000"/>
              </w:rPr>
            </w:pPr>
            <w:r w:rsidRPr="00D618B7">
              <w:rPr>
                <w:color w:val="000000"/>
              </w:rPr>
              <w:t>77.84</w:t>
            </w:r>
          </w:p>
        </w:tc>
        <w:tc>
          <w:tcPr>
            <w:tcW w:w="1138" w:type="dxa"/>
            <w:tcBorders>
              <w:top w:val="nil"/>
              <w:left w:val="nil"/>
              <w:bottom w:val="nil"/>
              <w:right w:val="nil"/>
            </w:tcBorders>
            <w:shd w:val="clear" w:color="000000" w:fill="FFFFFF"/>
            <w:noWrap/>
            <w:vAlign w:val="bottom"/>
            <w:hideMark/>
          </w:tcPr>
          <w:p w14:paraId="0098E3FF" w14:textId="77777777" w:rsidR="00EE4F74" w:rsidRPr="00D618B7" w:rsidRDefault="00EE4F74" w:rsidP="004B11B7">
            <w:pPr>
              <w:jc w:val="right"/>
              <w:rPr>
                <w:color w:val="000000"/>
              </w:rPr>
            </w:pPr>
            <w:r w:rsidRPr="00D618B7">
              <w:rPr>
                <w:color w:val="000000"/>
              </w:rPr>
              <w:t>-489.50</w:t>
            </w:r>
          </w:p>
        </w:tc>
        <w:tc>
          <w:tcPr>
            <w:tcW w:w="1358" w:type="dxa"/>
            <w:tcBorders>
              <w:top w:val="nil"/>
              <w:left w:val="nil"/>
              <w:bottom w:val="nil"/>
              <w:right w:val="nil"/>
            </w:tcBorders>
            <w:shd w:val="clear" w:color="000000" w:fill="FFFFFF"/>
            <w:noWrap/>
            <w:vAlign w:val="bottom"/>
            <w:hideMark/>
          </w:tcPr>
          <w:p w14:paraId="046F6370" w14:textId="77777777" w:rsidR="00EE4F74" w:rsidRPr="00D618B7" w:rsidRDefault="00EE4F74" w:rsidP="004B11B7">
            <w:pPr>
              <w:jc w:val="right"/>
              <w:rPr>
                <w:color w:val="000000"/>
              </w:rPr>
            </w:pPr>
            <w:r w:rsidRPr="00D618B7">
              <w:rPr>
                <w:color w:val="000000"/>
              </w:rPr>
              <w:t>2445.41</w:t>
            </w:r>
          </w:p>
        </w:tc>
        <w:tc>
          <w:tcPr>
            <w:tcW w:w="1225" w:type="dxa"/>
            <w:tcBorders>
              <w:top w:val="nil"/>
              <w:left w:val="nil"/>
              <w:bottom w:val="nil"/>
              <w:right w:val="nil"/>
            </w:tcBorders>
            <w:shd w:val="clear" w:color="000000" w:fill="FFFFFF"/>
            <w:noWrap/>
            <w:vAlign w:val="bottom"/>
            <w:hideMark/>
          </w:tcPr>
          <w:p w14:paraId="40468333" w14:textId="77777777" w:rsidR="00EE4F74" w:rsidRPr="00D618B7" w:rsidRDefault="00EE4F74" w:rsidP="004B11B7">
            <w:pPr>
              <w:jc w:val="right"/>
              <w:rPr>
                <w:color w:val="000000"/>
              </w:rPr>
            </w:pPr>
            <w:r w:rsidRPr="00D618B7">
              <w:rPr>
                <w:color w:val="000000"/>
              </w:rPr>
              <w:t>12427.21</w:t>
            </w:r>
          </w:p>
        </w:tc>
        <w:tc>
          <w:tcPr>
            <w:tcW w:w="1321" w:type="dxa"/>
            <w:tcBorders>
              <w:top w:val="nil"/>
              <w:left w:val="nil"/>
              <w:bottom w:val="nil"/>
              <w:right w:val="nil"/>
            </w:tcBorders>
            <w:shd w:val="clear" w:color="000000" w:fill="FFFFFF"/>
            <w:noWrap/>
            <w:vAlign w:val="bottom"/>
            <w:hideMark/>
          </w:tcPr>
          <w:p w14:paraId="6C2413C0" w14:textId="77777777" w:rsidR="00EE4F74" w:rsidRPr="00D618B7" w:rsidRDefault="00EE4F74" w:rsidP="004B11B7">
            <w:pPr>
              <w:jc w:val="right"/>
              <w:rPr>
                <w:color w:val="000000"/>
              </w:rPr>
            </w:pPr>
            <w:r w:rsidRPr="00D618B7">
              <w:rPr>
                <w:color w:val="000000"/>
              </w:rPr>
              <w:t>1645.71</w:t>
            </w:r>
          </w:p>
        </w:tc>
      </w:tr>
      <w:tr w:rsidR="00EE4F74" w:rsidRPr="00D618B7" w14:paraId="6D6FDF4E" w14:textId="77777777" w:rsidTr="004B11B7">
        <w:trPr>
          <w:trHeight w:val="303"/>
        </w:trPr>
        <w:tc>
          <w:tcPr>
            <w:tcW w:w="1248" w:type="dxa"/>
            <w:tcBorders>
              <w:top w:val="nil"/>
              <w:left w:val="nil"/>
              <w:bottom w:val="nil"/>
              <w:right w:val="nil"/>
            </w:tcBorders>
            <w:shd w:val="clear" w:color="000000" w:fill="FFFFFF"/>
            <w:vAlign w:val="center"/>
            <w:hideMark/>
          </w:tcPr>
          <w:p w14:paraId="5F445472" w14:textId="77777777" w:rsidR="00EE4F74" w:rsidRPr="00D618B7" w:rsidRDefault="00EE4F74"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bottom"/>
            <w:hideMark/>
          </w:tcPr>
          <w:p w14:paraId="5B687606" w14:textId="77777777" w:rsidR="00EE4F74" w:rsidRPr="00D618B7" w:rsidRDefault="00EE4F74" w:rsidP="004B11B7">
            <w:pPr>
              <w:jc w:val="right"/>
              <w:rPr>
                <w:color w:val="000000"/>
              </w:rPr>
            </w:pPr>
            <w:r w:rsidRPr="00D618B7">
              <w:rPr>
                <w:color w:val="000000"/>
              </w:rPr>
              <w:t>491.42</w:t>
            </w:r>
          </w:p>
        </w:tc>
        <w:tc>
          <w:tcPr>
            <w:tcW w:w="1418" w:type="dxa"/>
            <w:tcBorders>
              <w:top w:val="nil"/>
              <w:left w:val="nil"/>
              <w:bottom w:val="nil"/>
              <w:right w:val="nil"/>
            </w:tcBorders>
            <w:shd w:val="clear" w:color="000000" w:fill="FFFFFF"/>
            <w:noWrap/>
            <w:vAlign w:val="bottom"/>
            <w:hideMark/>
          </w:tcPr>
          <w:p w14:paraId="5184B180" w14:textId="77777777" w:rsidR="00EE4F74" w:rsidRPr="00D618B7" w:rsidRDefault="00EE4F74" w:rsidP="004B11B7">
            <w:pPr>
              <w:jc w:val="right"/>
              <w:rPr>
                <w:color w:val="000000"/>
              </w:rPr>
            </w:pPr>
            <w:r w:rsidRPr="00D618B7">
              <w:rPr>
                <w:color w:val="000000"/>
              </w:rPr>
              <w:t>305.17</w:t>
            </w:r>
          </w:p>
        </w:tc>
        <w:tc>
          <w:tcPr>
            <w:tcW w:w="1138" w:type="dxa"/>
            <w:tcBorders>
              <w:top w:val="nil"/>
              <w:left w:val="nil"/>
              <w:bottom w:val="nil"/>
              <w:right w:val="nil"/>
            </w:tcBorders>
            <w:shd w:val="clear" w:color="000000" w:fill="FFFFFF"/>
            <w:noWrap/>
            <w:vAlign w:val="bottom"/>
            <w:hideMark/>
          </w:tcPr>
          <w:p w14:paraId="6A9A55DC" w14:textId="77777777" w:rsidR="00EE4F74" w:rsidRPr="00D618B7" w:rsidRDefault="00EE4F74" w:rsidP="004B11B7">
            <w:pPr>
              <w:jc w:val="right"/>
              <w:rPr>
                <w:color w:val="000000"/>
              </w:rPr>
            </w:pPr>
            <w:r w:rsidRPr="00D618B7">
              <w:rPr>
                <w:color w:val="000000"/>
              </w:rPr>
              <w:t>-1397.91</w:t>
            </w:r>
          </w:p>
        </w:tc>
        <w:tc>
          <w:tcPr>
            <w:tcW w:w="1358" w:type="dxa"/>
            <w:tcBorders>
              <w:top w:val="nil"/>
              <w:left w:val="nil"/>
              <w:bottom w:val="nil"/>
              <w:right w:val="nil"/>
            </w:tcBorders>
            <w:shd w:val="clear" w:color="000000" w:fill="FFFFFF"/>
            <w:noWrap/>
            <w:vAlign w:val="bottom"/>
            <w:hideMark/>
          </w:tcPr>
          <w:p w14:paraId="3DDCDB5F" w14:textId="77777777" w:rsidR="00EE4F74" w:rsidRPr="00D618B7" w:rsidRDefault="00EE4F74" w:rsidP="004B11B7">
            <w:pPr>
              <w:jc w:val="right"/>
              <w:rPr>
                <w:color w:val="000000"/>
              </w:rPr>
            </w:pPr>
            <w:r w:rsidRPr="00D618B7">
              <w:rPr>
                <w:color w:val="000000"/>
              </w:rPr>
              <w:t>2977.10</w:t>
            </w:r>
          </w:p>
        </w:tc>
        <w:tc>
          <w:tcPr>
            <w:tcW w:w="1225" w:type="dxa"/>
            <w:tcBorders>
              <w:top w:val="nil"/>
              <w:left w:val="nil"/>
              <w:bottom w:val="nil"/>
              <w:right w:val="nil"/>
            </w:tcBorders>
            <w:shd w:val="clear" w:color="000000" w:fill="FFFFFF"/>
            <w:noWrap/>
            <w:vAlign w:val="bottom"/>
            <w:hideMark/>
          </w:tcPr>
          <w:p w14:paraId="5CD8AE6A" w14:textId="77777777" w:rsidR="00EE4F74" w:rsidRPr="00D618B7" w:rsidRDefault="00EE4F74" w:rsidP="004B11B7">
            <w:pPr>
              <w:jc w:val="right"/>
              <w:rPr>
                <w:color w:val="000000"/>
              </w:rPr>
            </w:pPr>
            <w:r w:rsidRPr="00D618B7">
              <w:rPr>
                <w:color w:val="000000"/>
              </w:rPr>
              <w:t>11835.40</w:t>
            </w:r>
          </w:p>
        </w:tc>
        <w:tc>
          <w:tcPr>
            <w:tcW w:w="1321" w:type="dxa"/>
            <w:tcBorders>
              <w:top w:val="nil"/>
              <w:left w:val="nil"/>
              <w:bottom w:val="nil"/>
              <w:right w:val="nil"/>
            </w:tcBorders>
            <w:shd w:val="clear" w:color="000000" w:fill="FFFFFF"/>
            <w:noWrap/>
            <w:vAlign w:val="bottom"/>
            <w:hideMark/>
          </w:tcPr>
          <w:p w14:paraId="7FA80FB7" w14:textId="77777777" w:rsidR="00EE4F74" w:rsidRPr="00D618B7" w:rsidRDefault="00EE4F74" w:rsidP="004B11B7">
            <w:pPr>
              <w:jc w:val="right"/>
              <w:rPr>
                <w:color w:val="000000"/>
              </w:rPr>
            </w:pPr>
            <w:r w:rsidRPr="00D618B7">
              <w:rPr>
                <w:color w:val="000000"/>
              </w:rPr>
              <w:t>7392.95</w:t>
            </w:r>
          </w:p>
        </w:tc>
      </w:tr>
      <w:tr w:rsidR="00EE4F74" w:rsidRPr="00D618B7" w14:paraId="6F4727A6" w14:textId="77777777" w:rsidTr="004B11B7">
        <w:trPr>
          <w:trHeight w:val="318"/>
        </w:trPr>
        <w:tc>
          <w:tcPr>
            <w:tcW w:w="1248" w:type="dxa"/>
            <w:tcBorders>
              <w:top w:val="nil"/>
              <w:left w:val="nil"/>
              <w:bottom w:val="single" w:sz="8" w:space="0" w:color="auto"/>
              <w:right w:val="nil"/>
            </w:tcBorders>
            <w:shd w:val="clear" w:color="000000" w:fill="FFFFFF"/>
            <w:vAlign w:val="center"/>
            <w:hideMark/>
          </w:tcPr>
          <w:p w14:paraId="77D6AF0A" w14:textId="77777777" w:rsidR="00EE4F74" w:rsidRPr="00D618B7" w:rsidRDefault="00EE4F74" w:rsidP="004B11B7">
            <w:pPr>
              <w:jc w:val="right"/>
              <w:rPr>
                <w:color w:val="000000"/>
              </w:rPr>
            </w:pPr>
            <w:r w:rsidRPr="00D618B7">
              <w:rPr>
                <w:color w:val="000000"/>
              </w:rPr>
              <w:t>5</w:t>
            </w:r>
          </w:p>
        </w:tc>
        <w:tc>
          <w:tcPr>
            <w:tcW w:w="1080" w:type="dxa"/>
            <w:tcBorders>
              <w:top w:val="nil"/>
              <w:left w:val="nil"/>
              <w:bottom w:val="single" w:sz="8" w:space="0" w:color="auto"/>
              <w:right w:val="nil"/>
            </w:tcBorders>
            <w:shd w:val="clear" w:color="000000" w:fill="FFFFFF"/>
            <w:noWrap/>
            <w:vAlign w:val="bottom"/>
            <w:hideMark/>
          </w:tcPr>
          <w:p w14:paraId="02060EA5" w14:textId="77777777" w:rsidR="00EE4F74" w:rsidRPr="00D618B7" w:rsidRDefault="00EE4F74" w:rsidP="004B11B7">
            <w:pPr>
              <w:jc w:val="right"/>
              <w:rPr>
                <w:color w:val="000000"/>
              </w:rPr>
            </w:pPr>
            <w:r w:rsidRPr="00D618B7">
              <w:rPr>
                <w:color w:val="000000"/>
              </w:rPr>
              <w:t>-97.77</w:t>
            </w:r>
          </w:p>
        </w:tc>
        <w:tc>
          <w:tcPr>
            <w:tcW w:w="1418" w:type="dxa"/>
            <w:tcBorders>
              <w:top w:val="nil"/>
              <w:left w:val="nil"/>
              <w:bottom w:val="single" w:sz="8" w:space="0" w:color="auto"/>
              <w:right w:val="nil"/>
            </w:tcBorders>
            <w:shd w:val="clear" w:color="000000" w:fill="FFFFFF"/>
            <w:noWrap/>
            <w:vAlign w:val="bottom"/>
            <w:hideMark/>
          </w:tcPr>
          <w:p w14:paraId="3D6C74BB" w14:textId="77777777" w:rsidR="00EE4F74" w:rsidRPr="00D618B7" w:rsidRDefault="00EE4F74" w:rsidP="004B11B7">
            <w:pPr>
              <w:jc w:val="right"/>
              <w:rPr>
                <w:color w:val="000000"/>
              </w:rPr>
            </w:pPr>
            <w:r w:rsidRPr="00D618B7">
              <w:rPr>
                <w:color w:val="000000"/>
              </w:rPr>
              <w:t>859.55</w:t>
            </w:r>
          </w:p>
        </w:tc>
        <w:tc>
          <w:tcPr>
            <w:tcW w:w="1138" w:type="dxa"/>
            <w:tcBorders>
              <w:top w:val="nil"/>
              <w:left w:val="nil"/>
              <w:bottom w:val="single" w:sz="8" w:space="0" w:color="auto"/>
              <w:right w:val="nil"/>
            </w:tcBorders>
            <w:shd w:val="clear" w:color="000000" w:fill="FFFFFF"/>
            <w:noWrap/>
            <w:vAlign w:val="bottom"/>
            <w:hideMark/>
          </w:tcPr>
          <w:p w14:paraId="04C70AE6" w14:textId="77777777" w:rsidR="00EE4F74" w:rsidRPr="00D618B7" w:rsidRDefault="00EE4F74" w:rsidP="004B11B7">
            <w:pPr>
              <w:jc w:val="right"/>
              <w:rPr>
                <w:color w:val="000000"/>
              </w:rPr>
            </w:pPr>
            <w:r w:rsidRPr="00D618B7">
              <w:rPr>
                <w:color w:val="000000"/>
              </w:rPr>
              <w:t>4078.78</w:t>
            </w:r>
          </w:p>
        </w:tc>
        <w:tc>
          <w:tcPr>
            <w:tcW w:w="1358" w:type="dxa"/>
            <w:tcBorders>
              <w:top w:val="nil"/>
              <w:left w:val="nil"/>
              <w:bottom w:val="single" w:sz="8" w:space="0" w:color="auto"/>
              <w:right w:val="nil"/>
            </w:tcBorders>
            <w:shd w:val="clear" w:color="000000" w:fill="FFFFFF"/>
            <w:noWrap/>
            <w:vAlign w:val="bottom"/>
            <w:hideMark/>
          </w:tcPr>
          <w:p w14:paraId="62F9BF51" w14:textId="77777777" w:rsidR="00EE4F74" w:rsidRPr="00D618B7" w:rsidRDefault="00EE4F74" w:rsidP="004B11B7">
            <w:pPr>
              <w:jc w:val="right"/>
              <w:rPr>
                <w:color w:val="000000"/>
              </w:rPr>
            </w:pPr>
            <w:r w:rsidRPr="00D618B7">
              <w:rPr>
                <w:color w:val="000000"/>
              </w:rPr>
              <w:t>1518.34</w:t>
            </w:r>
          </w:p>
        </w:tc>
        <w:tc>
          <w:tcPr>
            <w:tcW w:w="1225" w:type="dxa"/>
            <w:tcBorders>
              <w:top w:val="nil"/>
              <w:left w:val="nil"/>
              <w:bottom w:val="single" w:sz="8" w:space="0" w:color="auto"/>
              <w:right w:val="nil"/>
            </w:tcBorders>
            <w:shd w:val="clear" w:color="000000" w:fill="FFFFFF"/>
            <w:noWrap/>
            <w:vAlign w:val="bottom"/>
            <w:hideMark/>
          </w:tcPr>
          <w:p w14:paraId="222D753F" w14:textId="77777777" w:rsidR="00EE4F74" w:rsidRPr="00D618B7" w:rsidRDefault="00EE4F74" w:rsidP="004B11B7">
            <w:pPr>
              <w:jc w:val="right"/>
              <w:rPr>
                <w:color w:val="000000"/>
              </w:rPr>
            </w:pPr>
            <w:r w:rsidRPr="00D618B7">
              <w:rPr>
                <w:color w:val="000000"/>
              </w:rPr>
              <w:t>-2385.07</w:t>
            </w:r>
          </w:p>
        </w:tc>
        <w:tc>
          <w:tcPr>
            <w:tcW w:w="1321" w:type="dxa"/>
            <w:tcBorders>
              <w:top w:val="nil"/>
              <w:left w:val="nil"/>
              <w:bottom w:val="single" w:sz="8" w:space="0" w:color="auto"/>
              <w:right w:val="nil"/>
            </w:tcBorders>
            <w:shd w:val="clear" w:color="000000" w:fill="FFFFFF"/>
            <w:noWrap/>
            <w:vAlign w:val="bottom"/>
            <w:hideMark/>
          </w:tcPr>
          <w:p w14:paraId="44F7BE2A" w14:textId="77777777" w:rsidR="00EE4F74" w:rsidRPr="00D618B7" w:rsidRDefault="00EE4F74" w:rsidP="004B11B7">
            <w:pPr>
              <w:jc w:val="right"/>
              <w:rPr>
                <w:color w:val="000000"/>
              </w:rPr>
            </w:pPr>
            <w:r w:rsidRPr="00D618B7">
              <w:rPr>
                <w:color w:val="000000"/>
              </w:rPr>
              <w:t>315.83</w:t>
            </w:r>
          </w:p>
        </w:tc>
      </w:tr>
      <w:tr w:rsidR="00EE4F74" w:rsidRPr="00D618B7" w14:paraId="362131C3" w14:textId="77777777" w:rsidTr="004B11B7">
        <w:trPr>
          <w:trHeight w:val="303"/>
        </w:trPr>
        <w:tc>
          <w:tcPr>
            <w:tcW w:w="1248" w:type="dxa"/>
            <w:tcBorders>
              <w:top w:val="nil"/>
              <w:left w:val="nil"/>
              <w:bottom w:val="nil"/>
              <w:right w:val="nil"/>
            </w:tcBorders>
            <w:shd w:val="clear" w:color="000000" w:fill="FFFFFF"/>
            <w:noWrap/>
            <w:vAlign w:val="bottom"/>
            <w:hideMark/>
          </w:tcPr>
          <w:p w14:paraId="17C8F5B5" w14:textId="77777777" w:rsidR="00EE4F74" w:rsidRPr="00D618B7" w:rsidRDefault="00EE4F74" w:rsidP="004B11B7">
            <w:pPr>
              <w:rPr>
                <w:color w:val="000000"/>
              </w:rPr>
            </w:pPr>
            <w:r w:rsidRPr="00D618B7">
              <w:rPr>
                <w:color w:val="000000"/>
              </w:rPr>
              <w:t> </w:t>
            </w:r>
          </w:p>
        </w:tc>
        <w:tc>
          <w:tcPr>
            <w:tcW w:w="7540" w:type="dxa"/>
            <w:gridSpan w:val="6"/>
            <w:tcBorders>
              <w:top w:val="single" w:sz="8" w:space="0" w:color="auto"/>
              <w:left w:val="nil"/>
              <w:bottom w:val="nil"/>
              <w:right w:val="nil"/>
            </w:tcBorders>
            <w:shd w:val="clear" w:color="000000" w:fill="FFFFFF"/>
            <w:noWrap/>
            <w:vAlign w:val="center"/>
            <w:hideMark/>
          </w:tcPr>
          <w:p w14:paraId="1386D189" w14:textId="77777777" w:rsidR="00EE4F74" w:rsidRPr="00D618B7" w:rsidRDefault="00EE4F74" w:rsidP="004B11B7">
            <w:pPr>
              <w:jc w:val="center"/>
              <w:rPr>
                <w:color w:val="000000"/>
              </w:rPr>
            </w:pPr>
            <w:r w:rsidRPr="00D618B7">
              <w:rPr>
                <w:color w:val="000000"/>
              </w:rPr>
              <w:t>Late Reach Group</w:t>
            </w:r>
          </w:p>
        </w:tc>
      </w:tr>
      <w:tr w:rsidR="00EE4F74" w:rsidRPr="00D618B7" w14:paraId="2B49B4AB" w14:textId="77777777" w:rsidTr="004B11B7">
        <w:trPr>
          <w:trHeight w:val="303"/>
        </w:trPr>
        <w:tc>
          <w:tcPr>
            <w:tcW w:w="1248" w:type="dxa"/>
            <w:tcBorders>
              <w:top w:val="nil"/>
              <w:left w:val="nil"/>
              <w:bottom w:val="nil"/>
              <w:right w:val="nil"/>
            </w:tcBorders>
            <w:shd w:val="clear" w:color="000000" w:fill="FFFFFF"/>
            <w:vAlign w:val="center"/>
            <w:hideMark/>
          </w:tcPr>
          <w:p w14:paraId="327EDA23" w14:textId="77777777" w:rsidR="00EE4F74" w:rsidRPr="00D618B7" w:rsidRDefault="00EE4F74" w:rsidP="004B11B7">
            <w:pPr>
              <w:jc w:val="right"/>
              <w:rPr>
                <w:color w:val="000000"/>
              </w:rPr>
            </w:pPr>
            <w:r w:rsidRPr="00D618B7">
              <w:rPr>
                <w:color w:val="000000"/>
              </w:rPr>
              <w:t>-5</w:t>
            </w:r>
          </w:p>
        </w:tc>
        <w:tc>
          <w:tcPr>
            <w:tcW w:w="1080" w:type="dxa"/>
            <w:tcBorders>
              <w:top w:val="nil"/>
              <w:left w:val="nil"/>
              <w:bottom w:val="nil"/>
              <w:right w:val="nil"/>
            </w:tcBorders>
            <w:shd w:val="clear" w:color="000000" w:fill="FFFFFF"/>
            <w:noWrap/>
            <w:vAlign w:val="bottom"/>
            <w:hideMark/>
          </w:tcPr>
          <w:p w14:paraId="47833174" w14:textId="77777777" w:rsidR="00EE4F74" w:rsidRPr="00D618B7" w:rsidRDefault="00EE4F74" w:rsidP="004B11B7">
            <w:pPr>
              <w:jc w:val="right"/>
              <w:rPr>
                <w:color w:val="000000"/>
              </w:rPr>
            </w:pPr>
            <w:r w:rsidRPr="00D618B7">
              <w:rPr>
                <w:color w:val="000000"/>
              </w:rPr>
              <w:t>40.70</w:t>
            </w:r>
          </w:p>
        </w:tc>
        <w:tc>
          <w:tcPr>
            <w:tcW w:w="1418" w:type="dxa"/>
            <w:tcBorders>
              <w:top w:val="nil"/>
              <w:left w:val="nil"/>
              <w:bottom w:val="nil"/>
              <w:right w:val="nil"/>
            </w:tcBorders>
            <w:shd w:val="clear" w:color="000000" w:fill="FFFFFF"/>
            <w:noWrap/>
            <w:vAlign w:val="bottom"/>
            <w:hideMark/>
          </w:tcPr>
          <w:p w14:paraId="0F0D0696" w14:textId="77777777" w:rsidR="00EE4F74" w:rsidRPr="00D618B7" w:rsidRDefault="00EE4F74" w:rsidP="004B11B7">
            <w:pPr>
              <w:jc w:val="right"/>
              <w:rPr>
                <w:color w:val="000000"/>
              </w:rPr>
            </w:pPr>
            <w:r w:rsidRPr="00D618B7">
              <w:rPr>
                <w:color w:val="000000"/>
              </w:rPr>
              <w:t>45.06</w:t>
            </w:r>
          </w:p>
        </w:tc>
        <w:tc>
          <w:tcPr>
            <w:tcW w:w="1138" w:type="dxa"/>
            <w:tcBorders>
              <w:top w:val="nil"/>
              <w:left w:val="nil"/>
              <w:bottom w:val="nil"/>
              <w:right w:val="nil"/>
            </w:tcBorders>
            <w:shd w:val="clear" w:color="000000" w:fill="FFFFFF"/>
            <w:noWrap/>
            <w:vAlign w:val="bottom"/>
            <w:hideMark/>
          </w:tcPr>
          <w:p w14:paraId="01C25AFF" w14:textId="77777777" w:rsidR="00EE4F74" w:rsidRPr="00D618B7" w:rsidRDefault="00EE4F74" w:rsidP="004B11B7">
            <w:pPr>
              <w:jc w:val="right"/>
              <w:rPr>
                <w:color w:val="000000"/>
              </w:rPr>
            </w:pPr>
            <w:r w:rsidRPr="00D618B7">
              <w:rPr>
                <w:color w:val="000000"/>
              </w:rPr>
              <w:t>67.84</w:t>
            </w:r>
          </w:p>
        </w:tc>
        <w:tc>
          <w:tcPr>
            <w:tcW w:w="1358" w:type="dxa"/>
            <w:tcBorders>
              <w:top w:val="nil"/>
              <w:left w:val="nil"/>
              <w:bottom w:val="nil"/>
              <w:right w:val="nil"/>
            </w:tcBorders>
            <w:shd w:val="clear" w:color="000000" w:fill="FFFFFF"/>
            <w:noWrap/>
            <w:vAlign w:val="bottom"/>
            <w:hideMark/>
          </w:tcPr>
          <w:p w14:paraId="1829AC73" w14:textId="77777777" w:rsidR="00EE4F74" w:rsidRPr="00D618B7" w:rsidRDefault="00EE4F74" w:rsidP="004B11B7">
            <w:pPr>
              <w:jc w:val="right"/>
              <w:rPr>
                <w:color w:val="000000"/>
              </w:rPr>
            </w:pPr>
            <w:r w:rsidRPr="00D618B7">
              <w:rPr>
                <w:color w:val="000000"/>
              </w:rPr>
              <w:t>88.65</w:t>
            </w:r>
          </w:p>
        </w:tc>
        <w:tc>
          <w:tcPr>
            <w:tcW w:w="1225" w:type="dxa"/>
            <w:tcBorders>
              <w:top w:val="nil"/>
              <w:left w:val="nil"/>
              <w:bottom w:val="nil"/>
              <w:right w:val="nil"/>
            </w:tcBorders>
            <w:shd w:val="clear" w:color="000000" w:fill="FFFFFF"/>
            <w:noWrap/>
            <w:vAlign w:val="bottom"/>
            <w:hideMark/>
          </w:tcPr>
          <w:p w14:paraId="11C97A05" w14:textId="77777777" w:rsidR="00EE4F74" w:rsidRPr="00D618B7" w:rsidRDefault="00EE4F74" w:rsidP="004B11B7">
            <w:pPr>
              <w:jc w:val="right"/>
              <w:rPr>
                <w:color w:val="000000"/>
              </w:rPr>
            </w:pPr>
            <w:r w:rsidRPr="00D618B7">
              <w:rPr>
                <w:color w:val="000000"/>
              </w:rPr>
              <w:t>-949.01</w:t>
            </w:r>
          </w:p>
        </w:tc>
        <w:tc>
          <w:tcPr>
            <w:tcW w:w="1321" w:type="dxa"/>
            <w:tcBorders>
              <w:top w:val="nil"/>
              <w:left w:val="nil"/>
              <w:bottom w:val="nil"/>
              <w:right w:val="nil"/>
            </w:tcBorders>
            <w:shd w:val="clear" w:color="000000" w:fill="FFFFFF"/>
            <w:noWrap/>
            <w:vAlign w:val="bottom"/>
            <w:hideMark/>
          </w:tcPr>
          <w:p w14:paraId="795ACBCF" w14:textId="77777777" w:rsidR="00EE4F74" w:rsidRPr="00D618B7" w:rsidRDefault="00EE4F74" w:rsidP="004B11B7">
            <w:pPr>
              <w:jc w:val="right"/>
              <w:rPr>
                <w:color w:val="000000"/>
              </w:rPr>
            </w:pPr>
            <w:r w:rsidRPr="00D618B7">
              <w:rPr>
                <w:color w:val="000000"/>
              </w:rPr>
              <w:t>767.66</w:t>
            </w:r>
          </w:p>
        </w:tc>
      </w:tr>
      <w:tr w:rsidR="00EE4F74" w:rsidRPr="00D618B7" w14:paraId="74D05C94" w14:textId="77777777" w:rsidTr="004B11B7">
        <w:trPr>
          <w:trHeight w:val="303"/>
        </w:trPr>
        <w:tc>
          <w:tcPr>
            <w:tcW w:w="1248" w:type="dxa"/>
            <w:tcBorders>
              <w:top w:val="nil"/>
              <w:left w:val="nil"/>
              <w:bottom w:val="nil"/>
              <w:right w:val="nil"/>
            </w:tcBorders>
            <w:shd w:val="clear" w:color="000000" w:fill="FFFFFF"/>
            <w:vAlign w:val="center"/>
            <w:hideMark/>
          </w:tcPr>
          <w:p w14:paraId="45A4D053" w14:textId="77777777" w:rsidR="00EE4F74" w:rsidRPr="00D618B7" w:rsidRDefault="00EE4F74"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bottom"/>
            <w:hideMark/>
          </w:tcPr>
          <w:p w14:paraId="5ED8CF93" w14:textId="77777777" w:rsidR="00EE4F74" w:rsidRPr="00D618B7" w:rsidRDefault="00EE4F74" w:rsidP="004B11B7">
            <w:pPr>
              <w:jc w:val="right"/>
              <w:rPr>
                <w:color w:val="000000"/>
              </w:rPr>
            </w:pPr>
            <w:r w:rsidRPr="00D618B7">
              <w:rPr>
                <w:color w:val="000000"/>
              </w:rPr>
              <w:t>1.08</w:t>
            </w:r>
          </w:p>
        </w:tc>
        <w:tc>
          <w:tcPr>
            <w:tcW w:w="1418" w:type="dxa"/>
            <w:tcBorders>
              <w:top w:val="nil"/>
              <w:left w:val="nil"/>
              <w:bottom w:val="nil"/>
              <w:right w:val="nil"/>
            </w:tcBorders>
            <w:shd w:val="clear" w:color="000000" w:fill="FFFFFF"/>
            <w:noWrap/>
            <w:vAlign w:val="bottom"/>
            <w:hideMark/>
          </w:tcPr>
          <w:p w14:paraId="3EA028EC" w14:textId="77777777" w:rsidR="00EE4F74" w:rsidRPr="00D618B7" w:rsidRDefault="00EE4F74" w:rsidP="004B11B7">
            <w:pPr>
              <w:jc w:val="right"/>
              <w:rPr>
                <w:color w:val="000000"/>
              </w:rPr>
            </w:pPr>
            <w:r w:rsidRPr="00D618B7">
              <w:rPr>
                <w:color w:val="000000"/>
              </w:rPr>
              <w:t>37.91</w:t>
            </w:r>
          </w:p>
        </w:tc>
        <w:tc>
          <w:tcPr>
            <w:tcW w:w="1138" w:type="dxa"/>
            <w:tcBorders>
              <w:top w:val="nil"/>
              <w:left w:val="nil"/>
              <w:bottom w:val="nil"/>
              <w:right w:val="nil"/>
            </w:tcBorders>
            <w:shd w:val="clear" w:color="000000" w:fill="FFFFFF"/>
            <w:noWrap/>
            <w:vAlign w:val="bottom"/>
            <w:hideMark/>
          </w:tcPr>
          <w:p w14:paraId="214EBC81" w14:textId="77777777" w:rsidR="00EE4F74" w:rsidRPr="00D618B7" w:rsidRDefault="00EE4F74" w:rsidP="004B11B7">
            <w:pPr>
              <w:jc w:val="right"/>
              <w:rPr>
                <w:color w:val="000000"/>
              </w:rPr>
            </w:pPr>
            <w:r w:rsidRPr="00D618B7">
              <w:rPr>
                <w:color w:val="000000"/>
              </w:rPr>
              <w:t>-127.10</w:t>
            </w:r>
          </w:p>
        </w:tc>
        <w:tc>
          <w:tcPr>
            <w:tcW w:w="1358" w:type="dxa"/>
            <w:tcBorders>
              <w:top w:val="nil"/>
              <w:left w:val="nil"/>
              <w:bottom w:val="nil"/>
              <w:right w:val="nil"/>
            </w:tcBorders>
            <w:shd w:val="clear" w:color="000000" w:fill="FFFFFF"/>
            <w:noWrap/>
            <w:vAlign w:val="bottom"/>
            <w:hideMark/>
          </w:tcPr>
          <w:p w14:paraId="64A26160" w14:textId="77777777" w:rsidR="00EE4F74" w:rsidRPr="00D618B7" w:rsidRDefault="00EE4F74" w:rsidP="004B11B7">
            <w:pPr>
              <w:jc w:val="right"/>
              <w:rPr>
                <w:color w:val="000000"/>
              </w:rPr>
            </w:pPr>
            <w:r w:rsidRPr="00D618B7">
              <w:rPr>
                <w:color w:val="000000"/>
              </w:rPr>
              <w:t>154.08</w:t>
            </w:r>
          </w:p>
        </w:tc>
        <w:tc>
          <w:tcPr>
            <w:tcW w:w="1225" w:type="dxa"/>
            <w:tcBorders>
              <w:top w:val="nil"/>
              <w:left w:val="nil"/>
              <w:bottom w:val="nil"/>
              <w:right w:val="nil"/>
            </w:tcBorders>
            <w:shd w:val="clear" w:color="000000" w:fill="FFFFFF"/>
            <w:noWrap/>
            <w:vAlign w:val="bottom"/>
            <w:hideMark/>
          </w:tcPr>
          <w:p w14:paraId="447E88C6" w14:textId="77777777" w:rsidR="00EE4F74" w:rsidRPr="00D618B7" w:rsidRDefault="00EE4F74" w:rsidP="004B11B7">
            <w:pPr>
              <w:jc w:val="right"/>
              <w:rPr>
                <w:color w:val="000000"/>
              </w:rPr>
            </w:pPr>
            <w:r w:rsidRPr="00D618B7">
              <w:rPr>
                <w:color w:val="000000"/>
              </w:rPr>
              <w:t>526.19</w:t>
            </w:r>
          </w:p>
        </w:tc>
        <w:tc>
          <w:tcPr>
            <w:tcW w:w="1321" w:type="dxa"/>
            <w:tcBorders>
              <w:top w:val="nil"/>
              <w:left w:val="nil"/>
              <w:bottom w:val="nil"/>
              <w:right w:val="nil"/>
            </w:tcBorders>
            <w:shd w:val="clear" w:color="000000" w:fill="FFFFFF"/>
            <w:noWrap/>
            <w:vAlign w:val="bottom"/>
            <w:hideMark/>
          </w:tcPr>
          <w:p w14:paraId="4551F928" w14:textId="77777777" w:rsidR="00EE4F74" w:rsidRPr="00D618B7" w:rsidRDefault="00EE4F74" w:rsidP="004B11B7">
            <w:pPr>
              <w:jc w:val="right"/>
              <w:rPr>
                <w:color w:val="000000"/>
              </w:rPr>
            </w:pPr>
            <w:r w:rsidRPr="00D618B7">
              <w:rPr>
                <w:color w:val="000000"/>
              </w:rPr>
              <w:t>1801.69</w:t>
            </w:r>
          </w:p>
        </w:tc>
      </w:tr>
      <w:tr w:rsidR="00EE4F74" w:rsidRPr="00D618B7" w14:paraId="227FD131" w14:textId="77777777" w:rsidTr="004B11B7">
        <w:trPr>
          <w:trHeight w:val="303"/>
        </w:trPr>
        <w:tc>
          <w:tcPr>
            <w:tcW w:w="1248" w:type="dxa"/>
            <w:tcBorders>
              <w:top w:val="nil"/>
              <w:left w:val="nil"/>
              <w:bottom w:val="nil"/>
              <w:right w:val="nil"/>
            </w:tcBorders>
            <w:shd w:val="clear" w:color="000000" w:fill="FFFFFF"/>
            <w:vAlign w:val="center"/>
            <w:hideMark/>
          </w:tcPr>
          <w:p w14:paraId="787C8CED" w14:textId="77777777" w:rsidR="00EE4F74" w:rsidRPr="00D618B7" w:rsidRDefault="00EE4F74"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bottom"/>
            <w:hideMark/>
          </w:tcPr>
          <w:p w14:paraId="5D376757" w14:textId="77777777" w:rsidR="00EE4F74" w:rsidRPr="00D618B7" w:rsidRDefault="00EE4F74" w:rsidP="004B11B7">
            <w:pPr>
              <w:jc w:val="right"/>
              <w:rPr>
                <w:color w:val="000000"/>
              </w:rPr>
            </w:pPr>
            <w:r w:rsidRPr="00D618B7">
              <w:rPr>
                <w:color w:val="000000"/>
              </w:rPr>
              <w:t>36.24</w:t>
            </w:r>
          </w:p>
        </w:tc>
        <w:tc>
          <w:tcPr>
            <w:tcW w:w="1418" w:type="dxa"/>
            <w:tcBorders>
              <w:top w:val="nil"/>
              <w:left w:val="nil"/>
              <w:bottom w:val="nil"/>
              <w:right w:val="nil"/>
            </w:tcBorders>
            <w:shd w:val="clear" w:color="000000" w:fill="FFFFFF"/>
            <w:noWrap/>
            <w:vAlign w:val="bottom"/>
            <w:hideMark/>
          </w:tcPr>
          <w:p w14:paraId="31846F90" w14:textId="77777777" w:rsidR="00EE4F74" w:rsidRPr="00D618B7" w:rsidRDefault="00EE4F74" w:rsidP="004B11B7">
            <w:pPr>
              <w:jc w:val="right"/>
              <w:rPr>
                <w:color w:val="000000"/>
              </w:rPr>
            </w:pPr>
            <w:r w:rsidRPr="00D618B7">
              <w:rPr>
                <w:color w:val="000000"/>
              </w:rPr>
              <w:t>28.42</w:t>
            </w:r>
          </w:p>
        </w:tc>
        <w:tc>
          <w:tcPr>
            <w:tcW w:w="1138" w:type="dxa"/>
            <w:tcBorders>
              <w:top w:val="nil"/>
              <w:left w:val="nil"/>
              <w:bottom w:val="nil"/>
              <w:right w:val="nil"/>
            </w:tcBorders>
            <w:shd w:val="clear" w:color="000000" w:fill="FFFFFF"/>
            <w:noWrap/>
            <w:vAlign w:val="bottom"/>
            <w:hideMark/>
          </w:tcPr>
          <w:p w14:paraId="40B8C3ED" w14:textId="77777777" w:rsidR="00EE4F74" w:rsidRPr="00D618B7" w:rsidRDefault="00EE4F74" w:rsidP="004B11B7">
            <w:pPr>
              <w:jc w:val="right"/>
              <w:rPr>
                <w:color w:val="000000"/>
              </w:rPr>
            </w:pPr>
            <w:r w:rsidRPr="00D618B7">
              <w:rPr>
                <w:color w:val="000000"/>
              </w:rPr>
              <w:t>-37.53</w:t>
            </w:r>
          </w:p>
        </w:tc>
        <w:tc>
          <w:tcPr>
            <w:tcW w:w="1358" w:type="dxa"/>
            <w:tcBorders>
              <w:top w:val="nil"/>
              <w:left w:val="nil"/>
              <w:bottom w:val="nil"/>
              <w:right w:val="nil"/>
            </w:tcBorders>
            <w:shd w:val="clear" w:color="000000" w:fill="FFFFFF"/>
            <w:noWrap/>
            <w:vAlign w:val="bottom"/>
            <w:hideMark/>
          </w:tcPr>
          <w:p w14:paraId="0B41220F" w14:textId="77777777" w:rsidR="00EE4F74" w:rsidRPr="00D618B7" w:rsidRDefault="00EE4F74" w:rsidP="004B11B7">
            <w:pPr>
              <w:jc w:val="right"/>
              <w:rPr>
                <w:color w:val="000000"/>
              </w:rPr>
            </w:pPr>
            <w:r w:rsidRPr="00D618B7">
              <w:rPr>
                <w:color w:val="000000"/>
              </w:rPr>
              <w:t>133.30</w:t>
            </w:r>
          </w:p>
        </w:tc>
        <w:tc>
          <w:tcPr>
            <w:tcW w:w="1225" w:type="dxa"/>
            <w:tcBorders>
              <w:top w:val="nil"/>
              <w:left w:val="nil"/>
              <w:bottom w:val="nil"/>
              <w:right w:val="nil"/>
            </w:tcBorders>
            <w:shd w:val="clear" w:color="000000" w:fill="FFFFFF"/>
            <w:noWrap/>
            <w:vAlign w:val="bottom"/>
            <w:hideMark/>
          </w:tcPr>
          <w:p w14:paraId="5CC44D73" w14:textId="77777777" w:rsidR="00EE4F74" w:rsidRPr="00D618B7" w:rsidRDefault="00EE4F74" w:rsidP="004B11B7">
            <w:pPr>
              <w:jc w:val="right"/>
              <w:rPr>
                <w:color w:val="000000"/>
              </w:rPr>
            </w:pPr>
            <w:r w:rsidRPr="00D618B7">
              <w:rPr>
                <w:color w:val="000000"/>
              </w:rPr>
              <w:t>5279.70</w:t>
            </w:r>
          </w:p>
        </w:tc>
        <w:tc>
          <w:tcPr>
            <w:tcW w:w="1321" w:type="dxa"/>
            <w:tcBorders>
              <w:top w:val="nil"/>
              <w:left w:val="nil"/>
              <w:bottom w:val="nil"/>
              <w:right w:val="nil"/>
            </w:tcBorders>
            <w:shd w:val="clear" w:color="000000" w:fill="FFFFFF"/>
            <w:noWrap/>
            <w:vAlign w:val="bottom"/>
            <w:hideMark/>
          </w:tcPr>
          <w:p w14:paraId="71DC10DD" w14:textId="77777777" w:rsidR="00EE4F74" w:rsidRPr="00D618B7" w:rsidRDefault="00EE4F74" w:rsidP="004B11B7">
            <w:pPr>
              <w:jc w:val="right"/>
              <w:rPr>
                <w:color w:val="000000"/>
              </w:rPr>
            </w:pPr>
            <w:r w:rsidRPr="00D618B7">
              <w:rPr>
                <w:color w:val="000000"/>
              </w:rPr>
              <w:t>2872.95</w:t>
            </w:r>
          </w:p>
        </w:tc>
      </w:tr>
      <w:tr w:rsidR="00EE4F74" w:rsidRPr="00D618B7" w14:paraId="684B5515" w14:textId="77777777" w:rsidTr="004B11B7">
        <w:trPr>
          <w:trHeight w:val="303"/>
        </w:trPr>
        <w:tc>
          <w:tcPr>
            <w:tcW w:w="1248" w:type="dxa"/>
            <w:tcBorders>
              <w:top w:val="nil"/>
              <w:left w:val="nil"/>
              <w:bottom w:val="nil"/>
              <w:right w:val="nil"/>
            </w:tcBorders>
            <w:shd w:val="clear" w:color="000000" w:fill="FFFFFF"/>
            <w:vAlign w:val="center"/>
            <w:hideMark/>
          </w:tcPr>
          <w:p w14:paraId="1C8915A7" w14:textId="77777777" w:rsidR="00EE4F74" w:rsidRPr="00D618B7" w:rsidRDefault="00EE4F74"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bottom"/>
            <w:hideMark/>
          </w:tcPr>
          <w:p w14:paraId="52105AC5" w14:textId="77777777" w:rsidR="00EE4F74" w:rsidRPr="00D618B7" w:rsidRDefault="00EE4F74" w:rsidP="004B11B7">
            <w:pPr>
              <w:jc w:val="right"/>
              <w:rPr>
                <w:color w:val="000000"/>
              </w:rPr>
            </w:pPr>
            <w:r w:rsidRPr="00D618B7">
              <w:rPr>
                <w:color w:val="000000"/>
              </w:rPr>
              <w:t>-14.33</w:t>
            </w:r>
          </w:p>
        </w:tc>
        <w:tc>
          <w:tcPr>
            <w:tcW w:w="1418" w:type="dxa"/>
            <w:tcBorders>
              <w:top w:val="nil"/>
              <w:left w:val="nil"/>
              <w:bottom w:val="nil"/>
              <w:right w:val="nil"/>
            </w:tcBorders>
            <w:shd w:val="clear" w:color="000000" w:fill="FFFFFF"/>
            <w:noWrap/>
            <w:vAlign w:val="bottom"/>
            <w:hideMark/>
          </w:tcPr>
          <w:p w14:paraId="58770CC2" w14:textId="77777777" w:rsidR="00EE4F74" w:rsidRPr="00D618B7" w:rsidRDefault="00EE4F74" w:rsidP="004B11B7">
            <w:pPr>
              <w:jc w:val="right"/>
              <w:rPr>
                <w:color w:val="000000"/>
              </w:rPr>
            </w:pPr>
            <w:r w:rsidRPr="00D618B7">
              <w:rPr>
                <w:color w:val="000000"/>
              </w:rPr>
              <w:t>21.14</w:t>
            </w:r>
          </w:p>
        </w:tc>
        <w:tc>
          <w:tcPr>
            <w:tcW w:w="1138" w:type="dxa"/>
            <w:tcBorders>
              <w:top w:val="nil"/>
              <w:left w:val="nil"/>
              <w:bottom w:val="nil"/>
              <w:right w:val="nil"/>
            </w:tcBorders>
            <w:shd w:val="clear" w:color="000000" w:fill="FFFFFF"/>
            <w:noWrap/>
            <w:vAlign w:val="bottom"/>
            <w:hideMark/>
          </w:tcPr>
          <w:p w14:paraId="6A315C78" w14:textId="77777777" w:rsidR="00EE4F74" w:rsidRPr="00D618B7" w:rsidRDefault="00EE4F74" w:rsidP="004B11B7">
            <w:pPr>
              <w:jc w:val="right"/>
              <w:rPr>
                <w:color w:val="000000"/>
              </w:rPr>
            </w:pPr>
            <w:r w:rsidRPr="00D618B7">
              <w:rPr>
                <w:color w:val="000000"/>
              </w:rPr>
              <w:t>437.96</w:t>
            </w:r>
          </w:p>
        </w:tc>
        <w:tc>
          <w:tcPr>
            <w:tcW w:w="1358" w:type="dxa"/>
            <w:tcBorders>
              <w:top w:val="nil"/>
              <w:left w:val="nil"/>
              <w:bottom w:val="nil"/>
              <w:right w:val="nil"/>
            </w:tcBorders>
            <w:shd w:val="clear" w:color="000000" w:fill="FFFFFF"/>
            <w:noWrap/>
            <w:vAlign w:val="bottom"/>
            <w:hideMark/>
          </w:tcPr>
          <w:p w14:paraId="02B55A50" w14:textId="77777777" w:rsidR="00EE4F74" w:rsidRPr="00D618B7" w:rsidRDefault="00EE4F74" w:rsidP="004B11B7">
            <w:pPr>
              <w:jc w:val="right"/>
              <w:rPr>
                <w:color w:val="000000"/>
              </w:rPr>
            </w:pPr>
            <w:r w:rsidRPr="00D618B7">
              <w:rPr>
                <w:color w:val="000000"/>
              </w:rPr>
              <w:t>431.29</w:t>
            </w:r>
          </w:p>
        </w:tc>
        <w:tc>
          <w:tcPr>
            <w:tcW w:w="1225" w:type="dxa"/>
            <w:tcBorders>
              <w:top w:val="nil"/>
              <w:left w:val="nil"/>
              <w:bottom w:val="nil"/>
              <w:right w:val="nil"/>
            </w:tcBorders>
            <w:shd w:val="clear" w:color="000000" w:fill="FFFFFF"/>
            <w:noWrap/>
            <w:vAlign w:val="bottom"/>
            <w:hideMark/>
          </w:tcPr>
          <w:p w14:paraId="02566610" w14:textId="77777777" w:rsidR="00EE4F74" w:rsidRPr="00D618B7" w:rsidRDefault="00EE4F74" w:rsidP="004B11B7">
            <w:pPr>
              <w:jc w:val="right"/>
              <w:rPr>
                <w:color w:val="000000"/>
              </w:rPr>
            </w:pPr>
            <w:r w:rsidRPr="00D618B7">
              <w:rPr>
                <w:color w:val="000000"/>
              </w:rPr>
              <w:t>-138.21</w:t>
            </w:r>
          </w:p>
        </w:tc>
        <w:tc>
          <w:tcPr>
            <w:tcW w:w="1321" w:type="dxa"/>
            <w:tcBorders>
              <w:top w:val="nil"/>
              <w:left w:val="nil"/>
              <w:bottom w:val="nil"/>
              <w:right w:val="nil"/>
            </w:tcBorders>
            <w:shd w:val="clear" w:color="000000" w:fill="FFFFFF"/>
            <w:noWrap/>
            <w:vAlign w:val="bottom"/>
            <w:hideMark/>
          </w:tcPr>
          <w:p w14:paraId="479633BB" w14:textId="77777777" w:rsidR="00EE4F74" w:rsidRPr="00D618B7" w:rsidRDefault="00EE4F74" w:rsidP="004B11B7">
            <w:pPr>
              <w:jc w:val="right"/>
              <w:rPr>
                <w:color w:val="000000"/>
              </w:rPr>
            </w:pPr>
            <w:r w:rsidRPr="00D618B7">
              <w:rPr>
                <w:color w:val="000000"/>
              </w:rPr>
              <w:t>777.24</w:t>
            </w:r>
          </w:p>
        </w:tc>
      </w:tr>
      <w:tr w:rsidR="00EE4F74" w:rsidRPr="00D618B7" w14:paraId="5BC6DFE0" w14:textId="77777777" w:rsidTr="004B11B7">
        <w:trPr>
          <w:trHeight w:val="303"/>
        </w:trPr>
        <w:tc>
          <w:tcPr>
            <w:tcW w:w="1248" w:type="dxa"/>
            <w:tcBorders>
              <w:top w:val="nil"/>
              <w:left w:val="nil"/>
              <w:bottom w:val="nil"/>
              <w:right w:val="nil"/>
            </w:tcBorders>
            <w:shd w:val="clear" w:color="000000" w:fill="FFFFFF"/>
            <w:vAlign w:val="center"/>
            <w:hideMark/>
          </w:tcPr>
          <w:p w14:paraId="2D0BFC1E" w14:textId="77777777" w:rsidR="00EE4F74" w:rsidRPr="00D618B7" w:rsidRDefault="00EE4F74"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bottom"/>
            <w:hideMark/>
          </w:tcPr>
          <w:p w14:paraId="3FD3DD8B" w14:textId="77777777" w:rsidR="00EE4F74" w:rsidRPr="00D618B7" w:rsidRDefault="00EE4F74" w:rsidP="004B11B7">
            <w:pPr>
              <w:jc w:val="right"/>
              <w:rPr>
                <w:color w:val="000000"/>
              </w:rPr>
            </w:pPr>
            <w:r w:rsidRPr="00D618B7">
              <w:rPr>
                <w:color w:val="000000"/>
              </w:rPr>
              <w:t>-40.20</w:t>
            </w:r>
          </w:p>
        </w:tc>
        <w:tc>
          <w:tcPr>
            <w:tcW w:w="1418" w:type="dxa"/>
            <w:tcBorders>
              <w:top w:val="nil"/>
              <w:left w:val="nil"/>
              <w:bottom w:val="nil"/>
              <w:right w:val="nil"/>
            </w:tcBorders>
            <w:shd w:val="clear" w:color="000000" w:fill="FFFFFF"/>
            <w:noWrap/>
            <w:vAlign w:val="bottom"/>
            <w:hideMark/>
          </w:tcPr>
          <w:p w14:paraId="3DE704BF" w14:textId="77777777" w:rsidR="00EE4F74" w:rsidRPr="00D618B7" w:rsidRDefault="00EE4F74" w:rsidP="004B11B7">
            <w:pPr>
              <w:jc w:val="right"/>
              <w:rPr>
                <w:color w:val="000000"/>
              </w:rPr>
            </w:pPr>
            <w:r w:rsidRPr="00D618B7">
              <w:rPr>
                <w:color w:val="000000"/>
              </w:rPr>
              <w:t>26.15</w:t>
            </w:r>
          </w:p>
        </w:tc>
        <w:tc>
          <w:tcPr>
            <w:tcW w:w="1138" w:type="dxa"/>
            <w:tcBorders>
              <w:top w:val="nil"/>
              <w:left w:val="nil"/>
              <w:bottom w:val="nil"/>
              <w:right w:val="nil"/>
            </w:tcBorders>
            <w:shd w:val="clear" w:color="000000" w:fill="FFFFFF"/>
            <w:noWrap/>
            <w:vAlign w:val="bottom"/>
            <w:hideMark/>
          </w:tcPr>
          <w:p w14:paraId="62ADF8C3" w14:textId="77777777" w:rsidR="00EE4F74" w:rsidRPr="00D618B7" w:rsidRDefault="00EE4F74" w:rsidP="004B11B7">
            <w:pPr>
              <w:jc w:val="right"/>
              <w:rPr>
                <w:color w:val="000000"/>
              </w:rPr>
            </w:pPr>
            <w:r w:rsidRPr="00D618B7">
              <w:rPr>
                <w:color w:val="000000"/>
              </w:rPr>
              <w:t>162.17</w:t>
            </w:r>
          </w:p>
        </w:tc>
        <w:tc>
          <w:tcPr>
            <w:tcW w:w="1358" w:type="dxa"/>
            <w:tcBorders>
              <w:top w:val="nil"/>
              <w:left w:val="nil"/>
              <w:bottom w:val="nil"/>
              <w:right w:val="nil"/>
            </w:tcBorders>
            <w:shd w:val="clear" w:color="000000" w:fill="FFFFFF"/>
            <w:noWrap/>
            <w:vAlign w:val="bottom"/>
            <w:hideMark/>
          </w:tcPr>
          <w:p w14:paraId="472D47D3" w14:textId="77777777" w:rsidR="00EE4F74" w:rsidRPr="00D618B7" w:rsidRDefault="00EE4F74" w:rsidP="004B11B7">
            <w:pPr>
              <w:jc w:val="right"/>
              <w:rPr>
                <w:color w:val="000000"/>
              </w:rPr>
            </w:pPr>
            <w:r w:rsidRPr="00D618B7">
              <w:rPr>
                <w:color w:val="000000"/>
              </w:rPr>
              <w:t>61.91</w:t>
            </w:r>
          </w:p>
        </w:tc>
        <w:tc>
          <w:tcPr>
            <w:tcW w:w="1225" w:type="dxa"/>
            <w:tcBorders>
              <w:top w:val="nil"/>
              <w:left w:val="nil"/>
              <w:bottom w:val="nil"/>
              <w:right w:val="nil"/>
            </w:tcBorders>
            <w:shd w:val="clear" w:color="000000" w:fill="FFFFFF"/>
            <w:noWrap/>
            <w:vAlign w:val="bottom"/>
            <w:hideMark/>
          </w:tcPr>
          <w:p w14:paraId="2F295494" w14:textId="77777777" w:rsidR="00EE4F74" w:rsidRPr="00D618B7" w:rsidRDefault="00EE4F74" w:rsidP="004B11B7">
            <w:pPr>
              <w:jc w:val="right"/>
              <w:rPr>
                <w:color w:val="000000"/>
              </w:rPr>
            </w:pPr>
            <w:r w:rsidRPr="00D618B7">
              <w:rPr>
                <w:color w:val="000000"/>
              </w:rPr>
              <w:t>6785.14</w:t>
            </w:r>
          </w:p>
        </w:tc>
        <w:tc>
          <w:tcPr>
            <w:tcW w:w="1321" w:type="dxa"/>
            <w:tcBorders>
              <w:top w:val="nil"/>
              <w:left w:val="nil"/>
              <w:bottom w:val="nil"/>
              <w:right w:val="nil"/>
            </w:tcBorders>
            <w:shd w:val="clear" w:color="000000" w:fill="FFFFFF"/>
            <w:noWrap/>
            <w:vAlign w:val="bottom"/>
            <w:hideMark/>
          </w:tcPr>
          <w:p w14:paraId="5F9E6CF5" w14:textId="77777777" w:rsidR="00EE4F74" w:rsidRPr="00D618B7" w:rsidRDefault="00EE4F74" w:rsidP="004B11B7">
            <w:pPr>
              <w:jc w:val="right"/>
              <w:rPr>
                <w:color w:val="000000"/>
              </w:rPr>
            </w:pPr>
            <w:r w:rsidRPr="00D618B7">
              <w:rPr>
                <w:color w:val="000000"/>
              </w:rPr>
              <w:t>4472.84</w:t>
            </w:r>
          </w:p>
        </w:tc>
      </w:tr>
      <w:tr w:rsidR="00EE4F74" w:rsidRPr="00D618B7" w14:paraId="36921BD3" w14:textId="77777777" w:rsidTr="004B11B7">
        <w:trPr>
          <w:trHeight w:val="303"/>
        </w:trPr>
        <w:tc>
          <w:tcPr>
            <w:tcW w:w="1248" w:type="dxa"/>
            <w:tcBorders>
              <w:top w:val="nil"/>
              <w:left w:val="nil"/>
              <w:bottom w:val="nil"/>
              <w:right w:val="nil"/>
            </w:tcBorders>
            <w:shd w:val="clear" w:color="000000" w:fill="FFFFFF"/>
            <w:vAlign w:val="center"/>
            <w:hideMark/>
          </w:tcPr>
          <w:p w14:paraId="77876B4A" w14:textId="77777777" w:rsidR="00EE4F74" w:rsidRPr="00D618B7" w:rsidRDefault="00EE4F74" w:rsidP="004B11B7">
            <w:pPr>
              <w:jc w:val="right"/>
              <w:rPr>
                <w:color w:val="000000"/>
              </w:rPr>
            </w:pPr>
            <w:r w:rsidRPr="00D618B7">
              <w:rPr>
                <w:color w:val="000000"/>
              </w:rPr>
              <w:t>0</w:t>
            </w:r>
          </w:p>
        </w:tc>
        <w:tc>
          <w:tcPr>
            <w:tcW w:w="1080" w:type="dxa"/>
            <w:tcBorders>
              <w:top w:val="nil"/>
              <w:left w:val="nil"/>
              <w:bottom w:val="nil"/>
              <w:right w:val="nil"/>
            </w:tcBorders>
            <w:shd w:val="clear" w:color="000000" w:fill="FFFFFF"/>
            <w:noWrap/>
            <w:vAlign w:val="bottom"/>
            <w:hideMark/>
          </w:tcPr>
          <w:p w14:paraId="212BEAB3" w14:textId="77777777" w:rsidR="00EE4F74" w:rsidRPr="00D618B7" w:rsidRDefault="00EE4F74" w:rsidP="004B11B7">
            <w:pPr>
              <w:jc w:val="right"/>
              <w:rPr>
                <w:color w:val="000000"/>
              </w:rPr>
            </w:pPr>
            <w:r w:rsidRPr="00D618B7">
              <w:rPr>
                <w:color w:val="000000"/>
              </w:rPr>
              <w:t>337.68</w:t>
            </w:r>
          </w:p>
        </w:tc>
        <w:tc>
          <w:tcPr>
            <w:tcW w:w="1418" w:type="dxa"/>
            <w:tcBorders>
              <w:top w:val="nil"/>
              <w:left w:val="nil"/>
              <w:bottom w:val="nil"/>
              <w:right w:val="nil"/>
            </w:tcBorders>
            <w:shd w:val="clear" w:color="000000" w:fill="FFFFFF"/>
            <w:noWrap/>
            <w:vAlign w:val="bottom"/>
            <w:hideMark/>
          </w:tcPr>
          <w:p w14:paraId="2CD78F66" w14:textId="77777777" w:rsidR="00EE4F74" w:rsidRPr="00D618B7" w:rsidRDefault="00EE4F74" w:rsidP="004B11B7">
            <w:pPr>
              <w:jc w:val="right"/>
              <w:rPr>
                <w:color w:val="000000"/>
              </w:rPr>
            </w:pPr>
            <w:r w:rsidRPr="00D618B7">
              <w:rPr>
                <w:color w:val="000000"/>
              </w:rPr>
              <w:t>190.22</w:t>
            </w:r>
          </w:p>
        </w:tc>
        <w:tc>
          <w:tcPr>
            <w:tcW w:w="1138" w:type="dxa"/>
            <w:tcBorders>
              <w:top w:val="nil"/>
              <w:left w:val="nil"/>
              <w:bottom w:val="nil"/>
              <w:right w:val="nil"/>
            </w:tcBorders>
            <w:shd w:val="clear" w:color="000000" w:fill="FFFFFF"/>
            <w:noWrap/>
            <w:vAlign w:val="bottom"/>
            <w:hideMark/>
          </w:tcPr>
          <w:p w14:paraId="64A502A3" w14:textId="77777777" w:rsidR="00EE4F74" w:rsidRPr="00D618B7" w:rsidRDefault="00EE4F74" w:rsidP="004B11B7">
            <w:pPr>
              <w:jc w:val="right"/>
              <w:rPr>
                <w:color w:val="000000"/>
              </w:rPr>
            </w:pPr>
            <w:r w:rsidRPr="00D618B7">
              <w:rPr>
                <w:color w:val="000000"/>
              </w:rPr>
              <w:t>-609.80</w:t>
            </w:r>
          </w:p>
        </w:tc>
        <w:tc>
          <w:tcPr>
            <w:tcW w:w="1358" w:type="dxa"/>
            <w:tcBorders>
              <w:top w:val="nil"/>
              <w:left w:val="nil"/>
              <w:bottom w:val="nil"/>
              <w:right w:val="nil"/>
            </w:tcBorders>
            <w:shd w:val="clear" w:color="000000" w:fill="FFFFFF"/>
            <w:noWrap/>
            <w:vAlign w:val="bottom"/>
            <w:hideMark/>
          </w:tcPr>
          <w:p w14:paraId="2963051A" w14:textId="77777777" w:rsidR="00EE4F74" w:rsidRPr="00D618B7" w:rsidRDefault="00EE4F74" w:rsidP="004B11B7">
            <w:pPr>
              <w:jc w:val="right"/>
              <w:rPr>
                <w:color w:val="000000"/>
              </w:rPr>
            </w:pPr>
            <w:r w:rsidRPr="00D618B7">
              <w:rPr>
                <w:color w:val="000000"/>
              </w:rPr>
              <w:t>235.93</w:t>
            </w:r>
          </w:p>
        </w:tc>
        <w:tc>
          <w:tcPr>
            <w:tcW w:w="1225" w:type="dxa"/>
            <w:tcBorders>
              <w:top w:val="nil"/>
              <w:left w:val="nil"/>
              <w:bottom w:val="nil"/>
              <w:right w:val="nil"/>
            </w:tcBorders>
            <w:shd w:val="clear" w:color="000000" w:fill="FFFFFF"/>
            <w:noWrap/>
            <w:vAlign w:val="bottom"/>
            <w:hideMark/>
          </w:tcPr>
          <w:p w14:paraId="56C780C6" w14:textId="77777777" w:rsidR="00EE4F74" w:rsidRPr="00D618B7" w:rsidRDefault="00EE4F74" w:rsidP="004B11B7">
            <w:pPr>
              <w:jc w:val="right"/>
              <w:rPr>
                <w:color w:val="000000"/>
              </w:rPr>
            </w:pPr>
            <w:r w:rsidRPr="00D618B7">
              <w:rPr>
                <w:color w:val="000000"/>
              </w:rPr>
              <w:t>3395.16</w:t>
            </w:r>
          </w:p>
        </w:tc>
        <w:tc>
          <w:tcPr>
            <w:tcW w:w="1321" w:type="dxa"/>
            <w:tcBorders>
              <w:top w:val="nil"/>
              <w:left w:val="nil"/>
              <w:bottom w:val="nil"/>
              <w:right w:val="nil"/>
            </w:tcBorders>
            <w:shd w:val="clear" w:color="000000" w:fill="FFFFFF"/>
            <w:noWrap/>
            <w:vAlign w:val="bottom"/>
            <w:hideMark/>
          </w:tcPr>
          <w:p w14:paraId="3EA40CF6" w14:textId="77777777" w:rsidR="00EE4F74" w:rsidRPr="00D618B7" w:rsidRDefault="00EE4F74" w:rsidP="004B11B7">
            <w:pPr>
              <w:jc w:val="right"/>
              <w:rPr>
                <w:color w:val="000000"/>
              </w:rPr>
            </w:pPr>
            <w:r w:rsidRPr="00D618B7">
              <w:rPr>
                <w:color w:val="000000"/>
              </w:rPr>
              <w:t>2092.67</w:t>
            </w:r>
          </w:p>
        </w:tc>
      </w:tr>
      <w:tr w:rsidR="00EE4F74" w:rsidRPr="00D618B7" w14:paraId="10E6A2E1" w14:textId="77777777" w:rsidTr="004B11B7">
        <w:trPr>
          <w:trHeight w:val="303"/>
        </w:trPr>
        <w:tc>
          <w:tcPr>
            <w:tcW w:w="1248" w:type="dxa"/>
            <w:tcBorders>
              <w:top w:val="nil"/>
              <w:left w:val="nil"/>
              <w:bottom w:val="nil"/>
              <w:right w:val="nil"/>
            </w:tcBorders>
            <w:shd w:val="clear" w:color="000000" w:fill="FFFFFF"/>
            <w:vAlign w:val="center"/>
            <w:hideMark/>
          </w:tcPr>
          <w:p w14:paraId="1E423B0E" w14:textId="77777777" w:rsidR="00EE4F74" w:rsidRPr="00D618B7" w:rsidRDefault="00EE4F74"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bottom"/>
            <w:hideMark/>
          </w:tcPr>
          <w:p w14:paraId="6DE053E9" w14:textId="77777777" w:rsidR="00EE4F74" w:rsidRPr="00D618B7" w:rsidRDefault="00EE4F74" w:rsidP="004B11B7">
            <w:pPr>
              <w:jc w:val="right"/>
              <w:rPr>
                <w:color w:val="000000"/>
              </w:rPr>
            </w:pPr>
            <w:r w:rsidRPr="00D618B7">
              <w:rPr>
                <w:color w:val="000000"/>
              </w:rPr>
              <w:t>-43.98</w:t>
            </w:r>
          </w:p>
        </w:tc>
        <w:tc>
          <w:tcPr>
            <w:tcW w:w="1418" w:type="dxa"/>
            <w:tcBorders>
              <w:top w:val="nil"/>
              <w:left w:val="nil"/>
              <w:bottom w:val="nil"/>
              <w:right w:val="nil"/>
            </w:tcBorders>
            <w:shd w:val="clear" w:color="000000" w:fill="FFFFFF"/>
            <w:noWrap/>
            <w:vAlign w:val="bottom"/>
            <w:hideMark/>
          </w:tcPr>
          <w:p w14:paraId="52000AF4" w14:textId="77777777" w:rsidR="00EE4F74" w:rsidRPr="00D618B7" w:rsidRDefault="00EE4F74" w:rsidP="004B11B7">
            <w:pPr>
              <w:jc w:val="right"/>
              <w:rPr>
                <w:color w:val="000000"/>
              </w:rPr>
            </w:pPr>
            <w:r w:rsidRPr="00D618B7">
              <w:rPr>
                <w:color w:val="000000"/>
              </w:rPr>
              <w:t>68.27</w:t>
            </w:r>
          </w:p>
        </w:tc>
        <w:tc>
          <w:tcPr>
            <w:tcW w:w="1138" w:type="dxa"/>
            <w:tcBorders>
              <w:top w:val="nil"/>
              <w:left w:val="nil"/>
              <w:bottom w:val="nil"/>
              <w:right w:val="nil"/>
            </w:tcBorders>
            <w:shd w:val="clear" w:color="000000" w:fill="FFFFFF"/>
            <w:noWrap/>
            <w:vAlign w:val="bottom"/>
            <w:hideMark/>
          </w:tcPr>
          <w:p w14:paraId="66B10F7A" w14:textId="77777777" w:rsidR="00EE4F74" w:rsidRPr="00D618B7" w:rsidRDefault="00EE4F74" w:rsidP="004B11B7">
            <w:pPr>
              <w:jc w:val="right"/>
              <w:rPr>
                <w:color w:val="000000"/>
              </w:rPr>
            </w:pPr>
            <w:r w:rsidRPr="00D618B7">
              <w:rPr>
                <w:color w:val="000000"/>
              </w:rPr>
              <w:t>508.34</w:t>
            </w:r>
          </w:p>
        </w:tc>
        <w:tc>
          <w:tcPr>
            <w:tcW w:w="1358" w:type="dxa"/>
            <w:tcBorders>
              <w:top w:val="nil"/>
              <w:left w:val="nil"/>
              <w:bottom w:val="nil"/>
              <w:right w:val="nil"/>
            </w:tcBorders>
            <w:shd w:val="clear" w:color="000000" w:fill="FFFFFF"/>
            <w:noWrap/>
            <w:vAlign w:val="bottom"/>
            <w:hideMark/>
          </w:tcPr>
          <w:p w14:paraId="31AB972F" w14:textId="77777777" w:rsidR="00EE4F74" w:rsidRPr="00D618B7" w:rsidRDefault="00EE4F74" w:rsidP="004B11B7">
            <w:pPr>
              <w:jc w:val="right"/>
              <w:rPr>
                <w:color w:val="000000"/>
              </w:rPr>
            </w:pPr>
            <w:r w:rsidRPr="00D618B7">
              <w:rPr>
                <w:color w:val="000000"/>
              </w:rPr>
              <w:t>359.60</w:t>
            </w:r>
          </w:p>
        </w:tc>
        <w:tc>
          <w:tcPr>
            <w:tcW w:w="1225" w:type="dxa"/>
            <w:tcBorders>
              <w:top w:val="nil"/>
              <w:left w:val="nil"/>
              <w:bottom w:val="nil"/>
              <w:right w:val="nil"/>
            </w:tcBorders>
            <w:shd w:val="clear" w:color="000000" w:fill="FFFFFF"/>
            <w:noWrap/>
            <w:vAlign w:val="bottom"/>
            <w:hideMark/>
          </w:tcPr>
          <w:p w14:paraId="1ED3B414" w14:textId="77777777" w:rsidR="00EE4F74" w:rsidRPr="00D618B7" w:rsidRDefault="00EE4F74" w:rsidP="004B11B7">
            <w:pPr>
              <w:jc w:val="right"/>
              <w:rPr>
                <w:color w:val="000000"/>
              </w:rPr>
            </w:pPr>
            <w:r w:rsidRPr="00D618B7">
              <w:rPr>
                <w:color w:val="000000"/>
              </w:rPr>
              <w:t>20481.84</w:t>
            </w:r>
          </w:p>
        </w:tc>
        <w:tc>
          <w:tcPr>
            <w:tcW w:w="1321" w:type="dxa"/>
            <w:tcBorders>
              <w:top w:val="nil"/>
              <w:left w:val="nil"/>
              <w:bottom w:val="nil"/>
              <w:right w:val="nil"/>
            </w:tcBorders>
            <w:shd w:val="clear" w:color="000000" w:fill="FFFFFF"/>
            <w:noWrap/>
            <w:vAlign w:val="bottom"/>
            <w:hideMark/>
          </w:tcPr>
          <w:p w14:paraId="3AB01A1D" w14:textId="77777777" w:rsidR="00EE4F74" w:rsidRPr="00D618B7" w:rsidRDefault="00EE4F74" w:rsidP="004B11B7">
            <w:pPr>
              <w:jc w:val="right"/>
              <w:rPr>
                <w:color w:val="000000"/>
              </w:rPr>
            </w:pPr>
            <w:r w:rsidRPr="00D618B7">
              <w:rPr>
                <w:color w:val="000000"/>
              </w:rPr>
              <w:t>12926.77</w:t>
            </w:r>
          </w:p>
        </w:tc>
      </w:tr>
      <w:tr w:rsidR="00EE4F74" w:rsidRPr="00D618B7" w14:paraId="3E93DDA4" w14:textId="77777777" w:rsidTr="004B11B7">
        <w:trPr>
          <w:trHeight w:val="303"/>
        </w:trPr>
        <w:tc>
          <w:tcPr>
            <w:tcW w:w="1248" w:type="dxa"/>
            <w:tcBorders>
              <w:top w:val="nil"/>
              <w:left w:val="nil"/>
              <w:bottom w:val="nil"/>
              <w:right w:val="nil"/>
            </w:tcBorders>
            <w:shd w:val="clear" w:color="000000" w:fill="FFFFFF"/>
            <w:vAlign w:val="center"/>
            <w:hideMark/>
          </w:tcPr>
          <w:p w14:paraId="7B034B21" w14:textId="77777777" w:rsidR="00EE4F74" w:rsidRPr="00D618B7" w:rsidRDefault="00EE4F74"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bottom"/>
            <w:hideMark/>
          </w:tcPr>
          <w:p w14:paraId="4866366F" w14:textId="77777777" w:rsidR="00EE4F74" w:rsidRPr="00D618B7" w:rsidRDefault="00EE4F74" w:rsidP="004B11B7">
            <w:pPr>
              <w:jc w:val="right"/>
              <w:rPr>
                <w:color w:val="000000"/>
              </w:rPr>
            </w:pPr>
            <w:r w:rsidRPr="00D618B7">
              <w:rPr>
                <w:color w:val="000000"/>
              </w:rPr>
              <w:t>285.90</w:t>
            </w:r>
          </w:p>
        </w:tc>
        <w:tc>
          <w:tcPr>
            <w:tcW w:w="1418" w:type="dxa"/>
            <w:tcBorders>
              <w:top w:val="nil"/>
              <w:left w:val="nil"/>
              <w:bottom w:val="nil"/>
              <w:right w:val="nil"/>
            </w:tcBorders>
            <w:shd w:val="clear" w:color="000000" w:fill="FFFFFF"/>
            <w:noWrap/>
            <w:vAlign w:val="bottom"/>
            <w:hideMark/>
          </w:tcPr>
          <w:p w14:paraId="14432D7F" w14:textId="77777777" w:rsidR="00EE4F74" w:rsidRPr="00D618B7" w:rsidRDefault="00EE4F74" w:rsidP="004B11B7">
            <w:pPr>
              <w:jc w:val="right"/>
              <w:rPr>
                <w:color w:val="000000"/>
              </w:rPr>
            </w:pPr>
            <w:r w:rsidRPr="00D618B7">
              <w:rPr>
                <w:color w:val="000000"/>
              </w:rPr>
              <w:t>113.31</w:t>
            </w:r>
          </w:p>
        </w:tc>
        <w:tc>
          <w:tcPr>
            <w:tcW w:w="1138" w:type="dxa"/>
            <w:tcBorders>
              <w:top w:val="nil"/>
              <w:left w:val="nil"/>
              <w:bottom w:val="nil"/>
              <w:right w:val="nil"/>
            </w:tcBorders>
            <w:shd w:val="clear" w:color="000000" w:fill="FFFFFF"/>
            <w:noWrap/>
            <w:vAlign w:val="bottom"/>
            <w:hideMark/>
          </w:tcPr>
          <w:p w14:paraId="70352D90" w14:textId="77777777" w:rsidR="00EE4F74" w:rsidRPr="00D618B7" w:rsidRDefault="00EE4F74" w:rsidP="004B11B7">
            <w:pPr>
              <w:jc w:val="right"/>
              <w:rPr>
                <w:color w:val="000000"/>
              </w:rPr>
            </w:pPr>
            <w:r w:rsidRPr="00D618B7">
              <w:rPr>
                <w:color w:val="000000"/>
              </w:rPr>
              <w:t>-137.40</w:t>
            </w:r>
          </w:p>
        </w:tc>
        <w:tc>
          <w:tcPr>
            <w:tcW w:w="1358" w:type="dxa"/>
            <w:tcBorders>
              <w:top w:val="nil"/>
              <w:left w:val="nil"/>
              <w:bottom w:val="nil"/>
              <w:right w:val="nil"/>
            </w:tcBorders>
            <w:shd w:val="clear" w:color="000000" w:fill="FFFFFF"/>
            <w:noWrap/>
            <w:vAlign w:val="bottom"/>
            <w:hideMark/>
          </w:tcPr>
          <w:p w14:paraId="4321D1A4" w14:textId="77777777" w:rsidR="00EE4F74" w:rsidRPr="00D618B7" w:rsidRDefault="00EE4F74" w:rsidP="004B11B7">
            <w:pPr>
              <w:jc w:val="right"/>
              <w:rPr>
                <w:color w:val="000000"/>
              </w:rPr>
            </w:pPr>
            <w:r w:rsidRPr="00D618B7">
              <w:rPr>
                <w:color w:val="000000"/>
              </w:rPr>
              <w:t>245.61</w:t>
            </w:r>
          </w:p>
        </w:tc>
        <w:tc>
          <w:tcPr>
            <w:tcW w:w="1225" w:type="dxa"/>
            <w:tcBorders>
              <w:top w:val="nil"/>
              <w:left w:val="nil"/>
              <w:bottom w:val="nil"/>
              <w:right w:val="nil"/>
            </w:tcBorders>
            <w:shd w:val="clear" w:color="000000" w:fill="FFFFFF"/>
            <w:noWrap/>
            <w:vAlign w:val="bottom"/>
            <w:hideMark/>
          </w:tcPr>
          <w:p w14:paraId="037462D0" w14:textId="77777777" w:rsidR="00EE4F74" w:rsidRPr="00D618B7" w:rsidRDefault="00EE4F74" w:rsidP="004B11B7">
            <w:pPr>
              <w:jc w:val="right"/>
              <w:rPr>
                <w:color w:val="000000"/>
              </w:rPr>
            </w:pPr>
            <w:r w:rsidRPr="00D618B7">
              <w:rPr>
                <w:color w:val="000000"/>
              </w:rPr>
              <w:t>11860.38</w:t>
            </w:r>
          </w:p>
        </w:tc>
        <w:tc>
          <w:tcPr>
            <w:tcW w:w="1321" w:type="dxa"/>
            <w:tcBorders>
              <w:top w:val="nil"/>
              <w:left w:val="nil"/>
              <w:bottom w:val="nil"/>
              <w:right w:val="nil"/>
            </w:tcBorders>
            <w:shd w:val="clear" w:color="000000" w:fill="FFFFFF"/>
            <w:noWrap/>
            <w:vAlign w:val="bottom"/>
            <w:hideMark/>
          </w:tcPr>
          <w:p w14:paraId="22FF7E0F" w14:textId="77777777" w:rsidR="00EE4F74" w:rsidRPr="00D618B7" w:rsidRDefault="00EE4F74" w:rsidP="004B11B7">
            <w:pPr>
              <w:jc w:val="right"/>
              <w:rPr>
                <w:color w:val="000000"/>
              </w:rPr>
            </w:pPr>
            <w:r w:rsidRPr="00D618B7">
              <w:rPr>
                <w:color w:val="000000"/>
              </w:rPr>
              <w:t>3514.29</w:t>
            </w:r>
          </w:p>
        </w:tc>
      </w:tr>
      <w:tr w:rsidR="00EE4F74" w:rsidRPr="00D618B7" w14:paraId="0C2EE26A" w14:textId="77777777" w:rsidTr="004B11B7">
        <w:trPr>
          <w:trHeight w:val="303"/>
        </w:trPr>
        <w:tc>
          <w:tcPr>
            <w:tcW w:w="1248" w:type="dxa"/>
            <w:tcBorders>
              <w:top w:val="nil"/>
              <w:left w:val="nil"/>
              <w:bottom w:val="nil"/>
              <w:right w:val="nil"/>
            </w:tcBorders>
            <w:shd w:val="clear" w:color="000000" w:fill="FFFFFF"/>
            <w:vAlign w:val="center"/>
            <w:hideMark/>
          </w:tcPr>
          <w:p w14:paraId="49AAAE66" w14:textId="77777777" w:rsidR="00EE4F74" w:rsidRPr="00D618B7" w:rsidRDefault="00EE4F74"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bottom"/>
            <w:hideMark/>
          </w:tcPr>
          <w:p w14:paraId="33F16662" w14:textId="77777777" w:rsidR="00EE4F74" w:rsidRPr="00D618B7" w:rsidRDefault="00EE4F74" w:rsidP="004B11B7">
            <w:pPr>
              <w:jc w:val="right"/>
              <w:rPr>
                <w:color w:val="000000"/>
              </w:rPr>
            </w:pPr>
            <w:r w:rsidRPr="00D618B7">
              <w:rPr>
                <w:color w:val="000000"/>
              </w:rPr>
              <w:t>105.12</w:t>
            </w:r>
          </w:p>
        </w:tc>
        <w:tc>
          <w:tcPr>
            <w:tcW w:w="1418" w:type="dxa"/>
            <w:tcBorders>
              <w:top w:val="nil"/>
              <w:left w:val="nil"/>
              <w:bottom w:val="nil"/>
              <w:right w:val="nil"/>
            </w:tcBorders>
            <w:shd w:val="clear" w:color="000000" w:fill="FFFFFF"/>
            <w:noWrap/>
            <w:vAlign w:val="bottom"/>
            <w:hideMark/>
          </w:tcPr>
          <w:p w14:paraId="4EF18396" w14:textId="77777777" w:rsidR="00EE4F74" w:rsidRPr="00D618B7" w:rsidRDefault="00EE4F74" w:rsidP="004B11B7">
            <w:pPr>
              <w:jc w:val="right"/>
              <w:rPr>
                <w:color w:val="000000"/>
              </w:rPr>
            </w:pPr>
            <w:r w:rsidRPr="00D618B7">
              <w:rPr>
                <w:color w:val="000000"/>
              </w:rPr>
              <w:t>124.85</w:t>
            </w:r>
          </w:p>
        </w:tc>
        <w:tc>
          <w:tcPr>
            <w:tcW w:w="1138" w:type="dxa"/>
            <w:tcBorders>
              <w:top w:val="nil"/>
              <w:left w:val="nil"/>
              <w:bottom w:val="nil"/>
              <w:right w:val="nil"/>
            </w:tcBorders>
            <w:shd w:val="clear" w:color="000000" w:fill="FFFFFF"/>
            <w:noWrap/>
            <w:vAlign w:val="bottom"/>
            <w:hideMark/>
          </w:tcPr>
          <w:p w14:paraId="2251DDFF" w14:textId="77777777" w:rsidR="00EE4F74" w:rsidRPr="00D618B7" w:rsidRDefault="00EE4F74" w:rsidP="004B11B7">
            <w:pPr>
              <w:jc w:val="right"/>
              <w:rPr>
                <w:color w:val="000000"/>
              </w:rPr>
            </w:pPr>
            <w:r w:rsidRPr="00D618B7">
              <w:rPr>
                <w:color w:val="000000"/>
              </w:rPr>
              <w:t>-132.70</w:t>
            </w:r>
          </w:p>
        </w:tc>
        <w:tc>
          <w:tcPr>
            <w:tcW w:w="1358" w:type="dxa"/>
            <w:tcBorders>
              <w:top w:val="nil"/>
              <w:left w:val="nil"/>
              <w:bottom w:val="nil"/>
              <w:right w:val="nil"/>
            </w:tcBorders>
            <w:shd w:val="clear" w:color="000000" w:fill="FFFFFF"/>
            <w:noWrap/>
            <w:vAlign w:val="bottom"/>
            <w:hideMark/>
          </w:tcPr>
          <w:p w14:paraId="39BE4492" w14:textId="77777777" w:rsidR="00EE4F74" w:rsidRPr="00D618B7" w:rsidRDefault="00EE4F74" w:rsidP="004B11B7">
            <w:pPr>
              <w:jc w:val="right"/>
              <w:rPr>
                <w:color w:val="000000"/>
              </w:rPr>
            </w:pPr>
            <w:r w:rsidRPr="00D618B7">
              <w:rPr>
                <w:color w:val="000000"/>
              </w:rPr>
              <w:t>170.65</w:t>
            </w:r>
          </w:p>
        </w:tc>
        <w:tc>
          <w:tcPr>
            <w:tcW w:w="1225" w:type="dxa"/>
            <w:tcBorders>
              <w:top w:val="nil"/>
              <w:left w:val="nil"/>
              <w:bottom w:val="nil"/>
              <w:right w:val="nil"/>
            </w:tcBorders>
            <w:shd w:val="clear" w:color="000000" w:fill="FFFFFF"/>
            <w:noWrap/>
            <w:vAlign w:val="bottom"/>
            <w:hideMark/>
          </w:tcPr>
          <w:p w14:paraId="53597313" w14:textId="77777777" w:rsidR="00EE4F74" w:rsidRPr="00D618B7" w:rsidRDefault="00EE4F74" w:rsidP="004B11B7">
            <w:pPr>
              <w:jc w:val="right"/>
              <w:rPr>
                <w:color w:val="000000"/>
              </w:rPr>
            </w:pPr>
            <w:r w:rsidRPr="00D618B7">
              <w:rPr>
                <w:color w:val="000000"/>
              </w:rPr>
              <w:t>7665.75</w:t>
            </w:r>
          </w:p>
        </w:tc>
        <w:tc>
          <w:tcPr>
            <w:tcW w:w="1321" w:type="dxa"/>
            <w:tcBorders>
              <w:top w:val="nil"/>
              <w:left w:val="nil"/>
              <w:bottom w:val="nil"/>
              <w:right w:val="nil"/>
            </w:tcBorders>
            <w:shd w:val="clear" w:color="000000" w:fill="FFFFFF"/>
            <w:noWrap/>
            <w:vAlign w:val="bottom"/>
            <w:hideMark/>
          </w:tcPr>
          <w:p w14:paraId="29A0782B" w14:textId="77777777" w:rsidR="00EE4F74" w:rsidRPr="00D618B7" w:rsidRDefault="00EE4F74" w:rsidP="004B11B7">
            <w:pPr>
              <w:jc w:val="right"/>
              <w:rPr>
                <w:color w:val="000000"/>
              </w:rPr>
            </w:pPr>
            <w:r w:rsidRPr="00D618B7">
              <w:rPr>
                <w:color w:val="000000"/>
              </w:rPr>
              <w:t>948.58</w:t>
            </w:r>
          </w:p>
        </w:tc>
      </w:tr>
      <w:tr w:rsidR="00EE4F74" w:rsidRPr="00D618B7" w14:paraId="7F6BEABD" w14:textId="77777777" w:rsidTr="004B11B7">
        <w:trPr>
          <w:trHeight w:val="303"/>
        </w:trPr>
        <w:tc>
          <w:tcPr>
            <w:tcW w:w="1248" w:type="dxa"/>
            <w:tcBorders>
              <w:top w:val="nil"/>
              <w:left w:val="nil"/>
              <w:bottom w:val="nil"/>
              <w:right w:val="nil"/>
            </w:tcBorders>
            <w:shd w:val="clear" w:color="000000" w:fill="FFFFFF"/>
            <w:vAlign w:val="center"/>
            <w:hideMark/>
          </w:tcPr>
          <w:p w14:paraId="7DB0B959" w14:textId="77777777" w:rsidR="00EE4F74" w:rsidRPr="00D618B7" w:rsidRDefault="00EE4F74"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bottom"/>
            <w:hideMark/>
          </w:tcPr>
          <w:p w14:paraId="7FC3780D" w14:textId="77777777" w:rsidR="00EE4F74" w:rsidRPr="00D618B7" w:rsidRDefault="00EE4F74" w:rsidP="004B11B7">
            <w:pPr>
              <w:jc w:val="right"/>
              <w:rPr>
                <w:color w:val="000000"/>
              </w:rPr>
            </w:pPr>
            <w:r w:rsidRPr="00D618B7">
              <w:rPr>
                <w:color w:val="000000"/>
              </w:rPr>
              <w:t>640.43</w:t>
            </w:r>
          </w:p>
        </w:tc>
        <w:tc>
          <w:tcPr>
            <w:tcW w:w="1418" w:type="dxa"/>
            <w:tcBorders>
              <w:top w:val="nil"/>
              <w:left w:val="nil"/>
              <w:bottom w:val="nil"/>
              <w:right w:val="nil"/>
            </w:tcBorders>
            <w:shd w:val="clear" w:color="000000" w:fill="FFFFFF"/>
            <w:noWrap/>
            <w:vAlign w:val="bottom"/>
            <w:hideMark/>
          </w:tcPr>
          <w:p w14:paraId="08E17A25" w14:textId="77777777" w:rsidR="00EE4F74" w:rsidRPr="00D618B7" w:rsidRDefault="00EE4F74" w:rsidP="004B11B7">
            <w:pPr>
              <w:jc w:val="right"/>
              <w:rPr>
                <w:color w:val="000000"/>
              </w:rPr>
            </w:pPr>
            <w:r w:rsidRPr="00D618B7">
              <w:rPr>
                <w:color w:val="000000"/>
              </w:rPr>
              <w:t>170.14</w:t>
            </w:r>
          </w:p>
        </w:tc>
        <w:tc>
          <w:tcPr>
            <w:tcW w:w="1138" w:type="dxa"/>
            <w:tcBorders>
              <w:top w:val="nil"/>
              <w:left w:val="nil"/>
              <w:bottom w:val="nil"/>
              <w:right w:val="nil"/>
            </w:tcBorders>
            <w:shd w:val="clear" w:color="000000" w:fill="FFFFFF"/>
            <w:noWrap/>
            <w:vAlign w:val="bottom"/>
            <w:hideMark/>
          </w:tcPr>
          <w:p w14:paraId="4D1794D0" w14:textId="77777777" w:rsidR="00EE4F74" w:rsidRPr="00D618B7" w:rsidRDefault="00EE4F74" w:rsidP="004B11B7">
            <w:pPr>
              <w:jc w:val="right"/>
              <w:rPr>
                <w:color w:val="000000"/>
              </w:rPr>
            </w:pPr>
            <w:r w:rsidRPr="00D618B7">
              <w:rPr>
                <w:color w:val="000000"/>
              </w:rPr>
              <w:t>601.33</w:t>
            </w:r>
          </w:p>
        </w:tc>
        <w:tc>
          <w:tcPr>
            <w:tcW w:w="1358" w:type="dxa"/>
            <w:tcBorders>
              <w:top w:val="nil"/>
              <w:left w:val="nil"/>
              <w:bottom w:val="nil"/>
              <w:right w:val="nil"/>
            </w:tcBorders>
            <w:shd w:val="clear" w:color="000000" w:fill="FFFFFF"/>
            <w:noWrap/>
            <w:vAlign w:val="bottom"/>
            <w:hideMark/>
          </w:tcPr>
          <w:p w14:paraId="1CB4D252" w14:textId="77777777" w:rsidR="00EE4F74" w:rsidRPr="00D618B7" w:rsidRDefault="00EE4F74" w:rsidP="004B11B7">
            <w:pPr>
              <w:jc w:val="right"/>
              <w:rPr>
                <w:color w:val="000000"/>
              </w:rPr>
            </w:pPr>
            <w:r w:rsidRPr="00D618B7">
              <w:rPr>
                <w:color w:val="000000"/>
              </w:rPr>
              <w:t>361.43</w:t>
            </w:r>
          </w:p>
        </w:tc>
        <w:tc>
          <w:tcPr>
            <w:tcW w:w="1225" w:type="dxa"/>
            <w:tcBorders>
              <w:top w:val="nil"/>
              <w:left w:val="nil"/>
              <w:bottom w:val="nil"/>
              <w:right w:val="nil"/>
            </w:tcBorders>
            <w:shd w:val="clear" w:color="000000" w:fill="FFFFFF"/>
            <w:noWrap/>
            <w:vAlign w:val="bottom"/>
            <w:hideMark/>
          </w:tcPr>
          <w:p w14:paraId="5FF556B3" w14:textId="77777777" w:rsidR="00EE4F74" w:rsidRPr="00D618B7" w:rsidRDefault="00EE4F74" w:rsidP="004B11B7">
            <w:pPr>
              <w:jc w:val="right"/>
              <w:rPr>
                <w:color w:val="000000"/>
              </w:rPr>
            </w:pPr>
            <w:r w:rsidRPr="00D618B7">
              <w:rPr>
                <w:color w:val="000000"/>
              </w:rPr>
              <w:t>27722.47</w:t>
            </w:r>
          </w:p>
        </w:tc>
        <w:tc>
          <w:tcPr>
            <w:tcW w:w="1321" w:type="dxa"/>
            <w:tcBorders>
              <w:top w:val="nil"/>
              <w:left w:val="nil"/>
              <w:bottom w:val="nil"/>
              <w:right w:val="nil"/>
            </w:tcBorders>
            <w:shd w:val="clear" w:color="000000" w:fill="FFFFFF"/>
            <w:noWrap/>
            <w:vAlign w:val="bottom"/>
            <w:hideMark/>
          </w:tcPr>
          <w:p w14:paraId="620BF2BB" w14:textId="77777777" w:rsidR="00EE4F74" w:rsidRPr="00D618B7" w:rsidRDefault="00EE4F74" w:rsidP="004B11B7">
            <w:pPr>
              <w:jc w:val="right"/>
              <w:rPr>
                <w:color w:val="000000"/>
              </w:rPr>
            </w:pPr>
            <w:r w:rsidRPr="00D618B7">
              <w:rPr>
                <w:color w:val="000000"/>
              </w:rPr>
              <w:t>3578.93</w:t>
            </w:r>
          </w:p>
        </w:tc>
      </w:tr>
      <w:tr w:rsidR="00EE4F74" w:rsidRPr="00D618B7" w14:paraId="78BE314C" w14:textId="77777777" w:rsidTr="004B11B7">
        <w:trPr>
          <w:trHeight w:val="318"/>
        </w:trPr>
        <w:tc>
          <w:tcPr>
            <w:tcW w:w="1248" w:type="dxa"/>
            <w:tcBorders>
              <w:top w:val="nil"/>
              <w:left w:val="nil"/>
              <w:bottom w:val="single" w:sz="8" w:space="0" w:color="auto"/>
              <w:right w:val="nil"/>
            </w:tcBorders>
            <w:shd w:val="clear" w:color="000000" w:fill="FFFFFF"/>
            <w:vAlign w:val="center"/>
            <w:hideMark/>
          </w:tcPr>
          <w:p w14:paraId="6A1949B2" w14:textId="77777777" w:rsidR="00EE4F74" w:rsidRPr="00D618B7" w:rsidRDefault="00EE4F74" w:rsidP="004B11B7">
            <w:pPr>
              <w:jc w:val="right"/>
              <w:rPr>
                <w:color w:val="000000"/>
              </w:rPr>
            </w:pPr>
            <w:r w:rsidRPr="00D618B7">
              <w:rPr>
                <w:color w:val="000000"/>
              </w:rPr>
              <w:t>5</w:t>
            </w:r>
          </w:p>
        </w:tc>
        <w:tc>
          <w:tcPr>
            <w:tcW w:w="1080" w:type="dxa"/>
            <w:tcBorders>
              <w:top w:val="nil"/>
              <w:left w:val="nil"/>
              <w:bottom w:val="single" w:sz="8" w:space="0" w:color="auto"/>
              <w:right w:val="nil"/>
            </w:tcBorders>
            <w:shd w:val="clear" w:color="000000" w:fill="FFFFFF"/>
            <w:noWrap/>
            <w:vAlign w:val="bottom"/>
            <w:hideMark/>
          </w:tcPr>
          <w:p w14:paraId="672D2760" w14:textId="77777777" w:rsidR="00EE4F74" w:rsidRPr="00D618B7" w:rsidRDefault="00EE4F74" w:rsidP="004B11B7">
            <w:pPr>
              <w:jc w:val="right"/>
              <w:rPr>
                <w:color w:val="000000"/>
              </w:rPr>
            </w:pPr>
            <w:r w:rsidRPr="00D618B7">
              <w:rPr>
                <w:color w:val="000000"/>
              </w:rPr>
              <w:t>17.25</w:t>
            </w:r>
          </w:p>
        </w:tc>
        <w:tc>
          <w:tcPr>
            <w:tcW w:w="1418" w:type="dxa"/>
            <w:tcBorders>
              <w:top w:val="nil"/>
              <w:left w:val="nil"/>
              <w:bottom w:val="single" w:sz="8" w:space="0" w:color="auto"/>
              <w:right w:val="nil"/>
            </w:tcBorders>
            <w:shd w:val="clear" w:color="000000" w:fill="FFFFFF"/>
            <w:noWrap/>
            <w:vAlign w:val="bottom"/>
            <w:hideMark/>
          </w:tcPr>
          <w:p w14:paraId="4A4C756D" w14:textId="77777777" w:rsidR="00EE4F74" w:rsidRPr="00D618B7" w:rsidRDefault="00EE4F74" w:rsidP="004B11B7">
            <w:pPr>
              <w:jc w:val="right"/>
              <w:rPr>
                <w:color w:val="000000"/>
              </w:rPr>
            </w:pPr>
            <w:r w:rsidRPr="00D618B7">
              <w:rPr>
                <w:color w:val="000000"/>
              </w:rPr>
              <w:t>113.06</w:t>
            </w:r>
          </w:p>
        </w:tc>
        <w:tc>
          <w:tcPr>
            <w:tcW w:w="1138" w:type="dxa"/>
            <w:tcBorders>
              <w:top w:val="nil"/>
              <w:left w:val="nil"/>
              <w:bottom w:val="single" w:sz="8" w:space="0" w:color="auto"/>
              <w:right w:val="nil"/>
            </w:tcBorders>
            <w:shd w:val="clear" w:color="000000" w:fill="FFFFFF"/>
            <w:noWrap/>
            <w:vAlign w:val="bottom"/>
            <w:hideMark/>
          </w:tcPr>
          <w:p w14:paraId="7241B17C" w14:textId="77777777" w:rsidR="00EE4F74" w:rsidRPr="00D618B7" w:rsidRDefault="00EE4F74" w:rsidP="004B11B7">
            <w:pPr>
              <w:jc w:val="right"/>
              <w:rPr>
                <w:color w:val="000000"/>
              </w:rPr>
            </w:pPr>
            <w:r w:rsidRPr="00D618B7">
              <w:rPr>
                <w:color w:val="000000"/>
              </w:rPr>
              <w:t>-1353.30</w:t>
            </w:r>
          </w:p>
        </w:tc>
        <w:tc>
          <w:tcPr>
            <w:tcW w:w="1358" w:type="dxa"/>
            <w:tcBorders>
              <w:top w:val="nil"/>
              <w:left w:val="nil"/>
              <w:bottom w:val="single" w:sz="8" w:space="0" w:color="auto"/>
              <w:right w:val="nil"/>
            </w:tcBorders>
            <w:shd w:val="clear" w:color="000000" w:fill="FFFFFF"/>
            <w:noWrap/>
            <w:vAlign w:val="bottom"/>
            <w:hideMark/>
          </w:tcPr>
          <w:p w14:paraId="5D42C88C" w14:textId="77777777" w:rsidR="00EE4F74" w:rsidRPr="00D618B7" w:rsidRDefault="00EE4F74" w:rsidP="004B11B7">
            <w:pPr>
              <w:jc w:val="right"/>
              <w:rPr>
                <w:color w:val="000000"/>
              </w:rPr>
            </w:pPr>
            <w:r w:rsidRPr="00D618B7">
              <w:rPr>
                <w:color w:val="000000"/>
              </w:rPr>
              <w:t>785.71</w:t>
            </w:r>
          </w:p>
        </w:tc>
        <w:tc>
          <w:tcPr>
            <w:tcW w:w="1225" w:type="dxa"/>
            <w:tcBorders>
              <w:top w:val="nil"/>
              <w:left w:val="nil"/>
              <w:bottom w:val="single" w:sz="8" w:space="0" w:color="auto"/>
              <w:right w:val="nil"/>
            </w:tcBorders>
            <w:shd w:val="clear" w:color="000000" w:fill="FFFFFF"/>
            <w:noWrap/>
            <w:vAlign w:val="bottom"/>
            <w:hideMark/>
          </w:tcPr>
          <w:p w14:paraId="66148F47" w14:textId="77777777" w:rsidR="00EE4F74" w:rsidRPr="00D618B7" w:rsidRDefault="00EE4F74" w:rsidP="004B11B7">
            <w:pPr>
              <w:jc w:val="right"/>
              <w:rPr>
                <w:color w:val="000000"/>
              </w:rPr>
            </w:pPr>
            <w:r w:rsidRPr="00D618B7">
              <w:rPr>
                <w:color w:val="000000"/>
              </w:rPr>
              <w:t>-4882.16</w:t>
            </w:r>
          </w:p>
        </w:tc>
        <w:tc>
          <w:tcPr>
            <w:tcW w:w="1321" w:type="dxa"/>
            <w:tcBorders>
              <w:top w:val="nil"/>
              <w:left w:val="nil"/>
              <w:bottom w:val="single" w:sz="8" w:space="0" w:color="auto"/>
              <w:right w:val="nil"/>
            </w:tcBorders>
            <w:shd w:val="clear" w:color="000000" w:fill="FFFFFF"/>
            <w:noWrap/>
            <w:vAlign w:val="bottom"/>
            <w:hideMark/>
          </w:tcPr>
          <w:p w14:paraId="3DC990A0" w14:textId="77777777" w:rsidR="00EE4F74" w:rsidRPr="00D618B7" w:rsidRDefault="00EE4F74" w:rsidP="004B11B7">
            <w:pPr>
              <w:jc w:val="right"/>
              <w:rPr>
                <w:color w:val="000000"/>
              </w:rPr>
            </w:pPr>
            <w:r w:rsidRPr="00D618B7">
              <w:rPr>
                <w:color w:val="000000"/>
              </w:rPr>
              <w:t>3678.96</w:t>
            </w:r>
          </w:p>
        </w:tc>
      </w:tr>
    </w:tbl>
    <w:p w14:paraId="33763562" w14:textId="77777777" w:rsidR="00EE4F74" w:rsidRPr="00D618B7" w:rsidRDefault="00EE4F74" w:rsidP="00EE4F74"/>
    <w:p w14:paraId="58EAC558" w14:textId="77777777" w:rsidR="00EE4F74" w:rsidRPr="00D618B7" w:rsidRDefault="00EE4F74" w:rsidP="00EE4F74">
      <w:r w:rsidRPr="00D618B7">
        <w:rPr>
          <w:i/>
          <w:iCs/>
        </w:rPr>
        <w:t>Note</w:t>
      </w:r>
      <w:r w:rsidRPr="00D618B7">
        <w:t>: This table lists the estimated mean summed duration and standard error in milliseconds of face, hand, and mouth events for each week of observation around reach-onset by reach group.</w:t>
      </w:r>
    </w:p>
    <w:p w14:paraId="41A1AB84" w14:textId="77777777" w:rsidR="00EE4F74" w:rsidRPr="00D618B7" w:rsidRDefault="00EE4F74" w:rsidP="00EE4F74">
      <w:r w:rsidRPr="00D618B7">
        <w:br w:type="page"/>
      </w:r>
    </w:p>
    <w:p w14:paraId="0DFC88B6" w14:textId="74B41C87" w:rsidR="00086E8F" w:rsidRPr="00D618B7" w:rsidRDefault="00086E8F" w:rsidP="007C5074">
      <w:pPr>
        <w:pStyle w:val="Caption"/>
      </w:pPr>
      <w:bookmarkStart w:id="210" w:name="_Toc172716894"/>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66</w:t>
      </w:r>
      <w:r w:rsidR="00000000">
        <w:rPr>
          <w:noProof/>
        </w:rPr>
        <w:fldChar w:fldCharType="end"/>
      </w:r>
      <w:r w:rsidR="00691750">
        <w:rPr>
          <w:noProof/>
        </w:rPr>
        <w:t>:</w:t>
      </w:r>
      <w:r w:rsidR="00AC6256" w:rsidRPr="00AC6256">
        <w:t xml:space="preserve"> </w:t>
      </w:r>
      <w:r w:rsidR="00AC6256">
        <w:t>Event summed duration</w:t>
      </w:r>
      <w:r w:rsidR="00AC6256" w:rsidRPr="00BA36EF">
        <w:t xml:space="preserve"> by </w:t>
      </w:r>
      <w:r w:rsidR="00AC6256">
        <w:t>proximity and week by group</w:t>
      </w:r>
      <w:bookmarkEnd w:id="210"/>
    </w:p>
    <w:p w14:paraId="4C4538E4" w14:textId="0A843BF3" w:rsidR="00C93FAA" w:rsidRPr="00D618B7" w:rsidRDefault="00C93FAA" w:rsidP="00C93FAA">
      <w:r w:rsidRPr="00D618B7">
        <w:t>Estimated Mean Summed Duration of Events by Proximity, Week, and Group</w:t>
      </w:r>
    </w:p>
    <w:tbl>
      <w:tblPr>
        <w:tblW w:w="5011" w:type="pct"/>
        <w:tblLook w:val="04A0" w:firstRow="1" w:lastRow="0" w:firstColumn="1" w:lastColumn="0" w:noHBand="0" w:noVBand="1"/>
      </w:tblPr>
      <w:tblGrid>
        <w:gridCol w:w="1236"/>
        <w:gridCol w:w="1236"/>
        <w:gridCol w:w="1238"/>
        <w:gridCol w:w="1237"/>
        <w:gridCol w:w="1238"/>
        <w:gridCol w:w="1237"/>
        <w:gridCol w:w="1237"/>
      </w:tblGrid>
      <w:tr w:rsidR="00C93FAA" w:rsidRPr="00D618B7" w14:paraId="751AE818" w14:textId="77777777" w:rsidTr="004B11B7">
        <w:trPr>
          <w:trHeight w:val="325"/>
        </w:trPr>
        <w:tc>
          <w:tcPr>
            <w:tcW w:w="714" w:type="pct"/>
            <w:tcBorders>
              <w:top w:val="nil"/>
              <w:left w:val="nil"/>
              <w:bottom w:val="single" w:sz="8" w:space="0" w:color="auto"/>
              <w:right w:val="nil"/>
            </w:tcBorders>
            <w:shd w:val="clear" w:color="auto" w:fill="auto"/>
            <w:noWrap/>
            <w:vAlign w:val="bottom"/>
            <w:hideMark/>
          </w:tcPr>
          <w:p w14:paraId="16A4509B" w14:textId="77777777" w:rsidR="00C93FAA" w:rsidRPr="00D618B7" w:rsidRDefault="00C93FAA" w:rsidP="004B11B7">
            <w:pPr>
              <w:rPr>
                <w:color w:val="000000"/>
              </w:rPr>
            </w:pPr>
            <w:r w:rsidRPr="00D618B7">
              <w:rPr>
                <w:color w:val="000000"/>
              </w:rPr>
              <w:t> </w:t>
            </w:r>
          </w:p>
        </w:tc>
        <w:tc>
          <w:tcPr>
            <w:tcW w:w="714" w:type="pct"/>
            <w:tcBorders>
              <w:top w:val="nil"/>
              <w:left w:val="nil"/>
              <w:bottom w:val="single" w:sz="8" w:space="0" w:color="auto"/>
              <w:right w:val="nil"/>
            </w:tcBorders>
            <w:shd w:val="clear" w:color="auto" w:fill="auto"/>
            <w:noWrap/>
            <w:vAlign w:val="bottom"/>
            <w:hideMark/>
          </w:tcPr>
          <w:p w14:paraId="38B5129D" w14:textId="77777777" w:rsidR="00C93FAA" w:rsidRPr="00D618B7" w:rsidRDefault="00C93FAA" w:rsidP="004B11B7">
            <w:pPr>
              <w:rPr>
                <w:color w:val="000000"/>
              </w:rPr>
            </w:pPr>
            <w:r w:rsidRPr="00D618B7">
              <w:rPr>
                <w:color w:val="000000"/>
              </w:rPr>
              <w:t> </w:t>
            </w:r>
          </w:p>
        </w:tc>
        <w:tc>
          <w:tcPr>
            <w:tcW w:w="715" w:type="pct"/>
            <w:tcBorders>
              <w:top w:val="nil"/>
              <w:left w:val="nil"/>
              <w:bottom w:val="single" w:sz="8" w:space="0" w:color="auto"/>
              <w:right w:val="nil"/>
            </w:tcBorders>
            <w:shd w:val="clear" w:color="auto" w:fill="auto"/>
            <w:noWrap/>
            <w:vAlign w:val="bottom"/>
            <w:hideMark/>
          </w:tcPr>
          <w:p w14:paraId="1597F5BE" w14:textId="77777777" w:rsidR="00C93FAA" w:rsidRPr="00D618B7" w:rsidRDefault="00C93FAA" w:rsidP="004B11B7">
            <w:pPr>
              <w:rPr>
                <w:color w:val="000000"/>
              </w:rPr>
            </w:pPr>
            <w:r w:rsidRPr="00D618B7">
              <w:rPr>
                <w:color w:val="000000"/>
              </w:rPr>
              <w:t> </w:t>
            </w:r>
          </w:p>
        </w:tc>
        <w:tc>
          <w:tcPr>
            <w:tcW w:w="714" w:type="pct"/>
            <w:tcBorders>
              <w:top w:val="nil"/>
              <w:left w:val="nil"/>
              <w:bottom w:val="single" w:sz="8" w:space="0" w:color="auto"/>
              <w:right w:val="nil"/>
            </w:tcBorders>
            <w:shd w:val="clear" w:color="auto" w:fill="auto"/>
            <w:noWrap/>
            <w:vAlign w:val="bottom"/>
            <w:hideMark/>
          </w:tcPr>
          <w:p w14:paraId="01BB324C" w14:textId="77777777" w:rsidR="00C93FAA" w:rsidRPr="00D618B7" w:rsidRDefault="00C93FAA" w:rsidP="004B11B7">
            <w:pPr>
              <w:rPr>
                <w:color w:val="000000"/>
              </w:rPr>
            </w:pPr>
            <w:r w:rsidRPr="00D618B7">
              <w:rPr>
                <w:color w:val="000000"/>
              </w:rPr>
              <w:t> </w:t>
            </w:r>
          </w:p>
        </w:tc>
        <w:tc>
          <w:tcPr>
            <w:tcW w:w="715" w:type="pct"/>
            <w:tcBorders>
              <w:top w:val="nil"/>
              <w:left w:val="nil"/>
              <w:bottom w:val="single" w:sz="8" w:space="0" w:color="auto"/>
              <w:right w:val="nil"/>
            </w:tcBorders>
            <w:shd w:val="clear" w:color="auto" w:fill="auto"/>
            <w:noWrap/>
            <w:vAlign w:val="bottom"/>
            <w:hideMark/>
          </w:tcPr>
          <w:p w14:paraId="058550E6" w14:textId="77777777" w:rsidR="00C93FAA" w:rsidRPr="00D618B7" w:rsidRDefault="00C93FAA" w:rsidP="004B11B7">
            <w:pPr>
              <w:rPr>
                <w:color w:val="000000"/>
              </w:rPr>
            </w:pPr>
            <w:r w:rsidRPr="00D618B7">
              <w:rPr>
                <w:color w:val="000000"/>
              </w:rPr>
              <w:t> </w:t>
            </w:r>
          </w:p>
        </w:tc>
        <w:tc>
          <w:tcPr>
            <w:tcW w:w="714" w:type="pct"/>
            <w:tcBorders>
              <w:top w:val="nil"/>
              <w:left w:val="nil"/>
              <w:bottom w:val="single" w:sz="8" w:space="0" w:color="auto"/>
              <w:right w:val="nil"/>
            </w:tcBorders>
            <w:shd w:val="clear" w:color="auto" w:fill="auto"/>
            <w:noWrap/>
            <w:vAlign w:val="bottom"/>
            <w:hideMark/>
          </w:tcPr>
          <w:p w14:paraId="667D3F60" w14:textId="77777777" w:rsidR="00C93FAA" w:rsidRPr="00D618B7" w:rsidRDefault="00C93FAA" w:rsidP="004B11B7">
            <w:pPr>
              <w:rPr>
                <w:color w:val="000000"/>
              </w:rPr>
            </w:pPr>
            <w:r w:rsidRPr="00D618B7">
              <w:rPr>
                <w:color w:val="000000"/>
              </w:rPr>
              <w:t> </w:t>
            </w:r>
          </w:p>
        </w:tc>
        <w:tc>
          <w:tcPr>
            <w:tcW w:w="714" w:type="pct"/>
            <w:tcBorders>
              <w:top w:val="nil"/>
              <w:left w:val="nil"/>
              <w:bottom w:val="single" w:sz="8" w:space="0" w:color="auto"/>
              <w:right w:val="nil"/>
            </w:tcBorders>
            <w:shd w:val="clear" w:color="auto" w:fill="auto"/>
            <w:noWrap/>
            <w:vAlign w:val="bottom"/>
            <w:hideMark/>
          </w:tcPr>
          <w:p w14:paraId="6DF54311" w14:textId="77777777" w:rsidR="00C93FAA" w:rsidRPr="00D618B7" w:rsidRDefault="00C93FAA" w:rsidP="004B11B7">
            <w:pPr>
              <w:rPr>
                <w:color w:val="000000"/>
              </w:rPr>
            </w:pPr>
            <w:r w:rsidRPr="00D618B7">
              <w:rPr>
                <w:color w:val="000000"/>
              </w:rPr>
              <w:t> </w:t>
            </w:r>
          </w:p>
        </w:tc>
      </w:tr>
      <w:tr w:rsidR="00C93FAA" w:rsidRPr="00D618B7" w14:paraId="14E227DB" w14:textId="77777777" w:rsidTr="004B11B7">
        <w:trPr>
          <w:trHeight w:val="325"/>
        </w:trPr>
        <w:tc>
          <w:tcPr>
            <w:tcW w:w="714" w:type="pct"/>
            <w:tcBorders>
              <w:top w:val="nil"/>
              <w:left w:val="nil"/>
              <w:bottom w:val="nil"/>
              <w:right w:val="nil"/>
            </w:tcBorders>
            <w:shd w:val="clear" w:color="000000" w:fill="FFFFFF"/>
            <w:vAlign w:val="center"/>
            <w:hideMark/>
          </w:tcPr>
          <w:p w14:paraId="2446E9EA" w14:textId="77777777" w:rsidR="00C93FAA" w:rsidRPr="00D618B7" w:rsidRDefault="00C93FAA" w:rsidP="004B11B7">
            <w:pPr>
              <w:jc w:val="center"/>
              <w:rPr>
                <w:color w:val="000000"/>
              </w:rPr>
            </w:pPr>
            <w:r w:rsidRPr="00D618B7">
              <w:rPr>
                <w:color w:val="000000"/>
              </w:rPr>
              <w:t>Week</w:t>
            </w:r>
          </w:p>
        </w:tc>
        <w:tc>
          <w:tcPr>
            <w:tcW w:w="1429" w:type="pct"/>
            <w:gridSpan w:val="2"/>
            <w:tcBorders>
              <w:top w:val="nil"/>
              <w:left w:val="nil"/>
              <w:bottom w:val="single" w:sz="8" w:space="0" w:color="auto"/>
              <w:right w:val="nil"/>
            </w:tcBorders>
            <w:shd w:val="clear" w:color="000000" w:fill="FFFFFF"/>
            <w:vAlign w:val="center"/>
            <w:hideMark/>
          </w:tcPr>
          <w:p w14:paraId="4F887FF6" w14:textId="77777777" w:rsidR="00C93FAA" w:rsidRPr="00D618B7" w:rsidRDefault="00C93FAA" w:rsidP="004B11B7">
            <w:pPr>
              <w:jc w:val="center"/>
              <w:rPr>
                <w:color w:val="000000"/>
              </w:rPr>
            </w:pPr>
            <w:r w:rsidRPr="00D618B7">
              <w:rPr>
                <w:color w:val="000000"/>
              </w:rPr>
              <w:t>Toy-out-of-Reach</w:t>
            </w:r>
          </w:p>
        </w:tc>
        <w:tc>
          <w:tcPr>
            <w:tcW w:w="1429" w:type="pct"/>
            <w:gridSpan w:val="2"/>
            <w:tcBorders>
              <w:top w:val="nil"/>
              <w:left w:val="nil"/>
              <w:bottom w:val="single" w:sz="8" w:space="0" w:color="auto"/>
              <w:right w:val="nil"/>
            </w:tcBorders>
            <w:shd w:val="clear" w:color="000000" w:fill="FFFFFF"/>
            <w:vAlign w:val="center"/>
            <w:hideMark/>
          </w:tcPr>
          <w:p w14:paraId="42A1E4EC" w14:textId="77777777" w:rsidR="00C93FAA" w:rsidRPr="00D618B7" w:rsidRDefault="00C93FAA" w:rsidP="004B11B7">
            <w:pPr>
              <w:jc w:val="center"/>
              <w:rPr>
                <w:color w:val="000000"/>
              </w:rPr>
            </w:pPr>
            <w:r w:rsidRPr="00D618B7">
              <w:rPr>
                <w:color w:val="000000"/>
              </w:rPr>
              <w:t xml:space="preserve">           Toy-Moving-into-Reach</w:t>
            </w:r>
          </w:p>
        </w:tc>
        <w:tc>
          <w:tcPr>
            <w:tcW w:w="1428" w:type="pct"/>
            <w:gridSpan w:val="2"/>
            <w:tcBorders>
              <w:top w:val="nil"/>
              <w:left w:val="nil"/>
              <w:bottom w:val="single" w:sz="8" w:space="0" w:color="auto"/>
              <w:right w:val="nil"/>
            </w:tcBorders>
            <w:shd w:val="clear" w:color="000000" w:fill="FFFFFF"/>
            <w:vAlign w:val="center"/>
            <w:hideMark/>
          </w:tcPr>
          <w:p w14:paraId="57D8026E" w14:textId="77777777" w:rsidR="00C93FAA" w:rsidRPr="00D618B7" w:rsidRDefault="00C93FAA" w:rsidP="004B11B7">
            <w:pPr>
              <w:jc w:val="center"/>
              <w:rPr>
                <w:color w:val="000000"/>
              </w:rPr>
            </w:pPr>
            <w:r w:rsidRPr="00D618B7">
              <w:rPr>
                <w:color w:val="000000"/>
              </w:rPr>
              <w:t>Toy-in-Reach</w:t>
            </w:r>
          </w:p>
        </w:tc>
      </w:tr>
      <w:tr w:rsidR="00C93FAA" w:rsidRPr="00D618B7" w14:paraId="2B4CD174" w14:textId="77777777" w:rsidTr="004B11B7">
        <w:trPr>
          <w:trHeight w:val="325"/>
        </w:trPr>
        <w:tc>
          <w:tcPr>
            <w:tcW w:w="714" w:type="pct"/>
            <w:tcBorders>
              <w:top w:val="nil"/>
              <w:left w:val="nil"/>
              <w:bottom w:val="single" w:sz="8" w:space="0" w:color="auto"/>
              <w:right w:val="nil"/>
            </w:tcBorders>
            <w:shd w:val="clear" w:color="000000" w:fill="FFFFFF"/>
            <w:noWrap/>
            <w:vAlign w:val="bottom"/>
            <w:hideMark/>
          </w:tcPr>
          <w:p w14:paraId="431FB3A2" w14:textId="77777777" w:rsidR="00C93FAA" w:rsidRPr="00D618B7" w:rsidRDefault="00C93FAA" w:rsidP="004B11B7">
            <w:pPr>
              <w:rPr>
                <w:color w:val="000000"/>
              </w:rPr>
            </w:pPr>
            <w:r w:rsidRPr="00D618B7">
              <w:rPr>
                <w:color w:val="000000"/>
              </w:rPr>
              <w:t> </w:t>
            </w:r>
          </w:p>
        </w:tc>
        <w:tc>
          <w:tcPr>
            <w:tcW w:w="714" w:type="pct"/>
            <w:tcBorders>
              <w:top w:val="nil"/>
              <w:left w:val="nil"/>
              <w:bottom w:val="single" w:sz="8" w:space="0" w:color="auto"/>
              <w:right w:val="nil"/>
            </w:tcBorders>
            <w:shd w:val="clear" w:color="000000" w:fill="FFFFFF"/>
            <w:noWrap/>
            <w:vAlign w:val="center"/>
            <w:hideMark/>
          </w:tcPr>
          <w:p w14:paraId="323B14BC" w14:textId="77777777" w:rsidR="00C93FAA" w:rsidRPr="00D618B7" w:rsidRDefault="00C93FAA" w:rsidP="004B11B7">
            <w:pPr>
              <w:jc w:val="right"/>
              <w:rPr>
                <w:color w:val="000000"/>
              </w:rPr>
            </w:pPr>
            <w:r w:rsidRPr="00D618B7">
              <w:rPr>
                <w:color w:val="000000"/>
              </w:rPr>
              <w:t>Mean</w:t>
            </w:r>
          </w:p>
        </w:tc>
        <w:tc>
          <w:tcPr>
            <w:tcW w:w="715" w:type="pct"/>
            <w:tcBorders>
              <w:top w:val="nil"/>
              <w:left w:val="nil"/>
              <w:bottom w:val="single" w:sz="8" w:space="0" w:color="auto"/>
              <w:right w:val="nil"/>
            </w:tcBorders>
            <w:shd w:val="clear" w:color="000000" w:fill="FFFFFF"/>
            <w:noWrap/>
            <w:vAlign w:val="center"/>
            <w:hideMark/>
          </w:tcPr>
          <w:p w14:paraId="1F9743B2" w14:textId="77777777" w:rsidR="00C93FAA" w:rsidRPr="00D618B7" w:rsidRDefault="00C93FAA" w:rsidP="004B11B7">
            <w:pPr>
              <w:jc w:val="right"/>
              <w:rPr>
                <w:color w:val="000000"/>
              </w:rPr>
            </w:pPr>
            <w:r w:rsidRPr="00D618B7">
              <w:rPr>
                <w:color w:val="000000"/>
              </w:rPr>
              <w:t>Std. Error</w:t>
            </w:r>
          </w:p>
        </w:tc>
        <w:tc>
          <w:tcPr>
            <w:tcW w:w="714" w:type="pct"/>
            <w:tcBorders>
              <w:top w:val="nil"/>
              <w:left w:val="nil"/>
              <w:bottom w:val="single" w:sz="8" w:space="0" w:color="auto"/>
              <w:right w:val="nil"/>
            </w:tcBorders>
            <w:shd w:val="clear" w:color="000000" w:fill="FFFFFF"/>
            <w:noWrap/>
            <w:vAlign w:val="center"/>
            <w:hideMark/>
          </w:tcPr>
          <w:p w14:paraId="090CBD83" w14:textId="77777777" w:rsidR="00C93FAA" w:rsidRPr="00D618B7" w:rsidRDefault="00C93FAA" w:rsidP="004B11B7">
            <w:pPr>
              <w:jc w:val="right"/>
              <w:rPr>
                <w:color w:val="000000"/>
              </w:rPr>
            </w:pPr>
            <w:r w:rsidRPr="00D618B7">
              <w:rPr>
                <w:color w:val="000000"/>
              </w:rPr>
              <w:t>Mean</w:t>
            </w:r>
          </w:p>
        </w:tc>
        <w:tc>
          <w:tcPr>
            <w:tcW w:w="715" w:type="pct"/>
            <w:tcBorders>
              <w:top w:val="nil"/>
              <w:left w:val="nil"/>
              <w:bottom w:val="single" w:sz="8" w:space="0" w:color="auto"/>
              <w:right w:val="nil"/>
            </w:tcBorders>
            <w:shd w:val="clear" w:color="000000" w:fill="FFFFFF"/>
            <w:noWrap/>
            <w:vAlign w:val="center"/>
            <w:hideMark/>
          </w:tcPr>
          <w:p w14:paraId="48CF06C2" w14:textId="77777777" w:rsidR="00C93FAA" w:rsidRPr="00D618B7" w:rsidRDefault="00C93FAA" w:rsidP="004B11B7">
            <w:pPr>
              <w:jc w:val="right"/>
              <w:rPr>
                <w:color w:val="000000"/>
              </w:rPr>
            </w:pPr>
            <w:r w:rsidRPr="00D618B7">
              <w:rPr>
                <w:color w:val="000000"/>
              </w:rPr>
              <w:t>Std. Error</w:t>
            </w:r>
          </w:p>
        </w:tc>
        <w:tc>
          <w:tcPr>
            <w:tcW w:w="714" w:type="pct"/>
            <w:tcBorders>
              <w:top w:val="nil"/>
              <w:left w:val="nil"/>
              <w:bottom w:val="single" w:sz="8" w:space="0" w:color="auto"/>
              <w:right w:val="nil"/>
            </w:tcBorders>
            <w:shd w:val="clear" w:color="000000" w:fill="FFFFFF"/>
            <w:noWrap/>
            <w:vAlign w:val="center"/>
            <w:hideMark/>
          </w:tcPr>
          <w:p w14:paraId="494314D8" w14:textId="77777777" w:rsidR="00C93FAA" w:rsidRPr="00D618B7" w:rsidRDefault="00C93FAA" w:rsidP="004B11B7">
            <w:pPr>
              <w:jc w:val="right"/>
              <w:rPr>
                <w:color w:val="000000"/>
              </w:rPr>
            </w:pPr>
            <w:r w:rsidRPr="00D618B7">
              <w:rPr>
                <w:color w:val="000000"/>
              </w:rPr>
              <w:t>Mean</w:t>
            </w:r>
          </w:p>
        </w:tc>
        <w:tc>
          <w:tcPr>
            <w:tcW w:w="714" w:type="pct"/>
            <w:tcBorders>
              <w:top w:val="nil"/>
              <w:left w:val="nil"/>
              <w:bottom w:val="single" w:sz="8" w:space="0" w:color="auto"/>
              <w:right w:val="nil"/>
            </w:tcBorders>
            <w:shd w:val="clear" w:color="000000" w:fill="FFFFFF"/>
            <w:noWrap/>
            <w:vAlign w:val="center"/>
            <w:hideMark/>
          </w:tcPr>
          <w:p w14:paraId="2D83908A" w14:textId="77777777" w:rsidR="00C93FAA" w:rsidRPr="00D618B7" w:rsidRDefault="00C93FAA" w:rsidP="004B11B7">
            <w:pPr>
              <w:jc w:val="right"/>
              <w:rPr>
                <w:color w:val="000000"/>
              </w:rPr>
            </w:pPr>
            <w:r w:rsidRPr="00D618B7">
              <w:rPr>
                <w:color w:val="000000"/>
              </w:rPr>
              <w:t>Std. Error</w:t>
            </w:r>
          </w:p>
        </w:tc>
      </w:tr>
      <w:tr w:rsidR="00C93FAA" w:rsidRPr="00D618B7" w14:paraId="46B3B9D3" w14:textId="77777777" w:rsidTr="004B11B7">
        <w:trPr>
          <w:trHeight w:val="325"/>
        </w:trPr>
        <w:tc>
          <w:tcPr>
            <w:tcW w:w="714" w:type="pct"/>
            <w:tcBorders>
              <w:top w:val="nil"/>
              <w:left w:val="nil"/>
              <w:bottom w:val="nil"/>
              <w:right w:val="nil"/>
            </w:tcBorders>
            <w:shd w:val="clear" w:color="000000" w:fill="FFFFFF"/>
            <w:noWrap/>
            <w:vAlign w:val="bottom"/>
            <w:hideMark/>
          </w:tcPr>
          <w:p w14:paraId="3D0C2861" w14:textId="77777777" w:rsidR="00C93FAA" w:rsidRPr="00D618B7" w:rsidRDefault="00C93FAA" w:rsidP="004B11B7">
            <w:pPr>
              <w:rPr>
                <w:color w:val="000000"/>
              </w:rPr>
            </w:pPr>
            <w:r w:rsidRPr="00D618B7">
              <w:rPr>
                <w:color w:val="000000"/>
              </w:rPr>
              <w:t> </w:t>
            </w:r>
          </w:p>
        </w:tc>
        <w:tc>
          <w:tcPr>
            <w:tcW w:w="4286" w:type="pct"/>
            <w:gridSpan w:val="6"/>
            <w:tcBorders>
              <w:top w:val="single" w:sz="8" w:space="0" w:color="auto"/>
              <w:left w:val="nil"/>
              <w:bottom w:val="nil"/>
              <w:right w:val="nil"/>
            </w:tcBorders>
            <w:shd w:val="clear" w:color="000000" w:fill="FFFFFF"/>
            <w:noWrap/>
            <w:vAlign w:val="center"/>
            <w:hideMark/>
          </w:tcPr>
          <w:p w14:paraId="1675F7E5" w14:textId="77777777" w:rsidR="00C93FAA" w:rsidRPr="00D618B7" w:rsidRDefault="00C93FAA" w:rsidP="004B11B7">
            <w:pPr>
              <w:jc w:val="center"/>
              <w:rPr>
                <w:color w:val="000000"/>
              </w:rPr>
            </w:pPr>
            <w:r w:rsidRPr="00D618B7">
              <w:rPr>
                <w:color w:val="000000"/>
              </w:rPr>
              <w:t>Early Reach Group</w:t>
            </w:r>
          </w:p>
        </w:tc>
      </w:tr>
      <w:tr w:rsidR="00C93FAA" w:rsidRPr="00D618B7" w14:paraId="30A03F89" w14:textId="77777777" w:rsidTr="004B11B7">
        <w:trPr>
          <w:trHeight w:val="325"/>
        </w:trPr>
        <w:tc>
          <w:tcPr>
            <w:tcW w:w="714" w:type="pct"/>
            <w:tcBorders>
              <w:top w:val="nil"/>
              <w:left w:val="nil"/>
              <w:bottom w:val="nil"/>
              <w:right w:val="nil"/>
            </w:tcBorders>
            <w:shd w:val="clear" w:color="000000" w:fill="FFFFFF"/>
            <w:vAlign w:val="center"/>
            <w:hideMark/>
          </w:tcPr>
          <w:p w14:paraId="77EC9EE1" w14:textId="77777777" w:rsidR="00C93FAA" w:rsidRPr="00D618B7" w:rsidRDefault="00C93FAA" w:rsidP="004B11B7">
            <w:pPr>
              <w:jc w:val="right"/>
              <w:rPr>
                <w:color w:val="000000"/>
              </w:rPr>
            </w:pPr>
            <w:r w:rsidRPr="00D618B7">
              <w:rPr>
                <w:color w:val="000000"/>
              </w:rPr>
              <w:t>-5</w:t>
            </w:r>
          </w:p>
        </w:tc>
        <w:tc>
          <w:tcPr>
            <w:tcW w:w="714" w:type="pct"/>
            <w:tcBorders>
              <w:top w:val="nil"/>
              <w:left w:val="nil"/>
              <w:bottom w:val="nil"/>
              <w:right w:val="nil"/>
            </w:tcBorders>
            <w:shd w:val="clear" w:color="000000" w:fill="FFFFFF"/>
            <w:noWrap/>
            <w:vAlign w:val="center"/>
            <w:hideMark/>
          </w:tcPr>
          <w:p w14:paraId="4B9805AA" w14:textId="77777777" w:rsidR="00C93FAA" w:rsidRPr="00D618B7" w:rsidRDefault="00C93FAA" w:rsidP="004B11B7">
            <w:pPr>
              <w:jc w:val="right"/>
              <w:rPr>
                <w:color w:val="000000"/>
              </w:rPr>
            </w:pPr>
            <w:r w:rsidRPr="00D618B7">
              <w:rPr>
                <w:color w:val="000000"/>
              </w:rPr>
              <w:t>22057.60</w:t>
            </w:r>
          </w:p>
        </w:tc>
        <w:tc>
          <w:tcPr>
            <w:tcW w:w="715" w:type="pct"/>
            <w:tcBorders>
              <w:top w:val="nil"/>
              <w:left w:val="nil"/>
              <w:bottom w:val="nil"/>
              <w:right w:val="nil"/>
            </w:tcBorders>
            <w:shd w:val="clear" w:color="000000" w:fill="FFFFFF"/>
            <w:noWrap/>
            <w:vAlign w:val="center"/>
            <w:hideMark/>
          </w:tcPr>
          <w:p w14:paraId="221E2234" w14:textId="77777777" w:rsidR="00C93FAA" w:rsidRPr="00D618B7" w:rsidRDefault="00C93FAA" w:rsidP="004B11B7">
            <w:pPr>
              <w:jc w:val="right"/>
              <w:rPr>
                <w:color w:val="000000"/>
              </w:rPr>
            </w:pPr>
            <w:r w:rsidRPr="00D618B7">
              <w:rPr>
                <w:color w:val="000000"/>
              </w:rPr>
              <w:t>3691.83</w:t>
            </w:r>
          </w:p>
        </w:tc>
        <w:tc>
          <w:tcPr>
            <w:tcW w:w="714" w:type="pct"/>
            <w:tcBorders>
              <w:top w:val="nil"/>
              <w:left w:val="nil"/>
              <w:bottom w:val="nil"/>
              <w:right w:val="nil"/>
            </w:tcBorders>
            <w:shd w:val="clear" w:color="000000" w:fill="FFFFFF"/>
            <w:noWrap/>
            <w:vAlign w:val="center"/>
            <w:hideMark/>
          </w:tcPr>
          <w:p w14:paraId="7912D764" w14:textId="77777777" w:rsidR="00C93FAA" w:rsidRPr="00D618B7" w:rsidRDefault="00C93FAA" w:rsidP="004B11B7">
            <w:pPr>
              <w:jc w:val="right"/>
              <w:rPr>
                <w:color w:val="000000"/>
              </w:rPr>
            </w:pPr>
            <w:r w:rsidRPr="00D618B7">
              <w:rPr>
                <w:color w:val="000000"/>
              </w:rPr>
              <w:t>8437.86</w:t>
            </w:r>
          </w:p>
        </w:tc>
        <w:tc>
          <w:tcPr>
            <w:tcW w:w="715" w:type="pct"/>
            <w:tcBorders>
              <w:top w:val="nil"/>
              <w:left w:val="nil"/>
              <w:bottom w:val="nil"/>
              <w:right w:val="nil"/>
            </w:tcBorders>
            <w:shd w:val="clear" w:color="000000" w:fill="FFFFFF"/>
            <w:noWrap/>
            <w:vAlign w:val="center"/>
            <w:hideMark/>
          </w:tcPr>
          <w:p w14:paraId="62DE0180" w14:textId="77777777" w:rsidR="00C93FAA" w:rsidRPr="00D618B7" w:rsidRDefault="00C93FAA" w:rsidP="004B11B7">
            <w:pPr>
              <w:jc w:val="right"/>
              <w:rPr>
                <w:color w:val="000000"/>
              </w:rPr>
            </w:pPr>
            <w:r w:rsidRPr="00D618B7">
              <w:rPr>
                <w:color w:val="000000"/>
              </w:rPr>
              <w:t>3330.43</w:t>
            </w:r>
          </w:p>
        </w:tc>
        <w:tc>
          <w:tcPr>
            <w:tcW w:w="714" w:type="pct"/>
            <w:tcBorders>
              <w:top w:val="nil"/>
              <w:left w:val="nil"/>
              <w:bottom w:val="nil"/>
              <w:right w:val="nil"/>
            </w:tcBorders>
            <w:shd w:val="clear" w:color="000000" w:fill="FFFFFF"/>
            <w:noWrap/>
            <w:vAlign w:val="center"/>
            <w:hideMark/>
          </w:tcPr>
          <w:p w14:paraId="79EC742C" w14:textId="77777777" w:rsidR="00C93FAA" w:rsidRPr="00D618B7" w:rsidRDefault="00C93FAA" w:rsidP="004B11B7">
            <w:pPr>
              <w:jc w:val="right"/>
              <w:rPr>
                <w:color w:val="000000"/>
              </w:rPr>
            </w:pPr>
            <w:r w:rsidRPr="00D618B7">
              <w:rPr>
                <w:color w:val="000000"/>
              </w:rPr>
              <w:t>7568.48</w:t>
            </w:r>
          </w:p>
        </w:tc>
        <w:tc>
          <w:tcPr>
            <w:tcW w:w="714" w:type="pct"/>
            <w:tcBorders>
              <w:top w:val="nil"/>
              <w:left w:val="nil"/>
              <w:bottom w:val="nil"/>
              <w:right w:val="nil"/>
            </w:tcBorders>
            <w:shd w:val="clear" w:color="000000" w:fill="FFFFFF"/>
            <w:noWrap/>
            <w:vAlign w:val="center"/>
            <w:hideMark/>
          </w:tcPr>
          <w:p w14:paraId="7F31B2AB" w14:textId="77777777" w:rsidR="00C93FAA" w:rsidRPr="00D618B7" w:rsidRDefault="00C93FAA" w:rsidP="004B11B7">
            <w:pPr>
              <w:jc w:val="right"/>
              <w:rPr>
                <w:color w:val="000000"/>
              </w:rPr>
            </w:pPr>
            <w:r w:rsidRPr="00D618B7">
              <w:rPr>
                <w:color w:val="000000"/>
              </w:rPr>
              <w:t>1193.39</w:t>
            </w:r>
          </w:p>
        </w:tc>
      </w:tr>
      <w:tr w:rsidR="00C93FAA" w:rsidRPr="00D618B7" w14:paraId="3C3EB47A" w14:textId="77777777" w:rsidTr="004B11B7">
        <w:trPr>
          <w:trHeight w:val="325"/>
        </w:trPr>
        <w:tc>
          <w:tcPr>
            <w:tcW w:w="714" w:type="pct"/>
            <w:tcBorders>
              <w:top w:val="nil"/>
              <w:left w:val="nil"/>
              <w:bottom w:val="nil"/>
              <w:right w:val="nil"/>
            </w:tcBorders>
            <w:shd w:val="clear" w:color="000000" w:fill="FFFFFF"/>
            <w:vAlign w:val="center"/>
            <w:hideMark/>
          </w:tcPr>
          <w:p w14:paraId="0EB23686" w14:textId="77777777" w:rsidR="00C93FAA" w:rsidRPr="00D618B7" w:rsidRDefault="00C93FAA"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65E27EA8" w14:textId="77777777" w:rsidR="00C93FAA" w:rsidRPr="00D618B7" w:rsidRDefault="00C93FAA" w:rsidP="004B11B7">
            <w:pPr>
              <w:jc w:val="right"/>
              <w:rPr>
                <w:color w:val="000000"/>
              </w:rPr>
            </w:pPr>
            <w:r w:rsidRPr="00D618B7">
              <w:rPr>
                <w:color w:val="000000"/>
              </w:rPr>
              <w:t>-2651.89</w:t>
            </w:r>
          </w:p>
        </w:tc>
        <w:tc>
          <w:tcPr>
            <w:tcW w:w="715" w:type="pct"/>
            <w:tcBorders>
              <w:top w:val="nil"/>
              <w:left w:val="nil"/>
              <w:bottom w:val="nil"/>
              <w:right w:val="nil"/>
            </w:tcBorders>
            <w:shd w:val="clear" w:color="000000" w:fill="FFFFFF"/>
            <w:noWrap/>
            <w:vAlign w:val="center"/>
            <w:hideMark/>
          </w:tcPr>
          <w:p w14:paraId="3D21D3EA" w14:textId="77777777" w:rsidR="00C93FAA" w:rsidRPr="00D618B7" w:rsidRDefault="00C93FAA" w:rsidP="004B11B7">
            <w:pPr>
              <w:jc w:val="right"/>
              <w:rPr>
                <w:color w:val="000000"/>
              </w:rPr>
            </w:pPr>
            <w:r w:rsidRPr="00D618B7">
              <w:rPr>
                <w:color w:val="000000"/>
              </w:rPr>
              <w:t>1665.02</w:t>
            </w:r>
          </w:p>
        </w:tc>
        <w:tc>
          <w:tcPr>
            <w:tcW w:w="714" w:type="pct"/>
            <w:tcBorders>
              <w:top w:val="nil"/>
              <w:left w:val="nil"/>
              <w:bottom w:val="nil"/>
              <w:right w:val="nil"/>
            </w:tcBorders>
            <w:shd w:val="clear" w:color="000000" w:fill="FFFFFF"/>
            <w:noWrap/>
            <w:vAlign w:val="center"/>
            <w:hideMark/>
          </w:tcPr>
          <w:p w14:paraId="55CB8C87" w14:textId="77777777" w:rsidR="00C93FAA" w:rsidRPr="00D618B7" w:rsidRDefault="00C93FAA" w:rsidP="004B11B7">
            <w:pPr>
              <w:jc w:val="right"/>
              <w:rPr>
                <w:color w:val="000000"/>
              </w:rPr>
            </w:pPr>
            <w:r w:rsidRPr="00D618B7">
              <w:rPr>
                <w:color w:val="000000"/>
              </w:rPr>
              <w:t>-6095.57</w:t>
            </w:r>
          </w:p>
        </w:tc>
        <w:tc>
          <w:tcPr>
            <w:tcW w:w="715" w:type="pct"/>
            <w:tcBorders>
              <w:top w:val="nil"/>
              <w:left w:val="nil"/>
              <w:bottom w:val="nil"/>
              <w:right w:val="nil"/>
            </w:tcBorders>
            <w:shd w:val="clear" w:color="000000" w:fill="FFFFFF"/>
            <w:noWrap/>
            <w:vAlign w:val="center"/>
            <w:hideMark/>
          </w:tcPr>
          <w:p w14:paraId="7CDAECAF" w14:textId="77777777" w:rsidR="00C93FAA" w:rsidRPr="00D618B7" w:rsidRDefault="00C93FAA" w:rsidP="004B11B7">
            <w:pPr>
              <w:jc w:val="right"/>
              <w:rPr>
                <w:color w:val="000000"/>
              </w:rPr>
            </w:pPr>
            <w:r w:rsidRPr="00D618B7">
              <w:rPr>
                <w:color w:val="000000"/>
              </w:rPr>
              <w:t>2119.36</w:t>
            </w:r>
          </w:p>
        </w:tc>
        <w:tc>
          <w:tcPr>
            <w:tcW w:w="714" w:type="pct"/>
            <w:tcBorders>
              <w:top w:val="nil"/>
              <w:left w:val="nil"/>
              <w:bottom w:val="nil"/>
              <w:right w:val="nil"/>
            </w:tcBorders>
            <w:shd w:val="clear" w:color="000000" w:fill="FFFFFF"/>
            <w:noWrap/>
            <w:vAlign w:val="center"/>
            <w:hideMark/>
          </w:tcPr>
          <w:p w14:paraId="75B6E703" w14:textId="77777777" w:rsidR="00C93FAA" w:rsidRPr="00D618B7" w:rsidRDefault="00C93FAA" w:rsidP="004B11B7">
            <w:pPr>
              <w:jc w:val="right"/>
              <w:rPr>
                <w:color w:val="000000"/>
              </w:rPr>
            </w:pPr>
            <w:r w:rsidRPr="00D618B7">
              <w:rPr>
                <w:color w:val="000000"/>
              </w:rPr>
              <w:t>1110.03</w:t>
            </w:r>
          </w:p>
        </w:tc>
        <w:tc>
          <w:tcPr>
            <w:tcW w:w="714" w:type="pct"/>
            <w:tcBorders>
              <w:top w:val="nil"/>
              <w:left w:val="nil"/>
              <w:bottom w:val="nil"/>
              <w:right w:val="nil"/>
            </w:tcBorders>
            <w:shd w:val="clear" w:color="000000" w:fill="FFFFFF"/>
            <w:noWrap/>
            <w:vAlign w:val="center"/>
            <w:hideMark/>
          </w:tcPr>
          <w:p w14:paraId="04C95E99" w14:textId="77777777" w:rsidR="00C93FAA" w:rsidRPr="00D618B7" w:rsidRDefault="00C93FAA" w:rsidP="004B11B7">
            <w:pPr>
              <w:jc w:val="right"/>
              <w:rPr>
                <w:color w:val="000000"/>
              </w:rPr>
            </w:pPr>
            <w:r w:rsidRPr="00D618B7">
              <w:rPr>
                <w:color w:val="000000"/>
              </w:rPr>
              <w:t>1921.27</w:t>
            </w:r>
          </w:p>
        </w:tc>
      </w:tr>
      <w:tr w:rsidR="00C93FAA" w:rsidRPr="00D618B7" w14:paraId="113FD2C8" w14:textId="77777777" w:rsidTr="004B11B7">
        <w:trPr>
          <w:trHeight w:val="325"/>
        </w:trPr>
        <w:tc>
          <w:tcPr>
            <w:tcW w:w="714" w:type="pct"/>
            <w:tcBorders>
              <w:top w:val="nil"/>
              <w:left w:val="nil"/>
              <w:bottom w:val="nil"/>
              <w:right w:val="nil"/>
            </w:tcBorders>
            <w:shd w:val="clear" w:color="000000" w:fill="FFFFFF"/>
            <w:vAlign w:val="center"/>
            <w:hideMark/>
          </w:tcPr>
          <w:p w14:paraId="4C9E7C32" w14:textId="77777777" w:rsidR="00C93FAA" w:rsidRPr="00D618B7" w:rsidRDefault="00C93FAA"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770F55C4" w14:textId="77777777" w:rsidR="00C93FAA" w:rsidRPr="00D618B7" w:rsidRDefault="00C93FAA" w:rsidP="004B11B7">
            <w:pPr>
              <w:jc w:val="right"/>
              <w:rPr>
                <w:color w:val="000000"/>
              </w:rPr>
            </w:pPr>
            <w:r w:rsidRPr="00D618B7">
              <w:rPr>
                <w:color w:val="000000"/>
              </w:rPr>
              <w:t>14731.11</w:t>
            </w:r>
          </w:p>
        </w:tc>
        <w:tc>
          <w:tcPr>
            <w:tcW w:w="715" w:type="pct"/>
            <w:tcBorders>
              <w:top w:val="nil"/>
              <w:left w:val="nil"/>
              <w:bottom w:val="nil"/>
              <w:right w:val="nil"/>
            </w:tcBorders>
            <w:shd w:val="clear" w:color="000000" w:fill="FFFFFF"/>
            <w:noWrap/>
            <w:vAlign w:val="center"/>
            <w:hideMark/>
          </w:tcPr>
          <w:p w14:paraId="225A249C" w14:textId="77777777" w:rsidR="00C93FAA" w:rsidRPr="00D618B7" w:rsidRDefault="00C93FAA" w:rsidP="004B11B7">
            <w:pPr>
              <w:jc w:val="right"/>
              <w:rPr>
                <w:color w:val="000000"/>
              </w:rPr>
            </w:pPr>
            <w:r w:rsidRPr="00D618B7">
              <w:rPr>
                <w:color w:val="000000"/>
              </w:rPr>
              <w:t>6037.49</w:t>
            </w:r>
          </w:p>
        </w:tc>
        <w:tc>
          <w:tcPr>
            <w:tcW w:w="714" w:type="pct"/>
            <w:tcBorders>
              <w:top w:val="nil"/>
              <w:left w:val="nil"/>
              <w:bottom w:val="nil"/>
              <w:right w:val="nil"/>
            </w:tcBorders>
            <w:shd w:val="clear" w:color="000000" w:fill="FFFFFF"/>
            <w:noWrap/>
            <w:vAlign w:val="center"/>
            <w:hideMark/>
          </w:tcPr>
          <w:p w14:paraId="773B376E" w14:textId="77777777" w:rsidR="00C93FAA" w:rsidRPr="00D618B7" w:rsidRDefault="00C93FAA" w:rsidP="004B11B7">
            <w:pPr>
              <w:jc w:val="right"/>
              <w:rPr>
                <w:color w:val="000000"/>
              </w:rPr>
            </w:pPr>
            <w:r w:rsidRPr="00D618B7">
              <w:rPr>
                <w:color w:val="000000"/>
              </w:rPr>
              <w:t>1259.40</w:t>
            </w:r>
          </w:p>
        </w:tc>
        <w:tc>
          <w:tcPr>
            <w:tcW w:w="715" w:type="pct"/>
            <w:tcBorders>
              <w:top w:val="nil"/>
              <w:left w:val="nil"/>
              <w:bottom w:val="nil"/>
              <w:right w:val="nil"/>
            </w:tcBorders>
            <w:shd w:val="clear" w:color="000000" w:fill="FFFFFF"/>
            <w:noWrap/>
            <w:vAlign w:val="center"/>
            <w:hideMark/>
          </w:tcPr>
          <w:p w14:paraId="35CA7118" w14:textId="77777777" w:rsidR="00C93FAA" w:rsidRPr="00D618B7" w:rsidRDefault="00C93FAA" w:rsidP="004B11B7">
            <w:pPr>
              <w:jc w:val="right"/>
              <w:rPr>
                <w:color w:val="000000"/>
              </w:rPr>
            </w:pPr>
            <w:r w:rsidRPr="00D618B7">
              <w:rPr>
                <w:color w:val="000000"/>
              </w:rPr>
              <w:t>1440.17</w:t>
            </w:r>
          </w:p>
        </w:tc>
        <w:tc>
          <w:tcPr>
            <w:tcW w:w="714" w:type="pct"/>
            <w:tcBorders>
              <w:top w:val="nil"/>
              <w:left w:val="nil"/>
              <w:bottom w:val="nil"/>
              <w:right w:val="nil"/>
            </w:tcBorders>
            <w:shd w:val="clear" w:color="000000" w:fill="FFFFFF"/>
            <w:noWrap/>
            <w:vAlign w:val="center"/>
            <w:hideMark/>
          </w:tcPr>
          <w:p w14:paraId="3261828E" w14:textId="77777777" w:rsidR="00C93FAA" w:rsidRPr="00D618B7" w:rsidRDefault="00C93FAA" w:rsidP="004B11B7">
            <w:pPr>
              <w:jc w:val="right"/>
              <w:rPr>
                <w:color w:val="000000"/>
              </w:rPr>
            </w:pPr>
            <w:r w:rsidRPr="00D618B7">
              <w:rPr>
                <w:color w:val="000000"/>
              </w:rPr>
              <w:t>13075.82</w:t>
            </w:r>
          </w:p>
        </w:tc>
        <w:tc>
          <w:tcPr>
            <w:tcW w:w="714" w:type="pct"/>
            <w:tcBorders>
              <w:top w:val="nil"/>
              <w:left w:val="nil"/>
              <w:bottom w:val="nil"/>
              <w:right w:val="nil"/>
            </w:tcBorders>
            <w:shd w:val="clear" w:color="000000" w:fill="FFFFFF"/>
            <w:noWrap/>
            <w:vAlign w:val="center"/>
            <w:hideMark/>
          </w:tcPr>
          <w:p w14:paraId="61DA5D72" w14:textId="77777777" w:rsidR="00C93FAA" w:rsidRPr="00D618B7" w:rsidRDefault="00C93FAA" w:rsidP="004B11B7">
            <w:pPr>
              <w:jc w:val="right"/>
              <w:rPr>
                <w:color w:val="000000"/>
              </w:rPr>
            </w:pPr>
            <w:r w:rsidRPr="00D618B7">
              <w:rPr>
                <w:color w:val="000000"/>
              </w:rPr>
              <w:t>7626.68</w:t>
            </w:r>
          </w:p>
        </w:tc>
      </w:tr>
      <w:tr w:rsidR="00C93FAA" w:rsidRPr="00D618B7" w14:paraId="2BEF91F0" w14:textId="77777777" w:rsidTr="004B11B7">
        <w:trPr>
          <w:trHeight w:val="325"/>
        </w:trPr>
        <w:tc>
          <w:tcPr>
            <w:tcW w:w="714" w:type="pct"/>
            <w:tcBorders>
              <w:top w:val="nil"/>
              <w:left w:val="nil"/>
              <w:bottom w:val="nil"/>
              <w:right w:val="nil"/>
            </w:tcBorders>
            <w:shd w:val="clear" w:color="000000" w:fill="FFFFFF"/>
            <w:vAlign w:val="center"/>
            <w:hideMark/>
          </w:tcPr>
          <w:p w14:paraId="5885F981" w14:textId="77777777" w:rsidR="00C93FAA" w:rsidRPr="00D618B7" w:rsidRDefault="00C93FAA"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26C1A235" w14:textId="77777777" w:rsidR="00C93FAA" w:rsidRPr="00D618B7" w:rsidRDefault="00C93FAA" w:rsidP="004B11B7">
            <w:pPr>
              <w:jc w:val="right"/>
              <w:rPr>
                <w:color w:val="000000"/>
              </w:rPr>
            </w:pPr>
            <w:r w:rsidRPr="00D618B7">
              <w:rPr>
                <w:color w:val="000000"/>
              </w:rPr>
              <w:t>5874.65</w:t>
            </w:r>
          </w:p>
        </w:tc>
        <w:tc>
          <w:tcPr>
            <w:tcW w:w="715" w:type="pct"/>
            <w:tcBorders>
              <w:top w:val="nil"/>
              <w:left w:val="nil"/>
              <w:bottom w:val="nil"/>
              <w:right w:val="nil"/>
            </w:tcBorders>
            <w:shd w:val="clear" w:color="000000" w:fill="FFFFFF"/>
            <w:noWrap/>
            <w:vAlign w:val="center"/>
            <w:hideMark/>
          </w:tcPr>
          <w:p w14:paraId="6D7884A6" w14:textId="77777777" w:rsidR="00C93FAA" w:rsidRPr="00D618B7" w:rsidRDefault="00C93FAA" w:rsidP="004B11B7">
            <w:pPr>
              <w:jc w:val="right"/>
              <w:rPr>
                <w:color w:val="000000"/>
              </w:rPr>
            </w:pPr>
            <w:r w:rsidRPr="00D618B7">
              <w:rPr>
                <w:color w:val="000000"/>
              </w:rPr>
              <w:t>3425.30</w:t>
            </w:r>
          </w:p>
        </w:tc>
        <w:tc>
          <w:tcPr>
            <w:tcW w:w="714" w:type="pct"/>
            <w:tcBorders>
              <w:top w:val="nil"/>
              <w:left w:val="nil"/>
              <w:bottom w:val="nil"/>
              <w:right w:val="nil"/>
            </w:tcBorders>
            <w:shd w:val="clear" w:color="000000" w:fill="FFFFFF"/>
            <w:noWrap/>
            <w:vAlign w:val="center"/>
            <w:hideMark/>
          </w:tcPr>
          <w:p w14:paraId="4385B364" w14:textId="77777777" w:rsidR="00C93FAA" w:rsidRPr="00D618B7" w:rsidRDefault="00C93FAA" w:rsidP="004B11B7">
            <w:pPr>
              <w:jc w:val="right"/>
              <w:rPr>
                <w:color w:val="000000"/>
              </w:rPr>
            </w:pPr>
            <w:r w:rsidRPr="00D618B7">
              <w:rPr>
                <w:color w:val="000000"/>
              </w:rPr>
              <w:t>-2307.45</w:t>
            </w:r>
          </w:p>
        </w:tc>
        <w:tc>
          <w:tcPr>
            <w:tcW w:w="715" w:type="pct"/>
            <w:tcBorders>
              <w:top w:val="nil"/>
              <w:left w:val="nil"/>
              <w:bottom w:val="nil"/>
              <w:right w:val="nil"/>
            </w:tcBorders>
            <w:shd w:val="clear" w:color="000000" w:fill="FFFFFF"/>
            <w:noWrap/>
            <w:vAlign w:val="center"/>
            <w:hideMark/>
          </w:tcPr>
          <w:p w14:paraId="7B3FCA22" w14:textId="77777777" w:rsidR="00C93FAA" w:rsidRPr="00D618B7" w:rsidRDefault="00C93FAA" w:rsidP="004B11B7">
            <w:pPr>
              <w:jc w:val="right"/>
              <w:rPr>
                <w:color w:val="000000"/>
              </w:rPr>
            </w:pPr>
            <w:r w:rsidRPr="00D618B7">
              <w:rPr>
                <w:color w:val="000000"/>
              </w:rPr>
              <w:t>590.45</w:t>
            </w:r>
          </w:p>
        </w:tc>
        <w:tc>
          <w:tcPr>
            <w:tcW w:w="714" w:type="pct"/>
            <w:tcBorders>
              <w:top w:val="nil"/>
              <w:left w:val="nil"/>
              <w:bottom w:val="nil"/>
              <w:right w:val="nil"/>
            </w:tcBorders>
            <w:shd w:val="clear" w:color="000000" w:fill="FFFFFF"/>
            <w:noWrap/>
            <w:vAlign w:val="center"/>
            <w:hideMark/>
          </w:tcPr>
          <w:p w14:paraId="593A6D24" w14:textId="77777777" w:rsidR="00C93FAA" w:rsidRPr="00D618B7" w:rsidRDefault="00C93FAA" w:rsidP="004B11B7">
            <w:pPr>
              <w:jc w:val="right"/>
              <w:rPr>
                <w:color w:val="000000"/>
              </w:rPr>
            </w:pPr>
            <w:r w:rsidRPr="00D618B7">
              <w:rPr>
                <w:color w:val="000000"/>
              </w:rPr>
              <w:t>12023.42</w:t>
            </w:r>
          </w:p>
        </w:tc>
        <w:tc>
          <w:tcPr>
            <w:tcW w:w="714" w:type="pct"/>
            <w:tcBorders>
              <w:top w:val="nil"/>
              <w:left w:val="nil"/>
              <w:bottom w:val="nil"/>
              <w:right w:val="nil"/>
            </w:tcBorders>
            <w:shd w:val="clear" w:color="000000" w:fill="FFFFFF"/>
            <w:noWrap/>
            <w:vAlign w:val="center"/>
            <w:hideMark/>
          </w:tcPr>
          <w:p w14:paraId="3179E269" w14:textId="77777777" w:rsidR="00C93FAA" w:rsidRPr="00D618B7" w:rsidRDefault="00C93FAA" w:rsidP="004B11B7">
            <w:pPr>
              <w:jc w:val="right"/>
              <w:rPr>
                <w:color w:val="000000"/>
              </w:rPr>
            </w:pPr>
            <w:r w:rsidRPr="00D618B7">
              <w:rPr>
                <w:color w:val="000000"/>
              </w:rPr>
              <w:t>6813.88</w:t>
            </w:r>
          </w:p>
        </w:tc>
      </w:tr>
      <w:tr w:rsidR="00C93FAA" w:rsidRPr="00D618B7" w14:paraId="555D1CFA" w14:textId="77777777" w:rsidTr="004B11B7">
        <w:trPr>
          <w:trHeight w:val="325"/>
        </w:trPr>
        <w:tc>
          <w:tcPr>
            <w:tcW w:w="714" w:type="pct"/>
            <w:tcBorders>
              <w:top w:val="nil"/>
              <w:left w:val="nil"/>
              <w:bottom w:val="nil"/>
              <w:right w:val="nil"/>
            </w:tcBorders>
            <w:shd w:val="clear" w:color="000000" w:fill="FFFFFF"/>
            <w:vAlign w:val="center"/>
            <w:hideMark/>
          </w:tcPr>
          <w:p w14:paraId="20BE7C15" w14:textId="77777777" w:rsidR="00C93FAA" w:rsidRPr="00D618B7" w:rsidRDefault="00C93FAA"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46AAE794" w14:textId="77777777" w:rsidR="00C93FAA" w:rsidRPr="00D618B7" w:rsidRDefault="00C93FAA" w:rsidP="004B11B7">
            <w:pPr>
              <w:jc w:val="right"/>
              <w:rPr>
                <w:color w:val="000000"/>
              </w:rPr>
            </w:pPr>
            <w:r w:rsidRPr="00D618B7">
              <w:rPr>
                <w:color w:val="000000"/>
              </w:rPr>
              <w:t>20909.45</w:t>
            </w:r>
          </w:p>
        </w:tc>
        <w:tc>
          <w:tcPr>
            <w:tcW w:w="715" w:type="pct"/>
            <w:tcBorders>
              <w:top w:val="nil"/>
              <w:left w:val="nil"/>
              <w:bottom w:val="nil"/>
              <w:right w:val="nil"/>
            </w:tcBorders>
            <w:shd w:val="clear" w:color="000000" w:fill="FFFFFF"/>
            <w:noWrap/>
            <w:vAlign w:val="center"/>
            <w:hideMark/>
          </w:tcPr>
          <w:p w14:paraId="2582EA37" w14:textId="77777777" w:rsidR="00C93FAA" w:rsidRPr="00D618B7" w:rsidRDefault="00C93FAA" w:rsidP="004B11B7">
            <w:pPr>
              <w:jc w:val="right"/>
              <w:rPr>
                <w:color w:val="000000"/>
              </w:rPr>
            </w:pPr>
            <w:r w:rsidRPr="00D618B7">
              <w:rPr>
                <w:color w:val="000000"/>
              </w:rPr>
              <w:t>4873.75</w:t>
            </w:r>
          </w:p>
        </w:tc>
        <w:tc>
          <w:tcPr>
            <w:tcW w:w="714" w:type="pct"/>
            <w:tcBorders>
              <w:top w:val="nil"/>
              <w:left w:val="nil"/>
              <w:bottom w:val="nil"/>
              <w:right w:val="nil"/>
            </w:tcBorders>
            <w:shd w:val="clear" w:color="000000" w:fill="FFFFFF"/>
            <w:noWrap/>
            <w:vAlign w:val="center"/>
            <w:hideMark/>
          </w:tcPr>
          <w:p w14:paraId="2A600477" w14:textId="77777777" w:rsidR="00C93FAA" w:rsidRPr="00D618B7" w:rsidRDefault="00C93FAA" w:rsidP="004B11B7">
            <w:pPr>
              <w:jc w:val="right"/>
              <w:rPr>
                <w:color w:val="000000"/>
              </w:rPr>
            </w:pPr>
            <w:r w:rsidRPr="00D618B7">
              <w:rPr>
                <w:color w:val="000000"/>
              </w:rPr>
              <w:t>12179.42</w:t>
            </w:r>
          </w:p>
        </w:tc>
        <w:tc>
          <w:tcPr>
            <w:tcW w:w="715" w:type="pct"/>
            <w:tcBorders>
              <w:top w:val="nil"/>
              <w:left w:val="nil"/>
              <w:bottom w:val="nil"/>
              <w:right w:val="nil"/>
            </w:tcBorders>
            <w:shd w:val="clear" w:color="000000" w:fill="FFFFFF"/>
            <w:noWrap/>
            <w:vAlign w:val="center"/>
            <w:hideMark/>
          </w:tcPr>
          <w:p w14:paraId="409823D2" w14:textId="77777777" w:rsidR="00C93FAA" w:rsidRPr="00D618B7" w:rsidRDefault="00C93FAA" w:rsidP="004B11B7">
            <w:pPr>
              <w:jc w:val="right"/>
              <w:rPr>
                <w:color w:val="000000"/>
              </w:rPr>
            </w:pPr>
            <w:r w:rsidRPr="00D618B7">
              <w:rPr>
                <w:color w:val="000000"/>
              </w:rPr>
              <w:t>4447.21</w:t>
            </w:r>
          </w:p>
        </w:tc>
        <w:tc>
          <w:tcPr>
            <w:tcW w:w="714" w:type="pct"/>
            <w:tcBorders>
              <w:top w:val="nil"/>
              <w:left w:val="nil"/>
              <w:bottom w:val="nil"/>
              <w:right w:val="nil"/>
            </w:tcBorders>
            <w:shd w:val="clear" w:color="000000" w:fill="FFFFFF"/>
            <w:noWrap/>
            <w:vAlign w:val="center"/>
            <w:hideMark/>
          </w:tcPr>
          <w:p w14:paraId="27A2F9EB" w14:textId="77777777" w:rsidR="00C93FAA" w:rsidRPr="00D618B7" w:rsidRDefault="00C93FAA" w:rsidP="004B11B7">
            <w:pPr>
              <w:jc w:val="right"/>
              <w:rPr>
                <w:color w:val="000000"/>
              </w:rPr>
            </w:pPr>
            <w:r w:rsidRPr="00D618B7">
              <w:rPr>
                <w:color w:val="000000"/>
              </w:rPr>
              <w:t>19542.52</w:t>
            </w:r>
          </w:p>
        </w:tc>
        <w:tc>
          <w:tcPr>
            <w:tcW w:w="714" w:type="pct"/>
            <w:tcBorders>
              <w:top w:val="nil"/>
              <w:left w:val="nil"/>
              <w:bottom w:val="nil"/>
              <w:right w:val="nil"/>
            </w:tcBorders>
            <w:shd w:val="clear" w:color="000000" w:fill="FFFFFF"/>
            <w:noWrap/>
            <w:vAlign w:val="center"/>
            <w:hideMark/>
          </w:tcPr>
          <w:p w14:paraId="325A82EA" w14:textId="77777777" w:rsidR="00C93FAA" w:rsidRPr="00D618B7" w:rsidRDefault="00C93FAA" w:rsidP="004B11B7">
            <w:pPr>
              <w:jc w:val="right"/>
              <w:rPr>
                <w:color w:val="000000"/>
              </w:rPr>
            </w:pPr>
            <w:r w:rsidRPr="00D618B7">
              <w:rPr>
                <w:color w:val="000000"/>
              </w:rPr>
              <w:t>9593.21</w:t>
            </w:r>
          </w:p>
        </w:tc>
      </w:tr>
      <w:tr w:rsidR="00C93FAA" w:rsidRPr="00D618B7" w14:paraId="41EBD26C" w14:textId="77777777" w:rsidTr="004B11B7">
        <w:trPr>
          <w:trHeight w:val="325"/>
        </w:trPr>
        <w:tc>
          <w:tcPr>
            <w:tcW w:w="714" w:type="pct"/>
            <w:tcBorders>
              <w:top w:val="nil"/>
              <w:left w:val="nil"/>
              <w:bottom w:val="nil"/>
              <w:right w:val="nil"/>
            </w:tcBorders>
            <w:shd w:val="clear" w:color="000000" w:fill="FFFFFF"/>
            <w:vAlign w:val="center"/>
            <w:hideMark/>
          </w:tcPr>
          <w:p w14:paraId="702D9815" w14:textId="77777777" w:rsidR="00C93FAA" w:rsidRPr="00D618B7" w:rsidRDefault="00C93FAA" w:rsidP="004B11B7">
            <w:pPr>
              <w:jc w:val="right"/>
              <w:rPr>
                <w:color w:val="000000"/>
              </w:rPr>
            </w:pPr>
            <w:r w:rsidRPr="00D618B7">
              <w:rPr>
                <w:color w:val="000000"/>
              </w:rPr>
              <w:t>0</w:t>
            </w:r>
          </w:p>
        </w:tc>
        <w:tc>
          <w:tcPr>
            <w:tcW w:w="714" w:type="pct"/>
            <w:tcBorders>
              <w:top w:val="nil"/>
              <w:left w:val="nil"/>
              <w:bottom w:val="nil"/>
              <w:right w:val="nil"/>
            </w:tcBorders>
            <w:shd w:val="clear" w:color="000000" w:fill="FFFFFF"/>
            <w:noWrap/>
            <w:vAlign w:val="center"/>
            <w:hideMark/>
          </w:tcPr>
          <w:p w14:paraId="203041BC" w14:textId="77777777" w:rsidR="00C93FAA" w:rsidRPr="00D618B7" w:rsidRDefault="00C93FAA" w:rsidP="004B11B7">
            <w:pPr>
              <w:jc w:val="right"/>
              <w:rPr>
                <w:color w:val="000000"/>
              </w:rPr>
            </w:pPr>
            <w:r w:rsidRPr="00D618B7">
              <w:rPr>
                <w:color w:val="000000"/>
              </w:rPr>
              <w:t>13665.44</w:t>
            </w:r>
          </w:p>
        </w:tc>
        <w:tc>
          <w:tcPr>
            <w:tcW w:w="715" w:type="pct"/>
            <w:tcBorders>
              <w:top w:val="nil"/>
              <w:left w:val="nil"/>
              <w:bottom w:val="nil"/>
              <w:right w:val="nil"/>
            </w:tcBorders>
            <w:shd w:val="clear" w:color="000000" w:fill="FFFFFF"/>
            <w:noWrap/>
            <w:vAlign w:val="center"/>
            <w:hideMark/>
          </w:tcPr>
          <w:p w14:paraId="7656968C" w14:textId="77777777" w:rsidR="00C93FAA" w:rsidRPr="00D618B7" w:rsidRDefault="00C93FAA" w:rsidP="004B11B7">
            <w:pPr>
              <w:jc w:val="right"/>
              <w:rPr>
                <w:color w:val="000000"/>
              </w:rPr>
            </w:pPr>
            <w:r w:rsidRPr="00D618B7">
              <w:rPr>
                <w:color w:val="000000"/>
              </w:rPr>
              <w:t>9331.63</w:t>
            </w:r>
          </w:p>
        </w:tc>
        <w:tc>
          <w:tcPr>
            <w:tcW w:w="714" w:type="pct"/>
            <w:tcBorders>
              <w:top w:val="nil"/>
              <w:left w:val="nil"/>
              <w:bottom w:val="nil"/>
              <w:right w:val="nil"/>
            </w:tcBorders>
            <w:shd w:val="clear" w:color="000000" w:fill="FFFFFF"/>
            <w:noWrap/>
            <w:vAlign w:val="center"/>
            <w:hideMark/>
          </w:tcPr>
          <w:p w14:paraId="72DA5D1C" w14:textId="77777777" w:rsidR="00C93FAA" w:rsidRPr="00D618B7" w:rsidRDefault="00C93FAA" w:rsidP="004B11B7">
            <w:pPr>
              <w:jc w:val="right"/>
              <w:rPr>
                <w:color w:val="000000"/>
              </w:rPr>
            </w:pPr>
            <w:r w:rsidRPr="00D618B7">
              <w:rPr>
                <w:color w:val="000000"/>
              </w:rPr>
              <w:t>-1724.21</w:t>
            </w:r>
          </w:p>
        </w:tc>
        <w:tc>
          <w:tcPr>
            <w:tcW w:w="715" w:type="pct"/>
            <w:tcBorders>
              <w:top w:val="nil"/>
              <w:left w:val="nil"/>
              <w:bottom w:val="nil"/>
              <w:right w:val="nil"/>
            </w:tcBorders>
            <w:shd w:val="clear" w:color="000000" w:fill="FFFFFF"/>
            <w:noWrap/>
            <w:vAlign w:val="center"/>
            <w:hideMark/>
          </w:tcPr>
          <w:p w14:paraId="3E32FCE0" w14:textId="77777777" w:rsidR="00C93FAA" w:rsidRPr="00D618B7" w:rsidRDefault="00C93FAA" w:rsidP="004B11B7">
            <w:pPr>
              <w:jc w:val="right"/>
              <w:rPr>
                <w:color w:val="000000"/>
              </w:rPr>
            </w:pPr>
            <w:r w:rsidRPr="00D618B7">
              <w:rPr>
                <w:color w:val="000000"/>
              </w:rPr>
              <w:t>1675.15</w:t>
            </w:r>
          </w:p>
        </w:tc>
        <w:tc>
          <w:tcPr>
            <w:tcW w:w="714" w:type="pct"/>
            <w:tcBorders>
              <w:top w:val="nil"/>
              <w:left w:val="nil"/>
              <w:bottom w:val="nil"/>
              <w:right w:val="nil"/>
            </w:tcBorders>
            <w:shd w:val="clear" w:color="000000" w:fill="FFFFFF"/>
            <w:noWrap/>
            <w:vAlign w:val="center"/>
            <w:hideMark/>
          </w:tcPr>
          <w:p w14:paraId="451BE109" w14:textId="77777777" w:rsidR="00C93FAA" w:rsidRPr="00D618B7" w:rsidRDefault="00C93FAA" w:rsidP="004B11B7">
            <w:pPr>
              <w:jc w:val="right"/>
              <w:rPr>
                <w:color w:val="000000"/>
              </w:rPr>
            </w:pPr>
            <w:r w:rsidRPr="00D618B7">
              <w:rPr>
                <w:color w:val="000000"/>
              </w:rPr>
              <w:t>4942.52</w:t>
            </w:r>
          </w:p>
        </w:tc>
        <w:tc>
          <w:tcPr>
            <w:tcW w:w="714" w:type="pct"/>
            <w:tcBorders>
              <w:top w:val="nil"/>
              <w:left w:val="nil"/>
              <w:bottom w:val="nil"/>
              <w:right w:val="nil"/>
            </w:tcBorders>
            <w:shd w:val="clear" w:color="000000" w:fill="FFFFFF"/>
            <w:noWrap/>
            <w:vAlign w:val="center"/>
            <w:hideMark/>
          </w:tcPr>
          <w:p w14:paraId="5994F0EE" w14:textId="77777777" w:rsidR="00C93FAA" w:rsidRPr="00D618B7" w:rsidRDefault="00C93FAA" w:rsidP="004B11B7">
            <w:pPr>
              <w:jc w:val="right"/>
              <w:rPr>
                <w:color w:val="000000"/>
              </w:rPr>
            </w:pPr>
            <w:r w:rsidRPr="00D618B7">
              <w:rPr>
                <w:color w:val="000000"/>
              </w:rPr>
              <w:t>762.92</w:t>
            </w:r>
          </w:p>
        </w:tc>
      </w:tr>
      <w:tr w:rsidR="00C93FAA" w:rsidRPr="00D618B7" w14:paraId="070DFBBB" w14:textId="77777777" w:rsidTr="004B11B7">
        <w:trPr>
          <w:trHeight w:val="325"/>
        </w:trPr>
        <w:tc>
          <w:tcPr>
            <w:tcW w:w="714" w:type="pct"/>
            <w:tcBorders>
              <w:top w:val="nil"/>
              <w:left w:val="nil"/>
              <w:bottom w:val="nil"/>
              <w:right w:val="nil"/>
            </w:tcBorders>
            <w:shd w:val="clear" w:color="000000" w:fill="FFFFFF"/>
            <w:vAlign w:val="center"/>
            <w:hideMark/>
          </w:tcPr>
          <w:p w14:paraId="0EF44BA9" w14:textId="77777777" w:rsidR="00C93FAA" w:rsidRPr="00D618B7" w:rsidRDefault="00C93FAA"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4D073E61" w14:textId="77777777" w:rsidR="00C93FAA" w:rsidRPr="00D618B7" w:rsidRDefault="00C93FAA" w:rsidP="004B11B7">
            <w:pPr>
              <w:jc w:val="right"/>
              <w:rPr>
                <w:color w:val="000000"/>
              </w:rPr>
            </w:pPr>
            <w:r w:rsidRPr="00D618B7">
              <w:rPr>
                <w:color w:val="000000"/>
              </w:rPr>
              <w:t>6419.72</w:t>
            </w:r>
          </w:p>
        </w:tc>
        <w:tc>
          <w:tcPr>
            <w:tcW w:w="715" w:type="pct"/>
            <w:tcBorders>
              <w:top w:val="nil"/>
              <w:left w:val="nil"/>
              <w:bottom w:val="nil"/>
              <w:right w:val="nil"/>
            </w:tcBorders>
            <w:shd w:val="clear" w:color="000000" w:fill="FFFFFF"/>
            <w:noWrap/>
            <w:vAlign w:val="center"/>
            <w:hideMark/>
          </w:tcPr>
          <w:p w14:paraId="29F0DA9E" w14:textId="77777777" w:rsidR="00C93FAA" w:rsidRPr="00D618B7" w:rsidRDefault="00C93FAA" w:rsidP="004B11B7">
            <w:pPr>
              <w:jc w:val="right"/>
              <w:rPr>
                <w:color w:val="000000"/>
              </w:rPr>
            </w:pPr>
            <w:r w:rsidRPr="00D618B7">
              <w:rPr>
                <w:color w:val="000000"/>
              </w:rPr>
              <w:t>1198.70</w:t>
            </w:r>
          </w:p>
        </w:tc>
        <w:tc>
          <w:tcPr>
            <w:tcW w:w="714" w:type="pct"/>
            <w:tcBorders>
              <w:top w:val="nil"/>
              <w:left w:val="nil"/>
              <w:bottom w:val="nil"/>
              <w:right w:val="nil"/>
            </w:tcBorders>
            <w:shd w:val="clear" w:color="000000" w:fill="FFFFFF"/>
            <w:noWrap/>
            <w:vAlign w:val="center"/>
            <w:hideMark/>
          </w:tcPr>
          <w:p w14:paraId="17FFAEE6" w14:textId="77777777" w:rsidR="00C93FAA" w:rsidRPr="00D618B7" w:rsidRDefault="00C93FAA" w:rsidP="004B11B7">
            <w:pPr>
              <w:jc w:val="right"/>
              <w:rPr>
                <w:color w:val="000000"/>
              </w:rPr>
            </w:pPr>
            <w:r w:rsidRPr="00D618B7">
              <w:rPr>
                <w:color w:val="000000"/>
              </w:rPr>
              <w:t>3818.52</w:t>
            </w:r>
          </w:p>
        </w:tc>
        <w:tc>
          <w:tcPr>
            <w:tcW w:w="715" w:type="pct"/>
            <w:tcBorders>
              <w:top w:val="nil"/>
              <w:left w:val="nil"/>
              <w:bottom w:val="nil"/>
              <w:right w:val="nil"/>
            </w:tcBorders>
            <w:shd w:val="clear" w:color="000000" w:fill="FFFFFF"/>
            <w:noWrap/>
            <w:vAlign w:val="center"/>
            <w:hideMark/>
          </w:tcPr>
          <w:p w14:paraId="46E57CAE" w14:textId="77777777" w:rsidR="00C93FAA" w:rsidRPr="00D618B7" w:rsidRDefault="00C93FAA" w:rsidP="004B11B7">
            <w:pPr>
              <w:jc w:val="right"/>
              <w:rPr>
                <w:color w:val="000000"/>
              </w:rPr>
            </w:pPr>
            <w:r w:rsidRPr="00D618B7">
              <w:rPr>
                <w:color w:val="000000"/>
              </w:rPr>
              <w:t>444.38</w:t>
            </w:r>
          </w:p>
        </w:tc>
        <w:tc>
          <w:tcPr>
            <w:tcW w:w="714" w:type="pct"/>
            <w:tcBorders>
              <w:top w:val="nil"/>
              <w:left w:val="nil"/>
              <w:bottom w:val="nil"/>
              <w:right w:val="nil"/>
            </w:tcBorders>
            <w:shd w:val="clear" w:color="000000" w:fill="FFFFFF"/>
            <w:noWrap/>
            <w:vAlign w:val="center"/>
            <w:hideMark/>
          </w:tcPr>
          <w:p w14:paraId="6CECF1DB" w14:textId="77777777" w:rsidR="00C93FAA" w:rsidRPr="00D618B7" w:rsidRDefault="00C93FAA" w:rsidP="004B11B7">
            <w:pPr>
              <w:jc w:val="right"/>
              <w:rPr>
                <w:color w:val="000000"/>
              </w:rPr>
            </w:pPr>
            <w:r w:rsidRPr="00D618B7">
              <w:rPr>
                <w:color w:val="000000"/>
              </w:rPr>
              <w:t>4386.74</w:t>
            </w:r>
          </w:p>
        </w:tc>
        <w:tc>
          <w:tcPr>
            <w:tcW w:w="714" w:type="pct"/>
            <w:tcBorders>
              <w:top w:val="nil"/>
              <w:left w:val="nil"/>
              <w:bottom w:val="nil"/>
              <w:right w:val="nil"/>
            </w:tcBorders>
            <w:shd w:val="clear" w:color="000000" w:fill="FFFFFF"/>
            <w:noWrap/>
            <w:vAlign w:val="center"/>
            <w:hideMark/>
          </w:tcPr>
          <w:p w14:paraId="590745CF" w14:textId="77777777" w:rsidR="00C93FAA" w:rsidRPr="00D618B7" w:rsidRDefault="00C93FAA" w:rsidP="004B11B7">
            <w:pPr>
              <w:jc w:val="right"/>
              <w:rPr>
                <w:color w:val="000000"/>
              </w:rPr>
            </w:pPr>
            <w:r w:rsidRPr="00D618B7">
              <w:rPr>
                <w:color w:val="000000"/>
              </w:rPr>
              <w:t>814.79</w:t>
            </w:r>
          </w:p>
        </w:tc>
      </w:tr>
      <w:tr w:rsidR="00C93FAA" w:rsidRPr="00D618B7" w14:paraId="7EFCE6D3" w14:textId="77777777" w:rsidTr="004B11B7">
        <w:trPr>
          <w:trHeight w:val="325"/>
        </w:trPr>
        <w:tc>
          <w:tcPr>
            <w:tcW w:w="714" w:type="pct"/>
            <w:tcBorders>
              <w:top w:val="nil"/>
              <w:left w:val="nil"/>
              <w:bottom w:val="nil"/>
              <w:right w:val="nil"/>
            </w:tcBorders>
            <w:shd w:val="clear" w:color="000000" w:fill="FFFFFF"/>
            <w:vAlign w:val="center"/>
            <w:hideMark/>
          </w:tcPr>
          <w:p w14:paraId="3E7EED21" w14:textId="77777777" w:rsidR="00C93FAA" w:rsidRPr="00D618B7" w:rsidRDefault="00C93FAA"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265BEDAC" w14:textId="77777777" w:rsidR="00C93FAA" w:rsidRPr="00D618B7" w:rsidRDefault="00C93FAA" w:rsidP="004B11B7">
            <w:pPr>
              <w:jc w:val="right"/>
              <w:rPr>
                <w:color w:val="000000"/>
              </w:rPr>
            </w:pPr>
            <w:r w:rsidRPr="00D618B7">
              <w:rPr>
                <w:color w:val="000000"/>
              </w:rPr>
              <w:t>-3626.38</w:t>
            </w:r>
          </w:p>
        </w:tc>
        <w:tc>
          <w:tcPr>
            <w:tcW w:w="715" w:type="pct"/>
            <w:tcBorders>
              <w:top w:val="nil"/>
              <w:left w:val="nil"/>
              <w:bottom w:val="nil"/>
              <w:right w:val="nil"/>
            </w:tcBorders>
            <w:shd w:val="clear" w:color="000000" w:fill="FFFFFF"/>
            <w:noWrap/>
            <w:vAlign w:val="center"/>
            <w:hideMark/>
          </w:tcPr>
          <w:p w14:paraId="2FB99B6E" w14:textId="77777777" w:rsidR="00C93FAA" w:rsidRPr="00D618B7" w:rsidRDefault="00C93FAA" w:rsidP="004B11B7">
            <w:pPr>
              <w:jc w:val="right"/>
              <w:rPr>
                <w:color w:val="000000"/>
              </w:rPr>
            </w:pPr>
            <w:r w:rsidRPr="00D618B7">
              <w:rPr>
                <w:color w:val="000000"/>
              </w:rPr>
              <w:t>1724.38</w:t>
            </w:r>
          </w:p>
        </w:tc>
        <w:tc>
          <w:tcPr>
            <w:tcW w:w="714" w:type="pct"/>
            <w:tcBorders>
              <w:top w:val="nil"/>
              <w:left w:val="nil"/>
              <w:bottom w:val="nil"/>
              <w:right w:val="nil"/>
            </w:tcBorders>
            <w:shd w:val="clear" w:color="000000" w:fill="FFFFFF"/>
            <w:noWrap/>
            <w:vAlign w:val="center"/>
            <w:hideMark/>
          </w:tcPr>
          <w:p w14:paraId="7E8C8A6C" w14:textId="77777777" w:rsidR="00C93FAA" w:rsidRPr="00D618B7" w:rsidRDefault="00C93FAA" w:rsidP="004B11B7">
            <w:pPr>
              <w:jc w:val="right"/>
              <w:rPr>
                <w:color w:val="000000"/>
              </w:rPr>
            </w:pPr>
            <w:r w:rsidRPr="00D618B7">
              <w:rPr>
                <w:color w:val="000000"/>
              </w:rPr>
              <w:t>-5634.78</w:t>
            </w:r>
          </w:p>
        </w:tc>
        <w:tc>
          <w:tcPr>
            <w:tcW w:w="715" w:type="pct"/>
            <w:tcBorders>
              <w:top w:val="nil"/>
              <w:left w:val="nil"/>
              <w:bottom w:val="nil"/>
              <w:right w:val="nil"/>
            </w:tcBorders>
            <w:shd w:val="clear" w:color="000000" w:fill="FFFFFF"/>
            <w:noWrap/>
            <w:vAlign w:val="center"/>
            <w:hideMark/>
          </w:tcPr>
          <w:p w14:paraId="70A74BAA" w14:textId="77777777" w:rsidR="00C93FAA" w:rsidRPr="00D618B7" w:rsidRDefault="00C93FAA" w:rsidP="004B11B7">
            <w:pPr>
              <w:jc w:val="right"/>
              <w:rPr>
                <w:color w:val="000000"/>
              </w:rPr>
            </w:pPr>
            <w:r w:rsidRPr="00D618B7">
              <w:rPr>
                <w:color w:val="000000"/>
              </w:rPr>
              <w:t>2974.04</w:t>
            </w:r>
          </w:p>
        </w:tc>
        <w:tc>
          <w:tcPr>
            <w:tcW w:w="714" w:type="pct"/>
            <w:tcBorders>
              <w:top w:val="nil"/>
              <w:left w:val="nil"/>
              <w:bottom w:val="nil"/>
              <w:right w:val="nil"/>
            </w:tcBorders>
            <w:shd w:val="clear" w:color="000000" w:fill="FFFFFF"/>
            <w:noWrap/>
            <w:vAlign w:val="center"/>
            <w:hideMark/>
          </w:tcPr>
          <w:p w14:paraId="5D0EB177" w14:textId="77777777" w:rsidR="00C93FAA" w:rsidRPr="00D618B7" w:rsidRDefault="00C93FAA" w:rsidP="004B11B7">
            <w:pPr>
              <w:jc w:val="right"/>
              <w:rPr>
                <w:color w:val="000000"/>
              </w:rPr>
            </w:pPr>
            <w:r w:rsidRPr="00D618B7">
              <w:rPr>
                <w:color w:val="000000"/>
              </w:rPr>
              <w:t>-2751.03</w:t>
            </w:r>
          </w:p>
        </w:tc>
        <w:tc>
          <w:tcPr>
            <w:tcW w:w="714" w:type="pct"/>
            <w:tcBorders>
              <w:top w:val="nil"/>
              <w:left w:val="nil"/>
              <w:bottom w:val="nil"/>
              <w:right w:val="nil"/>
            </w:tcBorders>
            <w:shd w:val="clear" w:color="000000" w:fill="FFFFFF"/>
            <w:noWrap/>
            <w:vAlign w:val="center"/>
            <w:hideMark/>
          </w:tcPr>
          <w:p w14:paraId="17BB140D" w14:textId="77777777" w:rsidR="00C93FAA" w:rsidRPr="00D618B7" w:rsidRDefault="00C93FAA" w:rsidP="004B11B7">
            <w:pPr>
              <w:jc w:val="right"/>
              <w:rPr>
                <w:color w:val="000000"/>
              </w:rPr>
            </w:pPr>
            <w:r w:rsidRPr="00D618B7">
              <w:rPr>
                <w:color w:val="000000"/>
              </w:rPr>
              <w:t>1299.97</w:t>
            </w:r>
          </w:p>
        </w:tc>
      </w:tr>
      <w:tr w:rsidR="00C93FAA" w:rsidRPr="00D618B7" w14:paraId="58BD4588" w14:textId="77777777" w:rsidTr="004B11B7">
        <w:trPr>
          <w:trHeight w:val="325"/>
        </w:trPr>
        <w:tc>
          <w:tcPr>
            <w:tcW w:w="714" w:type="pct"/>
            <w:tcBorders>
              <w:top w:val="nil"/>
              <w:left w:val="nil"/>
              <w:bottom w:val="nil"/>
              <w:right w:val="nil"/>
            </w:tcBorders>
            <w:shd w:val="clear" w:color="000000" w:fill="FFFFFF"/>
            <w:vAlign w:val="center"/>
            <w:hideMark/>
          </w:tcPr>
          <w:p w14:paraId="47301E05" w14:textId="77777777" w:rsidR="00C93FAA" w:rsidRPr="00D618B7" w:rsidRDefault="00C93FAA"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1BFC78EA" w14:textId="77777777" w:rsidR="00C93FAA" w:rsidRPr="00D618B7" w:rsidRDefault="00C93FAA" w:rsidP="004B11B7">
            <w:pPr>
              <w:jc w:val="right"/>
              <w:rPr>
                <w:color w:val="000000"/>
              </w:rPr>
            </w:pPr>
            <w:r w:rsidRPr="00D618B7">
              <w:rPr>
                <w:color w:val="000000"/>
              </w:rPr>
              <w:t>5624.54</w:t>
            </w:r>
          </w:p>
        </w:tc>
        <w:tc>
          <w:tcPr>
            <w:tcW w:w="715" w:type="pct"/>
            <w:tcBorders>
              <w:top w:val="nil"/>
              <w:left w:val="nil"/>
              <w:bottom w:val="nil"/>
              <w:right w:val="nil"/>
            </w:tcBorders>
            <w:shd w:val="clear" w:color="000000" w:fill="FFFFFF"/>
            <w:noWrap/>
            <w:vAlign w:val="center"/>
            <w:hideMark/>
          </w:tcPr>
          <w:p w14:paraId="3FB76D58" w14:textId="77777777" w:rsidR="00C93FAA" w:rsidRPr="00D618B7" w:rsidRDefault="00C93FAA" w:rsidP="004B11B7">
            <w:pPr>
              <w:jc w:val="right"/>
              <w:rPr>
                <w:color w:val="000000"/>
              </w:rPr>
            </w:pPr>
            <w:r w:rsidRPr="00D618B7">
              <w:rPr>
                <w:color w:val="000000"/>
              </w:rPr>
              <w:t>2484.10</w:t>
            </w:r>
          </w:p>
        </w:tc>
        <w:tc>
          <w:tcPr>
            <w:tcW w:w="714" w:type="pct"/>
            <w:tcBorders>
              <w:top w:val="nil"/>
              <w:left w:val="nil"/>
              <w:bottom w:val="nil"/>
              <w:right w:val="nil"/>
            </w:tcBorders>
            <w:shd w:val="clear" w:color="000000" w:fill="FFFFFF"/>
            <w:noWrap/>
            <w:vAlign w:val="center"/>
            <w:hideMark/>
          </w:tcPr>
          <w:p w14:paraId="7AEA959E" w14:textId="77777777" w:rsidR="00C93FAA" w:rsidRPr="00D618B7" w:rsidRDefault="00C93FAA" w:rsidP="004B11B7">
            <w:pPr>
              <w:jc w:val="right"/>
              <w:rPr>
                <w:color w:val="000000"/>
              </w:rPr>
            </w:pPr>
            <w:r w:rsidRPr="00D618B7">
              <w:rPr>
                <w:color w:val="000000"/>
              </w:rPr>
              <w:t>5401.59</w:t>
            </w:r>
          </w:p>
        </w:tc>
        <w:tc>
          <w:tcPr>
            <w:tcW w:w="715" w:type="pct"/>
            <w:tcBorders>
              <w:top w:val="nil"/>
              <w:left w:val="nil"/>
              <w:bottom w:val="nil"/>
              <w:right w:val="nil"/>
            </w:tcBorders>
            <w:shd w:val="clear" w:color="000000" w:fill="FFFFFF"/>
            <w:noWrap/>
            <w:vAlign w:val="center"/>
            <w:hideMark/>
          </w:tcPr>
          <w:p w14:paraId="147AC7A3" w14:textId="77777777" w:rsidR="00C93FAA" w:rsidRPr="00D618B7" w:rsidRDefault="00C93FAA" w:rsidP="004B11B7">
            <w:pPr>
              <w:jc w:val="right"/>
              <w:rPr>
                <w:color w:val="000000"/>
              </w:rPr>
            </w:pPr>
            <w:r w:rsidRPr="00D618B7">
              <w:rPr>
                <w:color w:val="000000"/>
              </w:rPr>
              <w:t>1379.01</w:t>
            </w:r>
          </w:p>
        </w:tc>
        <w:tc>
          <w:tcPr>
            <w:tcW w:w="714" w:type="pct"/>
            <w:tcBorders>
              <w:top w:val="nil"/>
              <w:left w:val="nil"/>
              <w:bottom w:val="nil"/>
              <w:right w:val="nil"/>
            </w:tcBorders>
            <w:shd w:val="clear" w:color="000000" w:fill="FFFFFF"/>
            <w:noWrap/>
            <w:vAlign w:val="center"/>
            <w:hideMark/>
          </w:tcPr>
          <w:p w14:paraId="454967CB" w14:textId="77777777" w:rsidR="00C93FAA" w:rsidRPr="00D618B7" w:rsidRDefault="00C93FAA" w:rsidP="004B11B7">
            <w:pPr>
              <w:jc w:val="right"/>
              <w:rPr>
                <w:color w:val="000000"/>
              </w:rPr>
            </w:pPr>
            <w:r w:rsidRPr="00D618B7">
              <w:rPr>
                <w:color w:val="000000"/>
              </w:rPr>
              <w:t>336.27</w:t>
            </w:r>
          </w:p>
        </w:tc>
        <w:tc>
          <w:tcPr>
            <w:tcW w:w="714" w:type="pct"/>
            <w:tcBorders>
              <w:top w:val="nil"/>
              <w:left w:val="nil"/>
              <w:bottom w:val="nil"/>
              <w:right w:val="nil"/>
            </w:tcBorders>
            <w:shd w:val="clear" w:color="000000" w:fill="FFFFFF"/>
            <w:noWrap/>
            <w:vAlign w:val="center"/>
            <w:hideMark/>
          </w:tcPr>
          <w:p w14:paraId="2C1FBDB3" w14:textId="77777777" w:rsidR="00C93FAA" w:rsidRPr="00D618B7" w:rsidRDefault="00C93FAA" w:rsidP="004B11B7">
            <w:pPr>
              <w:jc w:val="right"/>
              <w:rPr>
                <w:color w:val="000000"/>
              </w:rPr>
            </w:pPr>
            <w:r w:rsidRPr="00D618B7">
              <w:rPr>
                <w:color w:val="000000"/>
              </w:rPr>
              <w:t>739.14</w:t>
            </w:r>
          </w:p>
        </w:tc>
      </w:tr>
      <w:tr w:rsidR="00C93FAA" w:rsidRPr="00D618B7" w14:paraId="4309A805" w14:textId="77777777" w:rsidTr="004B11B7">
        <w:trPr>
          <w:trHeight w:val="325"/>
        </w:trPr>
        <w:tc>
          <w:tcPr>
            <w:tcW w:w="714" w:type="pct"/>
            <w:tcBorders>
              <w:top w:val="nil"/>
              <w:left w:val="nil"/>
              <w:bottom w:val="nil"/>
              <w:right w:val="nil"/>
            </w:tcBorders>
            <w:shd w:val="clear" w:color="000000" w:fill="FFFFFF"/>
            <w:vAlign w:val="center"/>
            <w:hideMark/>
          </w:tcPr>
          <w:p w14:paraId="70215383" w14:textId="77777777" w:rsidR="00C93FAA" w:rsidRPr="00D618B7" w:rsidRDefault="00C93FAA"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498DB204" w14:textId="77777777" w:rsidR="00C93FAA" w:rsidRPr="00D618B7" w:rsidRDefault="00C93FAA" w:rsidP="004B11B7">
            <w:pPr>
              <w:jc w:val="right"/>
              <w:rPr>
                <w:color w:val="000000"/>
              </w:rPr>
            </w:pPr>
            <w:r w:rsidRPr="00D618B7">
              <w:rPr>
                <w:color w:val="000000"/>
              </w:rPr>
              <w:t>10533.59</w:t>
            </w:r>
          </w:p>
        </w:tc>
        <w:tc>
          <w:tcPr>
            <w:tcW w:w="715" w:type="pct"/>
            <w:tcBorders>
              <w:top w:val="nil"/>
              <w:left w:val="nil"/>
              <w:bottom w:val="nil"/>
              <w:right w:val="nil"/>
            </w:tcBorders>
            <w:shd w:val="clear" w:color="000000" w:fill="FFFFFF"/>
            <w:noWrap/>
            <w:vAlign w:val="center"/>
            <w:hideMark/>
          </w:tcPr>
          <w:p w14:paraId="5BF30CCE" w14:textId="77777777" w:rsidR="00C93FAA" w:rsidRPr="00D618B7" w:rsidRDefault="00C93FAA" w:rsidP="004B11B7">
            <w:pPr>
              <w:jc w:val="right"/>
              <w:rPr>
                <w:color w:val="000000"/>
              </w:rPr>
            </w:pPr>
            <w:r w:rsidRPr="00D618B7">
              <w:rPr>
                <w:color w:val="000000"/>
              </w:rPr>
              <w:t>6347.37</w:t>
            </w:r>
          </w:p>
        </w:tc>
        <w:tc>
          <w:tcPr>
            <w:tcW w:w="714" w:type="pct"/>
            <w:tcBorders>
              <w:top w:val="nil"/>
              <w:left w:val="nil"/>
              <w:bottom w:val="nil"/>
              <w:right w:val="nil"/>
            </w:tcBorders>
            <w:shd w:val="clear" w:color="000000" w:fill="FFFFFF"/>
            <w:noWrap/>
            <w:vAlign w:val="center"/>
            <w:hideMark/>
          </w:tcPr>
          <w:p w14:paraId="163F345F" w14:textId="77777777" w:rsidR="00C93FAA" w:rsidRPr="00D618B7" w:rsidRDefault="00C93FAA" w:rsidP="004B11B7">
            <w:pPr>
              <w:jc w:val="right"/>
              <w:rPr>
                <w:color w:val="000000"/>
              </w:rPr>
            </w:pPr>
            <w:r w:rsidRPr="00D618B7">
              <w:rPr>
                <w:color w:val="000000"/>
              </w:rPr>
              <w:t>43.33</w:t>
            </w:r>
          </w:p>
        </w:tc>
        <w:tc>
          <w:tcPr>
            <w:tcW w:w="715" w:type="pct"/>
            <w:tcBorders>
              <w:top w:val="nil"/>
              <w:left w:val="nil"/>
              <w:bottom w:val="nil"/>
              <w:right w:val="nil"/>
            </w:tcBorders>
            <w:shd w:val="clear" w:color="000000" w:fill="FFFFFF"/>
            <w:noWrap/>
            <w:vAlign w:val="center"/>
            <w:hideMark/>
          </w:tcPr>
          <w:p w14:paraId="11C8EBD1" w14:textId="77777777" w:rsidR="00C93FAA" w:rsidRPr="00D618B7" w:rsidRDefault="00C93FAA" w:rsidP="004B11B7">
            <w:pPr>
              <w:jc w:val="right"/>
              <w:rPr>
                <w:color w:val="000000"/>
              </w:rPr>
            </w:pPr>
            <w:r w:rsidRPr="00D618B7">
              <w:rPr>
                <w:color w:val="000000"/>
              </w:rPr>
              <w:t>1549.56</w:t>
            </w:r>
          </w:p>
        </w:tc>
        <w:tc>
          <w:tcPr>
            <w:tcW w:w="714" w:type="pct"/>
            <w:tcBorders>
              <w:top w:val="nil"/>
              <w:left w:val="nil"/>
              <w:bottom w:val="nil"/>
              <w:right w:val="nil"/>
            </w:tcBorders>
            <w:shd w:val="clear" w:color="000000" w:fill="FFFFFF"/>
            <w:noWrap/>
            <w:vAlign w:val="center"/>
            <w:hideMark/>
          </w:tcPr>
          <w:p w14:paraId="640B7974" w14:textId="77777777" w:rsidR="00C93FAA" w:rsidRPr="00D618B7" w:rsidRDefault="00C93FAA" w:rsidP="004B11B7">
            <w:pPr>
              <w:jc w:val="right"/>
              <w:rPr>
                <w:color w:val="000000"/>
              </w:rPr>
            </w:pPr>
            <w:r w:rsidRPr="00D618B7">
              <w:rPr>
                <w:color w:val="000000"/>
              </w:rPr>
              <w:t>351.98</w:t>
            </w:r>
          </w:p>
        </w:tc>
        <w:tc>
          <w:tcPr>
            <w:tcW w:w="714" w:type="pct"/>
            <w:tcBorders>
              <w:top w:val="nil"/>
              <w:left w:val="nil"/>
              <w:bottom w:val="nil"/>
              <w:right w:val="nil"/>
            </w:tcBorders>
            <w:shd w:val="clear" w:color="000000" w:fill="FFFFFF"/>
            <w:noWrap/>
            <w:vAlign w:val="center"/>
            <w:hideMark/>
          </w:tcPr>
          <w:p w14:paraId="273F50C0" w14:textId="77777777" w:rsidR="00C93FAA" w:rsidRPr="00D618B7" w:rsidRDefault="00C93FAA" w:rsidP="004B11B7">
            <w:pPr>
              <w:jc w:val="right"/>
              <w:rPr>
                <w:color w:val="000000"/>
              </w:rPr>
            </w:pPr>
            <w:r w:rsidRPr="00D618B7">
              <w:rPr>
                <w:color w:val="000000"/>
              </w:rPr>
              <w:t>990.21</w:t>
            </w:r>
          </w:p>
        </w:tc>
      </w:tr>
      <w:tr w:rsidR="00C93FAA" w:rsidRPr="00D618B7" w14:paraId="7B21F0CE" w14:textId="77777777" w:rsidTr="004B11B7">
        <w:trPr>
          <w:trHeight w:val="325"/>
        </w:trPr>
        <w:tc>
          <w:tcPr>
            <w:tcW w:w="714" w:type="pct"/>
            <w:tcBorders>
              <w:top w:val="nil"/>
              <w:left w:val="nil"/>
              <w:bottom w:val="single" w:sz="8" w:space="0" w:color="auto"/>
              <w:right w:val="nil"/>
            </w:tcBorders>
            <w:shd w:val="clear" w:color="000000" w:fill="FFFFFF"/>
            <w:vAlign w:val="center"/>
            <w:hideMark/>
          </w:tcPr>
          <w:p w14:paraId="647FB296" w14:textId="77777777" w:rsidR="00C93FAA" w:rsidRPr="00D618B7" w:rsidRDefault="00C93FAA" w:rsidP="004B11B7">
            <w:pPr>
              <w:jc w:val="right"/>
              <w:rPr>
                <w:color w:val="000000"/>
              </w:rPr>
            </w:pPr>
            <w:r w:rsidRPr="00D618B7">
              <w:rPr>
                <w:color w:val="000000"/>
              </w:rPr>
              <w:t>5</w:t>
            </w:r>
          </w:p>
        </w:tc>
        <w:tc>
          <w:tcPr>
            <w:tcW w:w="714" w:type="pct"/>
            <w:tcBorders>
              <w:top w:val="nil"/>
              <w:left w:val="nil"/>
              <w:bottom w:val="single" w:sz="8" w:space="0" w:color="auto"/>
              <w:right w:val="nil"/>
            </w:tcBorders>
            <w:shd w:val="clear" w:color="000000" w:fill="FFFFFF"/>
            <w:noWrap/>
            <w:vAlign w:val="center"/>
            <w:hideMark/>
          </w:tcPr>
          <w:p w14:paraId="11F31E7B" w14:textId="77777777" w:rsidR="00C93FAA" w:rsidRPr="00D618B7" w:rsidRDefault="00C93FAA" w:rsidP="004B11B7">
            <w:pPr>
              <w:jc w:val="right"/>
              <w:rPr>
                <w:color w:val="000000"/>
              </w:rPr>
            </w:pPr>
            <w:r w:rsidRPr="00D618B7">
              <w:rPr>
                <w:color w:val="000000"/>
              </w:rPr>
              <w:t>2173.36</w:t>
            </w:r>
          </w:p>
        </w:tc>
        <w:tc>
          <w:tcPr>
            <w:tcW w:w="715" w:type="pct"/>
            <w:tcBorders>
              <w:top w:val="nil"/>
              <w:left w:val="nil"/>
              <w:bottom w:val="single" w:sz="8" w:space="0" w:color="auto"/>
              <w:right w:val="nil"/>
            </w:tcBorders>
            <w:shd w:val="clear" w:color="000000" w:fill="FFFFFF"/>
            <w:noWrap/>
            <w:vAlign w:val="center"/>
            <w:hideMark/>
          </w:tcPr>
          <w:p w14:paraId="36E4FD12" w14:textId="77777777" w:rsidR="00C93FAA" w:rsidRPr="00D618B7" w:rsidRDefault="00C93FAA" w:rsidP="004B11B7">
            <w:pPr>
              <w:jc w:val="right"/>
              <w:rPr>
                <w:color w:val="000000"/>
              </w:rPr>
            </w:pPr>
            <w:r w:rsidRPr="00D618B7">
              <w:rPr>
                <w:color w:val="000000"/>
              </w:rPr>
              <w:t>1430.62</w:t>
            </w:r>
          </w:p>
        </w:tc>
        <w:tc>
          <w:tcPr>
            <w:tcW w:w="714" w:type="pct"/>
            <w:tcBorders>
              <w:top w:val="nil"/>
              <w:left w:val="nil"/>
              <w:bottom w:val="single" w:sz="8" w:space="0" w:color="auto"/>
              <w:right w:val="nil"/>
            </w:tcBorders>
            <w:shd w:val="clear" w:color="000000" w:fill="FFFFFF"/>
            <w:noWrap/>
            <w:vAlign w:val="center"/>
            <w:hideMark/>
          </w:tcPr>
          <w:p w14:paraId="09CD71B6" w14:textId="77777777" w:rsidR="00C93FAA" w:rsidRPr="00D618B7" w:rsidRDefault="00C93FAA" w:rsidP="004B11B7">
            <w:pPr>
              <w:jc w:val="right"/>
              <w:rPr>
                <w:color w:val="000000"/>
              </w:rPr>
            </w:pPr>
            <w:r w:rsidRPr="00D618B7">
              <w:rPr>
                <w:color w:val="000000"/>
              </w:rPr>
              <w:t>-844.79</w:t>
            </w:r>
          </w:p>
        </w:tc>
        <w:tc>
          <w:tcPr>
            <w:tcW w:w="715" w:type="pct"/>
            <w:tcBorders>
              <w:top w:val="nil"/>
              <w:left w:val="nil"/>
              <w:bottom w:val="single" w:sz="8" w:space="0" w:color="auto"/>
              <w:right w:val="nil"/>
            </w:tcBorders>
            <w:shd w:val="clear" w:color="000000" w:fill="FFFFFF"/>
            <w:noWrap/>
            <w:vAlign w:val="center"/>
            <w:hideMark/>
          </w:tcPr>
          <w:p w14:paraId="29900240" w14:textId="77777777" w:rsidR="00C93FAA" w:rsidRPr="00D618B7" w:rsidRDefault="00C93FAA" w:rsidP="004B11B7">
            <w:pPr>
              <w:jc w:val="right"/>
              <w:rPr>
                <w:color w:val="000000"/>
              </w:rPr>
            </w:pPr>
            <w:r w:rsidRPr="00D618B7">
              <w:rPr>
                <w:color w:val="000000"/>
              </w:rPr>
              <w:t>1020.77</w:t>
            </w:r>
          </w:p>
        </w:tc>
        <w:tc>
          <w:tcPr>
            <w:tcW w:w="714" w:type="pct"/>
            <w:tcBorders>
              <w:top w:val="nil"/>
              <w:left w:val="nil"/>
              <w:bottom w:val="single" w:sz="8" w:space="0" w:color="auto"/>
              <w:right w:val="nil"/>
            </w:tcBorders>
            <w:shd w:val="clear" w:color="000000" w:fill="FFFFFF"/>
            <w:noWrap/>
            <w:vAlign w:val="center"/>
            <w:hideMark/>
          </w:tcPr>
          <w:p w14:paraId="14B30E65" w14:textId="77777777" w:rsidR="00C93FAA" w:rsidRPr="00D618B7" w:rsidRDefault="00C93FAA" w:rsidP="004B11B7">
            <w:pPr>
              <w:jc w:val="right"/>
              <w:rPr>
                <w:color w:val="000000"/>
              </w:rPr>
            </w:pPr>
            <w:r w:rsidRPr="00D618B7">
              <w:rPr>
                <w:color w:val="000000"/>
              </w:rPr>
              <w:t>267.37</w:t>
            </w:r>
          </w:p>
        </w:tc>
        <w:tc>
          <w:tcPr>
            <w:tcW w:w="714" w:type="pct"/>
            <w:tcBorders>
              <w:top w:val="nil"/>
              <w:left w:val="nil"/>
              <w:bottom w:val="single" w:sz="8" w:space="0" w:color="auto"/>
              <w:right w:val="nil"/>
            </w:tcBorders>
            <w:shd w:val="clear" w:color="000000" w:fill="FFFFFF"/>
            <w:noWrap/>
            <w:vAlign w:val="center"/>
            <w:hideMark/>
          </w:tcPr>
          <w:p w14:paraId="343BF48F" w14:textId="77777777" w:rsidR="00C93FAA" w:rsidRPr="00D618B7" w:rsidRDefault="00C93FAA" w:rsidP="004B11B7">
            <w:pPr>
              <w:jc w:val="right"/>
              <w:rPr>
                <w:color w:val="000000"/>
              </w:rPr>
            </w:pPr>
            <w:r w:rsidRPr="00D618B7">
              <w:rPr>
                <w:color w:val="000000"/>
              </w:rPr>
              <w:t>127.87</w:t>
            </w:r>
          </w:p>
        </w:tc>
      </w:tr>
      <w:tr w:rsidR="00C93FAA" w:rsidRPr="00D618B7" w14:paraId="6A868400" w14:textId="77777777" w:rsidTr="004B11B7">
        <w:trPr>
          <w:trHeight w:val="325"/>
        </w:trPr>
        <w:tc>
          <w:tcPr>
            <w:tcW w:w="714" w:type="pct"/>
            <w:tcBorders>
              <w:top w:val="nil"/>
              <w:left w:val="nil"/>
              <w:bottom w:val="nil"/>
              <w:right w:val="nil"/>
            </w:tcBorders>
            <w:shd w:val="clear" w:color="000000" w:fill="FFFFFF"/>
            <w:noWrap/>
            <w:vAlign w:val="bottom"/>
            <w:hideMark/>
          </w:tcPr>
          <w:p w14:paraId="60200D63" w14:textId="77777777" w:rsidR="00C93FAA" w:rsidRPr="00D618B7" w:rsidRDefault="00C93FAA" w:rsidP="004B11B7">
            <w:pPr>
              <w:rPr>
                <w:color w:val="000000"/>
              </w:rPr>
            </w:pPr>
            <w:r w:rsidRPr="00D618B7">
              <w:rPr>
                <w:color w:val="000000"/>
              </w:rPr>
              <w:t> </w:t>
            </w:r>
          </w:p>
        </w:tc>
        <w:tc>
          <w:tcPr>
            <w:tcW w:w="4286" w:type="pct"/>
            <w:gridSpan w:val="6"/>
            <w:tcBorders>
              <w:top w:val="single" w:sz="8" w:space="0" w:color="auto"/>
              <w:left w:val="nil"/>
              <w:bottom w:val="nil"/>
              <w:right w:val="nil"/>
            </w:tcBorders>
            <w:shd w:val="clear" w:color="000000" w:fill="FFFFFF"/>
            <w:noWrap/>
            <w:vAlign w:val="center"/>
            <w:hideMark/>
          </w:tcPr>
          <w:p w14:paraId="48AE8739" w14:textId="77777777" w:rsidR="00C93FAA" w:rsidRPr="00D618B7" w:rsidRDefault="00C93FAA" w:rsidP="004B11B7">
            <w:pPr>
              <w:jc w:val="center"/>
              <w:rPr>
                <w:color w:val="000000"/>
              </w:rPr>
            </w:pPr>
            <w:r w:rsidRPr="00D618B7">
              <w:rPr>
                <w:color w:val="000000"/>
              </w:rPr>
              <w:t>Late Reach Group</w:t>
            </w:r>
          </w:p>
        </w:tc>
      </w:tr>
      <w:tr w:rsidR="00C93FAA" w:rsidRPr="00D618B7" w14:paraId="11721A48" w14:textId="77777777" w:rsidTr="004B11B7">
        <w:trPr>
          <w:trHeight w:val="325"/>
        </w:trPr>
        <w:tc>
          <w:tcPr>
            <w:tcW w:w="714" w:type="pct"/>
            <w:tcBorders>
              <w:top w:val="nil"/>
              <w:left w:val="nil"/>
              <w:bottom w:val="nil"/>
              <w:right w:val="nil"/>
            </w:tcBorders>
            <w:shd w:val="clear" w:color="000000" w:fill="FFFFFF"/>
            <w:vAlign w:val="center"/>
            <w:hideMark/>
          </w:tcPr>
          <w:p w14:paraId="4582DC3A" w14:textId="77777777" w:rsidR="00C93FAA" w:rsidRPr="00D618B7" w:rsidRDefault="00C93FAA" w:rsidP="004B11B7">
            <w:pPr>
              <w:jc w:val="right"/>
              <w:rPr>
                <w:color w:val="000000"/>
              </w:rPr>
            </w:pPr>
            <w:r w:rsidRPr="00D618B7">
              <w:rPr>
                <w:color w:val="000000"/>
              </w:rPr>
              <w:t>-5</w:t>
            </w:r>
          </w:p>
        </w:tc>
        <w:tc>
          <w:tcPr>
            <w:tcW w:w="714" w:type="pct"/>
            <w:tcBorders>
              <w:top w:val="nil"/>
              <w:left w:val="nil"/>
              <w:bottom w:val="nil"/>
              <w:right w:val="nil"/>
            </w:tcBorders>
            <w:shd w:val="clear" w:color="000000" w:fill="FFFFFF"/>
            <w:noWrap/>
            <w:vAlign w:val="center"/>
            <w:hideMark/>
          </w:tcPr>
          <w:p w14:paraId="484769F2" w14:textId="77777777" w:rsidR="00C93FAA" w:rsidRPr="00D618B7" w:rsidRDefault="00C93FAA" w:rsidP="004B11B7">
            <w:pPr>
              <w:jc w:val="right"/>
              <w:rPr>
                <w:color w:val="000000"/>
              </w:rPr>
            </w:pPr>
            <w:r w:rsidRPr="00D618B7">
              <w:rPr>
                <w:color w:val="000000"/>
              </w:rPr>
              <w:t>-605.38</w:t>
            </w:r>
          </w:p>
        </w:tc>
        <w:tc>
          <w:tcPr>
            <w:tcW w:w="715" w:type="pct"/>
            <w:tcBorders>
              <w:top w:val="nil"/>
              <w:left w:val="nil"/>
              <w:bottom w:val="nil"/>
              <w:right w:val="nil"/>
            </w:tcBorders>
            <w:shd w:val="clear" w:color="000000" w:fill="FFFFFF"/>
            <w:noWrap/>
            <w:vAlign w:val="center"/>
            <w:hideMark/>
          </w:tcPr>
          <w:p w14:paraId="76B850B0" w14:textId="77777777" w:rsidR="00C93FAA" w:rsidRPr="00D618B7" w:rsidRDefault="00C93FAA" w:rsidP="004B11B7">
            <w:pPr>
              <w:jc w:val="right"/>
              <w:rPr>
                <w:color w:val="000000"/>
              </w:rPr>
            </w:pPr>
            <w:r w:rsidRPr="00D618B7">
              <w:rPr>
                <w:color w:val="000000"/>
              </w:rPr>
              <w:t>559.50</w:t>
            </w:r>
          </w:p>
        </w:tc>
        <w:tc>
          <w:tcPr>
            <w:tcW w:w="714" w:type="pct"/>
            <w:tcBorders>
              <w:top w:val="nil"/>
              <w:left w:val="nil"/>
              <w:bottom w:val="nil"/>
              <w:right w:val="nil"/>
            </w:tcBorders>
            <w:shd w:val="clear" w:color="000000" w:fill="FFFFFF"/>
            <w:noWrap/>
            <w:vAlign w:val="center"/>
            <w:hideMark/>
          </w:tcPr>
          <w:p w14:paraId="17FC5FBC" w14:textId="77777777" w:rsidR="00C93FAA" w:rsidRPr="00D618B7" w:rsidRDefault="00C93FAA" w:rsidP="004B11B7">
            <w:pPr>
              <w:jc w:val="right"/>
              <w:rPr>
                <w:color w:val="000000"/>
              </w:rPr>
            </w:pPr>
            <w:r w:rsidRPr="00D618B7">
              <w:rPr>
                <w:color w:val="000000"/>
              </w:rPr>
              <w:t>-624.08</w:t>
            </w:r>
          </w:p>
        </w:tc>
        <w:tc>
          <w:tcPr>
            <w:tcW w:w="715" w:type="pct"/>
            <w:tcBorders>
              <w:top w:val="nil"/>
              <w:left w:val="nil"/>
              <w:bottom w:val="nil"/>
              <w:right w:val="nil"/>
            </w:tcBorders>
            <w:shd w:val="clear" w:color="000000" w:fill="FFFFFF"/>
            <w:noWrap/>
            <w:vAlign w:val="center"/>
            <w:hideMark/>
          </w:tcPr>
          <w:p w14:paraId="47F16312" w14:textId="77777777" w:rsidR="00C93FAA" w:rsidRPr="00D618B7" w:rsidRDefault="00C93FAA" w:rsidP="004B11B7">
            <w:pPr>
              <w:jc w:val="right"/>
              <w:rPr>
                <w:color w:val="000000"/>
              </w:rPr>
            </w:pPr>
            <w:r w:rsidRPr="00D618B7">
              <w:rPr>
                <w:color w:val="000000"/>
              </w:rPr>
              <w:t>509.35</w:t>
            </w:r>
          </w:p>
        </w:tc>
        <w:tc>
          <w:tcPr>
            <w:tcW w:w="714" w:type="pct"/>
            <w:tcBorders>
              <w:top w:val="nil"/>
              <w:left w:val="nil"/>
              <w:bottom w:val="nil"/>
              <w:right w:val="nil"/>
            </w:tcBorders>
            <w:shd w:val="clear" w:color="000000" w:fill="FFFFFF"/>
            <w:noWrap/>
            <w:vAlign w:val="center"/>
            <w:hideMark/>
          </w:tcPr>
          <w:p w14:paraId="12729716" w14:textId="77777777" w:rsidR="00C93FAA" w:rsidRPr="00D618B7" w:rsidRDefault="00C93FAA" w:rsidP="004B11B7">
            <w:pPr>
              <w:jc w:val="right"/>
              <w:rPr>
                <w:color w:val="000000"/>
              </w:rPr>
            </w:pPr>
            <w:r w:rsidRPr="00D618B7">
              <w:rPr>
                <w:color w:val="000000"/>
              </w:rPr>
              <w:t>388.99</w:t>
            </w:r>
          </w:p>
        </w:tc>
        <w:tc>
          <w:tcPr>
            <w:tcW w:w="714" w:type="pct"/>
            <w:tcBorders>
              <w:top w:val="nil"/>
              <w:left w:val="nil"/>
              <w:bottom w:val="nil"/>
              <w:right w:val="nil"/>
            </w:tcBorders>
            <w:shd w:val="clear" w:color="000000" w:fill="FFFFFF"/>
            <w:noWrap/>
            <w:vAlign w:val="center"/>
            <w:hideMark/>
          </w:tcPr>
          <w:p w14:paraId="511AEFE6" w14:textId="77777777" w:rsidR="00C93FAA" w:rsidRPr="00D618B7" w:rsidRDefault="00C93FAA" w:rsidP="004B11B7">
            <w:pPr>
              <w:jc w:val="right"/>
              <w:rPr>
                <w:color w:val="000000"/>
              </w:rPr>
            </w:pPr>
            <w:r w:rsidRPr="00D618B7">
              <w:rPr>
                <w:color w:val="000000"/>
              </w:rPr>
              <w:t>251.27</w:t>
            </w:r>
          </w:p>
        </w:tc>
      </w:tr>
      <w:tr w:rsidR="00C93FAA" w:rsidRPr="00D618B7" w14:paraId="3EA8B13D" w14:textId="77777777" w:rsidTr="004B11B7">
        <w:trPr>
          <w:trHeight w:val="325"/>
        </w:trPr>
        <w:tc>
          <w:tcPr>
            <w:tcW w:w="714" w:type="pct"/>
            <w:tcBorders>
              <w:top w:val="nil"/>
              <w:left w:val="nil"/>
              <w:bottom w:val="nil"/>
              <w:right w:val="nil"/>
            </w:tcBorders>
            <w:shd w:val="clear" w:color="000000" w:fill="FFFFFF"/>
            <w:vAlign w:val="center"/>
            <w:hideMark/>
          </w:tcPr>
          <w:p w14:paraId="6166F9D2" w14:textId="77777777" w:rsidR="00C93FAA" w:rsidRPr="00D618B7" w:rsidRDefault="00C93FAA"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468AD9EF" w14:textId="77777777" w:rsidR="00C93FAA" w:rsidRPr="00D618B7" w:rsidRDefault="00C93FAA" w:rsidP="004B11B7">
            <w:pPr>
              <w:jc w:val="right"/>
              <w:rPr>
                <w:color w:val="000000"/>
              </w:rPr>
            </w:pPr>
            <w:r w:rsidRPr="00D618B7">
              <w:rPr>
                <w:color w:val="000000"/>
              </w:rPr>
              <w:t>-1669.81</w:t>
            </w:r>
          </w:p>
        </w:tc>
        <w:tc>
          <w:tcPr>
            <w:tcW w:w="715" w:type="pct"/>
            <w:tcBorders>
              <w:top w:val="nil"/>
              <w:left w:val="nil"/>
              <w:bottom w:val="nil"/>
              <w:right w:val="nil"/>
            </w:tcBorders>
            <w:shd w:val="clear" w:color="000000" w:fill="FFFFFF"/>
            <w:noWrap/>
            <w:vAlign w:val="center"/>
            <w:hideMark/>
          </w:tcPr>
          <w:p w14:paraId="57D78E33" w14:textId="77777777" w:rsidR="00C93FAA" w:rsidRPr="00D618B7" w:rsidRDefault="00C93FAA" w:rsidP="004B11B7">
            <w:pPr>
              <w:jc w:val="right"/>
              <w:rPr>
                <w:color w:val="000000"/>
              </w:rPr>
            </w:pPr>
            <w:r w:rsidRPr="00D618B7">
              <w:rPr>
                <w:color w:val="000000"/>
              </w:rPr>
              <w:t>962.41</w:t>
            </w:r>
          </w:p>
        </w:tc>
        <w:tc>
          <w:tcPr>
            <w:tcW w:w="714" w:type="pct"/>
            <w:tcBorders>
              <w:top w:val="nil"/>
              <w:left w:val="nil"/>
              <w:bottom w:val="nil"/>
              <w:right w:val="nil"/>
            </w:tcBorders>
            <w:shd w:val="clear" w:color="000000" w:fill="FFFFFF"/>
            <w:noWrap/>
            <w:vAlign w:val="center"/>
            <w:hideMark/>
          </w:tcPr>
          <w:p w14:paraId="03771558" w14:textId="77777777" w:rsidR="00C93FAA" w:rsidRPr="00D618B7" w:rsidRDefault="00C93FAA" w:rsidP="004B11B7">
            <w:pPr>
              <w:jc w:val="right"/>
              <w:rPr>
                <w:color w:val="000000"/>
              </w:rPr>
            </w:pPr>
            <w:r w:rsidRPr="00D618B7">
              <w:rPr>
                <w:color w:val="000000"/>
              </w:rPr>
              <w:t>1394.68</w:t>
            </w:r>
          </w:p>
        </w:tc>
        <w:tc>
          <w:tcPr>
            <w:tcW w:w="715" w:type="pct"/>
            <w:tcBorders>
              <w:top w:val="nil"/>
              <w:left w:val="nil"/>
              <w:bottom w:val="nil"/>
              <w:right w:val="nil"/>
            </w:tcBorders>
            <w:shd w:val="clear" w:color="000000" w:fill="FFFFFF"/>
            <w:noWrap/>
            <w:vAlign w:val="center"/>
            <w:hideMark/>
          </w:tcPr>
          <w:p w14:paraId="0A7A8A25" w14:textId="77777777" w:rsidR="00C93FAA" w:rsidRPr="00D618B7" w:rsidRDefault="00C93FAA" w:rsidP="004B11B7">
            <w:pPr>
              <w:jc w:val="right"/>
              <w:rPr>
                <w:color w:val="000000"/>
              </w:rPr>
            </w:pPr>
            <w:r w:rsidRPr="00D618B7">
              <w:rPr>
                <w:color w:val="000000"/>
              </w:rPr>
              <w:t>715.54</w:t>
            </w:r>
          </w:p>
        </w:tc>
        <w:tc>
          <w:tcPr>
            <w:tcW w:w="714" w:type="pct"/>
            <w:tcBorders>
              <w:top w:val="nil"/>
              <w:left w:val="nil"/>
              <w:bottom w:val="nil"/>
              <w:right w:val="nil"/>
            </w:tcBorders>
            <w:shd w:val="clear" w:color="000000" w:fill="FFFFFF"/>
            <w:noWrap/>
            <w:vAlign w:val="center"/>
            <w:hideMark/>
          </w:tcPr>
          <w:p w14:paraId="1A125143" w14:textId="77777777" w:rsidR="00C93FAA" w:rsidRPr="00D618B7" w:rsidRDefault="00C93FAA" w:rsidP="004B11B7">
            <w:pPr>
              <w:jc w:val="right"/>
              <w:rPr>
                <w:color w:val="000000"/>
              </w:rPr>
            </w:pPr>
            <w:r w:rsidRPr="00D618B7">
              <w:rPr>
                <w:color w:val="000000"/>
              </w:rPr>
              <w:t>675.30</w:t>
            </w:r>
          </w:p>
        </w:tc>
        <w:tc>
          <w:tcPr>
            <w:tcW w:w="714" w:type="pct"/>
            <w:tcBorders>
              <w:top w:val="nil"/>
              <w:left w:val="nil"/>
              <w:bottom w:val="nil"/>
              <w:right w:val="nil"/>
            </w:tcBorders>
            <w:shd w:val="clear" w:color="000000" w:fill="FFFFFF"/>
            <w:noWrap/>
            <w:vAlign w:val="center"/>
            <w:hideMark/>
          </w:tcPr>
          <w:p w14:paraId="4BC42412" w14:textId="77777777" w:rsidR="00C93FAA" w:rsidRPr="00D618B7" w:rsidRDefault="00C93FAA" w:rsidP="004B11B7">
            <w:pPr>
              <w:jc w:val="right"/>
              <w:rPr>
                <w:color w:val="000000"/>
              </w:rPr>
            </w:pPr>
            <w:r w:rsidRPr="00D618B7">
              <w:rPr>
                <w:color w:val="000000"/>
              </w:rPr>
              <w:t>720.66</w:t>
            </w:r>
          </w:p>
        </w:tc>
      </w:tr>
      <w:tr w:rsidR="00C93FAA" w:rsidRPr="00D618B7" w14:paraId="11B59984" w14:textId="77777777" w:rsidTr="004B11B7">
        <w:trPr>
          <w:trHeight w:val="325"/>
        </w:trPr>
        <w:tc>
          <w:tcPr>
            <w:tcW w:w="714" w:type="pct"/>
            <w:tcBorders>
              <w:top w:val="nil"/>
              <w:left w:val="nil"/>
              <w:bottom w:val="nil"/>
              <w:right w:val="nil"/>
            </w:tcBorders>
            <w:shd w:val="clear" w:color="000000" w:fill="FFFFFF"/>
            <w:vAlign w:val="center"/>
            <w:hideMark/>
          </w:tcPr>
          <w:p w14:paraId="68A43DCF" w14:textId="77777777" w:rsidR="00C93FAA" w:rsidRPr="00D618B7" w:rsidRDefault="00C93FAA"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7FE4276E" w14:textId="77777777" w:rsidR="00C93FAA" w:rsidRPr="00D618B7" w:rsidRDefault="00C93FAA" w:rsidP="004B11B7">
            <w:pPr>
              <w:jc w:val="right"/>
              <w:rPr>
                <w:color w:val="000000"/>
              </w:rPr>
            </w:pPr>
            <w:r w:rsidRPr="00D618B7">
              <w:rPr>
                <w:color w:val="000000"/>
              </w:rPr>
              <w:t>4770.44</w:t>
            </w:r>
          </w:p>
        </w:tc>
        <w:tc>
          <w:tcPr>
            <w:tcW w:w="715" w:type="pct"/>
            <w:tcBorders>
              <w:top w:val="nil"/>
              <w:left w:val="nil"/>
              <w:bottom w:val="nil"/>
              <w:right w:val="nil"/>
            </w:tcBorders>
            <w:shd w:val="clear" w:color="000000" w:fill="FFFFFF"/>
            <w:noWrap/>
            <w:vAlign w:val="center"/>
            <w:hideMark/>
          </w:tcPr>
          <w:p w14:paraId="6EC9A31D" w14:textId="77777777" w:rsidR="00C93FAA" w:rsidRPr="00D618B7" w:rsidRDefault="00C93FAA" w:rsidP="004B11B7">
            <w:pPr>
              <w:jc w:val="right"/>
              <w:rPr>
                <w:color w:val="000000"/>
              </w:rPr>
            </w:pPr>
            <w:r w:rsidRPr="00D618B7">
              <w:rPr>
                <w:color w:val="000000"/>
              </w:rPr>
              <w:t>2246.55</w:t>
            </w:r>
          </w:p>
        </w:tc>
        <w:tc>
          <w:tcPr>
            <w:tcW w:w="714" w:type="pct"/>
            <w:tcBorders>
              <w:top w:val="nil"/>
              <w:left w:val="nil"/>
              <w:bottom w:val="nil"/>
              <w:right w:val="nil"/>
            </w:tcBorders>
            <w:shd w:val="clear" w:color="000000" w:fill="FFFFFF"/>
            <w:noWrap/>
            <w:vAlign w:val="center"/>
            <w:hideMark/>
          </w:tcPr>
          <w:p w14:paraId="48838EFD" w14:textId="77777777" w:rsidR="00C93FAA" w:rsidRPr="00D618B7" w:rsidRDefault="00C93FAA" w:rsidP="004B11B7">
            <w:pPr>
              <w:jc w:val="right"/>
              <w:rPr>
                <w:color w:val="000000"/>
              </w:rPr>
            </w:pPr>
            <w:r w:rsidRPr="00D618B7">
              <w:rPr>
                <w:color w:val="000000"/>
              </w:rPr>
              <w:t>622.19</w:t>
            </w:r>
          </w:p>
        </w:tc>
        <w:tc>
          <w:tcPr>
            <w:tcW w:w="715" w:type="pct"/>
            <w:tcBorders>
              <w:top w:val="nil"/>
              <w:left w:val="nil"/>
              <w:bottom w:val="nil"/>
              <w:right w:val="nil"/>
            </w:tcBorders>
            <w:shd w:val="clear" w:color="000000" w:fill="FFFFFF"/>
            <w:noWrap/>
            <w:vAlign w:val="center"/>
            <w:hideMark/>
          </w:tcPr>
          <w:p w14:paraId="7A1158B2" w14:textId="77777777" w:rsidR="00C93FAA" w:rsidRPr="00D618B7" w:rsidRDefault="00C93FAA" w:rsidP="004B11B7">
            <w:pPr>
              <w:jc w:val="right"/>
              <w:rPr>
                <w:color w:val="000000"/>
              </w:rPr>
            </w:pPr>
            <w:r w:rsidRPr="00D618B7">
              <w:rPr>
                <w:color w:val="000000"/>
              </w:rPr>
              <w:t>706.86</w:t>
            </w:r>
          </w:p>
        </w:tc>
        <w:tc>
          <w:tcPr>
            <w:tcW w:w="714" w:type="pct"/>
            <w:tcBorders>
              <w:top w:val="nil"/>
              <w:left w:val="nil"/>
              <w:bottom w:val="nil"/>
              <w:right w:val="nil"/>
            </w:tcBorders>
            <w:shd w:val="clear" w:color="000000" w:fill="FFFFFF"/>
            <w:noWrap/>
            <w:vAlign w:val="center"/>
            <w:hideMark/>
          </w:tcPr>
          <w:p w14:paraId="0684AE3C" w14:textId="77777777" w:rsidR="00C93FAA" w:rsidRPr="00D618B7" w:rsidRDefault="00C93FAA" w:rsidP="004B11B7">
            <w:pPr>
              <w:jc w:val="right"/>
              <w:rPr>
                <w:color w:val="000000"/>
              </w:rPr>
            </w:pPr>
            <w:r w:rsidRPr="00D618B7">
              <w:rPr>
                <w:color w:val="000000"/>
              </w:rPr>
              <w:t>-114.23</w:t>
            </w:r>
          </w:p>
        </w:tc>
        <w:tc>
          <w:tcPr>
            <w:tcW w:w="714" w:type="pct"/>
            <w:tcBorders>
              <w:top w:val="nil"/>
              <w:left w:val="nil"/>
              <w:bottom w:val="nil"/>
              <w:right w:val="nil"/>
            </w:tcBorders>
            <w:shd w:val="clear" w:color="000000" w:fill="FFFFFF"/>
            <w:noWrap/>
            <w:vAlign w:val="center"/>
            <w:hideMark/>
          </w:tcPr>
          <w:p w14:paraId="2B1CFA28" w14:textId="77777777" w:rsidR="00C93FAA" w:rsidRPr="00D618B7" w:rsidRDefault="00C93FAA" w:rsidP="004B11B7">
            <w:pPr>
              <w:jc w:val="right"/>
              <w:rPr>
                <w:color w:val="000000"/>
              </w:rPr>
            </w:pPr>
            <w:r w:rsidRPr="00D618B7">
              <w:rPr>
                <w:color w:val="000000"/>
              </w:rPr>
              <w:t>327.55</w:t>
            </w:r>
          </w:p>
        </w:tc>
      </w:tr>
      <w:tr w:rsidR="00C93FAA" w:rsidRPr="00D618B7" w14:paraId="2B6C19A9" w14:textId="77777777" w:rsidTr="004B11B7">
        <w:trPr>
          <w:trHeight w:val="325"/>
        </w:trPr>
        <w:tc>
          <w:tcPr>
            <w:tcW w:w="714" w:type="pct"/>
            <w:tcBorders>
              <w:top w:val="nil"/>
              <w:left w:val="nil"/>
              <w:bottom w:val="nil"/>
              <w:right w:val="nil"/>
            </w:tcBorders>
            <w:shd w:val="clear" w:color="000000" w:fill="FFFFFF"/>
            <w:vAlign w:val="center"/>
            <w:hideMark/>
          </w:tcPr>
          <w:p w14:paraId="7ECF0D47" w14:textId="77777777" w:rsidR="00C93FAA" w:rsidRPr="00D618B7" w:rsidRDefault="00C93FAA"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683D6310" w14:textId="77777777" w:rsidR="00C93FAA" w:rsidRPr="00D618B7" w:rsidRDefault="00C93FAA" w:rsidP="004B11B7">
            <w:pPr>
              <w:jc w:val="right"/>
              <w:rPr>
                <w:color w:val="000000"/>
              </w:rPr>
            </w:pPr>
            <w:r w:rsidRPr="00D618B7">
              <w:rPr>
                <w:color w:val="000000"/>
              </w:rPr>
              <w:t>717.97</w:t>
            </w:r>
          </w:p>
        </w:tc>
        <w:tc>
          <w:tcPr>
            <w:tcW w:w="715" w:type="pct"/>
            <w:tcBorders>
              <w:top w:val="nil"/>
              <w:left w:val="nil"/>
              <w:bottom w:val="nil"/>
              <w:right w:val="nil"/>
            </w:tcBorders>
            <w:shd w:val="clear" w:color="000000" w:fill="FFFFFF"/>
            <w:noWrap/>
            <w:vAlign w:val="center"/>
            <w:hideMark/>
          </w:tcPr>
          <w:p w14:paraId="160E49D6" w14:textId="77777777" w:rsidR="00C93FAA" w:rsidRPr="00D618B7" w:rsidRDefault="00C93FAA" w:rsidP="004B11B7">
            <w:pPr>
              <w:jc w:val="right"/>
              <w:rPr>
                <w:color w:val="000000"/>
              </w:rPr>
            </w:pPr>
            <w:r w:rsidRPr="00D618B7">
              <w:rPr>
                <w:color w:val="000000"/>
              </w:rPr>
              <w:t>241.34</w:t>
            </w:r>
          </w:p>
        </w:tc>
        <w:tc>
          <w:tcPr>
            <w:tcW w:w="714" w:type="pct"/>
            <w:tcBorders>
              <w:top w:val="nil"/>
              <w:left w:val="nil"/>
              <w:bottom w:val="nil"/>
              <w:right w:val="nil"/>
            </w:tcBorders>
            <w:shd w:val="clear" w:color="000000" w:fill="FFFFFF"/>
            <w:noWrap/>
            <w:vAlign w:val="center"/>
            <w:hideMark/>
          </w:tcPr>
          <w:p w14:paraId="3D33553C" w14:textId="77777777" w:rsidR="00C93FAA" w:rsidRPr="00D618B7" w:rsidRDefault="00C93FAA" w:rsidP="004B11B7">
            <w:pPr>
              <w:jc w:val="right"/>
              <w:rPr>
                <w:color w:val="000000"/>
              </w:rPr>
            </w:pPr>
            <w:r w:rsidRPr="00D618B7">
              <w:rPr>
                <w:color w:val="000000"/>
              </w:rPr>
              <w:t>-614.02</w:t>
            </w:r>
          </w:p>
        </w:tc>
        <w:tc>
          <w:tcPr>
            <w:tcW w:w="715" w:type="pct"/>
            <w:tcBorders>
              <w:top w:val="nil"/>
              <w:left w:val="nil"/>
              <w:bottom w:val="nil"/>
              <w:right w:val="nil"/>
            </w:tcBorders>
            <w:shd w:val="clear" w:color="000000" w:fill="FFFFFF"/>
            <w:noWrap/>
            <w:vAlign w:val="center"/>
            <w:hideMark/>
          </w:tcPr>
          <w:p w14:paraId="7559A500" w14:textId="77777777" w:rsidR="00C93FAA" w:rsidRPr="00D618B7" w:rsidRDefault="00C93FAA" w:rsidP="004B11B7">
            <w:pPr>
              <w:jc w:val="right"/>
              <w:rPr>
                <w:color w:val="000000"/>
              </w:rPr>
            </w:pPr>
            <w:r w:rsidRPr="00D618B7">
              <w:rPr>
                <w:color w:val="000000"/>
              </w:rPr>
              <w:t>263.15</w:t>
            </w:r>
          </w:p>
        </w:tc>
        <w:tc>
          <w:tcPr>
            <w:tcW w:w="714" w:type="pct"/>
            <w:tcBorders>
              <w:top w:val="nil"/>
              <w:left w:val="nil"/>
              <w:bottom w:val="nil"/>
              <w:right w:val="nil"/>
            </w:tcBorders>
            <w:shd w:val="clear" w:color="000000" w:fill="FFFFFF"/>
            <w:noWrap/>
            <w:vAlign w:val="center"/>
            <w:hideMark/>
          </w:tcPr>
          <w:p w14:paraId="0B1BF8C6" w14:textId="77777777" w:rsidR="00C93FAA" w:rsidRPr="00D618B7" w:rsidRDefault="00C93FAA" w:rsidP="004B11B7">
            <w:pPr>
              <w:jc w:val="right"/>
              <w:rPr>
                <w:color w:val="000000"/>
              </w:rPr>
            </w:pPr>
            <w:r w:rsidRPr="00D618B7">
              <w:rPr>
                <w:color w:val="000000"/>
              </w:rPr>
              <w:t>181.48</w:t>
            </w:r>
          </w:p>
        </w:tc>
        <w:tc>
          <w:tcPr>
            <w:tcW w:w="714" w:type="pct"/>
            <w:tcBorders>
              <w:top w:val="nil"/>
              <w:left w:val="nil"/>
              <w:bottom w:val="nil"/>
              <w:right w:val="nil"/>
            </w:tcBorders>
            <w:shd w:val="clear" w:color="000000" w:fill="FFFFFF"/>
            <w:noWrap/>
            <w:vAlign w:val="center"/>
            <w:hideMark/>
          </w:tcPr>
          <w:p w14:paraId="4B237C80" w14:textId="77777777" w:rsidR="00C93FAA" w:rsidRPr="00D618B7" w:rsidRDefault="00C93FAA" w:rsidP="004B11B7">
            <w:pPr>
              <w:jc w:val="right"/>
              <w:rPr>
                <w:color w:val="000000"/>
              </w:rPr>
            </w:pPr>
            <w:r w:rsidRPr="00D618B7">
              <w:rPr>
                <w:color w:val="000000"/>
              </w:rPr>
              <w:t>332.38</w:t>
            </w:r>
          </w:p>
        </w:tc>
      </w:tr>
      <w:tr w:rsidR="00C93FAA" w:rsidRPr="00D618B7" w14:paraId="4B2FB2C9" w14:textId="77777777" w:rsidTr="004B11B7">
        <w:trPr>
          <w:trHeight w:val="325"/>
        </w:trPr>
        <w:tc>
          <w:tcPr>
            <w:tcW w:w="714" w:type="pct"/>
            <w:tcBorders>
              <w:top w:val="nil"/>
              <w:left w:val="nil"/>
              <w:bottom w:val="nil"/>
              <w:right w:val="nil"/>
            </w:tcBorders>
            <w:shd w:val="clear" w:color="000000" w:fill="FFFFFF"/>
            <w:vAlign w:val="center"/>
            <w:hideMark/>
          </w:tcPr>
          <w:p w14:paraId="6D213618" w14:textId="77777777" w:rsidR="00C93FAA" w:rsidRPr="00D618B7" w:rsidRDefault="00C93FAA"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2E251E6C" w14:textId="77777777" w:rsidR="00C93FAA" w:rsidRPr="00D618B7" w:rsidRDefault="00C93FAA" w:rsidP="004B11B7">
            <w:pPr>
              <w:jc w:val="right"/>
              <w:rPr>
                <w:color w:val="000000"/>
              </w:rPr>
            </w:pPr>
            <w:r w:rsidRPr="00D618B7">
              <w:rPr>
                <w:color w:val="000000"/>
              </w:rPr>
              <w:t>3645.45</w:t>
            </w:r>
          </w:p>
        </w:tc>
        <w:tc>
          <w:tcPr>
            <w:tcW w:w="715" w:type="pct"/>
            <w:tcBorders>
              <w:top w:val="nil"/>
              <w:left w:val="nil"/>
              <w:bottom w:val="nil"/>
              <w:right w:val="nil"/>
            </w:tcBorders>
            <w:shd w:val="clear" w:color="000000" w:fill="FFFFFF"/>
            <w:noWrap/>
            <w:vAlign w:val="center"/>
            <w:hideMark/>
          </w:tcPr>
          <w:p w14:paraId="610CD7B2" w14:textId="77777777" w:rsidR="00C93FAA" w:rsidRPr="00D618B7" w:rsidRDefault="00C93FAA" w:rsidP="004B11B7">
            <w:pPr>
              <w:jc w:val="right"/>
              <w:rPr>
                <w:color w:val="000000"/>
              </w:rPr>
            </w:pPr>
            <w:r w:rsidRPr="00D618B7">
              <w:rPr>
                <w:color w:val="000000"/>
              </w:rPr>
              <w:t>3220.88</w:t>
            </w:r>
          </w:p>
        </w:tc>
        <w:tc>
          <w:tcPr>
            <w:tcW w:w="714" w:type="pct"/>
            <w:tcBorders>
              <w:top w:val="nil"/>
              <w:left w:val="nil"/>
              <w:bottom w:val="nil"/>
              <w:right w:val="nil"/>
            </w:tcBorders>
            <w:shd w:val="clear" w:color="000000" w:fill="FFFFFF"/>
            <w:noWrap/>
            <w:vAlign w:val="center"/>
            <w:hideMark/>
          </w:tcPr>
          <w:p w14:paraId="44BBA5ED" w14:textId="77777777" w:rsidR="00C93FAA" w:rsidRPr="00D618B7" w:rsidRDefault="00C93FAA" w:rsidP="004B11B7">
            <w:pPr>
              <w:jc w:val="right"/>
              <w:rPr>
                <w:color w:val="000000"/>
              </w:rPr>
            </w:pPr>
            <w:r w:rsidRPr="00D618B7">
              <w:rPr>
                <w:color w:val="000000"/>
              </w:rPr>
              <w:t>2102.71</w:t>
            </w:r>
          </w:p>
        </w:tc>
        <w:tc>
          <w:tcPr>
            <w:tcW w:w="715" w:type="pct"/>
            <w:tcBorders>
              <w:top w:val="nil"/>
              <w:left w:val="nil"/>
              <w:bottom w:val="nil"/>
              <w:right w:val="nil"/>
            </w:tcBorders>
            <w:shd w:val="clear" w:color="000000" w:fill="FFFFFF"/>
            <w:noWrap/>
            <w:vAlign w:val="center"/>
            <w:hideMark/>
          </w:tcPr>
          <w:p w14:paraId="6DD93BE7" w14:textId="77777777" w:rsidR="00C93FAA" w:rsidRPr="00D618B7" w:rsidRDefault="00C93FAA" w:rsidP="004B11B7">
            <w:pPr>
              <w:jc w:val="right"/>
              <w:rPr>
                <w:color w:val="000000"/>
              </w:rPr>
            </w:pPr>
            <w:r w:rsidRPr="00D618B7">
              <w:rPr>
                <w:color w:val="000000"/>
              </w:rPr>
              <w:t>609.67</w:t>
            </w:r>
          </w:p>
        </w:tc>
        <w:tc>
          <w:tcPr>
            <w:tcW w:w="714" w:type="pct"/>
            <w:tcBorders>
              <w:top w:val="nil"/>
              <w:left w:val="nil"/>
              <w:bottom w:val="nil"/>
              <w:right w:val="nil"/>
            </w:tcBorders>
            <w:shd w:val="clear" w:color="000000" w:fill="FFFFFF"/>
            <w:noWrap/>
            <w:vAlign w:val="center"/>
            <w:hideMark/>
          </w:tcPr>
          <w:p w14:paraId="41DBFFB5" w14:textId="77777777" w:rsidR="00C93FAA" w:rsidRPr="00D618B7" w:rsidRDefault="00C93FAA" w:rsidP="004B11B7">
            <w:pPr>
              <w:jc w:val="right"/>
              <w:rPr>
                <w:color w:val="000000"/>
              </w:rPr>
            </w:pPr>
            <w:r w:rsidRPr="00D618B7">
              <w:rPr>
                <w:color w:val="000000"/>
              </w:rPr>
              <w:t>1158.94</w:t>
            </w:r>
          </w:p>
        </w:tc>
        <w:tc>
          <w:tcPr>
            <w:tcW w:w="714" w:type="pct"/>
            <w:tcBorders>
              <w:top w:val="nil"/>
              <w:left w:val="nil"/>
              <w:bottom w:val="nil"/>
              <w:right w:val="nil"/>
            </w:tcBorders>
            <w:shd w:val="clear" w:color="000000" w:fill="FFFFFF"/>
            <w:noWrap/>
            <w:vAlign w:val="center"/>
            <w:hideMark/>
          </w:tcPr>
          <w:p w14:paraId="2FEDA716" w14:textId="77777777" w:rsidR="00C93FAA" w:rsidRPr="00D618B7" w:rsidRDefault="00C93FAA" w:rsidP="004B11B7">
            <w:pPr>
              <w:jc w:val="right"/>
              <w:rPr>
                <w:color w:val="000000"/>
              </w:rPr>
            </w:pPr>
            <w:r w:rsidRPr="00D618B7">
              <w:rPr>
                <w:color w:val="000000"/>
              </w:rPr>
              <w:t>747.48</w:t>
            </w:r>
          </w:p>
        </w:tc>
      </w:tr>
      <w:tr w:rsidR="00C93FAA" w:rsidRPr="00D618B7" w14:paraId="4AD9DD74" w14:textId="77777777" w:rsidTr="004B11B7">
        <w:trPr>
          <w:trHeight w:val="325"/>
        </w:trPr>
        <w:tc>
          <w:tcPr>
            <w:tcW w:w="714" w:type="pct"/>
            <w:tcBorders>
              <w:top w:val="nil"/>
              <w:left w:val="nil"/>
              <w:bottom w:val="nil"/>
              <w:right w:val="nil"/>
            </w:tcBorders>
            <w:shd w:val="clear" w:color="000000" w:fill="FFFFFF"/>
            <w:vAlign w:val="center"/>
            <w:hideMark/>
          </w:tcPr>
          <w:p w14:paraId="7FEAA0E8" w14:textId="77777777" w:rsidR="00C93FAA" w:rsidRPr="00D618B7" w:rsidRDefault="00C93FAA" w:rsidP="004B11B7">
            <w:pPr>
              <w:jc w:val="right"/>
              <w:rPr>
                <w:color w:val="000000"/>
              </w:rPr>
            </w:pPr>
            <w:r w:rsidRPr="00D618B7">
              <w:rPr>
                <w:color w:val="000000"/>
              </w:rPr>
              <w:t>0</w:t>
            </w:r>
          </w:p>
        </w:tc>
        <w:tc>
          <w:tcPr>
            <w:tcW w:w="714" w:type="pct"/>
            <w:tcBorders>
              <w:top w:val="nil"/>
              <w:left w:val="nil"/>
              <w:bottom w:val="nil"/>
              <w:right w:val="nil"/>
            </w:tcBorders>
            <w:shd w:val="clear" w:color="000000" w:fill="FFFFFF"/>
            <w:noWrap/>
            <w:vAlign w:val="center"/>
            <w:hideMark/>
          </w:tcPr>
          <w:p w14:paraId="672BE6F4" w14:textId="77777777" w:rsidR="00C93FAA" w:rsidRPr="00D618B7" w:rsidRDefault="00C93FAA" w:rsidP="004B11B7">
            <w:pPr>
              <w:jc w:val="right"/>
              <w:rPr>
                <w:color w:val="000000"/>
              </w:rPr>
            </w:pPr>
            <w:r w:rsidRPr="00D618B7">
              <w:rPr>
                <w:color w:val="000000"/>
              </w:rPr>
              <w:t>1658.80</w:t>
            </w:r>
          </w:p>
        </w:tc>
        <w:tc>
          <w:tcPr>
            <w:tcW w:w="715" w:type="pct"/>
            <w:tcBorders>
              <w:top w:val="nil"/>
              <w:left w:val="nil"/>
              <w:bottom w:val="nil"/>
              <w:right w:val="nil"/>
            </w:tcBorders>
            <w:shd w:val="clear" w:color="000000" w:fill="FFFFFF"/>
            <w:noWrap/>
            <w:vAlign w:val="center"/>
            <w:hideMark/>
          </w:tcPr>
          <w:p w14:paraId="1A481674" w14:textId="77777777" w:rsidR="00C93FAA" w:rsidRPr="00D618B7" w:rsidRDefault="00C93FAA" w:rsidP="004B11B7">
            <w:pPr>
              <w:jc w:val="right"/>
              <w:rPr>
                <w:color w:val="000000"/>
              </w:rPr>
            </w:pPr>
            <w:r w:rsidRPr="00D618B7">
              <w:rPr>
                <w:color w:val="000000"/>
              </w:rPr>
              <w:t>1133.29</w:t>
            </w:r>
          </w:p>
        </w:tc>
        <w:tc>
          <w:tcPr>
            <w:tcW w:w="714" w:type="pct"/>
            <w:tcBorders>
              <w:top w:val="nil"/>
              <w:left w:val="nil"/>
              <w:bottom w:val="nil"/>
              <w:right w:val="nil"/>
            </w:tcBorders>
            <w:shd w:val="clear" w:color="000000" w:fill="FFFFFF"/>
            <w:noWrap/>
            <w:vAlign w:val="center"/>
            <w:hideMark/>
          </w:tcPr>
          <w:p w14:paraId="5A9224A0" w14:textId="77777777" w:rsidR="00C93FAA" w:rsidRPr="00D618B7" w:rsidRDefault="00C93FAA" w:rsidP="004B11B7">
            <w:pPr>
              <w:jc w:val="right"/>
              <w:rPr>
                <w:color w:val="000000"/>
              </w:rPr>
            </w:pPr>
            <w:r w:rsidRPr="00D618B7">
              <w:rPr>
                <w:color w:val="000000"/>
              </w:rPr>
              <w:t>478.91</w:t>
            </w:r>
          </w:p>
        </w:tc>
        <w:tc>
          <w:tcPr>
            <w:tcW w:w="715" w:type="pct"/>
            <w:tcBorders>
              <w:top w:val="nil"/>
              <w:left w:val="nil"/>
              <w:bottom w:val="nil"/>
              <w:right w:val="nil"/>
            </w:tcBorders>
            <w:shd w:val="clear" w:color="000000" w:fill="FFFFFF"/>
            <w:noWrap/>
            <w:vAlign w:val="center"/>
            <w:hideMark/>
          </w:tcPr>
          <w:p w14:paraId="3393E8B7" w14:textId="77777777" w:rsidR="00C93FAA" w:rsidRPr="00D618B7" w:rsidRDefault="00C93FAA" w:rsidP="004B11B7">
            <w:pPr>
              <w:jc w:val="right"/>
              <w:rPr>
                <w:color w:val="000000"/>
              </w:rPr>
            </w:pPr>
            <w:r w:rsidRPr="00D618B7">
              <w:rPr>
                <w:color w:val="000000"/>
              </w:rPr>
              <w:t>410.43</w:t>
            </w:r>
          </w:p>
        </w:tc>
        <w:tc>
          <w:tcPr>
            <w:tcW w:w="714" w:type="pct"/>
            <w:tcBorders>
              <w:top w:val="nil"/>
              <w:left w:val="nil"/>
              <w:bottom w:val="nil"/>
              <w:right w:val="nil"/>
            </w:tcBorders>
            <w:shd w:val="clear" w:color="000000" w:fill="FFFFFF"/>
            <w:noWrap/>
            <w:vAlign w:val="center"/>
            <w:hideMark/>
          </w:tcPr>
          <w:p w14:paraId="4C537F1C" w14:textId="77777777" w:rsidR="00C93FAA" w:rsidRPr="00D618B7" w:rsidRDefault="00C93FAA" w:rsidP="004B11B7">
            <w:pPr>
              <w:jc w:val="right"/>
              <w:rPr>
                <w:color w:val="000000"/>
              </w:rPr>
            </w:pPr>
            <w:r w:rsidRPr="00D618B7">
              <w:rPr>
                <w:color w:val="000000"/>
              </w:rPr>
              <w:t>985.33</w:t>
            </w:r>
          </w:p>
        </w:tc>
        <w:tc>
          <w:tcPr>
            <w:tcW w:w="714" w:type="pct"/>
            <w:tcBorders>
              <w:top w:val="nil"/>
              <w:left w:val="nil"/>
              <w:bottom w:val="nil"/>
              <w:right w:val="nil"/>
            </w:tcBorders>
            <w:shd w:val="clear" w:color="000000" w:fill="FFFFFF"/>
            <w:noWrap/>
            <w:vAlign w:val="center"/>
            <w:hideMark/>
          </w:tcPr>
          <w:p w14:paraId="3A402BB7" w14:textId="77777777" w:rsidR="00C93FAA" w:rsidRPr="00D618B7" w:rsidRDefault="00C93FAA" w:rsidP="004B11B7">
            <w:pPr>
              <w:jc w:val="right"/>
              <w:rPr>
                <w:color w:val="000000"/>
              </w:rPr>
            </w:pPr>
            <w:r w:rsidRPr="00D618B7">
              <w:rPr>
                <w:color w:val="000000"/>
              </w:rPr>
              <w:t>897.62</w:t>
            </w:r>
          </w:p>
        </w:tc>
      </w:tr>
      <w:tr w:rsidR="00C93FAA" w:rsidRPr="00D618B7" w14:paraId="0A99C398" w14:textId="77777777" w:rsidTr="004B11B7">
        <w:trPr>
          <w:trHeight w:val="325"/>
        </w:trPr>
        <w:tc>
          <w:tcPr>
            <w:tcW w:w="714" w:type="pct"/>
            <w:tcBorders>
              <w:top w:val="nil"/>
              <w:left w:val="nil"/>
              <w:bottom w:val="nil"/>
              <w:right w:val="nil"/>
            </w:tcBorders>
            <w:shd w:val="clear" w:color="000000" w:fill="FFFFFF"/>
            <w:vAlign w:val="center"/>
            <w:hideMark/>
          </w:tcPr>
          <w:p w14:paraId="23117A0B" w14:textId="77777777" w:rsidR="00C93FAA" w:rsidRPr="00D618B7" w:rsidRDefault="00C93FAA"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7083B5BC" w14:textId="77777777" w:rsidR="00C93FAA" w:rsidRPr="00D618B7" w:rsidRDefault="00C93FAA" w:rsidP="004B11B7">
            <w:pPr>
              <w:jc w:val="right"/>
              <w:rPr>
                <w:color w:val="000000"/>
              </w:rPr>
            </w:pPr>
            <w:r w:rsidRPr="00D618B7">
              <w:rPr>
                <w:color w:val="000000"/>
              </w:rPr>
              <w:t>19564.54</w:t>
            </w:r>
          </w:p>
        </w:tc>
        <w:tc>
          <w:tcPr>
            <w:tcW w:w="715" w:type="pct"/>
            <w:tcBorders>
              <w:top w:val="nil"/>
              <w:left w:val="nil"/>
              <w:bottom w:val="nil"/>
              <w:right w:val="nil"/>
            </w:tcBorders>
            <w:shd w:val="clear" w:color="000000" w:fill="FFFFFF"/>
            <w:noWrap/>
            <w:vAlign w:val="center"/>
            <w:hideMark/>
          </w:tcPr>
          <w:p w14:paraId="07DFE0EA" w14:textId="77777777" w:rsidR="00C93FAA" w:rsidRPr="00D618B7" w:rsidRDefault="00C93FAA" w:rsidP="004B11B7">
            <w:pPr>
              <w:jc w:val="right"/>
              <w:rPr>
                <w:color w:val="000000"/>
              </w:rPr>
            </w:pPr>
            <w:r w:rsidRPr="00D618B7">
              <w:rPr>
                <w:color w:val="000000"/>
              </w:rPr>
              <w:t>12494.43</w:t>
            </w:r>
          </w:p>
        </w:tc>
        <w:tc>
          <w:tcPr>
            <w:tcW w:w="714" w:type="pct"/>
            <w:tcBorders>
              <w:top w:val="nil"/>
              <w:left w:val="nil"/>
              <w:bottom w:val="nil"/>
              <w:right w:val="nil"/>
            </w:tcBorders>
            <w:shd w:val="clear" w:color="000000" w:fill="FFFFFF"/>
            <w:noWrap/>
            <w:vAlign w:val="center"/>
            <w:hideMark/>
          </w:tcPr>
          <w:p w14:paraId="32C42EFA" w14:textId="77777777" w:rsidR="00C93FAA" w:rsidRPr="00D618B7" w:rsidRDefault="00C93FAA" w:rsidP="004B11B7">
            <w:pPr>
              <w:jc w:val="right"/>
              <w:rPr>
                <w:color w:val="000000"/>
              </w:rPr>
            </w:pPr>
            <w:r w:rsidRPr="00D618B7">
              <w:rPr>
                <w:color w:val="000000"/>
              </w:rPr>
              <w:t>847.03</w:t>
            </w:r>
          </w:p>
        </w:tc>
        <w:tc>
          <w:tcPr>
            <w:tcW w:w="715" w:type="pct"/>
            <w:tcBorders>
              <w:top w:val="nil"/>
              <w:left w:val="nil"/>
              <w:bottom w:val="nil"/>
              <w:right w:val="nil"/>
            </w:tcBorders>
            <w:shd w:val="clear" w:color="000000" w:fill="FFFFFF"/>
            <w:noWrap/>
            <w:vAlign w:val="center"/>
            <w:hideMark/>
          </w:tcPr>
          <w:p w14:paraId="2B4AE89D" w14:textId="77777777" w:rsidR="00C93FAA" w:rsidRPr="00D618B7" w:rsidRDefault="00C93FAA" w:rsidP="004B11B7">
            <w:pPr>
              <w:jc w:val="right"/>
              <w:rPr>
                <w:color w:val="000000"/>
              </w:rPr>
            </w:pPr>
            <w:r w:rsidRPr="00D618B7">
              <w:rPr>
                <w:color w:val="000000"/>
              </w:rPr>
              <w:t>1166.41</w:t>
            </w:r>
          </w:p>
        </w:tc>
        <w:tc>
          <w:tcPr>
            <w:tcW w:w="714" w:type="pct"/>
            <w:tcBorders>
              <w:top w:val="nil"/>
              <w:left w:val="nil"/>
              <w:bottom w:val="nil"/>
              <w:right w:val="nil"/>
            </w:tcBorders>
            <w:shd w:val="clear" w:color="000000" w:fill="FFFFFF"/>
            <w:noWrap/>
            <w:vAlign w:val="center"/>
            <w:hideMark/>
          </w:tcPr>
          <w:p w14:paraId="73CAA6EC" w14:textId="77777777" w:rsidR="00C93FAA" w:rsidRPr="00D618B7" w:rsidRDefault="00C93FAA" w:rsidP="004B11B7">
            <w:pPr>
              <w:jc w:val="right"/>
              <w:rPr>
                <w:color w:val="000000"/>
              </w:rPr>
            </w:pPr>
            <w:r w:rsidRPr="00D618B7">
              <w:rPr>
                <w:color w:val="000000"/>
              </w:rPr>
              <w:t>534.63</w:t>
            </w:r>
          </w:p>
        </w:tc>
        <w:tc>
          <w:tcPr>
            <w:tcW w:w="714" w:type="pct"/>
            <w:tcBorders>
              <w:top w:val="nil"/>
              <w:left w:val="nil"/>
              <w:bottom w:val="nil"/>
              <w:right w:val="nil"/>
            </w:tcBorders>
            <w:shd w:val="clear" w:color="000000" w:fill="FFFFFF"/>
            <w:noWrap/>
            <w:vAlign w:val="center"/>
            <w:hideMark/>
          </w:tcPr>
          <w:p w14:paraId="4072AE69" w14:textId="77777777" w:rsidR="00C93FAA" w:rsidRPr="00D618B7" w:rsidRDefault="00C93FAA" w:rsidP="004B11B7">
            <w:pPr>
              <w:jc w:val="right"/>
              <w:rPr>
                <w:color w:val="000000"/>
              </w:rPr>
            </w:pPr>
            <w:r w:rsidRPr="00D618B7">
              <w:rPr>
                <w:color w:val="000000"/>
              </w:rPr>
              <w:t>172.94</w:t>
            </w:r>
          </w:p>
        </w:tc>
      </w:tr>
      <w:tr w:rsidR="00C93FAA" w:rsidRPr="00D618B7" w14:paraId="22D8248E" w14:textId="77777777" w:rsidTr="004B11B7">
        <w:trPr>
          <w:trHeight w:val="325"/>
        </w:trPr>
        <w:tc>
          <w:tcPr>
            <w:tcW w:w="714" w:type="pct"/>
            <w:tcBorders>
              <w:top w:val="nil"/>
              <w:left w:val="nil"/>
              <w:bottom w:val="nil"/>
              <w:right w:val="nil"/>
            </w:tcBorders>
            <w:shd w:val="clear" w:color="000000" w:fill="FFFFFF"/>
            <w:vAlign w:val="center"/>
            <w:hideMark/>
          </w:tcPr>
          <w:p w14:paraId="47F162B4" w14:textId="77777777" w:rsidR="00C93FAA" w:rsidRPr="00D618B7" w:rsidRDefault="00C93FAA"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12646DFB" w14:textId="77777777" w:rsidR="00C93FAA" w:rsidRPr="00D618B7" w:rsidRDefault="00C93FAA" w:rsidP="004B11B7">
            <w:pPr>
              <w:jc w:val="right"/>
              <w:rPr>
                <w:color w:val="000000"/>
              </w:rPr>
            </w:pPr>
            <w:r w:rsidRPr="00D618B7">
              <w:rPr>
                <w:color w:val="000000"/>
              </w:rPr>
              <w:t>12206.30</w:t>
            </w:r>
          </w:p>
        </w:tc>
        <w:tc>
          <w:tcPr>
            <w:tcW w:w="715" w:type="pct"/>
            <w:tcBorders>
              <w:top w:val="nil"/>
              <w:left w:val="nil"/>
              <w:bottom w:val="nil"/>
              <w:right w:val="nil"/>
            </w:tcBorders>
            <w:shd w:val="clear" w:color="000000" w:fill="FFFFFF"/>
            <w:noWrap/>
            <w:vAlign w:val="center"/>
            <w:hideMark/>
          </w:tcPr>
          <w:p w14:paraId="31DC00D0" w14:textId="77777777" w:rsidR="00C93FAA" w:rsidRPr="00D618B7" w:rsidRDefault="00C93FAA" w:rsidP="004B11B7">
            <w:pPr>
              <w:jc w:val="right"/>
              <w:rPr>
                <w:color w:val="000000"/>
              </w:rPr>
            </w:pPr>
            <w:r w:rsidRPr="00D618B7">
              <w:rPr>
                <w:color w:val="000000"/>
              </w:rPr>
              <w:t>3444.89</w:t>
            </w:r>
          </w:p>
        </w:tc>
        <w:tc>
          <w:tcPr>
            <w:tcW w:w="714" w:type="pct"/>
            <w:tcBorders>
              <w:top w:val="nil"/>
              <w:left w:val="nil"/>
              <w:bottom w:val="nil"/>
              <w:right w:val="nil"/>
            </w:tcBorders>
            <w:shd w:val="clear" w:color="000000" w:fill="FFFFFF"/>
            <w:noWrap/>
            <w:vAlign w:val="center"/>
            <w:hideMark/>
          </w:tcPr>
          <w:p w14:paraId="6018021A" w14:textId="77777777" w:rsidR="00C93FAA" w:rsidRPr="00D618B7" w:rsidRDefault="00C93FAA" w:rsidP="004B11B7">
            <w:pPr>
              <w:jc w:val="right"/>
              <w:rPr>
                <w:color w:val="000000"/>
              </w:rPr>
            </w:pPr>
            <w:r w:rsidRPr="00D618B7">
              <w:rPr>
                <w:color w:val="000000"/>
              </w:rPr>
              <w:t>-217.97</w:t>
            </w:r>
          </w:p>
        </w:tc>
        <w:tc>
          <w:tcPr>
            <w:tcW w:w="715" w:type="pct"/>
            <w:tcBorders>
              <w:top w:val="nil"/>
              <w:left w:val="nil"/>
              <w:bottom w:val="nil"/>
              <w:right w:val="nil"/>
            </w:tcBorders>
            <w:shd w:val="clear" w:color="000000" w:fill="FFFFFF"/>
            <w:noWrap/>
            <w:vAlign w:val="center"/>
            <w:hideMark/>
          </w:tcPr>
          <w:p w14:paraId="141597C8" w14:textId="77777777" w:rsidR="00C93FAA" w:rsidRPr="00D618B7" w:rsidRDefault="00C93FAA" w:rsidP="004B11B7">
            <w:pPr>
              <w:jc w:val="right"/>
              <w:rPr>
                <w:color w:val="000000"/>
              </w:rPr>
            </w:pPr>
            <w:r w:rsidRPr="00D618B7">
              <w:rPr>
                <w:color w:val="000000"/>
              </w:rPr>
              <w:t>460.17</w:t>
            </w:r>
          </w:p>
        </w:tc>
        <w:tc>
          <w:tcPr>
            <w:tcW w:w="714" w:type="pct"/>
            <w:tcBorders>
              <w:top w:val="nil"/>
              <w:left w:val="nil"/>
              <w:bottom w:val="nil"/>
              <w:right w:val="nil"/>
            </w:tcBorders>
            <w:shd w:val="clear" w:color="000000" w:fill="FFFFFF"/>
            <w:noWrap/>
            <w:vAlign w:val="center"/>
            <w:hideMark/>
          </w:tcPr>
          <w:p w14:paraId="1B6CA28F" w14:textId="77777777" w:rsidR="00C93FAA" w:rsidRPr="00D618B7" w:rsidRDefault="00C93FAA" w:rsidP="004B11B7">
            <w:pPr>
              <w:jc w:val="right"/>
              <w:rPr>
                <w:color w:val="000000"/>
              </w:rPr>
            </w:pPr>
            <w:r w:rsidRPr="00D618B7">
              <w:rPr>
                <w:color w:val="000000"/>
              </w:rPr>
              <w:t>20.54</w:t>
            </w:r>
          </w:p>
        </w:tc>
        <w:tc>
          <w:tcPr>
            <w:tcW w:w="714" w:type="pct"/>
            <w:tcBorders>
              <w:top w:val="nil"/>
              <w:left w:val="nil"/>
              <w:bottom w:val="nil"/>
              <w:right w:val="nil"/>
            </w:tcBorders>
            <w:shd w:val="clear" w:color="000000" w:fill="FFFFFF"/>
            <w:noWrap/>
            <w:vAlign w:val="center"/>
            <w:hideMark/>
          </w:tcPr>
          <w:p w14:paraId="31A505B1" w14:textId="77777777" w:rsidR="00C93FAA" w:rsidRPr="00D618B7" w:rsidRDefault="00C93FAA" w:rsidP="004B11B7">
            <w:pPr>
              <w:jc w:val="right"/>
              <w:rPr>
                <w:color w:val="000000"/>
              </w:rPr>
            </w:pPr>
            <w:r w:rsidRPr="00D618B7">
              <w:rPr>
                <w:color w:val="000000"/>
              </w:rPr>
              <w:t>102.00</w:t>
            </w:r>
          </w:p>
        </w:tc>
      </w:tr>
      <w:tr w:rsidR="00C93FAA" w:rsidRPr="00D618B7" w14:paraId="39574DF9" w14:textId="77777777" w:rsidTr="004B11B7">
        <w:trPr>
          <w:trHeight w:val="325"/>
        </w:trPr>
        <w:tc>
          <w:tcPr>
            <w:tcW w:w="714" w:type="pct"/>
            <w:tcBorders>
              <w:top w:val="nil"/>
              <w:left w:val="nil"/>
              <w:bottom w:val="nil"/>
              <w:right w:val="nil"/>
            </w:tcBorders>
            <w:shd w:val="clear" w:color="000000" w:fill="FFFFFF"/>
            <w:vAlign w:val="center"/>
            <w:hideMark/>
          </w:tcPr>
          <w:p w14:paraId="58FF197A" w14:textId="77777777" w:rsidR="00C93FAA" w:rsidRPr="00D618B7" w:rsidRDefault="00C93FAA"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4D813882" w14:textId="77777777" w:rsidR="00C93FAA" w:rsidRPr="00D618B7" w:rsidRDefault="00C93FAA" w:rsidP="004B11B7">
            <w:pPr>
              <w:jc w:val="right"/>
              <w:rPr>
                <w:color w:val="000000"/>
              </w:rPr>
            </w:pPr>
            <w:r w:rsidRPr="00D618B7">
              <w:rPr>
                <w:color w:val="000000"/>
              </w:rPr>
              <w:t>7648.12</w:t>
            </w:r>
          </w:p>
        </w:tc>
        <w:tc>
          <w:tcPr>
            <w:tcW w:w="715" w:type="pct"/>
            <w:tcBorders>
              <w:top w:val="nil"/>
              <w:left w:val="nil"/>
              <w:bottom w:val="nil"/>
              <w:right w:val="nil"/>
            </w:tcBorders>
            <w:shd w:val="clear" w:color="000000" w:fill="FFFFFF"/>
            <w:noWrap/>
            <w:vAlign w:val="center"/>
            <w:hideMark/>
          </w:tcPr>
          <w:p w14:paraId="7161AF3C" w14:textId="77777777" w:rsidR="00C93FAA" w:rsidRPr="00D618B7" w:rsidRDefault="00C93FAA" w:rsidP="004B11B7">
            <w:pPr>
              <w:jc w:val="right"/>
              <w:rPr>
                <w:color w:val="000000"/>
              </w:rPr>
            </w:pPr>
            <w:r w:rsidRPr="00D618B7">
              <w:rPr>
                <w:color w:val="000000"/>
              </w:rPr>
              <w:t>1089.76</w:t>
            </w:r>
          </w:p>
        </w:tc>
        <w:tc>
          <w:tcPr>
            <w:tcW w:w="714" w:type="pct"/>
            <w:tcBorders>
              <w:top w:val="nil"/>
              <w:left w:val="nil"/>
              <w:bottom w:val="nil"/>
              <w:right w:val="nil"/>
            </w:tcBorders>
            <w:shd w:val="clear" w:color="000000" w:fill="FFFFFF"/>
            <w:noWrap/>
            <w:vAlign w:val="center"/>
            <w:hideMark/>
          </w:tcPr>
          <w:p w14:paraId="4B8C9319" w14:textId="77777777" w:rsidR="00C93FAA" w:rsidRPr="00D618B7" w:rsidRDefault="00C93FAA" w:rsidP="004B11B7">
            <w:pPr>
              <w:jc w:val="right"/>
              <w:rPr>
                <w:color w:val="000000"/>
              </w:rPr>
            </w:pPr>
            <w:r w:rsidRPr="00D618B7">
              <w:rPr>
                <w:color w:val="000000"/>
              </w:rPr>
              <w:t>212.33</w:t>
            </w:r>
          </w:p>
        </w:tc>
        <w:tc>
          <w:tcPr>
            <w:tcW w:w="715" w:type="pct"/>
            <w:tcBorders>
              <w:top w:val="nil"/>
              <w:left w:val="nil"/>
              <w:bottom w:val="nil"/>
              <w:right w:val="nil"/>
            </w:tcBorders>
            <w:shd w:val="clear" w:color="000000" w:fill="FFFFFF"/>
            <w:noWrap/>
            <w:vAlign w:val="center"/>
            <w:hideMark/>
          </w:tcPr>
          <w:p w14:paraId="6AF3FB20" w14:textId="77777777" w:rsidR="00C93FAA" w:rsidRPr="00D618B7" w:rsidRDefault="00C93FAA" w:rsidP="004B11B7">
            <w:pPr>
              <w:jc w:val="right"/>
              <w:rPr>
                <w:color w:val="000000"/>
              </w:rPr>
            </w:pPr>
            <w:r w:rsidRPr="00D618B7">
              <w:rPr>
                <w:color w:val="000000"/>
              </w:rPr>
              <w:t>891.42</w:t>
            </w:r>
          </w:p>
        </w:tc>
        <w:tc>
          <w:tcPr>
            <w:tcW w:w="714" w:type="pct"/>
            <w:tcBorders>
              <w:top w:val="nil"/>
              <w:left w:val="nil"/>
              <w:bottom w:val="nil"/>
              <w:right w:val="nil"/>
            </w:tcBorders>
            <w:shd w:val="clear" w:color="000000" w:fill="FFFFFF"/>
            <w:noWrap/>
            <w:vAlign w:val="center"/>
            <w:hideMark/>
          </w:tcPr>
          <w:p w14:paraId="2CF5DAAF" w14:textId="77777777" w:rsidR="00C93FAA" w:rsidRPr="00D618B7" w:rsidRDefault="00C93FAA" w:rsidP="004B11B7">
            <w:pPr>
              <w:jc w:val="right"/>
              <w:rPr>
                <w:color w:val="000000"/>
              </w:rPr>
            </w:pPr>
            <w:r w:rsidRPr="00D618B7">
              <w:rPr>
                <w:color w:val="000000"/>
              </w:rPr>
              <w:t>-222.27</w:t>
            </w:r>
          </w:p>
        </w:tc>
        <w:tc>
          <w:tcPr>
            <w:tcW w:w="714" w:type="pct"/>
            <w:tcBorders>
              <w:top w:val="nil"/>
              <w:left w:val="nil"/>
              <w:bottom w:val="nil"/>
              <w:right w:val="nil"/>
            </w:tcBorders>
            <w:shd w:val="clear" w:color="000000" w:fill="FFFFFF"/>
            <w:noWrap/>
            <w:vAlign w:val="center"/>
            <w:hideMark/>
          </w:tcPr>
          <w:p w14:paraId="6ED34051" w14:textId="77777777" w:rsidR="00C93FAA" w:rsidRPr="00D618B7" w:rsidRDefault="00C93FAA" w:rsidP="004B11B7">
            <w:pPr>
              <w:jc w:val="right"/>
              <w:rPr>
                <w:color w:val="000000"/>
              </w:rPr>
            </w:pPr>
            <w:r w:rsidRPr="00D618B7">
              <w:rPr>
                <w:color w:val="000000"/>
              </w:rPr>
              <w:t>461.85</w:t>
            </w:r>
          </w:p>
        </w:tc>
      </w:tr>
      <w:tr w:rsidR="00C93FAA" w:rsidRPr="00D618B7" w14:paraId="73026F36" w14:textId="77777777" w:rsidTr="004B11B7">
        <w:trPr>
          <w:trHeight w:val="325"/>
        </w:trPr>
        <w:tc>
          <w:tcPr>
            <w:tcW w:w="714" w:type="pct"/>
            <w:tcBorders>
              <w:top w:val="nil"/>
              <w:left w:val="nil"/>
              <w:bottom w:val="nil"/>
              <w:right w:val="nil"/>
            </w:tcBorders>
            <w:shd w:val="clear" w:color="000000" w:fill="FFFFFF"/>
            <w:vAlign w:val="center"/>
            <w:hideMark/>
          </w:tcPr>
          <w:p w14:paraId="65572EAF" w14:textId="77777777" w:rsidR="00C93FAA" w:rsidRPr="00D618B7" w:rsidRDefault="00C93FAA"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5CA6D89F" w14:textId="77777777" w:rsidR="00C93FAA" w:rsidRPr="00D618B7" w:rsidRDefault="00C93FAA" w:rsidP="004B11B7">
            <w:pPr>
              <w:jc w:val="right"/>
              <w:rPr>
                <w:color w:val="000000"/>
              </w:rPr>
            </w:pPr>
            <w:r w:rsidRPr="00D618B7">
              <w:rPr>
                <w:color w:val="000000"/>
              </w:rPr>
              <w:t>22295.23</w:t>
            </w:r>
          </w:p>
        </w:tc>
        <w:tc>
          <w:tcPr>
            <w:tcW w:w="715" w:type="pct"/>
            <w:tcBorders>
              <w:top w:val="nil"/>
              <w:left w:val="nil"/>
              <w:bottom w:val="nil"/>
              <w:right w:val="nil"/>
            </w:tcBorders>
            <w:shd w:val="clear" w:color="000000" w:fill="FFFFFF"/>
            <w:noWrap/>
            <w:vAlign w:val="center"/>
            <w:hideMark/>
          </w:tcPr>
          <w:p w14:paraId="07D13EEE" w14:textId="77777777" w:rsidR="00C93FAA" w:rsidRPr="00D618B7" w:rsidRDefault="00C93FAA" w:rsidP="004B11B7">
            <w:pPr>
              <w:jc w:val="right"/>
              <w:rPr>
                <w:color w:val="000000"/>
              </w:rPr>
            </w:pPr>
            <w:r w:rsidRPr="00D618B7">
              <w:rPr>
                <w:color w:val="000000"/>
              </w:rPr>
              <w:t>2151.37</w:t>
            </w:r>
          </w:p>
        </w:tc>
        <w:tc>
          <w:tcPr>
            <w:tcW w:w="714" w:type="pct"/>
            <w:tcBorders>
              <w:top w:val="nil"/>
              <w:left w:val="nil"/>
              <w:bottom w:val="nil"/>
              <w:right w:val="nil"/>
            </w:tcBorders>
            <w:shd w:val="clear" w:color="000000" w:fill="FFFFFF"/>
            <w:noWrap/>
            <w:vAlign w:val="center"/>
            <w:hideMark/>
          </w:tcPr>
          <w:p w14:paraId="0167EAE9" w14:textId="77777777" w:rsidR="00C93FAA" w:rsidRPr="00D618B7" w:rsidRDefault="00C93FAA" w:rsidP="004B11B7">
            <w:pPr>
              <w:jc w:val="right"/>
              <w:rPr>
                <w:color w:val="000000"/>
              </w:rPr>
            </w:pPr>
            <w:r w:rsidRPr="00D618B7">
              <w:rPr>
                <w:color w:val="000000"/>
              </w:rPr>
              <w:t>3883.76</w:t>
            </w:r>
          </w:p>
        </w:tc>
        <w:tc>
          <w:tcPr>
            <w:tcW w:w="715" w:type="pct"/>
            <w:tcBorders>
              <w:top w:val="nil"/>
              <w:left w:val="nil"/>
              <w:bottom w:val="nil"/>
              <w:right w:val="nil"/>
            </w:tcBorders>
            <w:shd w:val="clear" w:color="000000" w:fill="FFFFFF"/>
            <w:noWrap/>
            <w:vAlign w:val="center"/>
            <w:hideMark/>
          </w:tcPr>
          <w:p w14:paraId="0AAB93D6" w14:textId="77777777" w:rsidR="00C93FAA" w:rsidRPr="00D618B7" w:rsidRDefault="00C93FAA" w:rsidP="004B11B7">
            <w:pPr>
              <w:jc w:val="right"/>
              <w:rPr>
                <w:color w:val="000000"/>
              </w:rPr>
            </w:pPr>
            <w:r w:rsidRPr="00D618B7">
              <w:rPr>
                <w:color w:val="000000"/>
              </w:rPr>
              <w:t>969.90</w:t>
            </w:r>
          </w:p>
        </w:tc>
        <w:tc>
          <w:tcPr>
            <w:tcW w:w="714" w:type="pct"/>
            <w:tcBorders>
              <w:top w:val="nil"/>
              <w:left w:val="nil"/>
              <w:bottom w:val="nil"/>
              <w:right w:val="nil"/>
            </w:tcBorders>
            <w:shd w:val="clear" w:color="000000" w:fill="FFFFFF"/>
            <w:noWrap/>
            <w:vAlign w:val="center"/>
            <w:hideMark/>
          </w:tcPr>
          <w:p w14:paraId="73532C24" w14:textId="77777777" w:rsidR="00C93FAA" w:rsidRPr="00D618B7" w:rsidRDefault="00C93FAA" w:rsidP="004B11B7">
            <w:pPr>
              <w:jc w:val="right"/>
              <w:rPr>
                <w:color w:val="000000"/>
              </w:rPr>
            </w:pPr>
            <w:r w:rsidRPr="00D618B7">
              <w:rPr>
                <w:color w:val="000000"/>
              </w:rPr>
              <w:t>2785.24</w:t>
            </w:r>
          </w:p>
        </w:tc>
        <w:tc>
          <w:tcPr>
            <w:tcW w:w="714" w:type="pct"/>
            <w:tcBorders>
              <w:top w:val="nil"/>
              <w:left w:val="nil"/>
              <w:bottom w:val="nil"/>
              <w:right w:val="nil"/>
            </w:tcBorders>
            <w:shd w:val="clear" w:color="000000" w:fill="FFFFFF"/>
            <w:noWrap/>
            <w:vAlign w:val="center"/>
            <w:hideMark/>
          </w:tcPr>
          <w:p w14:paraId="58D15DA5" w14:textId="77777777" w:rsidR="00C93FAA" w:rsidRPr="00D618B7" w:rsidRDefault="00C93FAA" w:rsidP="004B11B7">
            <w:pPr>
              <w:jc w:val="right"/>
              <w:rPr>
                <w:color w:val="000000"/>
              </w:rPr>
            </w:pPr>
            <w:r w:rsidRPr="00D618B7">
              <w:rPr>
                <w:color w:val="000000"/>
              </w:rPr>
              <w:t>1460.89</w:t>
            </w:r>
          </w:p>
        </w:tc>
      </w:tr>
      <w:tr w:rsidR="00C93FAA" w:rsidRPr="00D618B7" w14:paraId="34306F28" w14:textId="77777777" w:rsidTr="004B11B7">
        <w:trPr>
          <w:trHeight w:val="325"/>
        </w:trPr>
        <w:tc>
          <w:tcPr>
            <w:tcW w:w="714" w:type="pct"/>
            <w:tcBorders>
              <w:top w:val="nil"/>
              <w:left w:val="nil"/>
              <w:bottom w:val="single" w:sz="8" w:space="0" w:color="auto"/>
              <w:right w:val="nil"/>
            </w:tcBorders>
            <w:shd w:val="clear" w:color="000000" w:fill="FFFFFF"/>
            <w:vAlign w:val="center"/>
            <w:hideMark/>
          </w:tcPr>
          <w:p w14:paraId="3F715684" w14:textId="77777777" w:rsidR="00C93FAA" w:rsidRPr="00D618B7" w:rsidRDefault="00C93FAA" w:rsidP="004B11B7">
            <w:pPr>
              <w:jc w:val="right"/>
              <w:rPr>
                <w:color w:val="000000"/>
              </w:rPr>
            </w:pPr>
            <w:r w:rsidRPr="00D618B7">
              <w:rPr>
                <w:color w:val="000000"/>
              </w:rPr>
              <w:t>5</w:t>
            </w:r>
          </w:p>
        </w:tc>
        <w:tc>
          <w:tcPr>
            <w:tcW w:w="714" w:type="pct"/>
            <w:tcBorders>
              <w:top w:val="nil"/>
              <w:left w:val="nil"/>
              <w:bottom w:val="single" w:sz="8" w:space="0" w:color="auto"/>
              <w:right w:val="nil"/>
            </w:tcBorders>
            <w:shd w:val="clear" w:color="000000" w:fill="FFFFFF"/>
            <w:noWrap/>
            <w:vAlign w:val="center"/>
            <w:hideMark/>
          </w:tcPr>
          <w:p w14:paraId="7A10CF01" w14:textId="77777777" w:rsidR="00C93FAA" w:rsidRPr="00D618B7" w:rsidRDefault="00C93FAA" w:rsidP="004B11B7">
            <w:pPr>
              <w:jc w:val="right"/>
              <w:rPr>
                <w:color w:val="000000"/>
              </w:rPr>
            </w:pPr>
            <w:r w:rsidRPr="00D618B7">
              <w:rPr>
                <w:color w:val="000000"/>
              </w:rPr>
              <w:t>-1968.66</w:t>
            </w:r>
          </w:p>
        </w:tc>
        <w:tc>
          <w:tcPr>
            <w:tcW w:w="715" w:type="pct"/>
            <w:tcBorders>
              <w:top w:val="nil"/>
              <w:left w:val="nil"/>
              <w:bottom w:val="single" w:sz="8" w:space="0" w:color="auto"/>
              <w:right w:val="nil"/>
            </w:tcBorders>
            <w:shd w:val="clear" w:color="000000" w:fill="FFFFFF"/>
            <w:noWrap/>
            <w:vAlign w:val="center"/>
            <w:hideMark/>
          </w:tcPr>
          <w:p w14:paraId="71E25D62" w14:textId="77777777" w:rsidR="00C93FAA" w:rsidRPr="00D618B7" w:rsidRDefault="00C93FAA" w:rsidP="004B11B7">
            <w:pPr>
              <w:jc w:val="right"/>
              <w:rPr>
                <w:color w:val="000000"/>
              </w:rPr>
            </w:pPr>
            <w:r w:rsidRPr="00D618B7">
              <w:rPr>
                <w:color w:val="000000"/>
              </w:rPr>
              <w:t>2096.68</w:t>
            </w:r>
          </w:p>
        </w:tc>
        <w:tc>
          <w:tcPr>
            <w:tcW w:w="714" w:type="pct"/>
            <w:tcBorders>
              <w:top w:val="nil"/>
              <w:left w:val="nil"/>
              <w:bottom w:val="single" w:sz="8" w:space="0" w:color="auto"/>
              <w:right w:val="nil"/>
            </w:tcBorders>
            <w:shd w:val="clear" w:color="000000" w:fill="FFFFFF"/>
            <w:noWrap/>
            <w:vAlign w:val="center"/>
            <w:hideMark/>
          </w:tcPr>
          <w:p w14:paraId="14257AE8" w14:textId="77777777" w:rsidR="00C93FAA" w:rsidRPr="00D618B7" w:rsidRDefault="00C93FAA" w:rsidP="004B11B7">
            <w:pPr>
              <w:jc w:val="right"/>
              <w:rPr>
                <w:color w:val="000000"/>
              </w:rPr>
            </w:pPr>
            <w:r w:rsidRPr="00D618B7">
              <w:rPr>
                <w:color w:val="000000"/>
              </w:rPr>
              <w:t>-3875.86</w:t>
            </w:r>
          </w:p>
        </w:tc>
        <w:tc>
          <w:tcPr>
            <w:tcW w:w="715" w:type="pct"/>
            <w:tcBorders>
              <w:top w:val="nil"/>
              <w:left w:val="nil"/>
              <w:bottom w:val="single" w:sz="8" w:space="0" w:color="auto"/>
              <w:right w:val="nil"/>
            </w:tcBorders>
            <w:shd w:val="clear" w:color="000000" w:fill="FFFFFF"/>
            <w:noWrap/>
            <w:vAlign w:val="center"/>
            <w:hideMark/>
          </w:tcPr>
          <w:p w14:paraId="7CE8C4F5" w14:textId="77777777" w:rsidR="00C93FAA" w:rsidRPr="00D618B7" w:rsidRDefault="00C93FAA" w:rsidP="004B11B7">
            <w:pPr>
              <w:jc w:val="right"/>
              <w:rPr>
                <w:color w:val="000000"/>
              </w:rPr>
            </w:pPr>
            <w:r w:rsidRPr="00D618B7">
              <w:rPr>
                <w:color w:val="000000"/>
              </w:rPr>
              <w:t>2247.22</w:t>
            </w:r>
          </w:p>
        </w:tc>
        <w:tc>
          <w:tcPr>
            <w:tcW w:w="714" w:type="pct"/>
            <w:tcBorders>
              <w:top w:val="nil"/>
              <w:left w:val="nil"/>
              <w:bottom w:val="single" w:sz="8" w:space="0" w:color="auto"/>
              <w:right w:val="nil"/>
            </w:tcBorders>
            <w:shd w:val="clear" w:color="000000" w:fill="FFFFFF"/>
            <w:noWrap/>
            <w:vAlign w:val="center"/>
            <w:hideMark/>
          </w:tcPr>
          <w:p w14:paraId="08D8F16E" w14:textId="77777777" w:rsidR="00C93FAA" w:rsidRPr="00D618B7" w:rsidRDefault="00C93FAA" w:rsidP="004B11B7">
            <w:pPr>
              <w:jc w:val="right"/>
              <w:rPr>
                <w:color w:val="000000"/>
              </w:rPr>
            </w:pPr>
            <w:r w:rsidRPr="00D618B7">
              <w:rPr>
                <w:color w:val="000000"/>
              </w:rPr>
              <w:t>-373.69</w:t>
            </w:r>
          </w:p>
        </w:tc>
        <w:tc>
          <w:tcPr>
            <w:tcW w:w="714" w:type="pct"/>
            <w:tcBorders>
              <w:top w:val="nil"/>
              <w:left w:val="nil"/>
              <w:bottom w:val="single" w:sz="8" w:space="0" w:color="auto"/>
              <w:right w:val="nil"/>
            </w:tcBorders>
            <w:shd w:val="clear" w:color="000000" w:fill="FFFFFF"/>
            <w:noWrap/>
            <w:vAlign w:val="center"/>
            <w:hideMark/>
          </w:tcPr>
          <w:p w14:paraId="05B2B758" w14:textId="77777777" w:rsidR="00C93FAA" w:rsidRPr="00D618B7" w:rsidRDefault="00C93FAA" w:rsidP="004B11B7">
            <w:pPr>
              <w:jc w:val="right"/>
              <w:rPr>
                <w:color w:val="000000"/>
              </w:rPr>
            </w:pPr>
            <w:r w:rsidRPr="00D618B7">
              <w:rPr>
                <w:color w:val="000000"/>
              </w:rPr>
              <w:t>402.42</w:t>
            </w:r>
          </w:p>
        </w:tc>
      </w:tr>
    </w:tbl>
    <w:p w14:paraId="4125103F" w14:textId="77777777" w:rsidR="00C93FAA" w:rsidRPr="00D618B7" w:rsidRDefault="00C93FAA" w:rsidP="00C93FAA"/>
    <w:p w14:paraId="3458010B" w14:textId="77777777" w:rsidR="00C93FAA" w:rsidRPr="00D618B7" w:rsidRDefault="00C93FAA" w:rsidP="00C93FAA">
      <w:r w:rsidRPr="00D618B7">
        <w:rPr>
          <w:i/>
          <w:iCs/>
        </w:rPr>
        <w:t>Note</w:t>
      </w:r>
      <w:r w:rsidRPr="00D618B7">
        <w:t>: This table lists the estimated mean summed duration and standard errors for toy-out-of-reach, toy-moving-into-reach, and toy-in-reach events for each week of observation around reach-onset by group.</w:t>
      </w:r>
    </w:p>
    <w:p w14:paraId="2F2CE30E" w14:textId="77777777" w:rsidR="00C93FAA" w:rsidRPr="00D618B7" w:rsidRDefault="00C93FAA" w:rsidP="00C93FAA"/>
    <w:p w14:paraId="4B5799CF" w14:textId="77777777" w:rsidR="00E7168B" w:rsidRPr="00D618B7" w:rsidRDefault="00E7168B"/>
    <w:p w14:paraId="0E06606D" w14:textId="30C358BE" w:rsidR="00E7168B" w:rsidRPr="00D618B7" w:rsidRDefault="00E7168B">
      <w:r w:rsidRPr="00D618B7">
        <w:br w:type="page"/>
      </w:r>
    </w:p>
    <w:p w14:paraId="41571659" w14:textId="00FEFB73" w:rsidR="00A20AF0" w:rsidRPr="00D618B7" w:rsidRDefault="00A20AF0" w:rsidP="007C5074">
      <w:pPr>
        <w:pStyle w:val="Caption"/>
      </w:pPr>
      <w:bookmarkStart w:id="211" w:name="_Toc172716895"/>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67</w:t>
      </w:r>
      <w:r w:rsidR="00000000">
        <w:rPr>
          <w:noProof/>
        </w:rPr>
        <w:fldChar w:fldCharType="end"/>
      </w:r>
      <w:r w:rsidR="00691750">
        <w:rPr>
          <w:noProof/>
        </w:rPr>
        <w:t>:</w:t>
      </w:r>
      <w:r w:rsidR="00AC6256" w:rsidRPr="00AC6256">
        <w:t xml:space="preserve"> </w:t>
      </w:r>
      <w:r w:rsidR="00AC6256">
        <w:t>Event summed duration</w:t>
      </w:r>
      <w:r w:rsidR="00AC6256" w:rsidRPr="00BA36EF">
        <w:t xml:space="preserve"> by</w:t>
      </w:r>
      <w:r w:rsidR="00AC6256">
        <w:t xml:space="preserve"> proximity and type by group</w:t>
      </w:r>
      <w:bookmarkEnd w:id="211"/>
    </w:p>
    <w:p w14:paraId="2CEC6ABA" w14:textId="55F55F55" w:rsidR="003000F9" w:rsidRPr="00D618B7" w:rsidRDefault="003000F9" w:rsidP="003000F9">
      <w:r w:rsidRPr="00D618B7">
        <w:t>Estimated Mean Summed Duration of Events by Proximity, Type, and Group</w:t>
      </w:r>
    </w:p>
    <w:tbl>
      <w:tblPr>
        <w:tblW w:w="5000" w:type="pct"/>
        <w:tblLook w:val="04A0" w:firstRow="1" w:lastRow="0" w:firstColumn="1" w:lastColumn="0" w:noHBand="0" w:noVBand="1"/>
      </w:tblPr>
      <w:tblGrid>
        <w:gridCol w:w="857"/>
        <w:gridCol w:w="1556"/>
        <w:gridCol w:w="1236"/>
        <w:gridCol w:w="1236"/>
        <w:gridCol w:w="1163"/>
        <w:gridCol w:w="763"/>
        <w:gridCol w:w="593"/>
        <w:gridCol w:w="1236"/>
      </w:tblGrid>
      <w:tr w:rsidR="003000F9" w:rsidRPr="00D618B7" w14:paraId="3DB26AE9" w14:textId="77777777" w:rsidTr="004B11B7">
        <w:trPr>
          <w:trHeight w:val="271"/>
        </w:trPr>
        <w:tc>
          <w:tcPr>
            <w:tcW w:w="450" w:type="pct"/>
            <w:tcBorders>
              <w:top w:val="single" w:sz="4" w:space="0" w:color="auto"/>
              <w:left w:val="nil"/>
              <w:bottom w:val="nil"/>
              <w:right w:val="nil"/>
            </w:tcBorders>
            <w:shd w:val="clear" w:color="000000" w:fill="FFFFFF"/>
            <w:vAlign w:val="center"/>
            <w:hideMark/>
          </w:tcPr>
          <w:p w14:paraId="04C728D5" w14:textId="77777777" w:rsidR="003000F9" w:rsidRPr="00D618B7" w:rsidRDefault="003000F9" w:rsidP="004B11B7">
            <w:pPr>
              <w:rPr>
                <w:color w:val="000000"/>
              </w:rPr>
            </w:pPr>
            <w:r w:rsidRPr="00D618B7">
              <w:rPr>
                <w:color w:val="000000"/>
              </w:rPr>
              <w:t>Week</w:t>
            </w:r>
          </w:p>
        </w:tc>
        <w:tc>
          <w:tcPr>
            <w:tcW w:w="1645" w:type="pct"/>
            <w:gridSpan w:val="2"/>
            <w:tcBorders>
              <w:top w:val="single" w:sz="4" w:space="0" w:color="auto"/>
              <w:left w:val="nil"/>
              <w:bottom w:val="single" w:sz="8" w:space="0" w:color="auto"/>
              <w:right w:val="nil"/>
            </w:tcBorders>
            <w:shd w:val="clear" w:color="000000" w:fill="FFFFFF"/>
            <w:vAlign w:val="center"/>
            <w:hideMark/>
          </w:tcPr>
          <w:p w14:paraId="67761CE3" w14:textId="77777777" w:rsidR="003000F9" w:rsidRPr="00D618B7" w:rsidRDefault="003000F9" w:rsidP="004B11B7">
            <w:pPr>
              <w:jc w:val="center"/>
              <w:rPr>
                <w:color w:val="000000"/>
              </w:rPr>
            </w:pPr>
            <w:r w:rsidRPr="00D618B7">
              <w:rPr>
                <w:color w:val="000000"/>
              </w:rPr>
              <w:t xml:space="preserve">                         Toy-out-of-Reach</w:t>
            </w:r>
          </w:p>
        </w:tc>
        <w:tc>
          <w:tcPr>
            <w:tcW w:w="1951" w:type="pct"/>
            <w:gridSpan w:val="3"/>
            <w:tcBorders>
              <w:top w:val="single" w:sz="4" w:space="0" w:color="auto"/>
              <w:left w:val="nil"/>
              <w:bottom w:val="single" w:sz="8" w:space="0" w:color="auto"/>
              <w:right w:val="nil"/>
            </w:tcBorders>
            <w:shd w:val="clear" w:color="000000" w:fill="FFFFFF"/>
            <w:vAlign w:val="center"/>
            <w:hideMark/>
          </w:tcPr>
          <w:p w14:paraId="393F226E" w14:textId="77777777" w:rsidR="003000F9" w:rsidRPr="00D618B7" w:rsidRDefault="003000F9" w:rsidP="004B11B7">
            <w:pPr>
              <w:jc w:val="center"/>
              <w:rPr>
                <w:color w:val="000000"/>
              </w:rPr>
            </w:pPr>
            <w:r w:rsidRPr="00D618B7">
              <w:rPr>
                <w:color w:val="000000"/>
              </w:rPr>
              <w:t>Toy-Moving-into-Reach</w:t>
            </w:r>
          </w:p>
        </w:tc>
        <w:tc>
          <w:tcPr>
            <w:tcW w:w="954" w:type="pct"/>
            <w:gridSpan w:val="2"/>
            <w:tcBorders>
              <w:top w:val="single" w:sz="4" w:space="0" w:color="auto"/>
              <w:left w:val="nil"/>
              <w:bottom w:val="single" w:sz="8" w:space="0" w:color="auto"/>
              <w:right w:val="nil"/>
            </w:tcBorders>
            <w:shd w:val="clear" w:color="000000" w:fill="FFFFFF"/>
            <w:vAlign w:val="center"/>
            <w:hideMark/>
          </w:tcPr>
          <w:p w14:paraId="4618BA5D" w14:textId="77777777" w:rsidR="003000F9" w:rsidRPr="00D618B7" w:rsidRDefault="003000F9" w:rsidP="004B11B7">
            <w:pPr>
              <w:jc w:val="center"/>
              <w:rPr>
                <w:color w:val="000000"/>
              </w:rPr>
            </w:pPr>
            <w:r w:rsidRPr="00D618B7">
              <w:rPr>
                <w:color w:val="000000"/>
              </w:rPr>
              <w:t>Toy-in-Reach</w:t>
            </w:r>
          </w:p>
        </w:tc>
      </w:tr>
      <w:tr w:rsidR="003000F9" w:rsidRPr="00D618B7" w14:paraId="534D3A43" w14:textId="77777777" w:rsidTr="004B11B7">
        <w:trPr>
          <w:trHeight w:val="271"/>
        </w:trPr>
        <w:tc>
          <w:tcPr>
            <w:tcW w:w="450" w:type="pct"/>
            <w:tcBorders>
              <w:top w:val="nil"/>
              <w:left w:val="nil"/>
              <w:bottom w:val="single" w:sz="8" w:space="0" w:color="auto"/>
              <w:right w:val="nil"/>
            </w:tcBorders>
            <w:shd w:val="clear" w:color="000000" w:fill="FFFFFF"/>
            <w:noWrap/>
            <w:vAlign w:val="bottom"/>
            <w:hideMark/>
          </w:tcPr>
          <w:p w14:paraId="00BC406B" w14:textId="77777777" w:rsidR="003000F9" w:rsidRPr="00D618B7" w:rsidRDefault="003000F9" w:rsidP="004B11B7">
            <w:pPr>
              <w:rPr>
                <w:color w:val="000000"/>
              </w:rPr>
            </w:pPr>
            <w:r w:rsidRPr="00D618B7">
              <w:rPr>
                <w:color w:val="000000"/>
              </w:rPr>
              <w:t> </w:t>
            </w:r>
          </w:p>
        </w:tc>
        <w:tc>
          <w:tcPr>
            <w:tcW w:w="1040" w:type="pct"/>
            <w:tcBorders>
              <w:top w:val="nil"/>
              <w:left w:val="nil"/>
              <w:bottom w:val="single" w:sz="8" w:space="0" w:color="auto"/>
              <w:right w:val="nil"/>
            </w:tcBorders>
            <w:shd w:val="clear" w:color="000000" w:fill="FFFFFF"/>
            <w:noWrap/>
            <w:vAlign w:val="center"/>
            <w:hideMark/>
          </w:tcPr>
          <w:p w14:paraId="50FFFF32" w14:textId="77777777" w:rsidR="003000F9" w:rsidRPr="00D618B7" w:rsidRDefault="003000F9" w:rsidP="004B11B7">
            <w:pPr>
              <w:jc w:val="right"/>
              <w:rPr>
                <w:color w:val="000000"/>
              </w:rPr>
            </w:pPr>
            <w:r w:rsidRPr="00D618B7">
              <w:rPr>
                <w:color w:val="000000"/>
              </w:rPr>
              <w:t>Mean</w:t>
            </w:r>
          </w:p>
        </w:tc>
        <w:tc>
          <w:tcPr>
            <w:tcW w:w="605" w:type="pct"/>
            <w:tcBorders>
              <w:top w:val="nil"/>
              <w:left w:val="nil"/>
              <w:bottom w:val="single" w:sz="8" w:space="0" w:color="auto"/>
              <w:right w:val="nil"/>
            </w:tcBorders>
            <w:shd w:val="clear" w:color="000000" w:fill="FFFFFF"/>
            <w:noWrap/>
            <w:vAlign w:val="center"/>
            <w:hideMark/>
          </w:tcPr>
          <w:p w14:paraId="07EDEF18" w14:textId="77777777" w:rsidR="003000F9" w:rsidRPr="00D618B7" w:rsidRDefault="003000F9" w:rsidP="004B11B7">
            <w:pPr>
              <w:jc w:val="right"/>
              <w:rPr>
                <w:color w:val="000000"/>
              </w:rPr>
            </w:pPr>
            <w:r w:rsidRPr="00D618B7">
              <w:rPr>
                <w:color w:val="000000"/>
              </w:rPr>
              <w:t>Std. Error</w:t>
            </w:r>
          </w:p>
        </w:tc>
        <w:tc>
          <w:tcPr>
            <w:tcW w:w="763" w:type="pct"/>
            <w:tcBorders>
              <w:top w:val="nil"/>
              <w:left w:val="nil"/>
              <w:bottom w:val="single" w:sz="8" w:space="0" w:color="auto"/>
              <w:right w:val="nil"/>
            </w:tcBorders>
            <w:shd w:val="clear" w:color="000000" w:fill="FFFFFF"/>
            <w:noWrap/>
            <w:vAlign w:val="center"/>
            <w:hideMark/>
          </w:tcPr>
          <w:p w14:paraId="4DFA2710" w14:textId="77777777" w:rsidR="003000F9" w:rsidRPr="00D618B7" w:rsidRDefault="003000F9" w:rsidP="004B11B7">
            <w:pPr>
              <w:jc w:val="right"/>
              <w:rPr>
                <w:color w:val="000000"/>
              </w:rPr>
            </w:pPr>
            <w:r w:rsidRPr="00D618B7">
              <w:rPr>
                <w:color w:val="000000"/>
              </w:rPr>
              <w:t>Mean</w:t>
            </w:r>
          </w:p>
        </w:tc>
        <w:tc>
          <w:tcPr>
            <w:tcW w:w="763" w:type="pct"/>
            <w:tcBorders>
              <w:top w:val="nil"/>
              <w:left w:val="nil"/>
              <w:bottom w:val="single" w:sz="8" w:space="0" w:color="auto"/>
              <w:right w:val="nil"/>
            </w:tcBorders>
            <w:shd w:val="clear" w:color="000000" w:fill="FFFFFF"/>
            <w:noWrap/>
            <w:vAlign w:val="center"/>
            <w:hideMark/>
          </w:tcPr>
          <w:p w14:paraId="10B96543" w14:textId="77777777" w:rsidR="003000F9" w:rsidRPr="00D618B7" w:rsidRDefault="003000F9" w:rsidP="004B11B7">
            <w:pPr>
              <w:jc w:val="right"/>
              <w:rPr>
                <w:color w:val="000000"/>
              </w:rPr>
            </w:pPr>
            <w:r w:rsidRPr="00D618B7">
              <w:rPr>
                <w:color w:val="000000"/>
              </w:rPr>
              <w:t>Std. Error</w:t>
            </w:r>
          </w:p>
        </w:tc>
        <w:tc>
          <w:tcPr>
            <w:tcW w:w="756" w:type="pct"/>
            <w:gridSpan w:val="2"/>
            <w:tcBorders>
              <w:top w:val="nil"/>
              <w:left w:val="nil"/>
              <w:bottom w:val="single" w:sz="8" w:space="0" w:color="auto"/>
              <w:right w:val="nil"/>
            </w:tcBorders>
            <w:shd w:val="clear" w:color="000000" w:fill="FFFFFF"/>
            <w:noWrap/>
            <w:vAlign w:val="center"/>
            <w:hideMark/>
          </w:tcPr>
          <w:p w14:paraId="336E63A7" w14:textId="77777777" w:rsidR="003000F9" w:rsidRPr="00D618B7" w:rsidRDefault="003000F9" w:rsidP="004B11B7">
            <w:pPr>
              <w:jc w:val="right"/>
              <w:rPr>
                <w:color w:val="000000"/>
              </w:rPr>
            </w:pPr>
            <w:r w:rsidRPr="00D618B7">
              <w:rPr>
                <w:color w:val="000000"/>
              </w:rPr>
              <w:t>Mean</w:t>
            </w:r>
          </w:p>
        </w:tc>
        <w:tc>
          <w:tcPr>
            <w:tcW w:w="623" w:type="pct"/>
            <w:tcBorders>
              <w:top w:val="nil"/>
              <w:left w:val="nil"/>
              <w:bottom w:val="single" w:sz="8" w:space="0" w:color="auto"/>
              <w:right w:val="nil"/>
            </w:tcBorders>
            <w:shd w:val="clear" w:color="000000" w:fill="FFFFFF"/>
            <w:noWrap/>
            <w:vAlign w:val="center"/>
            <w:hideMark/>
          </w:tcPr>
          <w:p w14:paraId="2CF1CCDE" w14:textId="77777777" w:rsidR="003000F9" w:rsidRPr="00D618B7" w:rsidRDefault="003000F9" w:rsidP="004B11B7">
            <w:pPr>
              <w:jc w:val="right"/>
              <w:rPr>
                <w:color w:val="000000"/>
              </w:rPr>
            </w:pPr>
            <w:r w:rsidRPr="00D618B7">
              <w:rPr>
                <w:color w:val="000000"/>
              </w:rPr>
              <w:t>Std. Error</w:t>
            </w:r>
          </w:p>
        </w:tc>
      </w:tr>
      <w:tr w:rsidR="003000F9" w:rsidRPr="00D618B7" w14:paraId="5383176F" w14:textId="77777777" w:rsidTr="004B11B7">
        <w:trPr>
          <w:trHeight w:val="160"/>
        </w:trPr>
        <w:tc>
          <w:tcPr>
            <w:tcW w:w="450" w:type="pct"/>
            <w:tcBorders>
              <w:top w:val="nil"/>
              <w:left w:val="nil"/>
              <w:bottom w:val="nil"/>
              <w:right w:val="nil"/>
            </w:tcBorders>
            <w:shd w:val="clear" w:color="000000" w:fill="FFFFFF"/>
            <w:noWrap/>
            <w:vAlign w:val="bottom"/>
            <w:hideMark/>
          </w:tcPr>
          <w:p w14:paraId="54C0FF78" w14:textId="77777777" w:rsidR="003000F9" w:rsidRPr="00D618B7" w:rsidRDefault="003000F9" w:rsidP="004B11B7">
            <w:pPr>
              <w:rPr>
                <w:color w:val="000000"/>
              </w:rPr>
            </w:pPr>
            <w:r w:rsidRPr="00D618B7">
              <w:rPr>
                <w:color w:val="000000"/>
              </w:rPr>
              <w:t> </w:t>
            </w:r>
          </w:p>
        </w:tc>
        <w:tc>
          <w:tcPr>
            <w:tcW w:w="4550" w:type="pct"/>
            <w:gridSpan w:val="7"/>
            <w:tcBorders>
              <w:top w:val="single" w:sz="8" w:space="0" w:color="auto"/>
              <w:left w:val="nil"/>
              <w:bottom w:val="nil"/>
              <w:right w:val="nil"/>
            </w:tcBorders>
            <w:shd w:val="clear" w:color="000000" w:fill="FFFFFF"/>
            <w:noWrap/>
            <w:vAlign w:val="center"/>
            <w:hideMark/>
          </w:tcPr>
          <w:p w14:paraId="0B15845A" w14:textId="77777777" w:rsidR="003000F9" w:rsidRPr="00D618B7" w:rsidRDefault="003000F9" w:rsidP="004B11B7">
            <w:pPr>
              <w:jc w:val="center"/>
              <w:rPr>
                <w:color w:val="000000"/>
              </w:rPr>
            </w:pPr>
            <w:r w:rsidRPr="00D618B7">
              <w:rPr>
                <w:color w:val="000000"/>
              </w:rPr>
              <w:t>Early Reach Group</w:t>
            </w:r>
          </w:p>
        </w:tc>
      </w:tr>
      <w:tr w:rsidR="003000F9" w:rsidRPr="00D618B7" w14:paraId="53A50A77" w14:textId="77777777" w:rsidTr="004B11B7">
        <w:trPr>
          <w:trHeight w:val="271"/>
        </w:trPr>
        <w:tc>
          <w:tcPr>
            <w:tcW w:w="450" w:type="pct"/>
            <w:tcBorders>
              <w:top w:val="nil"/>
              <w:left w:val="nil"/>
              <w:bottom w:val="nil"/>
              <w:right w:val="nil"/>
            </w:tcBorders>
            <w:shd w:val="clear" w:color="000000" w:fill="FFFFFF"/>
            <w:vAlign w:val="center"/>
            <w:hideMark/>
          </w:tcPr>
          <w:p w14:paraId="6726D3A4" w14:textId="77777777" w:rsidR="003000F9" w:rsidRPr="00D618B7" w:rsidRDefault="003000F9" w:rsidP="004B11B7">
            <w:pPr>
              <w:rPr>
                <w:color w:val="000000"/>
              </w:rPr>
            </w:pPr>
            <w:r w:rsidRPr="00D618B7">
              <w:rPr>
                <w:color w:val="000000"/>
              </w:rPr>
              <w:t>Face</w:t>
            </w:r>
          </w:p>
        </w:tc>
        <w:tc>
          <w:tcPr>
            <w:tcW w:w="1040" w:type="pct"/>
            <w:tcBorders>
              <w:top w:val="nil"/>
              <w:left w:val="nil"/>
              <w:bottom w:val="nil"/>
              <w:right w:val="nil"/>
            </w:tcBorders>
            <w:shd w:val="clear" w:color="000000" w:fill="FFFFFF"/>
            <w:noWrap/>
            <w:vAlign w:val="center"/>
            <w:hideMark/>
          </w:tcPr>
          <w:p w14:paraId="57921E02" w14:textId="77777777" w:rsidR="003000F9" w:rsidRPr="00D618B7" w:rsidRDefault="003000F9" w:rsidP="004B11B7">
            <w:pPr>
              <w:jc w:val="right"/>
              <w:rPr>
                <w:color w:val="000000"/>
              </w:rPr>
            </w:pPr>
            <w:r w:rsidRPr="00D618B7">
              <w:rPr>
                <w:color w:val="000000"/>
              </w:rPr>
              <w:t>3835.9894</w:t>
            </w:r>
          </w:p>
        </w:tc>
        <w:tc>
          <w:tcPr>
            <w:tcW w:w="605" w:type="pct"/>
            <w:tcBorders>
              <w:top w:val="nil"/>
              <w:left w:val="nil"/>
              <w:bottom w:val="nil"/>
              <w:right w:val="nil"/>
            </w:tcBorders>
            <w:shd w:val="clear" w:color="000000" w:fill="FFFFFF"/>
            <w:noWrap/>
            <w:vAlign w:val="center"/>
            <w:hideMark/>
          </w:tcPr>
          <w:p w14:paraId="1B960DFE" w14:textId="77777777" w:rsidR="003000F9" w:rsidRPr="00D618B7" w:rsidRDefault="003000F9" w:rsidP="004B11B7">
            <w:pPr>
              <w:jc w:val="right"/>
              <w:rPr>
                <w:color w:val="000000"/>
              </w:rPr>
            </w:pPr>
            <w:r w:rsidRPr="00D618B7">
              <w:rPr>
                <w:color w:val="000000"/>
              </w:rPr>
              <w:t>205.7281</w:t>
            </w:r>
          </w:p>
        </w:tc>
        <w:tc>
          <w:tcPr>
            <w:tcW w:w="763" w:type="pct"/>
            <w:tcBorders>
              <w:top w:val="nil"/>
              <w:left w:val="nil"/>
              <w:bottom w:val="nil"/>
              <w:right w:val="nil"/>
            </w:tcBorders>
            <w:shd w:val="clear" w:color="000000" w:fill="FFFFFF"/>
            <w:noWrap/>
            <w:vAlign w:val="center"/>
            <w:hideMark/>
          </w:tcPr>
          <w:p w14:paraId="66A385E3" w14:textId="77777777" w:rsidR="003000F9" w:rsidRPr="00D618B7" w:rsidRDefault="003000F9" w:rsidP="004B11B7">
            <w:pPr>
              <w:jc w:val="right"/>
              <w:rPr>
                <w:color w:val="000000"/>
              </w:rPr>
            </w:pPr>
            <w:r w:rsidRPr="00D618B7">
              <w:rPr>
                <w:color w:val="000000"/>
              </w:rPr>
              <w:t>52.2389</w:t>
            </w:r>
          </w:p>
        </w:tc>
        <w:tc>
          <w:tcPr>
            <w:tcW w:w="763" w:type="pct"/>
            <w:tcBorders>
              <w:top w:val="nil"/>
              <w:left w:val="nil"/>
              <w:bottom w:val="nil"/>
              <w:right w:val="nil"/>
            </w:tcBorders>
            <w:shd w:val="clear" w:color="000000" w:fill="FFFFFF"/>
            <w:noWrap/>
            <w:vAlign w:val="center"/>
            <w:hideMark/>
          </w:tcPr>
          <w:p w14:paraId="2A5453A5" w14:textId="77777777" w:rsidR="003000F9" w:rsidRPr="00D618B7" w:rsidRDefault="003000F9" w:rsidP="004B11B7">
            <w:pPr>
              <w:jc w:val="right"/>
              <w:rPr>
                <w:color w:val="000000"/>
              </w:rPr>
            </w:pPr>
            <w:r w:rsidRPr="00D618B7">
              <w:rPr>
                <w:color w:val="000000"/>
              </w:rPr>
              <w:t>76.7329</w:t>
            </w:r>
          </w:p>
        </w:tc>
        <w:tc>
          <w:tcPr>
            <w:tcW w:w="756" w:type="pct"/>
            <w:gridSpan w:val="2"/>
            <w:tcBorders>
              <w:top w:val="nil"/>
              <w:left w:val="nil"/>
              <w:bottom w:val="nil"/>
              <w:right w:val="nil"/>
            </w:tcBorders>
            <w:shd w:val="clear" w:color="000000" w:fill="FFFFFF"/>
            <w:noWrap/>
            <w:vAlign w:val="center"/>
            <w:hideMark/>
          </w:tcPr>
          <w:p w14:paraId="0019B64A" w14:textId="77777777" w:rsidR="003000F9" w:rsidRPr="00D618B7" w:rsidRDefault="003000F9" w:rsidP="004B11B7">
            <w:pPr>
              <w:jc w:val="right"/>
              <w:rPr>
                <w:color w:val="000000"/>
              </w:rPr>
            </w:pPr>
            <w:r w:rsidRPr="00D618B7">
              <w:rPr>
                <w:color w:val="000000"/>
              </w:rPr>
              <w:t>1716.3560</w:t>
            </w:r>
          </w:p>
        </w:tc>
        <w:tc>
          <w:tcPr>
            <w:tcW w:w="623" w:type="pct"/>
            <w:tcBorders>
              <w:top w:val="nil"/>
              <w:left w:val="nil"/>
              <w:bottom w:val="nil"/>
              <w:right w:val="nil"/>
            </w:tcBorders>
            <w:shd w:val="clear" w:color="000000" w:fill="FFFFFF"/>
            <w:noWrap/>
            <w:vAlign w:val="center"/>
            <w:hideMark/>
          </w:tcPr>
          <w:p w14:paraId="7572E416" w14:textId="77777777" w:rsidR="003000F9" w:rsidRPr="00D618B7" w:rsidRDefault="003000F9" w:rsidP="004B11B7">
            <w:pPr>
              <w:jc w:val="right"/>
              <w:rPr>
                <w:color w:val="000000"/>
              </w:rPr>
            </w:pPr>
            <w:r w:rsidRPr="00D618B7">
              <w:rPr>
                <w:color w:val="000000"/>
              </w:rPr>
              <w:t>554.5500</w:t>
            </w:r>
          </w:p>
        </w:tc>
      </w:tr>
      <w:tr w:rsidR="003000F9" w:rsidRPr="00D618B7" w14:paraId="3A8FBCC4" w14:textId="77777777" w:rsidTr="004B11B7">
        <w:trPr>
          <w:trHeight w:val="271"/>
        </w:trPr>
        <w:tc>
          <w:tcPr>
            <w:tcW w:w="450" w:type="pct"/>
            <w:tcBorders>
              <w:top w:val="nil"/>
              <w:left w:val="nil"/>
              <w:bottom w:val="nil"/>
              <w:right w:val="nil"/>
            </w:tcBorders>
            <w:shd w:val="clear" w:color="000000" w:fill="FFFFFF"/>
            <w:vAlign w:val="center"/>
            <w:hideMark/>
          </w:tcPr>
          <w:p w14:paraId="7D8F630D" w14:textId="77777777" w:rsidR="003000F9" w:rsidRPr="00D618B7" w:rsidRDefault="003000F9" w:rsidP="004B11B7">
            <w:pPr>
              <w:rPr>
                <w:color w:val="000000"/>
              </w:rPr>
            </w:pPr>
            <w:r w:rsidRPr="00D618B7">
              <w:rPr>
                <w:color w:val="000000"/>
              </w:rPr>
              <w:t>Hand</w:t>
            </w:r>
          </w:p>
        </w:tc>
        <w:tc>
          <w:tcPr>
            <w:tcW w:w="1040" w:type="pct"/>
            <w:tcBorders>
              <w:top w:val="nil"/>
              <w:left w:val="nil"/>
              <w:bottom w:val="nil"/>
              <w:right w:val="nil"/>
            </w:tcBorders>
            <w:shd w:val="clear" w:color="000000" w:fill="FFFFFF"/>
            <w:noWrap/>
            <w:vAlign w:val="center"/>
            <w:hideMark/>
          </w:tcPr>
          <w:p w14:paraId="00D7D22D" w14:textId="77777777" w:rsidR="003000F9" w:rsidRPr="00D618B7" w:rsidRDefault="003000F9" w:rsidP="004B11B7">
            <w:pPr>
              <w:jc w:val="right"/>
              <w:rPr>
                <w:color w:val="000000"/>
              </w:rPr>
            </w:pPr>
            <w:r w:rsidRPr="00D618B7">
              <w:rPr>
                <w:color w:val="000000"/>
              </w:rPr>
              <w:t>-697.8747</w:t>
            </w:r>
          </w:p>
        </w:tc>
        <w:tc>
          <w:tcPr>
            <w:tcW w:w="605" w:type="pct"/>
            <w:tcBorders>
              <w:top w:val="nil"/>
              <w:left w:val="nil"/>
              <w:bottom w:val="nil"/>
              <w:right w:val="nil"/>
            </w:tcBorders>
            <w:shd w:val="clear" w:color="000000" w:fill="FFFFFF"/>
            <w:noWrap/>
            <w:vAlign w:val="center"/>
            <w:hideMark/>
          </w:tcPr>
          <w:p w14:paraId="72A6C3EA" w14:textId="77777777" w:rsidR="003000F9" w:rsidRPr="00D618B7" w:rsidRDefault="003000F9" w:rsidP="004B11B7">
            <w:pPr>
              <w:jc w:val="right"/>
              <w:rPr>
                <w:color w:val="000000"/>
              </w:rPr>
            </w:pPr>
            <w:r w:rsidRPr="00D618B7">
              <w:rPr>
                <w:color w:val="000000"/>
              </w:rPr>
              <w:t>464.9837</w:t>
            </w:r>
          </w:p>
        </w:tc>
        <w:tc>
          <w:tcPr>
            <w:tcW w:w="763" w:type="pct"/>
            <w:tcBorders>
              <w:top w:val="nil"/>
              <w:left w:val="nil"/>
              <w:bottom w:val="nil"/>
              <w:right w:val="nil"/>
            </w:tcBorders>
            <w:shd w:val="clear" w:color="000000" w:fill="FFFFFF"/>
            <w:noWrap/>
            <w:vAlign w:val="center"/>
            <w:hideMark/>
          </w:tcPr>
          <w:p w14:paraId="02B6D15D" w14:textId="77777777" w:rsidR="003000F9" w:rsidRPr="00D618B7" w:rsidRDefault="003000F9" w:rsidP="004B11B7">
            <w:pPr>
              <w:jc w:val="right"/>
              <w:rPr>
                <w:color w:val="000000"/>
              </w:rPr>
            </w:pPr>
            <w:r w:rsidRPr="00D618B7">
              <w:rPr>
                <w:color w:val="000000"/>
              </w:rPr>
              <w:t>454.1230</w:t>
            </w:r>
          </w:p>
        </w:tc>
        <w:tc>
          <w:tcPr>
            <w:tcW w:w="763" w:type="pct"/>
            <w:tcBorders>
              <w:top w:val="nil"/>
              <w:left w:val="nil"/>
              <w:bottom w:val="nil"/>
              <w:right w:val="nil"/>
            </w:tcBorders>
            <w:shd w:val="clear" w:color="000000" w:fill="FFFFFF"/>
            <w:noWrap/>
            <w:vAlign w:val="center"/>
            <w:hideMark/>
          </w:tcPr>
          <w:p w14:paraId="3A8A8446" w14:textId="77777777" w:rsidR="003000F9" w:rsidRPr="00D618B7" w:rsidRDefault="003000F9" w:rsidP="004B11B7">
            <w:pPr>
              <w:jc w:val="right"/>
              <w:rPr>
                <w:color w:val="000000"/>
              </w:rPr>
            </w:pPr>
            <w:r w:rsidRPr="00D618B7">
              <w:rPr>
                <w:color w:val="000000"/>
              </w:rPr>
              <w:t>616.2730</w:t>
            </w:r>
          </w:p>
        </w:tc>
        <w:tc>
          <w:tcPr>
            <w:tcW w:w="756" w:type="pct"/>
            <w:gridSpan w:val="2"/>
            <w:tcBorders>
              <w:top w:val="nil"/>
              <w:left w:val="nil"/>
              <w:bottom w:val="nil"/>
              <w:right w:val="nil"/>
            </w:tcBorders>
            <w:shd w:val="clear" w:color="000000" w:fill="FFFFFF"/>
            <w:noWrap/>
            <w:vAlign w:val="center"/>
            <w:hideMark/>
          </w:tcPr>
          <w:p w14:paraId="6F0140B4" w14:textId="77777777" w:rsidR="003000F9" w:rsidRPr="00D618B7" w:rsidRDefault="003000F9" w:rsidP="004B11B7">
            <w:pPr>
              <w:jc w:val="right"/>
              <w:rPr>
                <w:color w:val="000000"/>
              </w:rPr>
            </w:pPr>
            <w:r w:rsidRPr="00D618B7">
              <w:rPr>
                <w:color w:val="000000"/>
              </w:rPr>
              <w:t>175.1303</w:t>
            </w:r>
          </w:p>
        </w:tc>
        <w:tc>
          <w:tcPr>
            <w:tcW w:w="623" w:type="pct"/>
            <w:tcBorders>
              <w:top w:val="nil"/>
              <w:left w:val="nil"/>
              <w:bottom w:val="nil"/>
              <w:right w:val="nil"/>
            </w:tcBorders>
            <w:shd w:val="clear" w:color="000000" w:fill="FFFFFF"/>
            <w:noWrap/>
            <w:vAlign w:val="center"/>
            <w:hideMark/>
          </w:tcPr>
          <w:p w14:paraId="1E1C30FB" w14:textId="77777777" w:rsidR="003000F9" w:rsidRPr="00D618B7" w:rsidRDefault="003000F9" w:rsidP="004B11B7">
            <w:pPr>
              <w:jc w:val="right"/>
              <w:rPr>
                <w:color w:val="000000"/>
              </w:rPr>
            </w:pPr>
            <w:r w:rsidRPr="00D618B7">
              <w:rPr>
                <w:color w:val="000000"/>
              </w:rPr>
              <w:t>219.5535</w:t>
            </w:r>
          </w:p>
        </w:tc>
      </w:tr>
      <w:tr w:rsidR="003000F9" w:rsidRPr="00D618B7" w14:paraId="0BE3D93A" w14:textId="77777777" w:rsidTr="004B11B7">
        <w:trPr>
          <w:trHeight w:val="271"/>
        </w:trPr>
        <w:tc>
          <w:tcPr>
            <w:tcW w:w="450" w:type="pct"/>
            <w:tcBorders>
              <w:top w:val="nil"/>
              <w:left w:val="nil"/>
              <w:bottom w:val="single" w:sz="8" w:space="0" w:color="auto"/>
              <w:right w:val="nil"/>
            </w:tcBorders>
            <w:shd w:val="clear" w:color="000000" w:fill="FFFFFF"/>
            <w:vAlign w:val="center"/>
            <w:hideMark/>
          </w:tcPr>
          <w:p w14:paraId="37496BCB" w14:textId="77777777" w:rsidR="003000F9" w:rsidRPr="00D618B7" w:rsidRDefault="003000F9" w:rsidP="004B11B7">
            <w:pPr>
              <w:rPr>
                <w:color w:val="000000"/>
              </w:rPr>
            </w:pPr>
            <w:r w:rsidRPr="00D618B7">
              <w:rPr>
                <w:color w:val="000000"/>
              </w:rPr>
              <w:t>Mouth</w:t>
            </w:r>
          </w:p>
        </w:tc>
        <w:tc>
          <w:tcPr>
            <w:tcW w:w="1040" w:type="pct"/>
            <w:tcBorders>
              <w:top w:val="nil"/>
              <w:left w:val="nil"/>
              <w:bottom w:val="single" w:sz="8" w:space="0" w:color="auto"/>
              <w:right w:val="nil"/>
            </w:tcBorders>
            <w:shd w:val="clear" w:color="000000" w:fill="FFFFFF"/>
            <w:noWrap/>
            <w:vAlign w:val="center"/>
            <w:hideMark/>
          </w:tcPr>
          <w:p w14:paraId="16B91441" w14:textId="77777777" w:rsidR="003000F9" w:rsidRPr="00D618B7" w:rsidRDefault="003000F9" w:rsidP="004B11B7">
            <w:pPr>
              <w:jc w:val="right"/>
              <w:rPr>
                <w:color w:val="000000"/>
              </w:rPr>
            </w:pPr>
            <w:r w:rsidRPr="00D618B7">
              <w:rPr>
                <w:color w:val="000000"/>
              </w:rPr>
              <w:t>22964.9412</w:t>
            </w:r>
          </w:p>
        </w:tc>
        <w:tc>
          <w:tcPr>
            <w:tcW w:w="605" w:type="pct"/>
            <w:tcBorders>
              <w:top w:val="nil"/>
              <w:left w:val="nil"/>
              <w:bottom w:val="single" w:sz="8" w:space="0" w:color="auto"/>
              <w:right w:val="nil"/>
            </w:tcBorders>
            <w:shd w:val="clear" w:color="000000" w:fill="FFFFFF"/>
            <w:noWrap/>
            <w:vAlign w:val="center"/>
            <w:hideMark/>
          </w:tcPr>
          <w:p w14:paraId="554ABC5B" w14:textId="77777777" w:rsidR="003000F9" w:rsidRPr="00D618B7" w:rsidRDefault="003000F9" w:rsidP="004B11B7">
            <w:pPr>
              <w:jc w:val="right"/>
              <w:rPr>
                <w:color w:val="000000"/>
              </w:rPr>
            </w:pPr>
            <w:r w:rsidRPr="00D618B7">
              <w:rPr>
                <w:color w:val="000000"/>
              </w:rPr>
              <w:t>574.2355</w:t>
            </w:r>
          </w:p>
        </w:tc>
        <w:tc>
          <w:tcPr>
            <w:tcW w:w="763" w:type="pct"/>
            <w:tcBorders>
              <w:top w:val="nil"/>
              <w:left w:val="nil"/>
              <w:bottom w:val="single" w:sz="8" w:space="0" w:color="auto"/>
              <w:right w:val="nil"/>
            </w:tcBorders>
            <w:shd w:val="clear" w:color="000000" w:fill="FFFFFF"/>
            <w:noWrap/>
            <w:vAlign w:val="center"/>
            <w:hideMark/>
          </w:tcPr>
          <w:p w14:paraId="2F28D87C" w14:textId="77777777" w:rsidR="003000F9" w:rsidRPr="00D618B7" w:rsidRDefault="003000F9" w:rsidP="004B11B7">
            <w:pPr>
              <w:jc w:val="right"/>
              <w:rPr>
                <w:color w:val="000000"/>
              </w:rPr>
            </w:pPr>
            <w:r w:rsidRPr="00D618B7">
              <w:rPr>
                <w:color w:val="000000"/>
              </w:rPr>
              <w:t>3457.2726</w:t>
            </w:r>
          </w:p>
        </w:tc>
        <w:tc>
          <w:tcPr>
            <w:tcW w:w="763" w:type="pct"/>
            <w:tcBorders>
              <w:top w:val="nil"/>
              <w:left w:val="nil"/>
              <w:bottom w:val="single" w:sz="8" w:space="0" w:color="auto"/>
              <w:right w:val="nil"/>
            </w:tcBorders>
            <w:shd w:val="clear" w:color="000000" w:fill="FFFFFF"/>
            <w:noWrap/>
            <w:vAlign w:val="center"/>
            <w:hideMark/>
          </w:tcPr>
          <w:p w14:paraId="4D05D654" w14:textId="77777777" w:rsidR="003000F9" w:rsidRPr="00D618B7" w:rsidRDefault="003000F9" w:rsidP="004B11B7">
            <w:pPr>
              <w:jc w:val="right"/>
              <w:rPr>
                <w:color w:val="000000"/>
              </w:rPr>
            </w:pPr>
            <w:r w:rsidRPr="00D618B7">
              <w:rPr>
                <w:color w:val="000000"/>
              </w:rPr>
              <w:t>609.5190</w:t>
            </w:r>
          </w:p>
        </w:tc>
        <w:tc>
          <w:tcPr>
            <w:tcW w:w="756" w:type="pct"/>
            <w:gridSpan w:val="2"/>
            <w:tcBorders>
              <w:top w:val="nil"/>
              <w:left w:val="nil"/>
              <w:bottom w:val="single" w:sz="8" w:space="0" w:color="auto"/>
              <w:right w:val="nil"/>
            </w:tcBorders>
            <w:shd w:val="clear" w:color="000000" w:fill="FFFFFF"/>
            <w:noWrap/>
            <w:vAlign w:val="center"/>
            <w:hideMark/>
          </w:tcPr>
          <w:p w14:paraId="73FC20B7" w14:textId="77777777" w:rsidR="003000F9" w:rsidRPr="00D618B7" w:rsidRDefault="003000F9" w:rsidP="004B11B7">
            <w:pPr>
              <w:jc w:val="right"/>
              <w:rPr>
                <w:color w:val="000000"/>
              </w:rPr>
            </w:pPr>
            <w:r w:rsidRPr="00D618B7">
              <w:rPr>
                <w:color w:val="000000"/>
              </w:rPr>
              <w:t>14705.0929</w:t>
            </w:r>
          </w:p>
        </w:tc>
        <w:tc>
          <w:tcPr>
            <w:tcW w:w="623" w:type="pct"/>
            <w:tcBorders>
              <w:top w:val="nil"/>
              <w:left w:val="nil"/>
              <w:bottom w:val="single" w:sz="8" w:space="0" w:color="auto"/>
              <w:right w:val="nil"/>
            </w:tcBorders>
            <w:shd w:val="clear" w:color="000000" w:fill="FFFFFF"/>
            <w:noWrap/>
            <w:vAlign w:val="center"/>
            <w:hideMark/>
          </w:tcPr>
          <w:p w14:paraId="2A800245" w14:textId="77777777" w:rsidR="003000F9" w:rsidRPr="00D618B7" w:rsidRDefault="003000F9" w:rsidP="004B11B7">
            <w:pPr>
              <w:jc w:val="right"/>
              <w:rPr>
                <w:color w:val="000000"/>
              </w:rPr>
            </w:pPr>
            <w:r w:rsidRPr="00D618B7">
              <w:rPr>
                <w:color w:val="000000"/>
              </w:rPr>
              <w:t>7216.9328</w:t>
            </w:r>
          </w:p>
        </w:tc>
      </w:tr>
      <w:tr w:rsidR="003000F9" w:rsidRPr="00D618B7" w14:paraId="14042248" w14:textId="77777777" w:rsidTr="004B11B7">
        <w:trPr>
          <w:trHeight w:val="271"/>
        </w:trPr>
        <w:tc>
          <w:tcPr>
            <w:tcW w:w="450" w:type="pct"/>
            <w:tcBorders>
              <w:top w:val="nil"/>
              <w:left w:val="nil"/>
              <w:bottom w:val="nil"/>
              <w:right w:val="nil"/>
            </w:tcBorders>
            <w:shd w:val="clear" w:color="000000" w:fill="FFFFFF"/>
            <w:noWrap/>
            <w:vAlign w:val="bottom"/>
            <w:hideMark/>
          </w:tcPr>
          <w:p w14:paraId="3F113679" w14:textId="77777777" w:rsidR="003000F9" w:rsidRPr="00D618B7" w:rsidRDefault="003000F9" w:rsidP="004B11B7">
            <w:pPr>
              <w:rPr>
                <w:color w:val="000000"/>
              </w:rPr>
            </w:pPr>
            <w:r w:rsidRPr="00D618B7">
              <w:rPr>
                <w:color w:val="000000"/>
              </w:rPr>
              <w:t> </w:t>
            </w:r>
          </w:p>
        </w:tc>
        <w:tc>
          <w:tcPr>
            <w:tcW w:w="4550" w:type="pct"/>
            <w:gridSpan w:val="7"/>
            <w:tcBorders>
              <w:top w:val="single" w:sz="8" w:space="0" w:color="auto"/>
              <w:left w:val="nil"/>
              <w:bottom w:val="nil"/>
              <w:right w:val="nil"/>
            </w:tcBorders>
            <w:shd w:val="clear" w:color="000000" w:fill="FFFFFF"/>
            <w:noWrap/>
            <w:vAlign w:val="center"/>
            <w:hideMark/>
          </w:tcPr>
          <w:p w14:paraId="1263A6D6" w14:textId="77777777" w:rsidR="003000F9" w:rsidRPr="00D618B7" w:rsidRDefault="003000F9" w:rsidP="004B11B7">
            <w:pPr>
              <w:jc w:val="center"/>
              <w:rPr>
                <w:color w:val="000000"/>
              </w:rPr>
            </w:pPr>
            <w:r w:rsidRPr="00D618B7">
              <w:rPr>
                <w:color w:val="000000"/>
              </w:rPr>
              <w:t>Late Reach Group</w:t>
            </w:r>
          </w:p>
        </w:tc>
      </w:tr>
      <w:tr w:rsidR="003000F9" w:rsidRPr="00D618B7" w14:paraId="239FAE3A" w14:textId="77777777" w:rsidTr="004B11B7">
        <w:trPr>
          <w:trHeight w:val="271"/>
        </w:trPr>
        <w:tc>
          <w:tcPr>
            <w:tcW w:w="450" w:type="pct"/>
            <w:tcBorders>
              <w:top w:val="nil"/>
              <w:left w:val="nil"/>
              <w:bottom w:val="nil"/>
              <w:right w:val="nil"/>
            </w:tcBorders>
            <w:shd w:val="clear" w:color="000000" w:fill="FFFFFF"/>
            <w:vAlign w:val="center"/>
            <w:hideMark/>
          </w:tcPr>
          <w:p w14:paraId="7DA3E305" w14:textId="77777777" w:rsidR="003000F9" w:rsidRPr="00D618B7" w:rsidRDefault="003000F9" w:rsidP="004B11B7">
            <w:pPr>
              <w:rPr>
                <w:color w:val="000000"/>
              </w:rPr>
            </w:pPr>
            <w:r w:rsidRPr="00D618B7">
              <w:rPr>
                <w:color w:val="000000"/>
              </w:rPr>
              <w:t>Face</w:t>
            </w:r>
          </w:p>
        </w:tc>
        <w:tc>
          <w:tcPr>
            <w:tcW w:w="1040" w:type="pct"/>
            <w:tcBorders>
              <w:top w:val="nil"/>
              <w:left w:val="nil"/>
              <w:bottom w:val="nil"/>
              <w:right w:val="nil"/>
            </w:tcBorders>
            <w:shd w:val="clear" w:color="000000" w:fill="FFFFFF"/>
            <w:noWrap/>
            <w:vAlign w:val="center"/>
            <w:hideMark/>
          </w:tcPr>
          <w:p w14:paraId="13491FDE" w14:textId="77777777" w:rsidR="003000F9" w:rsidRPr="00D618B7" w:rsidRDefault="003000F9" w:rsidP="004B11B7">
            <w:pPr>
              <w:jc w:val="right"/>
              <w:rPr>
                <w:color w:val="000000"/>
              </w:rPr>
            </w:pPr>
            <w:r w:rsidRPr="00D618B7">
              <w:rPr>
                <w:color w:val="000000"/>
              </w:rPr>
              <w:t>360.1422</w:t>
            </w:r>
          </w:p>
        </w:tc>
        <w:tc>
          <w:tcPr>
            <w:tcW w:w="605" w:type="pct"/>
            <w:tcBorders>
              <w:top w:val="nil"/>
              <w:left w:val="nil"/>
              <w:bottom w:val="nil"/>
              <w:right w:val="nil"/>
            </w:tcBorders>
            <w:shd w:val="clear" w:color="000000" w:fill="FFFFFF"/>
            <w:noWrap/>
            <w:vAlign w:val="center"/>
            <w:hideMark/>
          </w:tcPr>
          <w:p w14:paraId="77585499" w14:textId="77777777" w:rsidR="003000F9" w:rsidRPr="00D618B7" w:rsidRDefault="003000F9" w:rsidP="004B11B7">
            <w:pPr>
              <w:jc w:val="right"/>
              <w:rPr>
                <w:color w:val="000000"/>
              </w:rPr>
            </w:pPr>
            <w:r w:rsidRPr="00D618B7">
              <w:rPr>
                <w:color w:val="000000"/>
              </w:rPr>
              <w:t>116.5782</w:t>
            </w:r>
          </w:p>
        </w:tc>
        <w:tc>
          <w:tcPr>
            <w:tcW w:w="763" w:type="pct"/>
            <w:tcBorders>
              <w:top w:val="nil"/>
              <w:left w:val="nil"/>
              <w:bottom w:val="nil"/>
              <w:right w:val="nil"/>
            </w:tcBorders>
            <w:shd w:val="clear" w:color="000000" w:fill="FFFFFF"/>
            <w:noWrap/>
            <w:vAlign w:val="center"/>
            <w:hideMark/>
          </w:tcPr>
          <w:p w14:paraId="12B26054" w14:textId="77777777" w:rsidR="003000F9" w:rsidRPr="00D618B7" w:rsidRDefault="003000F9" w:rsidP="004B11B7">
            <w:pPr>
              <w:jc w:val="right"/>
              <w:rPr>
                <w:color w:val="000000"/>
              </w:rPr>
            </w:pPr>
            <w:r w:rsidRPr="00D618B7">
              <w:rPr>
                <w:color w:val="000000"/>
              </w:rPr>
              <w:t>7.3815</w:t>
            </w:r>
          </w:p>
        </w:tc>
        <w:tc>
          <w:tcPr>
            <w:tcW w:w="763" w:type="pct"/>
            <w:tcBorders>
              <w:top w:val="nil"/>
              <w:left w:val="nil"/>
              <w:bottom w:val="nil"/>
              <w:right w:val="nil"/>
            </w:tcBorders>
            <w:shd w:val="clear" w:color="000000" w:fill="FFFFFF"/>
            <w:noWrap/>
            <w:vAlign w:val="center"/>
            <w:hideMark/>
          </w:tcPr>
          <w:p w14:paraId="60263BF9" w14:textId="77777777" w:rsidR="003000F9" w:rsidRPr="00D618B7" w:rsidRDefault="003000F9" w:rsidP="004B11B7">
            <w:pPr>
              <w:jc w:val="right"/>
              <w:rPr>
                <w:color w:val="000000"/>
              </w:rPr>
            </w:pPr>
            <w:r w:rsidRPr="00D618B7">
              <w:rPr>
                <w:color w:val="000000"/>
              </w:rPr>
              <w:t>44.1726</w:t>
            </w:r>
          </w:p>
        </w:tc>
        <w:tc>
          <w:tcPr>
            <w:tcW w:w="756" w:type="pct"/>
            <w:gridSpan w:val="2"/>
            <w:tcBorders>
              <w:top w:val="nil"/>
              <w:left w:val="nil"/>
              <w:bottom w:val="nil"/>
              <w:right w:val="nil"/>
            </w:tcBorders>
            <w:shd w:val="clear" w:color="000000" w:fill="FFFFFF"/>
            <w:noWrap/>
            <w:vAlign w:val="center"/>
            <w:hideMark/>
          </w:tcPr>
          <w:p w14:paraId="35D7A7E8" w14:textId="77777777" w:rsidR="003000F9" w:rsidRPr="00D618B7" w:rsidRDefault="003000F9" w:rsidP="004B11B7">
            <w:pPr>
              <w:jc w:val="right"/>
              <w:rPr>
                <w:color w:val="000000"/>
              </w:rPr>
            </w:pPr>
            <w:r w:rsidRPr="00D618B7">
              <w:rPr>
                <w:color w:val="000000"/>
              </w:rPr>
              <w:t>4.9932</w:t>
            </w:r>
          </w:p>
        </w:tc>
        <w:tc>
          <w:tcPr>
            <w:tcW w:w="623" w:type="pct"/>
            <w:tcBorders>
              <w:top w:val="nil"/>
              <w:left w:val="nil"/>
              <w:bottom w:val="nil"/>
              <w:right w:val="nil"/>
            </w:tcBorders>
            <w:shd w:val="clear" w:color="000000" w:fill="FFFFFF"/>
            <w:noWrap/>
            <w:vAlign w:val="center"/>
            <w:hideMark/>
          </w:tcPr>
          <w:p w14:paraId="2D515110" w14:textId="77777777" w:rsidR="003000F9" w:rsidRPr="00D618B7" w:rsidRDefault="003000F9" w:rsidP="004B11B7">
            <w:pPr>
              <w:jc w:val="right"/>
              <w:rPr>
                <w:color w:val="000000"/>
              </w:rPr>
            </w:pPr>
            <w:r w:rsidRPr="00D618B7">
              <w:rPr>
                <w:color w:val="000000"/>
              </w:rPr>
              <w:t>33.0962</w:t>
            </w:r>
          </w:p>
        </w:tc>
      </w:tr>
      <w:tr w:rsidR="003000F9" w:rsidRPr="00D618B7" w14:paraId="4DD11B35" w14:textId="77777777" w:rsidTr="004B11B7">
        <w:trPr>
          <w:trHeight w:val="271"/>
        </w:trPr>
        <w:tc>
          <w:tcPr>
            <w:tcW w:w="450" w:type="pct"/>
            <w:tcBorders>
              <w:top w:val="nil"/>
              <w:left w:val="nil"/>
              <w:bottom w:val="nil"/>
              <w:right w:val="nil"/>
            </w:tcBorders>
            <w:shd w:val="clear" w:color="000000" w:fill="FFFFFF"/>
            <w:vAlign w:val="center"/>
            <w:hideMark/>
          </w:tcPr>
          <w:p w14:paraId="3FEBB1A0" w14:textId="77777777" w:rsidR="003000F9" w:rsidRPr="00D618B7" w:rsidRDefault="003000F9" w:rsidP="004B11B7">
            <w:pPr>
              <w:rPr>
                <w:color w:val="000000"/>
              </w:rPr>
            </w:pPr>
            <w:r w:rsidRPr="00D618B7">
              <w:rPr>
                <w:color w:val="000000"/>
              </w:rPr>
              <w:t>Hand</w:t>
            </w:r>
          </w:p>
        </w:tc>
        <w:tc>
          <w:tcPr>
            <w:tcW w:w="1040" w:type="pct"/>
            <w:tcBorders>
              <w:top w:val="nil"/>
              <w:left w:val="nil"/>
              <w:bottom w:val="nil"/>
              <w:right w:val="nil"/>
            </w:tcBorders>
            <w:shd w:val="clear" w:color="000000" w:fill="FFFFFF"/>
            <w:noWrap/>
            <w:vAlign w:val="center"/>
            <w:hideMark/>
          </w:tcPr>
          <w:p w14:paraId="500A16B3" w14:textId="77777777" w:rsidR="003000F9" w:rsidRPr="00D618B7" w:rsidRDefault="003000F9" w:rsidP="004B11B7">
            <w:pPr>
              <w:jc w:val="right"/>
              <w:rPr>
                <w:color w:val="000000"/>
              </w:rPr>
            </w:pPr>
            <w:r w:rsidRPr="00D618B7">
              <w:rPr>
                <w:color w:val="000000"/>
              </w:rPr>
              <w:t>-147.5665</w:t>
            </w:r>
          </w:p>
        </w:tc>
        <w:tc>
          <w:tcPr>
            <w:tcW w:w="605" w:type="pct"/>
            <w:tcBorders>
              <w:top w:val="nil"/>
              <w:left w:val="nil"/>
              <w:bottom w:val="nil"/>
              <w:right w:val="nil"/>
            </w:tcBorders>
            <w:shd w:val="clear" w:color="000000" w:fill="FFFFFF"/>
            <w:noWrap/>
            <w:vAlign w:val="center"/>
            <w:hideMark/>
          </w:tcPr>
          <w:p w14:paraId="2E15A71F" w14:textId="77777777" w:rsidR="003000F9" w:rsidRPr="00D618B7" w:rsidRDefault="003000F9" w:rsidP="004B11B7">
            <w:pPr>
              <w:jc w:val="right"/>
              <w:rPr>
                <w:color w:val="000000"/>
              </w:rPr>
            </w:pPr>
            <w:r w:rsidRPr="00D618B7">
              <w:rPr>
                <w:color w:val="000000"/>
              </w:rPr>
              <w:t>177.7574</w:t>
            </w:r>
          </w:p>
        </w:tc>
        <w:tc>
          <w:tcPr>
            <w:tcW w:w="763" w:type="pct"/>
            <w:tcBorders>
              <w:top w:val="nil"/>
              <w:left w:val="nil"/>
              <w:bottom w:val="nil"/>
              <w:right w:val="nil"/>
            </w:tcBorders>
            <w:shd w:val="clear" w:color="000000" w:fill="FFFFFF"/>
            <w:noWrap/>
            <w:vAlign w:val="center"/>
            <w:hideMark/>
          </w:tcPr>
          <w:p w14:paraId="0FB91ECA" w14:textId="77777777" w:rsidR="003000F9" w:rsidRPr="00D618B7" w:rsidRDefault="003000F9" w:rsidP="004B11B7">
            <w:pPr>
              <w:jc w:val="right"/>
              <w:rPr>
                <w:color w:val="000000"/>
              </w:rPr>
            </w:pPr>
            <w:r w:rsidRPr="00D618B7">
              <w:rPr>
                <w:color w:val="000000"/>
              </w:rPr>
              <w:t>-10.3436</w:t>
            </w:r>
          </w:p>
        </w:tc>
        <w:tc>
          <w:tcPr>
            <w:tcW w:w="763" w:type="pct"/>
            <w:tcBorders>
              <w:top w:val="nil"/>
              <w:left w:val="nil"/>
              <w:bottom w:val="nil"/>
              <w:right w:val="nil"/>
            </w:tcBorders>
            <w:shd w:val="clear" w:color="000000" w:fill="FFFFFF"/>
            <w:noWrap/>
            <w:vAlign w:val="center"/>
            <w:hideMark/>
          </w:tcPr>
          <w:p w14:paraId="4BDEECA5" w14:textId="77777777" w:rsidR="003000F9" w:rsidRPr="00D618B7" w:rsidRDefault="003000F9" w:rsidP="004B11B7">
            <w:pPr>
              <w:jc w:val="right"/>
              <w:rPr>
                <w:color w:val="000000"/>
              </w:rPr>
            </w:pPr>
            <w:r w:rsidRPr="00D618B7">
              <w:rPr>
                <w:color w:val="000000"/>
              </w:rPr>
              <w:t>92.0919</w:t>
            </w:r>
          </w:p>
        </w:tc>
        <w:tc>
          <w:tcPr>
            <w:tcW w:w="756" w:type="pct"/>
            <w:gridSpan w:val="2"/>
            <w:tcBorders>
              <w:top w:val="nil"/>
              <w:left w:val="nil"/>
              <w:bottom w:val="nil"/>
              <w:right w:val="nil"/>
            </w:tcBorders>
            <w:shd w:val="clear" w:color="000000" w:fill="FFFFFF"/>
            <w:noWrap/>
            <w:vAlign w:val="center"/>
            <w:hideMark/>
          </w:tcPr>
          <w:p w14:paraId="422957CC" w14:textId="77777777" w:rsidR="003000F9" w:rsidRPr="00D618B7" w:rsidRDefault="003000F9" w:rsidP="004B11B7">
            <w:pPr>
              <w:jc w:val="right"/>
              <w:rPr>
                <w:color w:val="000000"/>
              </w:rPr>
            </w:pPr>
            <w:r w:rsidRPr="00D618B7">
              <w:rPr>
                <w:color w:val="000000"/>
              </w:rPr>
              <w:t>-11.2316</w:t>
            </w:r>
          </w:p>
        </w:tc>
        <w:tc>
          <w:tcPr>
            <w:tcW w:w="623" w:type="pct"/>
            <w:tcBorders>
              <w:top w:val="nil"/>
              <w:left w:val="nil"/>
              <w:bottom w:val="nil"/>
              <w:right w:val="nil"/>
            </w:tcBorders>
            <w:shd w:val="clear" w:color="000000" w:fill="FFFFFF"/>
            <w:noWrap/>
            <w:vAlign w:val="center"/>
            <w:hideMark/>
          </w:tcPr>
          <w:p w14:paraId="471A0F7D" w14:textId="77777777" w:rsidR="003000F9" w:rsidRPr="00D618B7" w:rsidRDefault="003000F9" w:rsidP="004B11B7">
            <w:pPr>
              <w:jc w:val="right"/>
              <w:rPr>
                <w:color w:val="000000"/>
              </w:rPr>
            </w:pPr>
            <w:r w:rsidRPr="00D618B7">
              <w:rPr>
                <w:color w:val="000000"/>
              </w:rPr>
              <w:t>38.5706</w:t>
            </w:r>
          </w:p>
        </w:tc>
      </w:tr>
      <w:tr w:rsidR="003000F9" w:rsidRPr="00D618B7" w14:paraId="5DCC796A" w14:textId="77777777" w:rsidTr="004B11B7">
        <w:trPr>
          <w:trHeight w:val="271"/>
        </w:trPr>
        <w:tc>
          <w:tcPr>
            <w:tcW w:w="450" w:type="pct"/>
            <w:tcBorders>
              <w:top w:val="nil"/>
              <w:left w:val="nil"/>
              <w:bottom w:val="single" w:sz="8" w:space="0" w:color="auto"/>
              <w:right w:val="nil"/>
            </w:tcBorders>
            <w:shd w:val="clear" w:color="000000" w:fill="FFFFFF"/>
            <w:vAlign w:val="center"/>
            <w:hideMark/>
          </w:tcPr>
          <w:p w14:paraId="6A0D9033" w14:textId="77777777" w:rsidR="003000F9" w:rsidRPr="00D618B7" w:rsidRDefault="003000F9" w:rsidP="004B11B7">
            <w:pPr>
              <w:rPr>
                <w:color w:val="000000"/>
              </w:rPr>
            </w:pPr>
            <w:r w:rsidRPr="00D618B7">
              <w:rPr>
                <w:color w:val="000000"/>
              </w:rPr>
              <w:t>Mouth</w:t>
            </w:r>
          </w:p>
        </w:tc>
        <w:tc>
          <w:tcPr>
            <w:tcW w:w="1040" w:type="pct"/>
            <w:tcBorders>
              <w:top w:val="nil"/>
              <w:left w:val="nil"/>
              <w:bottom w:val="single" w:sz="8" w:space="0" w:color="auto"/>
              <w:right w:val="nil"/>
            </w:tcBorders>
            <w:shd w:val="clear" w:color="000000" w:fill="FFFFFF"/>
            <w:noWrap/>
            <w:vAlign w:val="center"/>
            <w:hideMark/>
          </w:tcPr>
          <w:p w14:paraId="2561ED77" w14:textId="77777777" w:rsidR="003000F9" w:rsidRPr="00D618B7" w:rsidRDefault="003000F9" w:rsidP="004B11B7">
            <w:pPr>
              <w:jc w:val="right"/>
              <w:rPr>
                <w:color w:val="000000"/>
              </w:rPr>
            </w:pPr>
            <w:r w:rsidRPr="00D618B7">
              <w:rPr>
                <w:color w:val="000000"/>
              </w:rPr>
              <w:t>18404.6100</w:t>
            </w:r>
          </w:p>
        </w:tc>
        <w:tc>
          <w:tcPr>
            <w:tcW w:w="605" w:type="pct"/>
            <w:tcBorders>
              <w:top w:val="nil"/>
              <w:left w:val="nil"/>
              <w:bottom w:val="single" w:sz="8" w:space="0" w:color="auto"/>
              <w:right w:val="nil"/>
            </w:tcBorders>
            <w:shd w:val="clear" w:color="000000" w:fill="FFFFFF"/>
            <w:noWrap/>
            <w:vAlign w:val="center"/>
            <w:hideMark/>
          </w:tcPr>
          <w:p w14:paraId="38DFA827" w14:textId="77777777" w:rsidR="003000F9" w:rsidRPr="00D618B7" w:rsidRDefault="003000F9" w:rsidP="004B11B7">
            <w:pPr>
              <w:jc w:val="right"/>
              <w:rPr>
                <w:color w:val="000000"/>
              </w:rPr>
            </w:pPr>
            <w:r w:rsidRPr="00D618B7">
              <w:rPr>
                <w:color w:val="000000"/>
              </w:rPr>
              <w:t>2700.8546</w:t>
            </w:r>
          </w:p>
        </w:tc>
        <w:tc>
          <w:tcPr>
            <w:tcW w:w="763" w:type="pct"/>
            <w:tcBorders>
              <w:top w:val="nil"/>
              <w:left w:val="nil"/>
              <w:bottom w:val="single" w:sz="8" w:space="0" w:color="auto"/>
              <w:right w:val="nil"/>
            </w:tcBorders>
            <w:shd w:val="clear" w:color="000000" w:fill="FFFFFF"/>
            <w:noWrap/>
            <w:vAlign w:val="center"/>
            <w:hideMark/>
          </w:tcPr>
          <w:p w14:paraId="7742A34D" w14:textId="77777777" w:rsidR="003000F9" w:rsidRPr="00D618B7" w:rsidRDefault="003000F9" w:rsidP="004B11B7">
            <w:pPr>
              <w:jc w:val="right"/>
              <w:rPr>
                <w:color w:val="000000"/>
              </w:rPr>
            </w:pPr>
            <w:r w:rsidRPr="00D618B7">
              <w:rPr>
                <w:color w:val="000000"/>
              </w:rPr>
              <w:t>1151.0590</w:t>
            </w:r>
          </w:p>
        </w:tc>
        <w:tc>
          <w:tcPr>
            <w:tcW w:w="763" w:type="pct"/>
            <w:tcBorders>
              <w:top w:val="nil"/>
              <w:left w:val="nil"/>
              <w:bottom w:val="single" w:sz="8" w:space="0" w:color="auto"/>
              <w:right w:val="nil"/>
            </w:tcBorders>
            <w:shd w:val="clear" w:color="000000" w:fill="FFFFFF"/>
            <w:noWrap/>
            <w:vAlign w:val="center"/>
            <w:hideMark/>
          </w:tcPr>
          <w:p w14:paraId="527FB795" w14:textId="77777777" w:rsidR="003000F9" w:rsidRPr="00D618B7" w:rsidRDefault="003000F9" w:rsidP="004B11B7">
            <w:pPr>
              <w:jc w:val="right"/>
              <w:rPr>
                <w:color w:val="000000"/>
              </w:rPr>
            </w:pPr>
            <w:r w:rsidRPr="00D618B7">
              <w:rPr>
                <w:color w:val="000000"/>
              </w:rPr>
              <w:t>366.1165</w:t>
            </w:r>
          </w:p>
        </w:tc>
        <w:tc>
          <w:tcPr>
            <w:tcW w:w="756" w:type="pct"/>
            <w:gridSpan w:val="2"/>
            <w:tcBorders>
              <w:top w:val="nil"/>
              <w:left w:val="nil"/>
              <w:bottom w:val="single" w:sz="8" w:space="0" w:color="auto"/>
              <w:right w:val="nil"/>
            </w:tcBorders>
            <w:shd w:val="clear" w:color="000000" w:fill="FFFFFF"/>
            <w:noWrap/>
            <w:vAlign w:val="center"/>
            <w:hideMark/>
          </w:tcPr>
          <w:p w14:paraId="08B2BDA7" w14:textId="77777777" w:rsidR="003000F9" w:rsidRPr="00D618B7" w:rsidRDefault="003000F9" w:rsidP="004B11B7">
            <w:pPr>
              <w:jc w:val="right"/>
              <w:rPr>
                <w:color w:val="000000"/>
              </w:rPr>
            </w:pPr>
            <w:r w:rsidRPr="00D618B7">
              <w:rPr>
                <w:color w:val="000000"/>
              </w:rPr>
              <w:t>1648.1240</w:t>
            </w:r>
          </w:p>
        </w:tc>
        <w:tc>
          <w:tcPr>
            <w:tcW w:w="623" w:type="pct"/>
            <w:tcBorders>
              <w:top w:val="nil"/>
              <w:left w:val="nil"/>
              <w:bottom w:val="single" w:sz="8" w:space="0" w:color="auto"/>
              <w:right w:val="nil"/>
            </w:tcBorders>
            <w:shd w:val="clear" w:color="000000" w:fill="FFFFFF"/>
            <w:noWrap/>
            <w:vAlign w:val="center"/>
            <w:hideMark/>
          </w:tcPr>
          <w:p w14:paraId="4C226012" w14:textId="77777777" w:rsidR="003000F9" w:rsidRPr="00D618B7" w:rsidRDefault="003000F9" w:rsidP="004B11B7">
            <w:pPr>
              <w:jc w:val="right"/>
              <w:rPr>
                <w:color w:val="000000"/>
              </w:rPr>
            </w:pPr>
            <w:r w:rsidRPr="00D618B7">
              <w:rPr>
                <w:color w:val="000000"/>
              </w:rPr>
              <w:t>354.2162</w:t>
            </w:r>
          </w:p>
        </w:tc>
      </w:tr>
    </w:tbl>
    <w:p w14:paraId="085AC069" w14:textId="77777777" w:rsidR="003000F9" w:rsidRPr="00D618B7" w:rsidRDefault="003000F9" w:rsidP="003000F9"/>
    <w:p w14:paraId="1C943B03" w14:textId="77777777" w:rsidR="003000F9" w:rsidRPr="00D618B7" w:rsidRDefault="003000F9" w:rsidP="003000F9">
      <w:r w:rsidRPr="00D618B7">
        <w:rPr>
          <w:i/>
          <w:iCs/>
        </w:rPr>
        <w:t>Note</w:t>
      </w:r>
      <w:r w:rsidRPr="00D618B7">
        <w:t>: This table lists the estimated mean summed duration and standard errors for face, hand, and mouth events by toy-out-of-reach, toy-moving-into-reach, and toy-in-reach by group.</w:t>
      </w:r>
    </w:p>
    <w:p w14:paraId="1DFB36BF" w14:textId="77777777" w:rsidR="00E7168B" w:rsidRPr="00D618B7" w:rsidRDefault="00E7168B" w:rsidP="00E7168B"/>
    <w:p w14:paraId="5976467E" w14:textId="0B3DF4B5" w:rsidR="00E7168B" w:rsidRPr="00D618B7" w:rsidRDefault="00E7168B">
      <w:r w:rsidRPr="00D618B7">
        <w:br w:type="page"/>
      </w:r>
    </w:p>
    <w:p w14:paraId="6758BA45" w14:textId="77777777" w:rsidR="00281AEA" w:rsidRPr="00D618B7" w:rsidRDefault="00281AEA" w:rsidP="00281AEA">
      <w:r w:rsidRPr="00D618B7">
        <w:rPr>
          <w:noProof/>
        </w:rPr>
        <w:lastRenderedPageBreak/>
        <w:drawing>
          <wp:inline distT="0" distB="0" distL="0" distR="0" wp14:anchorId="53D7007D" wp14:editId="7A8BBE15">
            <wp:extent cx="5680710" cy="6864063"/>
            <wp:effectExtent l="0" t="0" r="0" b="0"/>
            <wp:docPr id="2041100030" name="Picture 1" descr="A diagram of a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00030" name="Picture 1" descr="A diagram of a toy&#10;&#10;Description automatically generated"/>
                    <pic:cNvPicPr/>
                  </pic:nvPicPr>
                  <pic:blipFill rotWithShape="1">
                    <a:blip r:embed="rId48"/>
                    <a:srcRect t="7223"/>
                    <a:stretch/>
                  </pic:blipFill>
                  <pic:spPr bwMode="auto">
                    <a:xfrm>
                      <a:off x="0" y="0"/>
                      <a:ext cx="5710673" cy="6900268"/>
                    </a:xfrm>
                    <a:prstGeom prst="rect">
                      <a:avLst/>
                    </a:prstGeom>
                    <a:ln>
                      <a:noFill/>
                    </a:ln>
                    <a:extLst>
                      <a:ext uri="{53640926-AAD7-44D8-BBD7-CCE9431645EC}">
                        <a14:shadowObscured xmlns:a14="http://schemas.microsoft.com/office/drawing/2010/main"/>
                      </a:ext>
                    </a:extLst>
                  </pic:spPr>
                </pic:pic>
              </a:graphicData>
            </a:graphic>
          </wp:inline>
        </w:drawing>
      </w:r>
    </w:p>
    <w:p w14:paraId="7D6468FD" w14:textId="77777777" w:rsidR="00990BE1" w:rsidRPr="00D618B7" w:rsidRDefault="00990BE1" w:rsidP="00990BE1">
      <w:pPr>
        <w:pStyle w:val="Caption"/>
      </w:pPr>
      <w:bookmarkStart w:id="212" w:name="_Toc172716966"/>
      <w:r w:rsidRPr="00D618B7">
        <w:t xml:space="preserve">Figure </w:t>
      </w:r>
      <w:r>
        <w:fldChar w:fldCharType="begin"/>
      </w:r>
      <w:r>
        <w:instrText xml:space="preserve"> SEQ Figure \* ARABIC </w:instrText>
      </w:r>
      <w:r>
        <w:fldChar w:fldCharType="separate"/>
      </w:r>
      <w:r>
        <w:rPr>
          <w:noProof/>
        </w:rPr>
        <w:t>26</w:t>
      </w:r>
      <w:r>
        <w:rPr>
          <w:noProof/>
        </w:rPr>
        <w:fldChar w:fldCharType="end"/>
      </w:r>
      <w:r>
        <w:rPr>
          <w:noProof/>
        </w:rPr>
        <w:t>:</w:t>
      </w:r>
      <w:r w:rsidRPr="00AC6256">
        <w:t xml:space="preserve"> </w:t>
      </w:r>
      <w:r>
        <w:t>Event summed duration</w:t>
      </w:r>
      <w:r w:rsidRPr="00BA36EF">
        <w:t xml:space="preserve"> by </w:t>
      </w:r>
      <w:r>
        <w:t>type, proximity and week by group</w:t>
      </w:r>
      <w:bookmarkEnd w:id="212"/>
    </w:p>
    <w:p w14:paraId="13317212" w14:textId="77777777" w:rsidR="00990BE1" w:rsidRDefault="00990BE1" w:rsidP="00990BE1"/>
    <w:p w14:paraId="101C9F3C" w14:textId="4B3ED29B" w:rsidR="00990BE1" w:rsidRPr="00D618B7" w:rsidRDefault="00990BE1" w:rsidP="00990BE1">
      <w:r w:rsidRPr="00D618B7">
        <w:t>Estimated Mean Summed Duration of Event by Type, Proximity, and Week by Group</w:t>
      </w:r>
      <w:r>
        <w:t>.</w:t>
      </w:r>
    </w:p>
    <w:p w14:paraId="51EEDE67" w14:textId="01DB7397" w:rsidR="00281AEA" w:rsidRPr="00D618B7" w:rsidRDefault="00281AEA" w:rsidP="00281AEA">
      <w:r w:rsidRPr="00D618B7">
        <w:rPr>
          <w:i/>
          <w:iCs/>
        </w:rPr>
        <w:t>Note</w:t>
      </w:r>
      <w:r w:rsidRPr="00D618B7">
        <w:t>. This figure illustrates the estimated mean summed duration in milliseconds of face, hand, and mouth events for each week of observation around reach-onset by reach group.</w:t>
      </w:r>
    </w:p>
    <w:p w14:paraId="10299AD3" w14:textId="5A840B4C" w:rsidR="00A20AF0" w:rsidRPr="00D618B7" w:rsidRDefault="00A20AF0" w:rsidP="007C5074">
      <w:pPr>
        <w:pStyle w:val="Caption"/>
      </w:pPr>
      <w:bookmarkStart w:id="213" w:name="_Toc172716896"/>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68</w:t>
      </w:r>
      <w:r w:rsidR="00000000">
        <w:rPr>
          <w:noProof/>
        </w:rPr>
        <w:fldChar w:fldCharType="end"/>
      </w:r>
      <w:r w:rsidR="00AE3927">
        <w:rPr>
          <w:noProof/>
        </w:rPr>
        <w:t>:</w:t>
      </w:r>
      <w:r w:rsidR="00AC6256" w:rsidRPr="00AC6256">
        <w:t xml:space="preserve"> </w:t>
      </w:r>
      <w:r w:rsidR="00AC6256">
        <w:t>Event summed duration</w:t>
      </w:r>
      <w:r w:rsidR="00AC6256" w:rsidRPr="00BA36EF">
        <w:t xml:space="preserve"> by </w:t>
      </w:r>
      <w:r w:rsidR="00AC6256">
        <w:t>type, proximity, and week for early group</w:t>
      </w:r>
      <w:bookmarkEnd w:id="213"/>
    </w:p>
    <w:p w14:paraId="5C503C63" w14:textId="524730D7" w:rsidR="000F2348" w:rsidRPr="00D618B7" w:rsidRDefault="000F2348" w:rsidP="000F2348">
      <w:r w:rsidRPr="00D618B7">
        <w:t>Estimated Mean Summed Duration of Event by Type, Proximity, and Week for the Early Reach Group</w:t>
      </w:r>
    </w:p>
    <w:tbl>
      <w:tblPr>
        <w:tblW w:w="8724" w:type="dxa"/>
        <w:tblLook w:val="04A0" w:firstRow="1" w:lastRow="0" w:firstColumn="1" w:lastColumn="0" w:noHBand="0" w:noVBand="1"/>
      </w:tblPr>
      <w:tblGrid>
        <w:gridCol w:w="1305"/>
        <w:gridCol w:w="1093"/>
        <w:gridCol w:w="1071"/>
        <w:gridCol w:w="1522"/>
        <w:gridCol w:w="1060"/>
        <w:gridCol w:w="1575"/>
        <w:gridCol w:w="1098"/>
      </w:tblGrid>
      <w:tr w:rsidR="000F2348" w:rsidRPr="00D618B7" w14:paraId="2C92E764" w14:textId="77777777" w:rsidTr="001E0AE6">
        <w:trPr>
          <w:trHeight w:val="253"/>
        </w:trPr>
        <w:tc>
          <w:tcPr>
            <w:tcW w:w="1305" w:type="dxa"/>
            <w:tcBorders>
              <w:top w:val="single" w:sz="18" w:space="0" w:color="auto"/>
              <w:left w:val="nil"/>
              <w:bottom w:val="nil"/>
              <w:right w:val="nil"/>
            </w:tcBorders>
            <w:shd w:val="clear" w:color="000000" w:fill="FFFFFF"/>
            <w:vAlign w:val="center"/>
            <w:hideMark/>
          </w:tcPr>
          <w:p w14:paraId="0D298E64" w14:textId="77777777" w:rsidR="000F2348" w:rsidRPr="00D618B7" w:rsidRDefault="000F2348" w:rsidP="004B11B7">
            <w:pPr>
              <w:rPr>
                <w:color w:val="000000"/>
                <w:sz w:val="22"/>
                <w:szCs w:val="22"/>
              </w:rPr>
            </w:pPr>
            <w:r w:rsidRPr="00D618B7">
              <w:rPr>
                <w:color w:val="000000"/>
                <w:sz w:val="22"/>
                <w:szCs w:val="22"/>
              </w:rPr>
              <w:t>Week</w:t>
            </w:r>
          </w:p>
        </w:tc>
        <w:tc>
          <w:tcPr>
            <w:tcW w:w="2164" w:type="dxa"/>
            <w:gridSpan w:val="2"/>
            <w:tcBorders>
              <w:top w:val="single" w:sz="18" w:space="0" w:color="auto"/>
              <w:left w:val="nil"/>
              <w:bottom w:val="single" w:sz="18" w:space="0" w:color="auto"/>
              <w:right w:val="nil"/>
            </w:tcBorders>
            <w:shd w:val="clear" w:color="000000" w:fill="FFFFFF"/>
            <w:vAlign w:val="center"/>
            <w:hideMark/>
          </w:tcPr>
          <w:p w14:paraId="0E483F70" w14:textId="77777777" w:rsidR="000F2348" w:rsidRPr="00D618B7" w:rsidRDefault="000F2348" w:rsidP="004B11B7">
            <w:pPr>
              <w:jc w:val="center"/>
              <w:rPr>
                <w:color w:val="000000"/>
                <w:sz w:val="22"/>
                <w:szCs w:val="22"/>
              </w:rPr>
            </w:pPr>
            <w:r w:rsidRPr="00D618B7">
              <w:rPr>
                <w:color w:val="000000"/>
                <w:sz w:val="22"/>
                <w:szCs w:val="22"/>
              </w:rPr>
              <w:t>Face</w:t>
            </w:r>
          </w:p>
        </w:tc>
        <w:tc>
          <w:tcPr>
            <w:tcW w:w="2582" w:type="dxa"/>
            <w:gridSpan w:val="2"/>
            <w:tcBorders>
              <w:top w:val="single" w:sz="18" w:space="0" w:color="auto"/>
              <w:left w:val="nil"/>
              <w:bottom w:val="single" w:sz="18" w:space="0" w:color="auto"/>
              <w:right w:val="nil"/>
            </w:tcBorders>
            <w:shd w:val="clear" w:color="000000" w:fill="FFFFFF"/>
            <w:vAlign w:val="center"/>
            <w:hideMark/>
          </w:tcPr>
          <w:p w14:paraId="04B66C81" w14:textId="77777777" w:rsidR="000F2348" w:rsidRPr="00D618B7" w:rsidRDefault="000F2348" w:rsidP="004B11B7">
            <w:pPr>
              <w:jc w:val="center"/>
              <w:rPr>
                <w:color w:val="000000"/>
                <w:sz w:val="22"/>
                <w:szCs w:val="22"/>
              </w:rPr>
            </w:pPr>
            <w:r w:rsidRPr="00D618B7">
              <w:rPr>
                <w:color w:val="000000"/>
                <w:sz w:val="22"/>
                <w:szCs w:val="22"/>
              </w:rPr>
              <w:t xml:space="preserve">              Hand</w:t>
            </w:r>
          </w:p>
        </w:tc>
        <w:tc>
          <w:tcPr>
            <w:tcW w:w="2672" w:type="dxa"/>
            <w:gridSpan w:val="2"/>
            <w:tcBorders>
              <w:top w:val="single" w:sz="18" w:space="0" w:color="auto"/>
              <w:left w:val="nil"/>
              <w:bottom w:val="single" w:sz="18" w:space="0" w:color="auto"/>
              <w:right w:val="nil"/>
            </w:tcBorders>
            <w:shd w:val="clear" w:color="000000" w:fill="FFFFFF"/>
            <w:vAlign w:val="center"/>
            <w:hideMark/>
          </w:tcPr>
          <w:p w14:paraId="656D48E8" w14:textId="77777777" w:rsidR="000F2348" w:rsidRPr="00D618B7" w:rsidRDefault="000F2348" w:rsidP="004B11B7">
            <w:pPr>
              <w:jc w:val="center"/>
              <w:rPr>
                <w:color w:val="000000"/>
                <w:sz w:val="22"/>
                <w:szCs w:val="22"/>
              </w:rPr>
            </w:pPr>
            <w:r w:rsidRPr="00D618B7">
              <w:rPr>
                <w:color w:val="000000"/>
                <w:sz w:val="22"/>
                <w:szCs w:val="22"/>
              </w:rPr>
              <w:t xml:space="preserve">                Mouth</w:t>
            </w:r>
          </w:p>
        </w:tc>
      </w:tr>
      <w:tr w:rsidR="000F2348" w:rsidRPr="00D618B7" w14:paraId="30691428" w14:textId="77777777" w:rsidTr="001E0AE6">
        <w:trPr>
          <w:trHeight w:val="253"/>
        </w:trPr>
        <w:tc>
          <w:tcPr>
            <w:tcW w:w="1305" w:type="dxa"/>
            <w:tcBorders>
              <w:top w:val="nil"/>
              <w:left w:val="nil"/>
              <w:bottom w:val="single" w:sz="18" w:space="0" w:color="auto"/>
              <w:right w:val="nil"/>
            </w:tcBorders>
            <w:shd w:val="clear" w:color="000000" w:fill="FFFFFF"/>
            <w:noWrap/>
            <w:vAlign w:val="bottom"/>
            <w:hideMark/>
          </w:tcPr>
          <w:p w14:paraId="1AC3AB84" w14:textId="77777777" w:rsidR="000F2348" w:rsidRPr="00D618B7" w:rsidRDefault="000F2348" w:rsidP="004B11B7">
            <w:pPr>
              <w:rPr>
                <w:color w:val="000000"/>
                <w:sz w:val="22"/>
                <w:szCs w:val="22"/>
              </w:rPr>
            </w:pPr>
            <w:r w:rsidRPr="00D618B7">
              <w:rPr>
                <w:color w:val="000000"/>
                <w:sz w:val="22"/>
                <w:szCs w:val="22"/>
              </w:rPr>
              <w:t> </w:t>
            </w:r>
          </w:p>
        </w:tc>
        <w:tc>
          <w:tcPr>
            <w:tcW w:w="1093" w:type="dxa"/>
            <w:tcBorders>
              <w:top w:val="single" w:sz="18" w:space="0" w:color="auto"/>
              <w:left w:val="nil"/>
              <w:bottom w:val="single" w:sz="18" w:space="0" w:color="auto"/>
              <w:right w:val="nil"/>
            </w:tcBorders>
            <w:shd w:val="clear" w:color="000000" w:fill="FFFFFF"/>
            <w:noWrap/>
            <w:vAlign w:val="center"/>
            <w:hideMark/>
          </w:tcPr>
          <w:p w14:paraId="5F97A5AB" w14:textId="77777777" w:rsidR="000F2348" w:rsidRPr="00D618B7" w:rsidRDefault="000F2348" w:rsidP="004B11B7">
            <w:pPr>
              <w:jc w:val="right"/>
              <w:rPr>
                <w:color w:val="000000"/>
                <w:sz w:val="22"/>
                <w:szCs w:val="22"/>
              </w:rPr>
            </w:pPr>
            <w:r w:rsidRPr="00D618B7">
              <w:rPr>
                <w:color w:val="000000"/>
                <w:sz w:val="22"/>
                <w:szCs w:val="22"/>
              </w:rPr>
              <w:t>Mean</w:t>
            </w:r>
          </w:p>
        </w:tc>
        <w:tc>
          <w:tcPr>
            <w:tcW w:w="1070" w:type="dxa"/>
            <w:tcBorders>
              <w:top w:val="single" w:sz="18" w:space="0" w:color="auto"/>
              <w:left w:val="nil"/>
              <w:bottom w:val="single" w:sz="18" w:space="0" w:color="auto"/>
              <w:right w:val="nil"/>
            </w:tcBorders>
            <w:shd w:val="clear" w:color="000000" w:fill="FFFFFF"/>
            <w:noWrap/>
            <w:vAlign w:val="center"/>
            <w:hideMark/>
          </w:tcPr>
          <w:p w14:paraId="57BB6C3C" w14:textId="77777777" w:rsidR="000F2348" w:rsidRPr="00D618B7" w:rsidRDefault="000F2348" w:rsidP="004B11B7">
            <w:pPr>
              <w:jc w:val="right"/>
              <w:rPr>
                <w:color w:val="000000"/>
                <w:sz w:val="22"/>
                <w:szCs w:val="22"/>
              </w:rPr>
            </w:pPr>
            <w:r w:rsidRPr="00D618B7">
              <w:rPr>
                <w:color w:val="000000"/>
                <w:sz w:val="22"/>
                <w:szCs w:val="22"/>
              </w:rPr>
              <w:t>Std. Error</w:t>
            </w:r>
          </w:p>
        </w:tc>
        <w:tc>
          <w:tcPr>
            <w:tcW w:w="1522" w:type="dxa"/>
            <w:tcBorders>
              <w:top w:val="single" w:sz="18" w:space="0" w:color="auto"/>
              <w:left w:val="nil"/>
              <w:bottom w:val="single" w:sz="18" w:space="0" w:color="auto"/>
              <w:right w:val="nil"/>
            </w:tcBorders>
            <w:shd w:val="clear" w:color="000000" w:fill="FFFFFF"/>
            <w:noWrap/>
            <w:vAlign w:val="center"/>
            <w:hideMark/>
          </w:tcPr>
          <w:p w14:paraId="4C340ED7" w14:textId="77777777" w:rsidR="000F2348" w:rsidRPr="00D618B7" w:rsidRDefault="000F2348" w:rsidP="004B11B7">
            <w:pPr>
              <w:jc w:val="right"/>
              <w:rPr>
                <w:color w:val="000000"/>
                <w:sz w:val="22"/>
                <w:szCs w:val="22"/>
              </w:rPr>
            </w:pPr>
            <w:r w:rsidRPr="00D618B7">
              <w:rPr>
                <w:color w:val="000000"/>
                <w:sz w:val="22"/>
                <w:szCs w:val="22"/>
              </w:rPr>
              <w:t>Mean</w:t>
            </w:r>
          </w:p>
        </w:tc>
        <w:tc>
          <w:tcPr>
            <w:tcW w:w="1059" w:type="dxa"/>
            <w:tcBorders>
              <w:top w:val="single" w:sz="18" w:space="0" w:color="auto"/>
              <w:left w:val="nil"/>
              <w:bottom w:val="single" w:sz="18" w:space="0" w:color="auto"/>
              <w:right w:val="nil"/>
            </w:tcBorders>
            <w:shd w:val="clear" w:color="000000" w:fill="FFFFFF"/>
            <w:noWrap/>
            <w:vAlign w:val="center"/>
            <w:hideMark/>
          </w:tcPr>
          <w:p w14:paraId="042A2E2B" w14:textId="77777777" w:rsidR="000F2348" w:rsidRPr="00D618B7" w:rsidRDefault="000F2348" w:rsidP="004B11B7">
            <w:pPr>
              <w:jc w:val="right"/>
              <w:rPr>
                <w:color w:val="000000"/>
                <w:sz w:val="22"/>
                <w:szCs w:val="22"/>
              </w:rPr>
            </w:pPr>
            <w:r w:rsidRPr="00D618B7">
              <w:rPr>
                <w:color w:val="000000"/>
                <w:sz w:val="22"/>
                <w:szCs w:val="22"/>
              </w:rPr>
              <w:t>Std. Error</w:t>
            </w:r>
          </w:p>
        </w:tc>
        <w:tc>
          <w:tcPr>
            <w:tcW w:w="1575" w:type="dxa"/>
            <w:tcBorders>
              <w:top w:val="single" w:sz="18" w:space="0" w:color="auto"/>
              <w:left w:val="nil"/>
              <w:bottom w:val="single" w:sz="18" w:space="0" w:color="auto"/>
              <w:right w:val="nil"/>
            </w:tcBorders>
            <w:shd w:val="clear" w:color="000000" w:fill="FFFFFF"/>
            <w:noWrap/>
            <w:vAlign w:val="center"/>
            <w:hideMark/>
          </w:tcPr>
          <w:p w14:paraId="6139D5DA" w14:textId="77777777" w:rsidR="000F2348" w:rsidRPr="00D618B7" w:rsidRDefault="000F2348" w:rsidP="004B11B7">
            <w:pPr>
              <w:jc w:val="right"/>
              <w:rPr>
                <w:color w:val="000000"/>
                <w:sz w:val="22"/>
                <w:szCs w:val="22"/>
              </w:rPr>
            </w:pPr>
            <w:r w:rsidRPr="00D618B7">
              <w:rPr>
                <w:color w:val="000000"/>
                <w:sz w:val="22"/>
                <w:szCs w:val="22"/>
              </w:rPr>
              <w:t>Mean</w:t>
            </w:r>
          </w:p>
        </w:tc>
        <w:tc>
          <w:tcPr>
            <w:tcW w:w="1096" w:type="dxa"/>
            <w:tcBorders>
              <w:top w:val="single" w:sz="18" w:space="0" w:color="auto"/>
              <w:left w:val="nil"/>
              <w:bottom w:val="single" w:sz="18" w:space="0" w:color="auto"/>
              <w:right w:val="nil"/>
            </w:tcBorders>
            <w:shd w:val="clear" w:color="000000" w:fill="FFFFFF"/>
            <w:noWrap/>
            <w:vAlign w:val="center"/>
            <w:hideMark/>
          </w:tcPr>
          <w:p w14:paraId="02CDE8D0" w14:textId="77777777" w:rsidR="000F2348" w:rsidRPr="00D618B7" w:rsidRDefault="000F2348" w:rsidP="004B11B7">
            <w:pPr>
              <w:jc w:val="right"/>
              <w:rPr>
                <w:color w:val="000000"/>
                <w:sz w:val="22"/>
                <w:szCs w:val="22"/>
              </w:rPr>
            </w:pPr>
            <w:r w:rsidRPr="00D618B7">
              <w:rPr>
                <w:color w:val="000000"/>
                <w:sz w:val="22"/>
                <w:szCs w:val="22"/>
              </w:rPr>
              <w:t>Std. Error</w:t>
            </w:r>
          </w:p>
        </w:tc>
      </w:tr>
      <w:tr w:rsidR="000F2348" w:rsidRPr="00D618B7" w14:paraId="584C53FE" w14:textId="77777777" w:rsidTr="001E0AE6">
        <w:trPr>
          <w:trHeight w:val="242"/>
        </w:trPr>
        <w:tc>
          <w:tcPr>
            <w:tcW w:w="1305" w:type="dxa"/>
            <w:tcBorders>
              <w:top w:val="single" w:sz="18" w:space="0" w:color="auto"/>
              <w:left w:val="nil"/>
              <w:bottom w:val="nil"/>
              <w:right w:val="nil"/>
            </w:tcBorders>
            <w:shd w:val="clear" w:color="000000" w:fill="FFFFFF"/>
            <w:noWrap/>
            <w:vAlign w:val="bottom"/>
            <w:hideMark/>
          </w:tcPr>
          <w:p w14:paraId="4A371CE6" w14:textId="77777777" w:rsidR="000F2348" w:rsidRPr="00D618B7" w:rsidRDefault="000F2348" w:rsidP="004B11B7">
            <w:pPr>
              <w:rPr>
                <w:color w:val="000000"/>
                <w:sz w:val="22"/>
                <w:szCs w:val="22"/>
              </w:rPr>
            </w:pPr>
            <w:r w:rsidRPr="00D618B7">
              <w:rPr>
                <w:color w:val="000000"/>
                <w:sz w:val="22"/>
                <w:szCs w:val="22"/>
              </w:rPr>
              <w:t> </w:t>
            </w:r>
          </w:p>
        </w:tc>
        <w:tc>
          <w:tcPr>
            <w:tcW w:w="7419" w:type="dxa"/>
            <w:gridSpan w:val="6"/>
            <w:tcBorders>
              <w:top w:val="single" w:sz="18" w:space="0" w:color="auto"/>
              <w:left w:val="nil"/>
              <w:bottom w:val="nil"/>
              <w:right w:val="nil"/>
            </w:tcBorders>
            <w:shd w:val="clear" w:color="000000" w:fill="FFFFFF"/>
            <w:noWrap/>
            <w:vAlign w:val="center"/>
            <w:hideMark/>
          </w:tcPr>
          <w:p w14:paraId="3F5C7048" w14:textId="77777777" w:rsidR="000F2348" w:rsidRPr="00D618B7" w:rsidRDefault="000F2348" w:rsidP="004B11B7">
            <w:pPr>
              <w:jc w:val="center"/>
              <w:rPr>
                <w:color w:val="000000"/>
                <w:sz w:val="22"/>
                <w:szCs w:val="22"/>
              </w:rPr>
            </w:pPr>
            <w:r w:rsidRPr="00D618B7">
              <w:rPr>
                <w:color w:val="000000"/>
                <w:sz w:val="22"/>
                <w:szCs w:val="22"/>
              </w:rPr>
              <w:t>Toy-out-of-Reach</w:t>
            </w:r>
          </w:p>
        </w:tc>
      </w:tr>
      <w:tr w:rsidR="000F2348" w:rsidRPr="00D618B7" w14:paraId="64740613" w14:textId="77777777" w:rsidTr="001E0AE6">
        <w:trPr>
          <w:trHeight w:val="242"/>
        </w:trPr>
        <w:tc>
          <w:tcPr>
            <w:tcW w:w="1305" w:type="dxa"/>
            <w:tcBorders>
              <w:top w:val="nil"/>
              <w:left w:val="nil"/>
              <w:bottom w:val="nil"/>
              <w:right w:val="nil"/>
            </w:tcBorders>
            <w:shd w:val="clear" w:color="000000" w:fill="FFFFFF"/>
            <w:vAlign w:val="center"/>
            <w:hideMark/>
          </w:tcPr>
          <w:p w14:paraId="033F2F50" w14:textId="77777777" w:rsidR="000F2348" w:rsidRPr="00D618B7" w:rsidRDefault="000F2348" w:rsidP="004B11B7">
            <w:pPr>
              <w:jc w:val="right"/>
              <w:rPr>
                <w:color w:val="000000"/>
                <w:sz w:val="22"/>
                <w:szCs w:val="22"/>
              </w:rPr>
            </w:pPr>
            <w:r w:rsidRPr="00D618B7">
              <w:rPr>
                <w:color w:val="000000"/>
                <w:sz w:val="22"/>
                <w:szCs w:val="22"/>
              </w:rPr>
              <w:t>-5</w:t>
            </w:r>
          </w:p>
        </w:tc>
        <w:tc>
          <w:tcPr>
            <w:tcW w:w="1093" w:type="dxa"/>
            <w:tcBorders>
              <w:top w:val="nil"/>
              <w:left w:val="nil"/>
              <w:bottom w:val="nil"/>
              <w:right w:val="nil"/>
            </w:tcBorders>
            <w:shd w:val="clear" w:color="000000" w:fill="FFFFFF"/>
            <w:noWrap/>
            <w:vAlign w:val="center"/>
            <w:hideMark/>
          </w:tcPr>
          <w:p w14:paraId="2A06C317" w14:textId="77777777" w:rsidR="000F2348" w:rsidRPr="00D618B7" w:rsidRDefault="000F2348" w:rsidP="004B11B7">
            <w:pPr>
              <w:jc w:val="right"/>
              <w:rPr>
                <w:color w:val="000000"/>
                <w:sz w:val="22"/>
                <w:szCs w:val="22"/>
              </w:rPr>
            </w:pPr>
            <w:r w:rsidRPr="00D618B7">
              <w:rPr>
                <w:color w:val="000000"/>
                <w:sz w:val="22"/>
                <w:szCs w:val="22"/>
              </w:rPr>
              <w:t>36080.36</w:t>
            </w:r>
          </w:p>
        </w:tc>
        <w:tc>
          <w:tcPr>
            <w:tcW w:w="1070" w:type="dxa"/>
            <w:tcBorders>
              <w:top w:val="nil"/>
              <w:left w:val="nil"/>
              <w:bottom w:val="nil"/>
              <w:right w:val="nil"/>
            </w:tcBorders>
            <w:shd w:val="clear" w:color="000000" w:fill="FFFFFF"/>
            <w:noWrap/>
            <w:vAlign w:val="center"/>
            <w:hideMark/>
          </w:tcPr>
          <w:p w14:paraId="60771795" w14:textId="77777777" w:rsidR="000F2348" w:rsidRPr="00D618B7" w:rsidRDefault="000F2348" w:rsidP="004B11B7">
            <w:pPr>
              <w:jc w:val="right"/>
              <w:rPr>
                <w:color w:val="000000"/>
                <w:sz w:val="22"/>
                <w:szCs w:val="22"/>
              </w:rPr>
            </w:pPr>
            <w:r w:rsidRPr="00D618B7">
              <w:rPr>
                <w:color w:val="000000"/>
                <w:sz w:val="22"/>
                <w:szCs w:val="22"/>
              </w:rPr>
              <w:t>546.26</w:t>
            </w:r>
          </w:p>
        </w:tc>
        <w:tc>
          <w:tcPr>
            <w:tcW w:w="1522" w:type="dxa"/>
            <w:tcBorders>
              <w:top w:val="nil"/>
              <w:left w:val="nil"/>
              <w:bottom w:val="nil"/>
              <w:right w:val="nil"/>
            </w:tcBorders>
            <w:shd w:val="clear" w:color="000000" w:fill="FFFFFF"/>
            <w:noWrap/>
            <w:vAlign w:val="center"/>
            <w:hideMark/>
          </w:tcPr>
          <w:p w14:paraId="53D091E2" w14:textId="77777777" w:rsidR="000F2348" w:rsidRPr="00D618B7" w:rsidRDefault="000F2348" w:rsidP="004B11B7">
            <w:pPr>
              <w:jc w:val="right"/>
              <w:rPr>
                <w:color w:val="000000"/>
                <w:sz w:val="22"/>
                <w:szCs w:val="22"/>
              </w:rPr>
            </w:pPr>
            <w:r w:rsidRPr="00D618B7">
              <w:rPr>
                <w:color w:val="000000"/>
                <w:sz w:val="22"/>
                <w:szCs w:val="22"/>
              </w:rPr>
              <w:t>1086.31</w:t>
            </w:r>
          </w:p>
        </w:tc>
        <w:tc>
          <w:tcPr>
            <w:tcW w:w="1059" w:type="dxa"/>
            <w:tcBorders>
              <w:top w:val="nil"/>
              <w:left w:val="nil"/>
              <w:bottom w:val="nil"/>
              <w:right w:val="nil"/>
            </w:tcBorders>
            <w:shd w:val="clear" w:color="000000" w:fill="FFFFFF"/>
            <w:noWrap/>
            <w:vAlign w:val="center"/>
            <w:hideMark/>
          </w:tcPr>
          <w:p w14:paraId="03797461" w14:textId="77777777" w:rsidR="000F2348" w:rsidRPr="00D618B7" w:rsidRDefault="000F2348" w:rsidP="004B11B7">
            <w:pPr>
              <w:jc w:val="right"/>
              <w:rPr>
                <w:color w:val="000000"/>
                <w:sz w:val="22"/>
                <w:szCs w:val="22"/>
              </w:rPr>
            </w:pPr>
            <w:r w:rsidRPr="00D618B7">
              <w:rPr>
                <w:color w:val="000000"/>
                <w:sz w:val="22"/>
                <w:szCs w:val="22"/>
              </w:rPr>
              <w:t>3258.46</w:t>
            </w:r>
          </w:p>
        </w:tc>
        <w:tc>
          <w:tcPr>
            <w:tcW w:w="1575" w:type="dxa"/>
            <w:tcBorders>
              <w:top w:val="nil"/>
              <w:left w:val="nil"/>
              <w:bottom w:val="nil"/>
              <w:right w:val="nil"/>
            </w:tcBorders>
            <w:shd w:val="clear" w:color="000000" w:fill="FFFFFF"/>
            <w:noWrap/>
            <w:vAlign w:val="center"/>
            <w:hideMark/>
          </w:tcPr>
          <w:p w14:paraId="65726894" w14:textId="77777777" w:rsidR="000F2348" w:rsidRPr="00D618B7" w:rsidRDefault="000F2348" w:rsidP="004B11B7">
            <w:pPr>
              <w:jc w:val="right"/>
              <w:rPr>
                <w:color w:val="000000"/>
                <w:sz w:val="22"/>
                <w:szCs w:val="22"/>
              </w:rPr>
            </w:pPr>
            <w:r w:rsidRPr="00D618B7">
              <w:rPr>
                <w:color w:val="000000"/>
                <w:sz w:val="22"/>
                <w:szCs w:val="22"/>
              </w:rPr>
              <w:t>29006.14</w:t>
            </w:r>
          </w:p>
        </w:tc>
        <w:tc>
          <w:tcPr>
            <w:tcW w:w="1096" w:type="dxa"/>
            <w:tcBorders>
              <w:top w:val="nil"/>
              <w:left w:val="nil"/>
              <w:bottom w:val="nil"/>
              <w:right w:val="nil"/>
            </w:tcBorders>
            <w:shd w:val="clear" w:color="000000" w:fill="FFFFFF"/>
            <w:noWrap/>
            <w:vAlign w:val="center"/>
            <w:hideMark/>
          </w:tcPr>
          <w:p w14:paraId="7122F092" w14:textId="77777777" w:rsidR="000F2348" w:rsidRPr="00D618B7" w:rsidRDefault="000F2348" w:rsidP="004B11B7">
            <w:pPr>
              <w:jc w:val="right"/>
              <w:rPr>
                <w:color w:val="000000"/>
                <w:sz w:val="22"/>
                <w:szCs w:val="22"/>
              </w:rPr>
            </w:pPr>
            <w:r w:rsidRPr="00D618B7">
              <w:rPr>
                <w:color w:val="000000"/>
                <w:sz w:val="22"/>
                <w:szCs w:val="22"/>
              </w:rPr>
              <w:t>12705.37</w:t>
            </w:r>
          </w:p>
        </w:tc>
      </w:tr>
      <w:tr w:rsidR="000F2348" w:rsidRPr="00D618B7" w14:paraId="72374620" w14:textId="77777777" w:rsidTr="001E0AE6">
        <w:trPr>
          <w:trHeight w:val="242"/>
        </w:trPr>
        <w:tc>
          <w:tcPr>
            <w:tcW w:w="1305" w:type="dxa"/>
            <w:tcBorders>
              <w:top w:val="nil"/>
              <w:left w:val="nil"/>
              <w:bottom w:val="nil"/>
              <w:right w:val="nil"/>
            </w:tcBorders>
            <w:shd w:val="clear" w:color="000000" w:fill="FFFFFF"/>
            <w:vAlign w:val="center"/>
            <w:hideMark/>
          </w:tcPr>
          <w:p w14:paraId="5219FC9D" w14:textId="77777777" w:rsidR="000F2348" w:rsidRPr="00D618B7" w:rsidRDefault="000F2348" w:rsidP="004B11B7">
            <w:pPr>
              <w:jc w:val="right"/>
              <w:rPr>
                <w:color w:val="000000"/>
                <w:sz w:val="22"/>
                <w:szCs w:val="22"/>
              </w:rPr>
            </w:pPr>
            <w:r w:rsidRPr="00D618B7">
              <w:rPr>
                <w:color w:val="000000"/>
                <w:sz w:val="22"/>
                <w:szCs w:val="22"/>
              </w:rPr>
              <w:t>-4</w:t>
            </w:r>
          </w:p>
        </w:tc>
        <w:tc>
          <w:tcPr>
            <w:tcW w:w="1093" w:type="dxa"/>
            <w:tcBorders>
              <w:top w:val="nil"/>
              <w:left w:val="nil"/>
              <w:bottom w:val="nil"/>
              <w:right w:val="nil"/>
            </w:tcBorders>
            <w:shd w:val="clear" w:color="000000" w:fill="FFFFFF"/>
            <w:noWrap/>
            <w:vAlign w:val="center"/>
            <w:hideMark/>
          </w:tcPr>
          <w:p w14:paraId="49FCFA96" w14:textId="77777777" w:rsidR="000F2348" w:rsidRPr="00D618B7" w:rsidRDefault="000F2348" w:rsidP="004B11B7">
            <w:pPr>
              <w:jc w:val="right"/>
              <w:rPr>
                <w:color w:val="000000"/>
                <w:sz w:val="22"/>
                <w:szCs w:val="22"/>
              </w:rPr>
            </w:pPr>
            <w:r w:rsidRPr="00D618B7">
              <w:rPr>
                <w:color w:val="000000"/>
                <w:sz w:val="22"/>
                <w:szCs w:val="22"/>
              </w:rPr>
              <w:t>528.86</w:t>
            </w:r>
          </w:p>
        </w:tc>
        <w:tc>
          <w:tcPr>
            <w:tcW w:w="1070" w:type="dxa"/>
            <w:tcBorders>
              <w:top w:val="nil"/>
              <w:left w:val="nil"/>
              <w:bottom w:val="nil"/>
              <w:right w:val="nil"/>
            </w:tcBorders>
            <w:shd w:val="clear" w:color="000000" w:fill="FFFFFF"/>
            <w:noWrap/>
            <w:vAlign w:val="center"/>
            <w:hideMark/>
          </w:tcPr>
          <w:p w14:paraId="09262762" w14:textId="77777777" w:rsidR="000F2348" w:rsidRPr="00D618B7" w:rsidRDefault="000F2348" w:rsidP="004B11B7">
            <w:pPr>
              <w:jc w:val="right"/>
              <w:rPr>
                <w:color w:val="000000"/>
                <w:sz w:val="22"/>
                <w:szCs w:val="22"/>
              </w:rPr>
            </w:pPr>
            <w:r w:rsidRPr="00D618B7">
              <w:rPr>
                <w:color w:val="000000"/>
                <w:sz w:val="22"/>
                <w:szCs w:val="22"/>
              </w:rPr>
              <w:t>730.83</w:t>
            </w:r>
          </w:p>
        </w:tc>
        <w:tc>
          <w:tcPr>
            <w:tcW w:w="1522" w:type="dxa"/>
            <w:tcBorders>
              <w:top w:val="nil"/>
              <w:left w:val="nil"/>
              <w:bottom w:val="nil"/>
              <w:right w:val="nil"/>
            </w:tcBorders>
            <w:shd w:val="clear" w:color="000000" w:fill="FFFFFF"/>
            <w:noWrap/>
            <w:vAlign w:val="center"/>
            <w:hideMark/>
          </w:tcPr>
          <w:p w14:paraId="17C19ABE" w14:textId="77777777" w:rsidR="000F2348" w:rsidRPr="00D618B7" w:rsidRDefault="000F2348" w:rsidP="004B11B7">
            <w:pPr>
              <w:jc w:val="right"/>
              <w:rPr>
                <w:color w:val="000000"/>
                <w:sz w:val="22"/>
                <w:szCs w:val="22"/>
              </w:rPr>
            </w:pPr>
            <w:r w:rsidRPr="00D618B7">
              <w:rPr>
                <w:color w:val="000000"/>
                <w:sz w:val="22"/>
                <w:szCs w:val="22"/>
              </w:rPr>
              <w:t>651.23</w:t>
            </w:r>
          </w:p>
        </w:tc>
        <w:tc>
          <w:tcPr>
            <w:tcW w:w="1059" w:type="dxa"/>
            <w:tcBorders>
              <w:top w:val="nil"/>
              <w:left w:val="nil"/>
              <w:bottom w:val="nil"/>
              <w:right w:val="nil"/>
            </w:tcBorders>
            <w:shd w:val="clear" w:color="000000" w:fill="FFFFFF"/>
            <w:noWrap/>
            <w:vAlign w:val="center"/>
            <w:hideMark/>
          </w:tcPr>
          <w:p w14:paraId="795A3114" w14:textId="77777777" w:rsidR="000F2348" w:rsidRPr="00D618B7" w:rsidRDefault="000F2348" w:rsidP="004B11B7">
            <w:pPr>
              <w:jc w:val="right"/>
              <w:rPr>
                <w:color w:val="000000"/>
                <w:sz w:val="22"/>
                <w:szCs w:val="22"/>
              </w:rPr>
            </w:pPr>
            <w:r w:rsidRPr="00D618B7">
              <w:rPr>
                <w:color w:val="000000"/>
                <w:sz w:val="22"/>
                <w:szCs w:val="22"/>
              </w:rPr>
              <w:t>1024.20</w:t>
            </w:r>
          </w:p>
        </w:tc>
        <w:tc>
          <w:tcPr>
            <w:tcW w:w="1575" w:type="dxa"/>
            <w:tcBorders>
              <w:top w:val="nil"/>
              <w:left w:val="nil"/>
              <w:bottom w:val="nil"/>
              <w:right w:val="nil"/>
            </w:tcBorders>
            <w:shd w:val="clear" w:color="000000" w:fill="FFFFFF"/>
            <w:noWrap/>
            <w:vAlign w:val="center"/>
            <w:hideMark/>
          </w:tcPr>
          <w:p w14:paraId="1419C61A" w14:textId="77777777" w:rsidR="000F2348" w:rsidRPr="00D618B7" w:rsidRDefault="000F2348" w:rsidP="004B11B7">
            <w:pPr>
              <w:jc w:val="right"/>
              <w:rPr>
                <w:color w:val="000000"/>
                <w:sz w:val="22"/>
                <w:szCs w:val="22"/>
              </w:rPr>
            </w:pPr>
            <w:r w:rsidRPr="00D618B7">
              <w:rPr>
                <w:color w:val="000000"/>
                <w:sz w:val="22"/>
                <w:szCs w:val="22"/>
              </w:rPr>
              <w:t>-9135.75</w:t>
            </w:r>
          </w:p>
        </w:tc>
        <w:tc>
          <w:tcPr>
            <w:tcW w:w="1096" w:type="dxa"/>
            <w:tcBorders>
              <w:top w:val="nil"/>
              <w:left w:val="nil"/>
              <w:bottom w:val="nil"/>
              <w:right w:val="nil"/>
            </w:tcBorders>
            <w:shd w:val="clear" w:color="000000" w:fill="FFFFFF"/>
            <w:noWrap/>
            <w:vAlign w:val="center"/>
            <w:hideMark/>
          </w:tcPr>
          <w:p w14:paraId="3BD19469" w14:textId="77777777" w:rsidR="000F2348" w:rsidRPr="00D618B7" w:rsidRDefault="000F2348" w:rsidP="004B11B7">
            <w:pPr>
              <w:jc w:val="right"/>
              <w:rPr>
                <w:color w:val="000000"/>
                <w:sz w:val="22"/>
                <w:szCs w:val="22"/>
              </w:rPr>
            </w:pPr>
            <w:r w:rsidRPr="00D618B7">
              <w:rPr>
                <w:color w:val="000000"/>
                <w:sz w:val="22"/>
                <w:szCs w:val="22"/>
              </w:rPr>
              <w:t>4284.98</w:t>
            </w:r>
          </w:p>
        </w:tc>
      </w:tr>
      <w:tr w:rsidR="000F2348" w:rsidRPr="00D618B7" w14:paraId="0650BB97" w14:textId="77777777" w:rsidTr="001E0AE6">
        <w:trPr>
          <w:trHeight w:val="242"/>
        </w:trPr>
        <w:tc>
          <w:tcPr>
            <w:tcW w:w="1305" w:type="dxa"/>
            <w:tcBorders>
              <w:top w:val="nil"/>
              <w:left w:val="nil"/>
              <w:bottom w:val="nil"/>
              <w:right w:val="nil"/>
            </w:tcBorders>
            <w:shd w:val="clear" w:color="000000" w:fill="FFFFFF"/>
            <w:vAlign w:val="center"/>
            <w:hideMark/>
          </w:tcPr>
          <w:p w14:paraId="4D8A2C7D" w14:textId="77777777" w:rsidR="000F2348" w:rsidRPr="00D618B7" w:rsidRDefault="000F2348" w:rsidP="004B11B7">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48D9A2C8" w14:textId="77777777" w:rsidR="000F2348" w:rsidRPr="00D618B7" w:rsidRDefault="000F2348" w:rsidP="004B11B7">
            <w:pPr>
              <w:jc w:val="right"/>
              <w:rPr>
                <w:color w:val="000000"/>
                <w:sz w:val="22"/>
                <w:szCs w:val="22"/>
              </w:rPr>
            </w:pPr>
            <w:r w:rsidRPr="00D618B7">
              <w:rPr>
                <w:color w:val="000000"/>
                <w:sz w:val="22"/>
                <w:szCs w:val="22"/>
              </w:rPr>
              <w:t>1795.01</w:t>
            </w:r>
          </w:p>
        </w:tc>
        <w:tc>
          <w:tcPr>
            <w:tcW w:w="1070" w:type="dxa"/>
            <w:tcBorders>
              <w:top w:val="nil"/>
              <w:left w:val="nil"/>
              <w:bottom w:val="nil"/>
              <w:right w:val="nil"/>
            </w:tcBorders>
            <w:shd w:val="clear" w:color="000000" w:fill="FFFFFF"/>
            <w:noWrap/>
            <w:vAlign w:val="center"/>
            <w:hideMark/>
          </w:tcPr>
          <w:p w14:paraId="6046B7A8" w14:textId="77777777" w:rsidR="000F2348" w:rsidRPr="00D618B7" w:rsidRDefault="000F2348" w:rsidP="004B11B7">
            <w:pPr>
              <w:jc w:val="right"/>
              <w:rPr>
                <w:color w:val="000000"/>
                <w:sz w:val="22"/>
                <w:szCs w:val="22"/>
              </w:rPr>
            </w:pPr>
            <w:r w:rsidRPr="00D618B7">
              <w:rPr>
                <w:color w:val="000000"/>
                <w:sz w:val="22"/>
                <w:szCs w:val="22"/>
              </w:rPr>
              <w:t>325.40</w:t>
            </w:r>
          </w:p>
        </w:tc>
        <w:tc>
          <w:tcPr>
            <w:tcW w:w="1522" w:type="dxa"/>
            <w:tcBorders>
              <w:top w:val="nil"/>
              <w:left w:val="nil"/>
              <w:bottom w:val="nil"/>
              <w:right w:val="nil"/>
            </w:tcBorders>
            <w:shd w:val="clear" w:color="000000" w:fill="FFFFFF"/>
            <w:noWrap/>
            <w:vAlign w:val="center"/>
            <w:hideMark/>
          </w:tcPr>
          <w:p w14:paraId="1400A28B" w14:textId="77777777" w:rsidR="000F2348" w:rsidRPr="00D618B7" w:rsidRDefault="000F2348" w:rsidP="004B11B7">
            <w:pPr>
              <w:jc w:val="right"/>
              <w:rPr>
                <w:color w:val="000000"/>
                <w:sz w:val="22"/>
                <w:szCs w:val="22"/>
              </w:rPr>
            </w:pPr>
            <w:r w:rsidRPr="00D618B7">
              <w:rPr>
                <w:color w:val="000000"/>
                <w:sz w:val="22"/>
                <w:szCs w:val="22"/>
              </w:rPr>
              <w:t>-3122.95</w:t>
            </w:r>
          </w:p>
        </w:tc>
        <w:tc>
          <w:tcPr>
            <w:tcW w:w="1059" w:type="dxa"/>
            <w:tcBorders>
              <w:top w:val="nil"/>
              <w:left w:val="nil"/>
              <w:bottom w:val="nil"/>
              <w:right w:val="nil"/>
            </w:tcBorders>
            <w:shd w:val="clear" w:color="000000" w:fill="FFFFFF"/>
            <w:noWrap/>
            <w:vAlign w:val="center"/>
            <w:hideMark/>
          </w:tcPr>
          <w:p w14:paraId="7768614B" w14:textId="77777777" w:rsidR="000F2348" w:rsidRPr="00D618B7" w:rsidRDefault="000F2348" w:rsidP="004B11B7">
            <w:pPr>
              <w:jc w:val="right"/>
              <w:rPr>
                <w:color w:val="000000"/>
                <w:sz w:val="22"/>
                <w:szCs w:val="22"/>
              </w:rPr>
            </w:pPr>
            <w:r w:rsidRPr="00D618B7">
              <w:rPr>
                <w:color w:val="000000"/>
                <w:sz w:val="22"/>
                <w:szCs w:val="22"/>
              </w:rPr>
              <w:t>2406.21</w:t>
            </w:r>
          </w:p>
        </w:tc>
        <w:tc>
          <w:tcPr>
            <w:tcW w:w="1575" w:type="dxa"/>
            <w:tcBorders>
              <w:top w:val="nil"/>
              <w:left w:val="nil"/>
              <w:bottom w:val="nil"/>
              <w:right w:val="nil"/>
            </w:tcBorders>
            <w:shd w:val="clear" w:color="000000" w:fill="FFFFFF"/>
            <w:noWrap/>
            <w:vAlign w:val="center"/>
            <w:hideMark/>
          </w:tcPr>
          <w:p w14:paraId="7A69804A" w14:textId="77777777" w:rsidR="000F2348" w:rsidRPr="00D618B7" w:rsidRDefault="000F2348" w:rsidP="004B11B7">
            <w:pPr>
              <w:jc w:val="right"/>
              <w:rPr>
                <w:color w:val="000000"/>
                <w:sz w:val="22"/>
                <w:szCs w:val="22"/>
              </w:rPr>
            </w:pPr>
            <w:r w:rsidRPr="00D618B7">
              <w:rPr>
                <w:color w:val="000000"/>
                <w:sz w:val="22"/>
                <w:szCs w:val="22"/>
              </w:rPr>
              <w:t>45521.27</w:t>
            </w:r>
          </w:p>
        </w:tc>
        <w:tc>
          <w:tcPr>
            <w:tcW w:w="1096" w:type="dxa"/>
            <w:tcBorders>
              <w:top w:val="nil"/>
              <w:left w:val="nil"/>
              <w:bottom w:val="nil"/>
              <w:right w:val="nil"/>
            </w:tcBorders>
            <w:shd w:val="clear" w:color="000000" w:fill="FFFFFF"/>
            <w:noWrap/>
            <w:vAlign w:val="center"/>
            <w:hideMark/>
          </w:tcPr>
          <w:p w14:paraId="3C6B9570" w14:textId="77777777" w:rsidR="000F2348" w:rsidRPr="00D618B7" w:rsidRDefault="000F2348" w:rsidP="004B11B7">
            <w:pPr>
              <w:jc w:val="right"/>
              <w:rPr>
                <w:color w:val="000000"/>
                <w:sz w:val="22"/>
                <w:szCs w:val="22"/>
              </w:rPr>
            </w:pPr>
            <w:r w:rsidRPr="00D618B7">
              <w:rPr>
                <w:color w:val="000000"/>
                <w:sz w:val="22"/>
                <w:szCs w:val="22"/>
              </w:rPr>
              <w:t>18071.21</w:t>
            </w:r>
          </w:p>
        </w:tc>
      </w:tr>
      <w:tr w:rsidR="000F2348" w:rsidRPr="00D618B7" w14:paraId="48477DC2" w14:textId="77777777" w:rsidTr="001E0AE6">
        <w:trPr>
          <w:trHeight w:val="242"/>
        </w:trPr>
        <w:tc>
          <w:tcPr>
            <w:tcW w:w="1305" w:type="dxa"/>
            <w:tcBorders>
              <w:top w:val="nil"/>
              <w:left w:val="nil"/>
              <w:bottom w:val="nil"/>
              <w:right w:val="nil"/>
            </w:tcBorders>
            <w:shd w:val="clear" w:color="000000" w:fill="FFFFFF"/>
            <w:vAlign w:val="center"/>
            <w:hideMark/>
          </w:tcPr>
          <w:p w14:paraId="6239316C" w14:textId="77777777" w:rsidR="000F2348" w:rsidRPr="00D618B7" w:rsidRDefault="000F2348" w:rsidP="004B11B7">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4729E476" w14:textId="77777777" w:rsidR="000F2348" w:rsidRPr="00D618B7" w:rsidRDefault="000F2348" w:rsidP="004B11B7">
            <w:pPr>
              <w:jc w:val="right"/>
              <w:rPr>
                <w:color w:val="000000"/>
                <w:sz w:val="22"/>
                <w:szCs w:val="22"/>
              </w:rPr>
            </w:pPr>
            <w:r w:rsidRPr="00D618B7">
              <w:rPr>
                <w:color w:val="000000"/>
                <w:sz w:val="22"/>
                <w:szCs w:val="22"/>
              </w:rPr>
              <w:t>-431.81</w:t>
            </w:r>
          </w:p>
        </w:tc>
        <w:tc>
          <w:tcPr>
            <w:tcW w:w="1070" w:type="dxa"/>
            <w:tcBorders>
              <w:top w:val="nil"/>
              <w:left w:val="nil"/>
              <w:bottom w:val="nil"/>
              <w:right w:val="nil"/>
            </w:tcBorders>
            <w:shd w:val="clear" w:color="000000" w:fill="FFFFFF"/>
            <w:noWrap/>
            <w:vAlign w:val="center"/>
            <w:hideMark/>
          </w:tcPr>
          <w:p w14:paraId="2D2E4FBF" w14:textId="77777777" w:rsidR="000F2348" w:rsidRPr="00D618B7" w:rsidRDefault="000F2348" w:rsidP="004B11B7">
            <w:pPr>
              <w:jc w:val="right"/>
              <w:rPr>
                <w:color w:val="000000"/>
                <w:sz w:val="22"/>
                <w:szCs w:val="22"/>
              </w:rPr>
            </w:pPr>
            <w:r w:rsidRPr="00D618B7">
              <w:rPr>
                <w:color w:val="000000"/>
                <w:sz w:val="22"/>
                <w:szCs w:val="22"/>
              </w:rPr>
              <w:t>575.21</w:t>
            </w:r>
          </w:p>
        </w:tc>
        <w:tc>
          <w:tcPr>
            <w:tcW w:w="1522" w:type="dxa"/>
            <w:tcBorders>
              <w:top w:val="nil"/>
              <w:left w:val="nil"/>
              <w:bottom w:val="nil"/>
              <w:right w:val="nil"/>
            </w:tcBorders>
            <w:shd w:val="clear" w:color="000000" w:fill="FFFFFF"/>
            <w:noWrap/>
            <w:vAlign w:val="center"/>
            <w:hideMark/>
          </w:tcPr>
          <w:p w14:paraId="64B613CC" w14:textId="77777777" w:rsidR="000F2348" w:rsidRPr="00D618B7" w:rsidRDefault="000F2348" w:rsidP="004B11B7">
            <w:pPr>
              <w:jc w:val="right"/>
              <w:rPr>
                <w:color w:val="000000"/>
                <w:sz w:val="22"/>
                <w:szCs w:val="22"/>
              </w:rPr>
            </w:pPr>
            <w:r w:rsidRPr="00D618B7">
              <w:rPr>
                <w:color w:val="000000"/>
                <w:sz w:val="22"/>
                <w:szCs w:val="22"/>
              </w:rPr>
              <w:t>-3226.71</w:t>
            </w:r>
          </w:p>
        </w:tc>
        <w:tc>
          <w:tcPr>
            <w:tcW w:w="1059" w:type="dxa"/>
            <w:tcBorders>
              <w:top w:val="nil"/>
              <w:left w:val="nil"/>
              <w:bottom w:val="nil"/>
              <w:right w:val="nil"/>
            </w:tcBorders>
            <w:shd w:val="clear" w:color="000000" w:fill="FFFFFF"/>
            <w:noWrap/>
            <w:vAlign w:val="center"/>
            <w:hideMark/>
          </w:tcPr>
          <w:p w14:paraId="382268E7" w14:textId="77777777" w:rsidR="000F2348" w:rsidRPr="00D618B7" w:rsidRDefault="000F2348" w:rsidP="004B11B7">
            <w:pPr>
              <w:jc w:val="right"/>
              <w:rPr>
                <w:color w:val="000000"/>
                <w:sz w:val="22"/>
                <w:szCs w:val="22"/>
              </w:rPr>
            </w:pPr>
            <w:r w:rsidRPr="00D618B7">
              <w:rPr>
                <w:color w:val="000000"/>
                <w:sz w:val="22"/>
                <w:szCs w:val="22"/>
              </w:rPr>
              <w:t>1619.61</w:t>
            </w:r>
          </w:p>
        </w:tc>
        <w:tc>
          <w:tcPr>
            <w:tcW w:w="1575" w:type="dxa"/>
            <w:tcBorders>
              <w:top w:val="nil"/>
              <w:left w:val="nil"/>
              <w:bottom w:val="nil"/>
              <w:right w:val="nil"/>
            </w:tcBorders>
            <w:shd w:val="clear" w:color="000000" w:fill="FFFFFF"/>
            <w:noWrap/>
            <w:vAlign w:val="center"/>
            <w:hideMark/>
          </w:tcPr>
          <w:p w14:paraId="1B1F400F" w14:textId="77777777" w:rsidR="000F2348" w:rsidRPr="00D618B7" w:rsidRDefault="000F2348" w:rsidP="004B11B7">
            <w:pPr>
              <w:jc w:val="right"/>
              <w:rPr>
                <w:color w:val="000000"/>
                <w:sz w:val="22"/>
                <w:szCs w:val="22"/>
              </w:rPr>
            </w:pPr>
            <w:r w:rsidRPr="00D618B7">
              <w:rPr>
                <w:color w:val="000000"/>
                <w:sz w:val="22"/>
                <w:szCs w:val="22"/>
              </w:rPr>
              <w:t>21282.46</w:t>
            </w:r>
          </w:p>
        </w:tc>
        <w:tc>
          <w:tcPr>
            <w:tcW w:w="1096" w:type="dxa"/>
            <w:tcBorders>
              <w:top w:val="nil"/>
              <w:left w:val="nil"/>
              <w:bottom w:val="nil"/>
              <w:right w:val="nil"/>
            </w:tcBorders>
            <w:shd w:val="clear" w:color="000000" w:fill="FFFFFF"/>
            <w:noWrap/>
            <w:vAlign w:val="center"/>
            <w:hideMark/>
          </w:tcPr>
          <w:p w14:paraId="18E946A2" w14:textId="77777777" w:rsidR="000F2348" w:rsidRPr="00D618B7" w:rsidRDefault="000F2348" w:rsidP="004B11B7">
            <w:pPr>
              <w:jc w:val="right"/>
              <w:rPr>
                <w:color w:val="000000"/>
                <w:sz w:val="22"/>
                <w:szCs w:val="22"/>
              </w:rPr>
            </w:pPr>
            <w:r w:rsidRPr="00D618B7">
              <w:rPr>
                <w:color w:val="000000"/>
                <w:sz w:val="22"/>
                <w:szCs w:val="22"/>
              </w:rPr>
              <w:t>11927.05</w:t>
            </w:r>
          </w:p>
        </w:tc>
      </w:tr>
      <w:tr w:rsidR="000F2348" w:rsidRPr="00D618B7" w14:paraId="1AFE15B6" w14:textId="77777777" w:rsidTr="001E0AE6">
        <w:trPr>
          <w:trHeight w:val="242"/>
        </w:trPr>
        <w:tc>
          <w:tcPr>
            <w:tcW w:w="1305" w:type="dxa"/>
            <w:tcBorders>
              <w:top w:val="nil"/>
              <w:left w:val="nil"/>
              <w:bottom w:val="nil"/>
              <w:right w:val="nil"/>
            </w:tcBorders>
            <w:shd w:val="clear" w:color="000000" w:fill="FFFFFF"/>
            <w:vAlign w:val="center"/>
            <w:hideMark/>
          </w:tcPr>
          <w:p w14:paraId="79B04B32" w14:textId="77777777" w:rsidR="000F2348" w:rsidRPr="00D618B7" w:rsidRDefault="000F2348" w:rsidP="004B11B7">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7B41C78E" w14:textId="77777777" w:rsidR="000F2348" w:rsidRPr="00D618B7" w:rsidRDefault="000F2348" w:rsidP="004B11B7">
            <w:pPr>
              <w:jc w:val="right"/>
              <w:rPr>
                <w:color w:val="000000"/>
                <w:sz w:val="22"/>
                <w:szCs w:val="22"/>
              </w:rPr>
            </w:pPr>
            <w:r w:rsidRPr="00D618B7">
              <w:rPr>
                <w:color w:val="000000"/>
                <w:sz w:val="22"/>
                <w:szCs w:val="22"/>
              </w:rPr>
              <w:t>735.61</w:t>
            </w:r>
          </w:p>
        </w:tc>
        <w:tc>
          <w:tcPr>
            <w:tcW w:w="1070" w:type="dxa"/>
            <w:tcBorders>
              <w:top w:val="nil"/>
              <w:left w:val="nil"/>
              <w:bottom w:val="nil"/>
              <w:right w:val="nil"/>
            </w:tcBorders>
            <w:shd w:val="clear" w:color="000000" w:fill="FFFFFF"/>
            <w:noWrap/>
            <w:vAlign w:val="center"/>
            <w:hideMark/>
          </w:tcPr>
          <w:p w14:paraId="25917F4F" w14:textId="77777777" w:rsidR="000F2348" w:rsidRPr="00D618B7" w:rsidRDefault="000F2348" w:rsidP="004B11B7">
            <w:pPr>
              <w:jc w:val="right"/>
              <w:rPr>
                <w:color w:val="000000"/>
                <w:sz w:val="22"/>
                <w:szCs w:val="22"/>
              </w:rPr>
            </w:pPr>
            <w:r w:rsidRPr="00D618B7">
              <w:rPr>
                <w:color w:val="000000"/>
                <w:sz w:val="22"/>
                <w:szCs w:val="22"/>
              </w:rPr>
              <w:t>475.22</w:t>
            </w:r>
          </w:p>
        </w:tc>
        <w:tc>
          <w:tcPr>
            <w:tcW w:w="1522" w:type="dxa"/>
            <w:tcBorders>
              <w:top w:val="nil"/>
              <w:left w:val="nil"/>
              <w:bottom w:val="nil"/>
              <w:right w:val="nil"/>
            </w:tcBorders>
            <w:shd w:val="clear" w:color="000000" w:fill="FFFFFF"/>
            <w:noWrap/>
            <w:vAlign w:val="center"/>
            <w:hideMark/>
          </w:tcPr>
          <w:p w14:paraId="59CDC2C1" w14:textId="77777777" w:rsidR="000F2348" w:rsidRPr="00D618B7" w:rsidRDefault="000F2348" w:rsidP="004B11B7">
            <w:pPr>
              <w:jc w:val="right"/>
              <w:rPr>
                <w:color w:val="000000"/>
                <w:sz w:val="22"/>
                <w:szCs w:val="22"/>
              </w:rPr>
            </w:pPr>
            <w:r w:rsidRPr="00D618B7">
              <w:rPr>
                <w:color w:val="000000"/>
                <w:sz w:val="22"/>
                <w:szCs w:val="22"/>
              </w:rPr>
              <w:t>3444.09</w:t>
            </w:r>
          </w:p>
        </w:tc>
        <w:tc>
          <w:tcPr>
            <w:tcW w:w="1059" w:type="dxa"/>
            <w:tcBorders>
              <w:top w:val="nil"/>
              <w:left w:val="nil"/>
              <w:bottom w:val="nil"/>
              <w:right w:val="nil"/>
            </w:tcBorders>
            <w:shd w:val="clear" w:color="000000" w:fill="FFFFFF"/>
            <w:noWrap/>
            <w:vAlign w:val="center"/>
            <w:hideMark/>
          </w:tcPr>
          <w:p w14:paraId="45B543C6" w14:textId="77777777" w:rsidR="000F2348" w:rsidRPr="00D618B7" w:rsidRDefault="000F2348" w:rsidP="004B11B7">
            <w:pPr>
              <w:jc w:val="right"/>
              <w:rPr>
                <w:color w:val="000000"/>
                <w:sz w:val="22"/>
                <w:szCs w:val="22"/>
              </w:rPr>
            </w:pPr>
            <w:r w:rsidRPr="00D618B7">
              <w:rPr>
                <w:color w:val="000000"/>
                <w:sz w:val="22"/>
                <w:szCs w:val="22"/>
              </w:rPr>
              <w:t>1706.83</w:t>
            </w:r>
          </w:p>
        </w:tc>
        <w:tc>
          <w:tcPr>
            <w:tcW w:w="1575" w:type="dxa"/>
            <w:tcBorders>
              <w:top w:val="nil"/>
              <w:left w:val="nil"/>
              <w:bottom w:val="nil"/>
              <w:right w:val="nil"/>
            </w:tcBorders>
            <w:shd w:val="clear" w:color="000000" w:fill="FFFFFF"/>
            <w:noWrap/>
            <w:vAlign w:val="center"/>
            <w:hideMark/>
          </w:tcPr>
          <w:p w14:paraId="55F5DEB7" w14:textId="77777777" w:rsidR="000F2348" w:rsidRPr="00D618B7" w:rsidRDefault="000F2348" w:rsidP="004B11B7">
            <w:pPr>
              <w:jc w:val="right"/>
              <w:rPr>
                <w:color w:val="000000"/>
                <w:sz w:val="22"/>
                <w:szCs w:val="22"/>
              </w:rPr>
            </w:pPr>
            <w:r w:rsidRPr="00D618B7">
              <w:rPr>
                <w:color w:val="000000"/>
                <w:sz w:val="22"/>
                <w:szCs w:val="22"/>
              </w:rPr>
              <w:t>58548.65</w:t>
            </w:r>
          </w:p>
        </w:tc>
        <w:tc>
          <w:tcPr>
            <w:tcW w:w="1096" w:type="dxa"/>
            <w:tcBorders>
              <w:top w:val="nil"/>
              <w:left w:val="nil"/>
              <w:bottom w:val="nil"/>
              <w:right w:val="nil"/>
            </w:tcBorders>
            <w:shd w:val="clear" w:color="000000" w:fill="FFFFFF"/>
            <w:noWrap/>
            <w:vAlign w:val="center"/>
            <w:hideMark/>
          </w:tcPr>
          <w:p w14:paraId="546DFFE0" w14:textId="77777777" w:rsidR="000F2348" w:rsidRPr="00D618B7" w:rsidRDefault="000F2348" w:rsidP="004B11B7">
            <w:pPr>
              <w:jc w:val="right"/>
              <w:rPr>
                <w:color w:val="000000"/>
                <w:sz w:val="22"/>
                <w:szCs w:val="22"/>
              </w:rPr>
            </w:pPr>
            <w:r w:rsidRPr="00D618B7">
              <w:rPr>
                <w:color w:val="000000"/>
                <w:sz w:val="22"/>
                <w:szCs w:val="22"/>
              </w:rPr>
              <w:t>16260.25</w:t>
            </w:r>
          </w:p>
        </w:tc>
      </w:tr>
      <w:tr w:rsidR="000F2348" w:rsidRPr="00D618B7" w14:paraId="68F7A94B" w14:textId="77777777" w:rsidTr="001E0AE6">
        <w:trPr>
          <w:trHeight w:val="242"/>
        </w:trPr>
        <w:tc>
          <w:tcPr>
            <w:tcW w:w="1305" w:type="dxa"/>
            <w:tcBorders>
              <w:top w:val="nil"/>
              <w:left w:val="nil"/>
              <w:bottom w:val="nil"/>
              <w:right w:val="nil"/>
            </w:tcBorders>
            <w:shd w:val="clear" w:color="000000" w:fill="FFFFFF"/>
            <w:vAlign w:val="center"/>
            <w:hideMark/>
          </w:tcPr>
          <w:p w14:paraId="209398B9" w14:textId="77777777" w:rsidR="000F2348" w:rsidRPr="00D618B7" w:rsidRDefault="000F2348" w:rsidP="004B11B7">
            <w:pPr>
              <w:jc w:val="right"/>
              <w:rPr>
                <w:color w:val="000000"/>
                <w:sz w:val="22"/>
                <w:szCs w:val="22"/>
              </w:rPr>
            </w:pPr>
            <w:r w:rsidRPr="00D618B7">
              <w:rPr>
                <w:color w:val="000000"/>
                <w:sz w:val="22"/>
                <w:szCs w:val="22"/>
              </w:rPr>
              <w:t>0</w:t>
            </w:r>
          </w:p>
        </w:tc>
        <w:tc>
          <w:tcPr>
            <w:tcW w:w="1093" w:type="dxa"/>
            <w:tcBorders>
              <w:top w:val="nil"/>
              <w:left w:val="nil"/>
              <w:bottom w:val="nil"/>
              <w:right w:val="nil"/>
            </w:tcBorders>
            <w:shd w:val="clear" w:color="000000" w:fill="FFFFFF"/>
            <w:noWrap/>
            <w:vAlign w:val="center"/>
            <w:hideMark/>
          </w:tcPr>
          <w:p w14:paraId="5956AE1F" w14:textId="77777777" w:rsidR="000F2348" w:rsidRPr="00D618B7" w:rsidRDefault="000F2348" w:rsidP="004B11B7">
            <w:pPr>
              <w:jc w:val="right"/>
              <w:rPr>
                <w:color w:val="000000"/>
                <w:sz w:val="22"/>
                <w:szCs w:val="22"/>
              </w:rPr>
            </w:pPr>
            <w:r w:rsidRPr="00D618B7">
              <w:rPr>
                <w:color w:val="000000"/>
                <w:sz w:val="22"/>
                <w:szCs w:val="22"/>
              </w:rPr>
              <w:t>-770.41</w:t>
            </w:r>
          </w:p>
        </w:tc>
        <w:tc>
          <w:tcPr>
            <w:tcW w:w="1070" w:type="dxa"/>
            <w:tcBorders>
              <w:top w:val="nil"/>
              <w:left w:val="nil"/>
              <w:bottom w:val="nil"/>
              <w:right w:val="nil"/>
            </w:tcBorders>
            <w:shd w:val="clear" w:color="000000" w:fill="FFFFFF"/>
            <w:noWrap/>
            <w:vAlign w:val="center"/>
            <w:hideMark/>
          </w:tcPr>
          <w:p w14:paraId="6D62CEF3" w14:textId="77777777" w:rsidR="000F2348" w:rsidRPr="00D618B7" w:rsidRDefault="000F2348" w:rsidP="004B11B7">
            <w:pPr>
              <w:jc w:val="right"/>
              <w:rPr>
                <w:color w:val="000000"/>
                <w:sz w:val="22"/>
                <w:szCs w:val="22"/>
              </w:rPr>
            </w:pPr>
            <w:r w:rsidRPr="00D618B7">
              <w:rPr>
                <w:color w:val="000000"/>
                <w:sz w:val="22"/>
                <w:szCs w:val="22"/>
              </w:rPr>
              <w:t>590.59</w:t>
            </w:r>
          </w:p>
        </w:tc>
        <w:tc>
          <w:tcPr>
            <w:tcW w:w="1522" w:type="dxa"/>
            <w:tcBorders>
              <w:top w:val="nil"/>
              <w:left w:val="nil"/>
              <w:bottom w:val="nil"/>
              <w:right w:val="nil"/>
            </w:tcBorders>
            <w:shd w:val="clear" w:color="000000" w:fill="FFFFFF"/>
            <w:noWrap/>
            <w:vAlign w:val="center"/>
            <w:hideMark/>
          </w:tcPr>
          <w:p w14:paraId="02AA2B81" w14:textId="77777777" w:rsidR="000F2348" w:rsidRPr="00D618B7" w:rsidRDefault="000F2348" w:rsidP="004B11B7">
            <w:pPr>
              <w:jc w:val="right"/>
              <w:rPr>
                <w:color w:val="000000"/>
                <w:sz w:val="22"/>
                <w:szCs w:val="22"/>
              </w:rPr>
            </w:pPr>
            <w:r w:rsidRPr="00D618B7">
              <w:rPr>
                <w:color w:val="000000"/>
                <w:sz w:val="22"/>
                <w:szCs w:val="22"/>
              </w:rPr>
              <w:t>-8944.21</w:t>
            </w:r>
          </w:p>
        </w:tc>
        <w:tc>
          <w:tcPr>
            <w:tcW w:w="1059" w:type="dxa"/>
            <w:tcBorders>
              <w:top w:val="nil"/>
              <w:left w:val="nil"/>
              <w:bottom w:val="nil"/>
              <w:right w:val="nil"/>
            </w:tcBorders>
            <w:shd w:val="clear" w:color="000000" w:fill="FFFFFF"/>
            <w:noWrap/>
            <w:vAlign w:val="center"/>
            <w:hideMark/>
          </w:tcPr>
          <w:p w14:paraId="5553A4A4" w14:textId="77777777" w:rsidR="000F2348" w:rsidRPr="00D618B7" w:rsidRDefault="000F2348" w:rsidP="004B11B7">
            <w:pPr>
              <w:jc w:val="right"/>
              <w:rPr>
                <w:color w:val="000000"/>
                <w:sz w:val="22"/>
                <w:szCs w:val="22"/>
              </w:rPr>
            </w:pPr>
            <w:r w:rsidRPr="00D618B7">
              <w:rPr>
                <w:color w:val="000000"/>
                <w:sz w:val="22"/>
                <w:szCs w:val="22"/>
              </w:rPr>
              <w:t>3032.37</w:t>
            </w:r>
          </w:p>
        </w:tc>
        <w:tc>
          <w:tcPr>
            <w:tcW w:w="1575" w:type="dxa"/>
            <w:tcBorders>
              <w:top w:val="nil"/>
              <w:left w:val="nil"/>
              <w:bottom w:val="nil"/>
              <w:right w:val="nil"/>
            </w:tcBorders>
            <w:shd w:val="clear" w:color="000000" w:fill="FFFFFF"/>
            <w:noWrap/>
            <w:vAlign w:val="center"/>
            <w:hideMark/>
          </w:tcPr>
          <w:p w14:paraId="04E00AF0" w14:textId="77777777" w:rsidR="000F2348" w:rsidRPr="00D618B7" w:rsidRDefault="000F2348" w:rsidP="004B11B7">
            <w:pPr>
              <w:jc w:val="right"/>
              <w:rPr>
                <w:color w:val="000000"/>
                <w:sz w:val="22"/>
                <w:szCs w:val="22"/>
              </w:rPr>
            </w:pPr>
            <w:r w:rsidRPr="00D618B7">
              <w:rPr>
                <w:color w:val="000000"/>
                <w:sz w:val="22"/>
                <w:szCs w:val="22"/>
              </w:rPr>
              <w:t>50710.94</w:t>
            </w:r>
          </w:p>
        </w:tc>
        <w:tc>
          <w:tcPr>
            <w:tcW w:w="1096" w:type="dxa"/>
            <w:tcBorders>
              <w:top w:val="nil"/>
              <w:left w:val="nil"/>
              <w:bottom w:val="nil"/>
              <w:right w:val="nil"/>
            </w:tcBorders>
            <w:shd w:val="clear" w:color="000000" w:fill="FFFFFF"/>
            <w:noWrap/>
            <w:vAlign w:val="center"/>
            <w:hideMark/>
          </w:tcPr>
          <w:p w14:paraId="22105E20" w14:textId="77777777" w:rsidR="000F2348" w:rsidRPr="00D618B7" w:rsidRDefault="000F2348" w:rsidP="004B11B7">
            <w:pPr>
              <w:jc w:val="right"/>
              <w:rPr>
                <w:color w:val="000000"/>
                <w:sz w:val="22"/>
                <w:szCs w:val="22"/>
              </w:rPr>
            </w:pPr>
            <w:r w:rsidRPr="00D618B7">
              <w:rPr>
                <w:color w:val="000000"/>
                <w:sz w:val="22"/>
                <w:szCs w:val="22"/>
              </w:rPr>
              <w:t>26054.54</w:t>
            </w:r>
          </w:p>
        </w:tc>
      </w:tr>
      <w:tr w:rsidR="000F2348" w:rsidRPr="00D618B7" w14:paraId="3E15554D" w14:textId="77777777" w:rsidTr="001E0AE6">
        <w:trPr>
          <w:trHeight w:val="242"/>
        </w:trPr>
        <w:tc>
          <w:tcPr>
            <w:tcW w:w="1305" w:type="dxa"/>
            <w:tcBorders>
              <w:top w:val="nil"/>
              <w:left w:val="nil"/>
              <w:bottom w:val="nil"/>
              <w:right w:val="nil"/>
            </w:tcBorders>
            <w:shd w:val="clear" w:color="000000" w:fill="FFFFFF"/>
            <w:vAlign w:val="center"/>
            <w:hideMark/>
          </w:tcPr>
          <w:p w14:paraId="0026A0E1" w14:textId="77777777" w:rsidR="000F2348" w:rsidRPr="00D618B7" w:rsidRDefault="000F2348" w:rsidP="004B11B7">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64F68A2A" w14:textId="77777777" w:rsidR="000F2348" w:rsidRPr="00D618B7" w:rsidRDefault="000F2348" w:rsidP="004B11B7">
            <w:pPr>
              <w:jc w:val="right"/>
              <w:rPr>
                <w:color w:val="000000"/>
                <w:sz w:val="22"/>
                <w:szCs w:val="22"/>
              </w:rPr>
            </w:pPr>
            <w:r w:rsidRPr="00D618B7">
              <w:rPr>
                <w:color w:val="000000"/>
                <w:sz w:val="22"/>
                <w:szCs w:val="22"/>
              </w:rPr>
              <w:t>4640.72</w:t>
            </w:r>
          </w:p>
        </w:tc>
        <w:tc>
          <w:tcPr>
            <w:tcW w:w="1070" w:type="dxa"/>
            <w:tcBorders>
              <w:top w:val="nil"/>
              <w:left w:val="nil"/>
              <w:bottom w:val="nil"/>
              <w:right w:val="nil"/>
            </w:tcBorders>
            <w:shd w:val="clear" w:color="000000" w:fill="FFFFFF"/>
            <w:noWrap/>
            <w:vAlign w:val="center"/>
            <w:hideMark/>
          </w:tcPr>
          <w:p w14:paraId="611F5076" w14:textId="77777777" w:rsidR="000F2348" w:rsidRPr="00D618B7" w:rsidRDefault="000F2348" w:rsidP="004B11B7">
            <w:pPr>
              <w:jc w:val="right"/>
              <w:rPr>
                <w:color w:val="000000"/>
                <w:sz w:val="22"/>
                <w:szCs w:val="22"/>
              </w:rPr>
            </w:pPr>
            <w:r w:rsidRPr="00D618B7">
              <w:rPr>
                <w:color w:val="000000"/>
                <w:sz w:val="22"/>
                <w:szCs w:val="22"/>
              </w:rPr>
              <w:t>2639.22</w:t>
            </w:r>
          </w:p>
        </w:tc>
        <w:tc>
          <w:tcPr>
            <w:tcW w:w="1522" w:type="dxa"/>
            <w:tcBorders>
              <w:top w:val="nil"/>
              <w:left w:val="nil"/>
              <w:bottom w:val="nil"/>
              <w:right w:val="nil"/>
            </w:tcBorders>
            <w:shd w:val="clear" w:color="000000" w:fill="FFFFFF"/>
            <w:noWrap/>
            <w:vAlign w:val="center"/>
            <w:hideMark/>
          </w:tcPr>
          <w:p w14:paraId="095EB9FA" w14:textId="77777777" w:rsidR="000F2348" w:rsidRPr="00D618B7" w:rsidRDefault="000F2348" w:rsidP="004B11B7">
            <w:pPr>
              <w:jc w:val="right"/>
              <w:rPr>
                <w:color w:val="000000"/>
                <w:sz w:val="22"/>
                <w:szCs w:val="22"/>
              </w:rPr>
            </w:pPr>
            <w:r w:rsidRPr="00D618B7">
              <w:rPr>
                <w:color w:val="000000"/>
                <w:sz w:val="22"/>
                <w:szCs w:val="22"/>
              </w:rPr>
              <w:t>10570.67</w:t>
            </w:r>
          </w:p>
        </w:tc>
        <w:tc>
          <w:tcPr>
            <w:tcW w:w="1059" w:type="dxa"/>
            <w:tcBorders>
              <w:top w:val="nil"/>
              <w:left w:val="nil"/>
              <w:bottom w:val="nil"/>
              <w:right w:val="nil"/>
            </w:tcBorders>
            <w:shd w:val="clear" w:color="000000" w:fill="FFFFFF"/>
            <w:noWrap/>
            <w:vAlign w:val="center"/>
            <w:hideMark/>
          </w:tcPr>
          <w:p w14:paraId="12117002" w14:textId="77777777" w:rsidR="000F2348" w:rsidRPr="00D618B7" w:rsidRDefault="000F2348" w:rsidP="004B11B7">
            <w:pPr>
              <w:jc w:val="right"/>
              <w:rPr>
                <w:color w:val="000000"/>
                <w:sz w:val="22"/>
                <w:szCs w:val="22"/>
              </w:rPr>
            </w:pPr>
            <w:r w:rsidRPr="00D618B7">
              <w:rPr>
                <w:color w:val="000000"/>
                <w:sz w:val="22"/>
                <w:szCs w:val="22"/>
              </w:rPr>
              <w:t>2286.48</w:t>
            </w:r>
          </w:p>
        </w:tc>
        <w:tc>
          <w:tcPr>
            <w:tcW w:w="1575" w:type="dxa"/>
            <w:tcBorders>
              <w:top w:val="nil"/>
              <w:left w:val="nil"/>
              <w:bottom w:val="nil"/>
              <w:right w:val="nil"/>
            </w:tcBorders>
            <w:shd w:val="clear" w:color="000000" w:fill="FFFFFF"/>
            <w:noWrap/>
            <w:vAlign w:val="center"/>
            <w:hideMark/>
          </w:tcPr>
          <w:p w14:paraId="4202BB71" w14:textId="77777777" w:rsidR="000F2348" w:rsidRPr="00D618B7" w:rsidRDefault="000F2348" w:rsidP="004B11B7">
            <w:pPr>
              <w:jc w:val="right"/>
              <w:rPr>
                <w:color w:val="000000"/>
                <w:sz w:val="22"/>
                <w:szCs w:val="22"/>
              </w:rPr>
            </w:pPr>
            <w:r w:rsidRPr="00D618B7">
              <w:rPr>
                <w:color w:val="000000"/>
                <w:sz w:val="22"/>
                <w:szCs w:val="22"/>
              </w:rPr>
              <w:t>4047.78</w:t>
            </w:r>
          </w:p>
        </w:tc>
        <w:tc>
          <w:tcPr>
            <w:tcW w:w="1096" w:type="dxa"/>
            <w:tcBorders>
              <w:top w:val="nil"/>
              <w:left w:val="nil"/>
              <w:bottom w:val="nil"/>
              <w:right w:val="nil"/>
            </w:tcBorders>
            <w:shd w:val="clear" w:color="000000" w:fill="FFFFFF"/>
            <w:noWrap/>
            <w:vAlign w:val="center"/>
            <w:hideMark/>
          </w:tcPr>
          <w:p w14:paraId="7DDDB929" w14:textId="77777777" w:rsidR="000F2348" w:rsidRPr="00D618B7" w:rsidRDefault="000F2348" w:rsidP="004B11B7">
            <w:pPr>
              <w:jc w:val="right"/>
              <w:rPr>
                <w:color w:val="000000"/>
                <w:sz w:val="22"/>
                <w:szCs w:val="22"/>
              </w:rPr>
            </w:pPr>
            <w:r w:rsidRPr="00D618B7">
              <w:rPr>
                <w:color w:val="000000"/>
                <w:sz w:val="22"/>
                <w:szCs w:val="22"/>
              </w:rPr>
              <w:t>2345.37</w:t>
            </w:r>
          </w:p>
        </w:tc>
      </w:tr>
      <w:tr w:rsidR="000F2348" w:rsidRPr="00D618B7" w14:paraId="11A59762" w14:textId="77777777" w:rsidTr="001E0AE6">
        <w:trPr>
          <w:trHeight w:val="242"/>
        </w:trPr>
        <w:tc>
          <w:tcPr>
            <w:tcW w:w="1305" w:type="dxa"/>
            <w:tcBorders>
              <w:top w:val="nil"/>
              <w:left w:val="nil"/>
              <w:bottom w:val="nil"/>
              <w:right w:val="nil"/>
            </w:tcBorders>
            <w:shd w:val="clear" w:color="000000" w:fill="FFFFFF"/>
            <w:vAlign w:val="center"/>
            <w:hideMark/>
          </w:tcPr>
          <w:p w14:paraId="53764B1B" w14:textId="77777777" w:rsidR="000F2348" w:rsidRPr="00D618B7" w:rsidRDefault="000F2348" w:rsidP="004B11B7">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7C2C265E" w14:textId="77777777" w:rsidR="000F2348" w:rsidRPr="00D618B7" w:rsidRDefault="000F2348" w:rsidP="004B11B7">
            <w:pPr>
              <w:jc w:val="right"/>
              <w:rPr>
                <w:color w:val="000000"/>
                <w:sz w:val="22"/>
                <w:szCs w:val="22"/>
              </w:rPr>
            </w:pPr>
            <w:r w:rsidRPr="00D618B7">
              <w:rPr>
                <w:color w:val="000000"/>
                <w:sz w:val="22"/>
                <w:szCs w:val="22"/>
              </w:rPr>
              <w:t>123.23</w:t>
            </w:r>
          </w:p>
        </w:tc>
        <w:tc>
          <w:tcPr>
            <w:tcW w:w="1070" w:type="dxa"/>
            <w:tcBorders>
              <w:top w:val="nil"/>
              <w:left w:val="nil"/>
              <w:bottom w:val="nil"/>
              <w:right w:val="nil"/>
            </w:tcBorders>
            <w:shd w:val="clear" w:color="000000" w:fill="FFFFFF"/>
            <w:noWrap/>
            <w:vAlign w:val="center"/>
            <w:hideMark/>
          </w:tcPr>
          <w:p w14:paraId="44C8E301" w14:textId="77777777" w:rsidR="000F2348" w:rsidRPr="00D618B7" w:rsidRDefault="000F2348" w:rsidP="004B11B7">
            <w:pPr>
              <w:jc w:val="right"/>
              <w:rPr>
                <w:color w:val="000000"/>
                <w:sz w:val="22"/>
                <w:szCs w:val="22"/>
              </w:rPr>
            </w:pPr>
            <w:r w:rsidRPr="00D618B7">
              <w:rPr>
                <w:color w:val="000000"/>
                <w:sz w:val="22"/>
                <w:szCs w:val="22"/>
              </w:rPr>
              <w:t>1200.74</w:t>
            </w:r>
          </w:p>
        </w:tc>
        <w:tc>
          <w:tcPr>
            <w:tcW w:w="1522" w:type="dxa"/>
            <w:tcBorders>
              <w:top w:val="nil"/>
              <w:left w:val="nil"/>
              <w:bottom w:val="nil"/>
              <w:right w:val="nil"/>
            </w:tcBorders>
            <w:shd w:val="clear" w:color="000000" w:fill="FFFFFF"/>
            <w:noWrap/>
            <w:vAlign w:val="center"/>
            <w:hideMark/>
          </w:tcPr>
          <w:p w14:paraId="69B964C5" w14:textId="77777777" w:rsidR="000F2348" w:rsidRPr="00D618B7" w:rsidRDefault="000F2348" w:rsidP="004B11B7">
            <w:pPr>
              <w:jc w:val="right"/>
              <w:rPr>
                <w:color w:val="000000"/>
                <w:sz w:val="22"/>
                <w:szCs w:val="22"/>
              </w:rPr>
            </w:pPr>
            <w:r w:rsidRPr="00D618B7">
              <w:rPr>
                <w:color w:val="000000"/>
                <w:sz w:val="22"/>
                <w:szCs w:val="22"/>
              </w:rPr>
              <w:t>-12253.05</w:t>
            </w:r>
          </w:p>
        </w:tc>
        <w:tc>
          <w:tcPr>
            <w:tcW w:w="1059" w:type="dxa"/>
            <w:tcBorders>
              <w:top w:val="nil"/>
              <w:left w:val="nil"/>
              <w:bottom w:val="nil"/>
              <w:right w:val="nil"/>
            </w:tcBorders>
            <w:shd w:val="clear" w:color="000000" w:fill="FFFFFF"/>
            <w:noWrap/>
            <w:vAlign w:val="center"/>
            <w:hideMark/>
          </w:tcPr>
          <w:p w14:paraId="085BB761" w14:textId="77777777" w:rsidR="000F2348" w:rsidRPr="00D618B7" w:rsidRDefault="000F2348" w:rsidP="004B11B7">
            <w:pPr>
              <w:jc w:val="right"/>
              <w:rPr>
                <w:color w:val="000000"/>
                <w:sz w:val="22"/>
                <w:szCs w:val="22"/>
              </w:rPr>
            </w:pPr>
            <w:r w:rsidRPr="00D618B7">
              <w:rPr>
                <w:color w:val="000000"/>
                <w:sz w:val="22"/>
                <w:szCs w:val="22"/>
              </w:rPr>
              <w:t>3796.98</w:t>
            </w:r>
          </w:p>
        </w:tc>
        <w:tc>
          <w:tcPr>
            <w:tcW w:w="1575" w:type="dxa"/>
            <w:tcBorders>
              <w:top w:val="nil"/>
              <w:left w:val="nil"/>
              <w:bottom w:val="nil"/>
              <w:right w:val="nil"/>
            </w:tcBorders>
            <w:shd w:val="clear" w:color="000000" w:fill="FFFFFF"/>
            <w:noWrap/>
            <w:vAlign w:val="center"/>
            <w:hideMark/>
          </w:tcPr>
          <w:p w14:paraId="4196C799" w14:textId="77777777" w:rsidR="000F2348" w:rsidRPr="00D618B7" w:rsidRDefault="000F2348" w:rsidP="004B11B7">
            <w:pPr>
              <w:jc w:val="right"/>
              <w:rPr>
                <w:color w:val="000000"/>
                <w:sz w:val="22"/>
                <w:szCs w:val="22"/>
              </w:rPr>
            </w:pPr>
            <w:r w:rsidRPr="00D618B7">
              <w:rPr>
                <w:color w:val="000000"/>
                <w:sz w:val="22"/>
                <w:szCs w:val="22"/>
              </w:rPr>
              <w:t>1250.68</w:t>
            </w:r>
          </w:p>
        </w:tc>
        <w:tc>
          <w:tcPr>
            <w:tcW w:w="1096" w:type="dxa"/>
            <w:tcBorders>
              <w:top w:val="nil"/>
              <w:left w:val="nil"/>
              <w:bottom w:val="nil"/>
              <w:right w:val="nil"/>
            </w:tcBorders>
            <w:shd w:val="clear" w:color="000000" w:fill="FFFFFF"/>
            <w:noWrap/>
            <w:vAlign w:val="center"/>
            <w:hideMark/>
          </w:tcPr>
          <w:p w14:paraId="50741DBC" w14:textId="77777777" w:rsidR="000F2348" w:rsidRPr="00D618B7" w:rsidRDefault="000F2348" w:rsidP="004B11B7">
            <w:pPr>
              <w:jc w:val="right"/>
              <w:rPr>
                <w:color w:val="000000"/>
                <w:sz w:val="22"/>
                <w:szCs w:val="22"/>
              </w:rPr>
            </w:pPr>
            <w:r w:rsidRPr="00D618B7">
              <w:rPr>
                <w:color w:val="000000"/>
                <w:sz w:val="22"/>
                <w:szCs w:val="22"/>
              </w:rPr>
              <w:t>341.94</w:t>
            </w:r>
          </w:p>
        </w:tc>
      </w:tr>
      <w:tr w:rsidR="000F2348" w:rsidRPr="00D618B7" w14:paraId="30050F33" w14:textId="77777777" w:rsidTr="001E0AE6">
        <w:trPr>
          <w:trHeight w:val="242"/>
        </w:trPr>
        <w:tc>
          <w:tcPr>
            <w:tcW w:w="1305" w:type="dxa"/>
            <w:tcBorders>
              <w:top w:val="nil"/>
              <w:left w:val="nil"/>
              <w:bottom w:val="nil"/>
              <w:right w:val="nil"/>
            </w:tcBorders>
            <w:shd w:val="clear" w:color="000000" w:fill="FFFFFF"/>
            <w:vAlign w:val="center"/>
            <w:hideMark/>
          </w:tcPr>
          <w:p w14:paraId="18AD352A" w14:textId="77777777" w:rsidR="000F2348" w:rsidRPr="00D618B7" w:rsidRDefault="000F2348" w:rsidP="004B11B7">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47DD4654" w14:textId="77777777" w:rsidR="000F2348" w:rsidRPr="00D618B7" w:rsidRDefault="000F2348" w:rsidP="004B11B7">
            <w:pPr>
              <w:jc w:val="right"/>
              <w:rPr>
                <w:color w:val="000000"/>
                <w:sz w:val="22"/>
                <w:szCs w:val="22"/>
              </w:rPr>
            </w:pPr>
            <w:r w:rsidRPr="00D618B7">
              <w:rPr>
                <w:color w:val="000000"/>
                <w:sz w:val="22"/>
                <w:szCs w:val="22"/>
              </w:rPr>
              <w:t>-644.12</w:t>
            </w:r>
          </w:p>
        </w:tc>
        <w:tc>
          <w:tcPr>
            <w:tcW w:w="1070" w:type="dxa"/>
            <w:tcBorders>
              <w:top w:val="nil"/>
              <w:left w:val="nil"/>
              <w:bottom w:val="nil"/>
              <w:right w:val="nil"/>
            </w:tcBorders>
            <w:shd w:val="clear" w:color="000000" w:fill="FFFFFF"/>
            <w:noWrap/>
            <w:vAlign w:val="center"/>
            <w:hideMark/>
          </w:tcPr>
          <w:p w14:paraId="0EDFD597" w14:textId="77777777" w:rsidR="000F2348" w:rsidRPr="00D618B7" w:rsidRDefault="000F2348" w:rsidP="004B11B7">
            <w:pPr>
              <w:jc w:val="right"/>
              <w:rPr>
                <w:color w:val="000000"/>
                <w:sz w:val="22"/>
                <w:szCs w:val="22"/>
              </w:rPr>
            </w:pPr>
            <w:r w:rsidRPr="00D618B7">
              <w:rPr>
                <w:color w:val="000000"/>
                <w:sz w:val="22"/>
                <w:szCs w:val="22"/>
              </w:rPr>
              <w:t>709.41</w:t>
            </w:r>
          </w:p>
        </w:tc>
        <w:tc>
          <w:tcPr>
            <w:tcW w:w="1522" w:type="dxa"/>
            <w:tcBorders>
              <w:top w:val="nil"/>
              <w:left w:val="nil"/>
              <w:bottom w:val="nil"/>
              <w:right w:val="nil"/>
            </w:tcBorders>
            <w:shd w:val="clear" w:color="000000" w:fill="FFFFFF"/>
            <w:noWrap/>
            <w:vAlign w:val="center"/>
            <w:hideMark/>
          </w:tcPr>
          <w:p w14:paraId="3C11C9DD" w14:textId="77777777" w:rsidR="000F2348" w:rsidRPr="00D618B7" w:rsidRDefault="000F2348" w:rsidP="004B11B7">
            <w:pPr>
              <w:jc w:val="right"/>
              <w:rPr>
                <w:color w:val="000000"/>
                <w:sz w:val="22"/>
                <w:szCs w:val="22"/>
              </w:rPr>
            </w:pPr>
            <w:r w:rsidRPr="00D618B7">
              <w:rPr>
                <w:color w:val="000000"/>
                <w:sz w:val="22"/>
                <w:szCs w:val="22"/>
              </w:rPr>
              <w:t>2545.91</w:t>
            </w:r>
          </w:p>
        </w:tc>
        <w:tc>
          <w:tcPr>
            <w:tcW w:w="1059" w:type="dxa"/>
            <w:tcBorders>
              <w:top w:val="nil"/>
              <w:left w:val="nil"/>
              <w:bottom w:val="nil"/>
              <w:right w:val="nil"/>
            </w:tcBorders>
            <w:shd w:val="clear" w:color="000000" w:fill="FFFFFF"/>
            <w:noWrap/>
            <w:vAlign w:val="center"/>
            <w:hideMark/>
          </w:tcPr>
          <w:p w14:paraId="1179EC1E" w14:textId="77777777" w:rsidR="000F2348" w:rsidRPr="00D618B7" w:rsidRDefault="000F2348" w:rsidP="004B11B7">
            <w:pPr>
              <w:jc w:val="right"/>
              <w:rPr>
                <w:color w:val="000000"/>
                <w:sz w:val="22"/>
                <w:szCs w:val="22"/>
              </w:rPr>
            </w:pPr>
            <w:r w:rsidRPr="00D618B7">
              <w:rPr>
                <w:color w:val="000000"/>
                <w:sz w:val="22"/>
                <w:szCs w:val="22"/>
              </w:rPr>
              <w:t>2370.53</w:t>
            </w:r>
          </w:p>
        </w:tc>
        <w:tc>
          <w:tcPr>
            <w:tcW w:w="1575" w:type="dxa"/>
            <w:tcBorders>
              <w:top w:val="nil"/>
              <w:left w:val="nil"/>
              <w:bottom w:val="nil"/>
              <w:right w:val="nil"/>
            </w:tcBorders>
            <w:shd w:val="clear" w:color="000000" w:fill="FFFFFF"/>
            <w:noWrap/>
            <w:vAlign w:val="center"/>
            <w:hideMark/>
          </w:tcPr>
          <w:p w14:paraId="0D6403A8" w14:textId="77777777" w:rsidR="000F2348" w:rsidRPr="00D618B7" w:rsidRDefault="000F2348" w:rsidP="004B11B7">
            <w:pPr>
              <w:jc w:val="right"/>
              <w:rPr>
                <w:color w:val="000000"/>
                <w:sz w:val="22"/>
                <w:szCs w:val="22"/>
              </w:rPr>
            </w:pPr>
            <w:r w:rsidRPr="00D618B7">
              <w:rPr>
                <w:color w:val="000000"/>
                <w:sz w:val="22"/>
                <w:szCs w:val="22"/>
              </w:rPr>
              <w:t>14971.83</w:t>
            </w:r>
          </w:p>
        </w:tc>
        <w:tc>
          <w:tcPr>
            <w:tcW w:w="1096" w:type="dxa"/>
            <w:tcBorders>
              <w:top w:val="nil"/>
              <w:left w:val="nil"/>
              <w:bottom w:val="nil"/>
              <w:right w:val="nil"/>
            </w:tcBorders>
            <w:shd w:val="clear" w:color="000000" w:fill="FFFFFF"/>
            <w:noWrap/>
            <w:vAlign w:val="center"/>
            <w:hideMark/>
          </w:tcPr>
          <w:p w14:paraId="50ED05D1" w14:textId="77777777" w:rsidR="000F2348" w:rsidRPr="00D618B7" w:rsidRDefault="000F2348" w:rsidP="004B11B7">
            <w:pPr>
              <w:jc w:val="right"/>
              <w:rPr>
                <w:color w:val="000000"/>
                <w:sz w:val="22"/>
                <w:szCs w:val="22"/>
              </w:rPr>
            </w:pPr>
            <w:r w:rsidRPr="00D618B7">
              <w:rPr>
                <w:color w:val="000000"/>
                <w:sz w:val="22"/>
                <w:szCs w:val="22"/>
              </w:rPr>
              <w:t>7159.80</w:t>
            </w:r>
          </w:p>
        </w:tc>
      </w:tr>
      <w:tr w:rsidR="000F2348" w:rsidRPr="00D618B7" w14:paraId="5BDBEDF4" w14:textId="77777777" w:rsidTr="001E0AE6">
        <w:trPr>
          <w:trHeight w:val="242"/>
        </w:trPr>
        <w:tc>
          <w:tcPr>
            <w:tcW w:w="1305" w:type="dxa"/>
            <w:tcBorders>
              <w:top w:val="nil"/>
              <w:left w:val="nil"/>
              <w:right w:val="nil"/>
            </w:tcBorders>
            <w:shd w:val="clear" w:color="000000" w:fill="FFFFFF"/>
            <w:vAlign w:val="center"/>
            <w:hideMark/>
          </w:tcPr>
          <w:p w14:paraId="4D24DD0F" w14:textId="77777777" w:rsidR="000F2348" w:rsidRPr="00D618B7" w:rsidRDefault="000F2348" w:rsidP="004B11B7">
            <w:pPr>
              <w:jc w:val="right"/>
              <w:rPr>
                <w:color w:val="000000"/>
                <w:sz w:val="22"/>
                <w:szCs w:val="22"/>
              </w:rPr>
            </w:pPr>
            <w:r w:rsidRPr="00D618B7">
              <w:rPr>
                <w:color w:val="000000"/>
                <w:sz w:val="22"/>
                <w:szCs w:val="22"/>
              </w:rPr>
              <w:t>4</w:t>
            </w:r>
          </w:p>
        </w:tc>
        <w:tc>
          <w:tcPr>
            <w:tcW w:w="1093" w:type="dxa"/>
            <w:tcBorders>
              <w:top w:val="nil"/>
              <w:left w:val="nil"/>
              <w:right w:val="nil"/>
            </w:tcBorders>
            <w:shd w:val="clear" w:color="000000" w:fill="FFFFFF"/>
            <w:noWrap/>
            <w:vAlign w:val="center"/>
            <w:hideMark/>
          </w:tcPr>
          <w:p w14:paraId="1A4177DF" w14:textId="77777777" w:rsidR="000F2348" w:rsidRPr="00D618B7" w:rsidRDefault="000F2348" w:rsidP="004B11B7">
            <w:pPr>
              <w:jc w:val="right"/>
              <w:rPr>
                <w:color w:val="000000"/>
                <w:sz w:val="22"/>
                <w:szCs w:val="22"/>
              </w:rPr>
            </w:pPr>
            <w:r w:rsidRPr="00D618B7">
              <w:rPr>
                <w:color w:val="000000"/>
                <w:sz w:val="22"/>
                <w:szCs w:val="22"/>
              </w:rPr>
              <w:t>37.94</w:t>
            </w:r>
          </w:p>
        </w:tc>
        <w:tc>
          <w:tcPr>
            <w:tcW w:w="1070" w:type="dxa"/>
            <w:tcBorders>
              <w:top w:val="nil"/>
              <w:left w:val="nil"/>
              <w:right w:val="nil"/>
            </w:tcBorders>
            <w:shd w:val="clear" w:color="000000" w:fill="FFFFFF"/>
            <w:noWrap/>
            <w:vAlign w:val="center"/>
            <w:hideMark/>
          </w:tcPr>
          <w:p w14:paraId="5CA05D4F" w14:textId="77777777" w:rsidR="000F2348" w:rsidRPr="00D618B7" w:rsidRDefault="000F2348" w:rsidP="004B11B7">
            <w:pPr>
              <w:jc w:val="right"/>
              <w:rPr>
                <w:color w:val="000000"/>
                <w:sz w:val="22"/>
                <w:szCs w:val="22"/>
              </w:rPr>
            </w:pPr>
            <w:r w:rsidRPr="00D618B7">
              <w:rPr>
                <w:color w:val="000000"/>
                <w:sz w:val="22"/>
                <w:szCs w:val="22"/>
              </w:rPr>
              <w:t>639.41</w:t>
            </w:r>
          </w:p>
        </w:tc>
        <w:tc>
          <w:tcPr>
            <w:tcW w:w="1522" w:type="dxa"/>
            <w:tcBorders>
              <w:top w:val="nil"/>
              <w:left w:val="nil"/>
              <w:right w:val="nil"/>
            </w:tcBorders>
            <w:shd w:val="clear" w:color="000000" w:fill="FFFFFF"/>
            <w:noWrap/>
            <w:vAlign w:val="center"/>
            <w:hideMark/>
          </w:tcPr>
          <w:p w14:paraId="0F287B7D" w14:textId="77777777" w:rsidR="000F2348" w:rsidRPr="00D618B7" w:rsidRDefault="000F2348" w:rsidP="004B11B7">
            <w:pPr>
              <w:jc w:val="right"/>
              <w:rPr>
                <w:color w:val="000000"/>
                <w:sz w:val="22"/>
                <w:szCs w:val="22"/>
              </w:rPr>
            </w:pPr>
            <w:r w:rsidRPr="00D618B7">
              <w:rPr>
                <w:color w:val="000000"/>
                <w:sz w:val="22"/>
                <w:szCs w:val="22"/>
              </w:rPr>
              <w:t>-2466.13</w:t>
            </w:r>
          </w:p>
        </w:tc>
        <w:tc>
          <w:tcPr>
            <w:tcW w:w="1059" w:type="dxa"/>
            <w:tcBorders>
              <w:top w:val="nil"/>
              <w:left w:val="nil"/>
              <w:right w:val="nil"/>
            </w:tcBorders>
            <w:shd w:val="clear" w:color="000000" w:fill="FFFFFF"/>
            <w:noWrap/>
            <w:vAlign w:val="center"/>
            <w:hideMark/>
          </w:tcPr>
          <w:p w14:paraId="1F163172" w14:textId="77777777" w:rsidR="000F2348" w:rsidRPr="00D618B7" w:rsidRDefault="000F2348" w:rsidP="004B11B7">
            <w:pPr>
              <w:jc w:val="right"/>
              <w:rPr>
                <w:color w:val="000000"/>
                <w:sz w:val="22"/>
                <w:szCs w:val="22"/>
              </w:rPr>
            </w:pPr>
            <w:r w:rsidRPr="00D618B7">
              <w:rPr>
                <w:color w:val="000000"/>
                <w:sz w:val="22"/>
                <w:szCs w:val="22"/>
              </w:rPr>
              <w:t>3747.89</w:t>
            </w:r>
          </w:p>
        </w:tc>
        <w:tc>
          <w:tcPr>
            <w:tcW w:w="1575" w:type="dxa"/>
            <w:tcBorders>
              <w:top w:val="nil"/>
              <w:left w:val="nil"/>
              <w:right w:val="nil"/>
            </w:tcBorders>
            <w:shd w:val="clear" w:color="000000" w:fill="FFFFFF"/>
            <w:noWrap/>
            <w:vAlign w:val="center"/>
            <w:hideMark/>
          </w:tcPr>
          <w:p w14:paraId="31739D62" w14:textId="77777777" w:rsidR="000F2348" w:rsidRPr="00D618B7" w:rsidRDefault="000F2348" w:rsidP="004B11B7">
            <w:pPr>
              <w:jc w:val="right"/>
              <w:rPr>
                <w:color w:val="000000"/>
                <w:sz w:val="22"/>
                <w:szCs w:val="22"/>
              </w:rPr>
            </w:pPr>
            <w:r w:rsidRPr="00D618B7">
              <w:rPr>
                <w:color w:val="000000"/>
                <w:sz w:val="22"/>
                <w:szCs w:val="22"/>
              </w:rPr>
              <w:t>34028.97</w:t>
            </w:r>
          </w:p>
        </w:tc>
        <w:tc>
          <w:tcPr>
            <w:tcW w:w="1096" w:type="dxa"/>
            <w:tcBorders>
              <w:top w:val="nil"/>
              <w:left w:val="nil"/>
              <w:right w:val="nil"/>
            </w:tcBorders>
            <w:shd w:val="clear" w:color="000000" w:fill="FFFFFF"/>
            <w:noWrap/>
            <w:vAlign w:val="center"/>
            <w:hideMark/>
          </w:tcPr>
          <w:p w14:paraId="3B699091" w14:textId="77777777" w:rsidR="000F2348" w:rsidRPr="00D618B7" w:rsidRDefault="000F2348" w:rsidP="004B11B7">
            <w:pPr>
              <w:jc w:val="right"/>
              <w:rPr>
                <w:color w:val="000000"/>
                <w:sz w:val="22"/>
                <w:szCs w:val="22"/>
              </w:rPr>
            </w:pPr>
            <w:r w:rsidRPr="00D618B7">
              <w:rPr>
                <w:color w:val="000000"/>
                <w:sz w:val="22"/>
                <w:szCs w:val="22"/>
              </w:rPr>
              <w:t>17296.82</w:t>
            </w:r>
          </w:p>
        </w:tc>
      </w:tr>
      <w:tr w:rsidR="000F2348" w:rsidRPr="00D618B7" w14:paraId="27C1F5F8" w14:textId="77777777" w:rsidTr="001E0AE6">
        <w:trPr>
          <w:trHeight w:val="253"/>
        </w:trPr>
        <w:tc>
          <w:tcPr>
            <w:tcW w:w="1305" w:type="dxa"/>
            <w:tcBorders>
              <w:top w:val="nil"/>
              <w:left w:val="nil"/>
              <w:bottom w:val="single" w:sz="18" w:space="0" w:color="auto"/>
              <w:right w:val="nil"/>
            </w:tcBorders>
            <w:shd w:val="clear" w:color="000000" w:fill="FFFFFF"/>
            <w:vAlign w:val="center"/>
            <w:hideMark/>
          </w:tcPr>
          <w:p w14:paraId="1F449D55" w14:textId="77777777" w:rsidR="000F2348" w:rsidRPr="00D618B7" w:rsidRDefault="000F2348" w:rsidP="004B11B7">
            <w:pPr>
              <w:jc w:val="right"/>
              <w:rPr>
                <w:color w:val="000000"/>
                <w:sz w:val="22"/>
                <w:szCs w:val="22"/>
              </w:rPr>
            </w:pPr>
            <w:r w:rsidRPr="00D618B7">
              <w:rPr>
                <w:color w:val="000000"/>
                <w:sz w:val="22"/>
                <w:szCs w:val="22"/>
              </w:rPr>
              <w:t>5</w:t>
            </w:r>
          </w:p>
        </w:tc>
        <w:tc>
          <w:tcPr>
            <w:tcW w:w="1093" w:type="dxa"/>
            <w:tcBorders>
              <w:top w:val="nil"/>
              <w:left w:val="nil"/>
              <w:bottom w:val="single" w:sz="18" w:space="0" w:color="auto"/>
              <w:right w:val="nil"/>
            </w:tcBorders>
            <w:shd w:val="clear" w:color="000000" w:fill="FFFFFF"/>
            <w:noWrap/>
            <w:vAlign w:val="center"/>
            <w:hideMark/>
          </w:tcPr>
          <w:p w14:paraId="26548ABD" w14:textId="77777777" w:rsidR="000F2348" w:rsidRPr="00D618B7" w:rsidRDefault="000F2348" w:rsidP="004B11B7">
            <w:pPr>
              <w:jc w:val="right"/>
              <w:rPr>
                <w:color w:val="000000"/>
                <w:sz w:val="22"/>
                <w:szCs w:val="22"/>
              </w:rPr>
            </w:pPr>
            <w:r w:rsidRPr="00D618B7">
              <w:rPr>
                <w:color w:val="000000"/>
                <w:sz w:val="22"/>
                <w:szCs w:val="22"/>
              </w:rPr>
              <w:t>100.49</w:t>
            </w:r>
          </w:p>
        </w:tc>
        <w:tc>
          <w:tcPr>
            <w:tcW w:w="1070" w:type="dxa"/>
            <w:tcBorders>
              <w:top w:val="nil"/>
              <w:left w:val="nil"/>
              <w:bottom w:val="single" w:sz="18" w:space="0" w:color="auto"/>
              <w:right w:val="nil"/>
            </w:tcBorders>
            <w:shd w:val="clear" w:color="000000" w:fill="FFFFFF"/>
            <w:noWrap/>
            <w:vAlign w:val="center"/>
            <w:hideMark/>
          </w:tcPr>
          <w:p w14:paraId="145B4BBB" w14:textId="77777777" w:rsidR="000F2348" w:rsidRPr="00D618B7" w:rsidRDefault="000F2348" w:rsidP="004B11B7">
            <w:pPr>
              <w:jc w:val="right"/>
              <w:rPr>
                <w:color w:val="000000"/>
                <w:sz w:val="22"/>
                <w:szCs w:val="22"/>
              </w:rPr>
            </w:pPr>
            <w:r w:rsidRPr="00D618B7">
              <w:rPr>
                <w:color w:val="000000"/>
                <w:sz w:val="22"/>
                <w:szCs w:val="22"/>
              </w:rPr>
              <w:t>884.66</w:t>
            </w:r>
          </w:p>
        </w:tc>
        <w:tc>
          <w:tcPr>
            <w:tcW w:w="1522" w:type="dxa"/>
            <w:tcBorders>
              <w:top w:val="nil"/>
              <w:left w:val="nil"/>
              <w:bottom w:val="single" w:sz="18" w:space="0" w:color="auto"/>
              <w:right w:val="nil"/>
            </w:tcBorders>
            <w:shd w:val="clear" w:color="000000" w:fill="FFFFFF"/>
            <w:noWrap/>
            <w:vAlign w:val="center"/>
            <w:hideMark/>
          </w:tcPr>
          <w:p w14:paraId="0D74FAF6" w14:textId="77777777" w:rsidR="000F2348" w:rsidRPr="00D618B7" w:rsidRDefault="000F2348" w:rsidP="004B11B7">
            <w:pPr>
              <w:jc w:val="right"/>
              <w:rPr>
                <w:color w:val="000000"/>
                <w:sz w:val="22"/>
                <w:szCs w:val="22"/>
              </w:rPr>
            </w:pPr>
            <w:r w:rsidRPr="00D618B7">
              <w:rPr>
                <w:color w:val="000000"/>
                <w:sz w:val="22"/>
                <w:szCs w:val="22"/>
              </w:rPr>
              <w:t>4038.22</w:t>
            </w:r>
          </w:p>
        </w:tc>
        <w:tc>
          <w:tcPr>
            <w:tcW w:w="1059" w:type="dxa"/>
            <w:tcBorders>
              <w:top w:val="nil"/>
              <w:left w:val="nil"/>
              <w:bottom w:val="single" w:sz="18" w:space="0" w:color="auto"/>
              <w:right w:val="nil"/>
            </w:tcBorders>
            <w:shd w:val="clear" w:color="000000" w:fill="FFFFFF"/>
            <w:noWrap/>
            <w:vAlign w:val="center"/>
            <w:hideMark/>
          </w:tcPr>
          <w:p w14:paraId="5BCC616B" w14:textId="77777777" w:rsidR="000F2348" w:rsidRPr="00D618B7" w:rsidRDefault="000F2348" w:rsidP="004B11B7">
            <w:pPr>
              <w:jc w:val="right"/>
              <w:rPr>
                <w:color w:val="000000"/>
                <w:sz w:val="22"/>
                <w:szCs w:val="22"/>
              </w:rPr>
            </w:pPr>
            <w:r w:rsidRPr="00D618B7">
              <w:rPr>
                <w:color w:val="000000"/>
                <w:sz w:val="22"/>
                <w:szCs w:val="22"/>
              </w:rPr>
              <w:t>2907.10</w:t>
            </w:r>
          </w:p>
        </w:tc>
        <w:tc>
          <w:tcPr>
            <w:tcW w:w="1575" w:type="dxa"/>
            <w:tcBorders>
              <w:top w:val="nil"/>
              <w:left w:val="nil"/>
              <w:bottom w:val="single" w:sz="18" w:space="0" w:color="auto"/>
              <w:right w:val="nil"/>
            </w:tcBorders>
            <w:shd w:val="clear" w:color="000000" w:fill="FFFFFF"/>
            <w:noWrap/>
            <w:vAlign w:val="center"/>
            <w:hideMark/>
          </w:tcPr>
          <w:p w14:paraId="4AC22C99" w14:textId="77777777" w:rsidR="000F2348" w:rsidRPr="00D618B7" w:rsidRDefault="000F2348" w:rsidP="004B11B7">
            <w:pPr>
              <w:jc w:val="right"/>
              <w:rPr>
                <w:color w:val="000000"/>
                <w:sz w:val="22"/>
                <w:szCs w:val="22"/>
              </w:rPr>
            </w:pPr>
            <w:r w:rsidRPr="00D618B7">
              <w:rPr>
                <w:color w:val="000000"/>
                <w:sz w:val="22"/>
                <w:szCs w:val="22"/>
              </w:rPr>
              <w:t>2381.38</w:t>
            </w:r>
          </w:p>
        </w:tc>
        <w:tc>
          <w:tcPr>
            <w:tcW w:w="1096" w:type="dxa"/>
            <w:tcBorders>
              <w:top w:val="nil"/>
              <w:left w:val="nil"/>
              <w:bottom w:val="single" w:sz="18" w:space="0" w:color="auto"/>
              <w:right w:val="nil"/>
            </w:tcBorders>
            <w:shd w:val="clear" w:color="000000" w:fill="FFFFFF"/>
            <w:noWrap/>
            <w:vAlign w:val="center"/>
            <w:hideMark/>
          </w:tcPr>
          <w:p w14:paraId="1635C48C" w14:textId="77777777" w:rsidR="000F2348" w:rsidRPr="00D618B7" w:rsidRDefault="000F2348" w:rsidP="004B11B7">
            <w:pPr>
              <w:jc w:val="right"/>
              <w:rPr>
                <w:color w:val="000000"/>
                <w:sz w:val="22"/>
                <w:szCs w:val="22"/>
              </w:rPr>
            </w:pPr>
            <w:r w:rsidRPr="00D618B7">
              <w:rPr>
                <w:color w:val="000000"/>
                <w:sz w:val="22"/>
                <w:szCs w:val="22"/>
              </w:rPr>
              <w:t>2023.11</w:t>
            </w:r>
          </w:p>
        </w:tc>
      </w:tr>
      <w:tr w:rsidR="000F2348" w:rsidRPr="00D618B7" w14:paraId="0AC5EC68" w14:textId="77777777" w:rsidTr="001E0AE6">
        <w:trPr>
          <w:trHeight w:val="242"/>
        </w:trPr>
        <w:tc>
          <w:tcPr>
            <w:tcW w:w="1305" w:type="dxa"/>
            <w:tcBorders>
              <w:top w:val="single" w:sz="18" w:space="0" w:color="auto"/>
              <w:left w:val="nil"/>
              <w:bottom w:val="nil"/>
              <w:right w:val="nil"/>
            </w:tcBorders>
            <w:shd w:val="clear" w:color="000000" w:fill="FFFFFF"/>
            <w:noWrap/>
            <w:vAlign w:val="bottom"/>
            <w:hideMark/>
          </w:tcPr>
          <w:p w14:paraId="5705ED08" w14:textId="77777777" w:rsidR="000F2348" w:rsidRPr="00D618B7" w:rsidRDefault="000F2348" w:rsidP="004B11B7">
            <w:pPr>
              <w:rPr>
                <w:color w:val="000000"/>
                <w:sz w:val="22"/>
                <w:szCs w:val="22"/>
              </w:rPr>
            </w:pPr>
            <w:r w:rsidRPr="00D618B7">
              <w:rPr>
                <w:color w:val="000000"/>
                <w:sz w:val="22"/>
                <w:szCs w:val="22"/>
              </w:rPr>
              <w:t> </w:t>
            </w:r>
          </w:p>
        </w:tc>
        <w:tc>
          <w:tcPr>
            <w:tcW w:w="7419" w:type="dxa"/>
            <w:gridSpan w:val="6"/>
            <w:tcBorders>
              <w:top w:val="single" w:sz="18" w:space="0" w:color="auto"/>
              <w:left w:val="nil"/>
              <w:bottom w:val="nil"/>
              <w:right w:val="nil"/>
            </w:tcBorders>
            <w:shd w:val="clear" w:color="000000" w:fill="FFFFFF"/>
            <w:noWrap/>
            <w:vAlign w:val="center"/>
            <w:hideMark/>
          </w:tcPr>
          <w:p w14:paraId="19631FC1" w14:textId="77777777" w:rsidR="000F2348" w:rsidRPr="00D618B7" w:rsidRDefault="000F2348" w:rsidP="004B11B7">
            <w:pPr>
              <w:jc w:val="center"/>
              <w:rPr>
                <w:color w:val="000000"/>
                <w:sz w:val="22"/>
                <w:szCs w:val="22"/>
              </w:rPr>
            </w:pPr>
            <w:r w:rsidRPr="00D618B7">
              <w:rPr>
                <w:color w:val="000000"/>
                <w:sz w:val="22"/>
                <w:szCs w:val="22"/>
              </w:rPr>
              <w:t>Toy-Moving-into-Reach</w:t>
            </w:r>
          </w:p>
        </w:tc>
      </w:tr>
      <w:tr w:rsidR="000F2348" w:rsidRPr="00D618B7" w14:paraId="32B644E8" w14:textId="77777777" w:rsidTr="001E0AE6">
        <w:trPr>
          <w:trHeight w:val="242"/>
        </w:trPr>
        <w:tc>
          <w:tcPr>
            <w:tcW w:w="1305" w:type="dxa"/>
            <w:tcBorders>
              <w:top w:val="nil"/>
              <w:left w:val="nil"/>
              <w:bottom w:val="nil"/>
              <w:right w:val="nil"/>
            </w:tcBorders>
            <w:shd w:val="clear" w:color="000000" w:fill="FFFFFF"/>
            <w:vAlign w:val="center"/>
            <w:hideMark/>
          </w:tcPr>
          <w:p w14:paraId="660B1B95" w14:textId="77777777" w:rsidR="000F2348" w:rsidRPr="00D618B7" w:rsidRDefault="000F2348" w:rsidP="004B11B7">
            <w:pPr>
              <w:jc w:val="right"/>
              <w:rPr>
                <w:color w:val="000000"/>
                <w:sz w:val="22"/>
                <w:szCs w:val="22"/>
              </w:rPr>
            </w:pPr>
            <w:r w:rsidRPr="00D618B7">
              <w:rPr>
                <w:color w:val="000000"/>
                <w:sz w:val="22"/>
                <w:szCs w:val="22"/>
              </w:rPr>
              <w:t>-5</w:t>
            </w:r>
          </w:p>
        </w:tc>
        <w:tc>
          <w:tcPr>
            <w:tcW w:w="1093" w:type="dxa"/>
            <w:tcBorders>
              <w:top w:val="nil"/>
              <w:left w:val="nil"/>
              <w:bottom w:val="nil"/>
              <w:right w:val="nil"/>
            </w:tcBorders>
            <w:shd w:val="clear" w:color="000000" w:fill="FFFFFF"/>
            <w:noWrap/>
            <w:vAlign w:val="center"/>
            <w:hideMark/>
          </w:tcPr>
          <w:p w14:paraId="532E201C" w14:textId="77777777" w:rsidR="000F2348" w:rsidRPr="00D618B7" w:rsidRDefault="000F2348" w:rsidP="004B11B7">
            <w:pPr>
              <w:jc w:val="right"/>
              <w:rPr>
                <w:color w:val="000000"/>
                <w:sz w:val="22"/>
                <w:szCs w:val="22"/>
              </w:rPr>
            </w:pPr>
            <w:r w:rsidRPr="00D618B7">
              <w:rPr>
                <w:color w:val="000000"/>
                <w:sz w:val="22"/>
                <w:szCs w:val="22"/>
              </w:rPr>
              <w:t>809.94</w:t>
            </w:r>
          </w:p>
        </w:tc>
        <w:tc>
          <w:tcPr>
            <w:tcW w:w="1070" w:type="dxa"/>
            <w:tcBorders>
              <w:top w:val="nil"/>
              <w:left w:val="nil"/>
              <w:bottom w:val="nil"/>
              <w:right w:val="nil"/>
            </w:tcBorders>
            <w:shd w:val="clear" w:color="000000" w:fill="FFFFFF"/>
            <w:noWrap/>
            <w:vAlign w:val="center"/>
            <w:hideMark/>
          </w:tcPr>
          <w:p w14:paraId="2B92AB1D" w14:textId="77777777" w:rsidR="000F2348" w:rsidRPr="00D618B7" w:rsidRDefault="000F2348" w:rsidP="004B11B7">
            <w:pPr>
              <w:jc w:val="right"/>
              <w:rPr>
                <w:color w:val="000000"/>
                <w:sz w:val="22"/>
                <w:szCs w:val="22"/>
              </w:rPr>
            </w:pPr>
            <w:r w:rsidRPr="00D618B7">
              <w:rPr>
                <w:color w:val="000000"/>
                <w:sz w:val="22"/>
                <w:szCs w:val="22"/>
              </w:rPr>
              <w:t>1077.14</w:t>
            </w:r>
          </w:p>
        </w:tc>
        <w:tc>
          <w:tcPr>
            <w:tcW w:w="1522" w:type="dxa"/>
            <w:tcBorders>
              <w:top w:val="nil"/>
              <w:left w:val="nil"/>
              <w:bottom w:val="nil"/>
              <w:right w:val="nil"/>
            </w:tcBorders>
            <w:shd w:val="clear" w:color="000000" w:fill="FFFFFF"/>
            <w:noWrap/>
            <w:vAlign w:val="center"/>
            <w:hideMark/>
          </w:tcPr>
          <w:p w14:paraId="34BB4251" w14:textId="77777777" w:rsidR="000F2348" w:rsidRPr="00D618B7" w:rsidRDefault="000F2348" w:rsidP="004B11B7">
            <w:pPr>
              <w:jc w:val="right"/>
              <w:rPr>
                <w:color w:val="000000"/>
                <w:sz w:val="22"/>
                <w:szCs w:val="22"/>
              </w:rPr>
            </w:pPr>
            <w:r w:rsidRPr="00D618B7">
              <w:rPr>
                <w:color w:val="000000"/>
                <w:sz w:val="22"/>
                <w:szCs w:val="22"/>
              </w:rPr>
              <w:t>29.47</w:t>
            </w:r>
          </w:p>
        </w:tc>
        <w:tc>
          <w:tcPr>
            <w:tcW w:w="1059" w:type="dxa"/>
            <w:tcBorders>
              <w:top w:val="nil"/>
              <w:left w:val="nil"/>
              <w:bottom w:val="nil"/>
              <w:right w:val="nil"/>
            </w:tcBorders>
            <w:shd w:val="clear" w:color="000000" w:fill="FFFFFF"/>
            <w:noWrap/>
            <w:vAlign w:val="center"/>
            <w:hideMark/>
          </w:tcPr>
          <w:p w14:paraId="0EEBDB8B" w14:textId="77777777" w:rsidR="000F2348" w:rsidRPr="00D618B7" w:rsidRDefault="000F2348" w:rsidP="004B11B7">
            <w:pPr>
              <w:jc w:val="right"/>
              <w:rPr>
                <w:color w:val="000000"/>
                <w:sz w:val="22"/>
                <w:szCs w:val="22"/>
              </w:rPr>
            </w:pPr>
            <w:r w:rsidRPr="00D618B7">
              <w:rPr>
                <w:color w:val="000000"/>
                <w:sz w:val="22"/>
                <w:szCs w:val="22"/>
              </w:rPr>
              <w:t>1834.95</w:t>
            </w:r>
          </w:p>
        </w:tc>
        <w:tc>
          <w:tcPr>
            <w:tcW w:w="1575" w:type="dxa"/>
            <w:tcBorders>
              <w:top w:val="nil"/>
              <w:left w:val="nil"/>
              <w:bottom w:val="nil"/>
              <w:right w:val="nil"/>
            </w:tcBorders>
            <w:shd w:val="clear" w:color="000000" w:fill="FFFFFF"/>
            <w:noWrap/>
            <w:vAlign w:val="center"/>
            <w:hideMark/>
          </w:tcPr>
          <w:p w14:paraId="09522D3B" w14:textId="77777777" w:rsidR="000F2348" w:rsidRPr="00D618B7" w:rsidRDefault="000F2348" w:rsidP="004B11B7">
            <w:pPr>
              <w:jc w:val="right"/>
              <w:rPr>
                <w:color w:val="000000"/>
                <w:sz w:val="22"/>
                <w:szCs w:val="22"/>
              </w:rPr>
            </w:pPr>
            <w:r w:rsidRPr="00D618B7">
              <w:rPr>
                <w:color w:val="000000"/>
                <w:sz w:val="22"/>
                <w:szCs w:val="22"/>
              </w:rPr>
              <w:t>24474.18</w:t>
            </w:r>
          </w:p>
        </w:tc>
        <w:tc>
          <w:tcPr>
            <w:tcW w:w="1096" w:type="dxa"/>
            <w:tcBorders>
              <w:top w:val="nil"/>
              <w:left w:val="nil"/>
              <w:bottom w:val="nil"/>
              <w:right w:val="nil"/>
            </w:tcBorders>
            <w:shd w:val="clear" w:color="000000" w:fill="FFFFFF"/>
            <w:noWrap/>
            <w:vAlign w:val="center"/>
            <w:hideMark/>
          </w:tcPr>
          <w:p w14:paraId="309DD9B8" w14:textId="77777777" w:rsidR="000F2348" w:rsidRPr="00D618B7" w:rsidRDefault="000F2348" w:rsidP="004B11B7">
            <w:pPr>
              <w:jc w:val="right"/>
              <w:rPr>
                <w:color w:val="000000"/>
                <w:sz w:val="22"/>
                <w:szCs w:val="22"/>
              </w:rPr>
            </w:pPr>
            <w:r w:rsidRPr="00D618B7">
              <w:rPr>
                <w:color w:val="000000"/>
                <w:sz w:val="22"/>
                <w:szCs w:val="22"/>
              </w:rPr>
              <w:t>10309.85</w:t>
            </w:r>
          </w:p>
        </w:tc>
      </w:tr>
      <w:tr w:rsidR="000F2348" w:rsidRPr="00D618B7" w14:paraId="26CDBEAF" w14:textId="77777777" w:rsidTr="001E0AE6">
        <w:trPr>
          <w:trHeight w:val="242"/>
        </w:trPr>
        <w:tc>
          <w:tcPr>
            <w:tcW w:w="1305" w:type="dxa"/>
            <w:tcBorders>
              <w:top w:val="nil"/>
              <w:left w:val="nil"/>
              <w:bottom w:val="nil"/>
              <w:right w:val="nil"/>
            </w:tcBorders>
            <w:shd w:val="clear" w:color="000000" w:fill="FFFFFF"/>
            <w:vAlign w:val="center"/>
            <w:hideMark/>
          </w:tcPr>
          <w:p w14:paraId="157E42B0" w14:textId="77777777" w:rsidR="000F2348" w:rsidRPr="00D618B7" w:rsidRDefault="000F2348" w:rsidP="004B11B7">
            <w:pPr>
              <w:jc w:val="right"/>
              <w:rPr>
                <w:color w:val="000000"/>
                <w:sz w:val="22"/>
                <w:szCs w:val="22"/>
              </w:rPr>
            </w:pPr>
            <w:r w:rsidRPr="00D618B7">
              <w:rPr>
                <w:color w:val="000000"/>
                <w:sz w:val="22"/>
                <w:szCs w:val="22"/>
              </w:rPr>
              <w:t>-4</w:t>
            </w:r>
          </w:p>
        </w:tc>
        <w:tc>
          <w:tcPr>
            <w:tcW w:w="1093" w:type="dxa"/>
            <w:tcBorders>
              <w:top w:val="nil"/>
              <w:left w:val="nil"/>
              <w:bottom w:val="nil"/>
              <w:right w:val="nil"/>
            </w:tcBorders>
            <w:shd w:val="clear" w:color="000000" w:fill="FFFFFF"/>
            <w:noWrap/>
            <w:vAlign w:val="center"/>
            <w:hideMark/>
          </w:tcPr>
          <w:p w14:paraId="27D11B94" w14:textId="77777777" w:rsidR="000F2348" w:rsidRPr="00D618B7" w:rsidRDefault="000F2348" w:rsidP="004B11B7">
            <w:pPr>
              <w:jc w:val="right"/>
              <w:rPr>
                <w:color w:val="000000"/>
                <w:sz w:val="22"/>
                <w:szCs w:val="22"/>
              </w:rPr>
            </w:pPr>
            <w:r w:rsidRPr="00D618B7">
              <w:rPr>
                <w:color w:val="000000"/>
                <w:sz w:val="22"/>
                <w:szCs w:val="22"/>
              </w:rPr>
              <w:t>-1198.21</w:t>
            </w:r>
          </w:p>
        </w:tc>
        <w:tc>
          <w:tcPr>
            <w:tcW w:w="1070" w:type="dxa"/>
            <w:tcBorders>
              <w:top w:val="nil"/>
              <w:left w:val="nil"/>
              <w:bottom w:val="nil"/>
              <w:right w:val="nil"/>
            </w:tcBorders>
            <w:shd w:val="clear" w:color="000000" w:fill="FFFFFF"/>
            <w:noWrap/>
            <w:vAlign w:val="center"/>
            <w:hideMark/>
          </w:tcPr>
          <w:p w14:paraId="1C1BB4BD" w14:textId="77777777" w:rsidR="000F2348" w:rsidRPr="00D618B7" w:rsidRDefault="000F2348" w:rsidP="004B11B7">
            <w:pPr>
              <w:jc w:val="right"/>
              <w:rPr>
                <w:color w:val="000000"/>
                <w:sz w:val="22"/>
                <w:szCs w:val="22"/>
              </w:rPr>
            </w:pPr>
            <w:r w:rsidRPr="00D618B7">
              <w:rPr>
                <w:color w:val="000000"/>
                <w:sz w:val="22"/>
                <w:szCs w:val="22"/>
              </w:rPr>
              <w:t>230.67</w:t>
            </w:r>
          </w:p>
        </w:tc>
        <w:tc>
          <w:tcPr>
            <w:tcW w:w="1522" w:type="dxa"/>
            <w:tcBorders>
              <w:top w:val="nil"/>
              <w:left w:val="nil"/>
              <w:bottom w:val="nil"/>
              <w:right w:val="nil"/>
            </w:tcBorders>
            <w:shd w:val="clear" w:color="000000" w:fill="FFFFFF"/>
            <w:noWrap/>
            <w:vAlign w:val="center"/>
            <w:hideMark/>
          </w:tcPr>
          <w:p w14:paraId="6DF1846F" w14:textId="77777777" w:rsidR="000F2348" w:rsidRPr="00D618B7" w:rsidRDefault="000F2348" w:rsidP="004B11B7">
            <w:pPr>
              <w:jc w:val="right"/>
              <w:rPr>
                <w:color w:val="000000"/>
                <w:sz w:val="22"/>
                <w:szCs w:val="22"/>
              </w:rPr>
            </w:pPr>
            <w:r w:rsidRPr="00D618B7">
              <w:rPr>
                <w:color w:val="000000"/>
                <w:sz w:val="22"/>
                <w:szCs w:val="22"/>
              </w:rPr>
              <w:t>1327.28</w:t>
            </w:r>
          </w:p>
        </w:tc>
        <w:tc>
          <w:tcPr>
            <w:tcW w:w="1059" w:type="dxa"/>
            <w:tcBorders>
              <w:top w:val="nil"/>
              <w:left w:val="nil"/>
              <w:bottom w:val="nil"/>
              <w:right w:val="nil"/>
            </w:tcBorders>
            <w:shd w:val="clear" w:color="000000" w:fill="FFFFFF"/>
            <w:noWrap/>
            <w:vAlign w:val="center"/>
            <w:hideMark/>
          </w:tcPr>
          <w:p w14:paraId="657284FE" w14:textId="77777777" w:rsidR="000F2348" w:rsidRPr="00D618B7" w:rsidRDefault="000F2348" w:rsidP="004B11B7">
            <w:pPr>
              <w:jc w:val="right"/>
              <w:rPr>
                <w:color w:val="000000"/>
                <w:sz w:val="22"/>
                <w:szCs w:val="22"/>
              </w:rPr>
            </w:pPr>
            <w:r w:rsidRPr="00D618B7">
              <w:rPr>
                <w:color w:val="000000"/>
                <w:sz w:val="22"/>
                <w:szCs w:val="22"/>
              </w:rPr>
              <w:t>1289.12</w:t>
            </w:r>
          </w:p>
        </w:tc>
        <w:tc>
          <w:tcPr>
            <w:tcW w:w="1575" w:type="dxa"/>
            <w:tcBorders>
              <w:top w:val="nil"/>
              <w:left w:val="nil"/>
              <w:bottom w:val="nil"/>
              <w:right w:val="nil"/>
            </w:tcBorders>
            <w:shd w:val="clear" w:color="000000" w:fill="FFFFFF"/>
            <w:noWrap/>
            <w:vAlign w:val="center"/>
            <w:hideMark/>
          </w:tcPr>
          <w:p w14:paraId="7564E90D" w14:textId="77777777" w:rsidR="000F2348" w:rsidRPr="00D618B7" w:rsidRDefault="000F2348" w:rsidP="004B11B7">
            <w:pPr>
              <w:jc w:val="right"/>
              <w:rPr>
                <w:color w:val="000000"/>
                <w:sz w:val="22"/>
                <w:szCs w:val="22"/>
              </w:rPr>
            </w:pPr>
            <w:r w:rsidRPr="00D618B7">
              <w:rPr>
                <w:color w:val="000000"/>
                <w:sz w:val="22"/>
                <w:szCs w:val="22"/>
              </w:rPr>
              <w:t>-18415.78</w:t>
            </w:r>
          </w:p>
        </w:tc>
        <w:tc>
          <w:tcPr>
            <w:tcW w:w="1096" w:type="dxa"/>
            <w:tcBorders>
              <w:top w:val="nil"/>
              <w:left w:val="nil"/>
              <w:bottom w:val="nil"/>
              <w:right w:val="nil"/>
            </w:tcBorders>
            <w:shd w:val="clear" w:color="000000" w:fill="FFFFFF"/>
            <w:noWrap/>
            <w:vAlign w:val="center"/>
            <w:hideMark/>
          </w:tcPr>
          <w:p w14:paraId="3B4D7D53" w14:textId="77777777" w:rsidR="000F2348" w:rsidRPr="00D618B7" w:rsidRDefault="000F2348" w:rsidP="004B11B7">
            <w:pPr>
              <w:jc w:val="right"/>
              <w:rPr>
                <w:color w:val="000000"/>
                <w:sz w:val="22"/>
                <w:szCs w:val="22"/>
              </w:rPr>
            </w:pPr>
            <w:r w:rsidRPr="00D618B7">
              <w:rPr>
                <w:color w:val="000000"/>
                <w:sz w:val="22"/>
                <w:szCs w:val="22"/>
              </w:rPr>
              <w:t>6392.49</w:t>
            </w:r>
          </w:p>
        </w:tc>
      </w:tr>
      <w:tr w:rsidR="000F2348" w:rsidRPr="00D618B7" w14:paraId="3958AEA1" w14:textId="77777777" w:rsidTr="001E0AE6">
        <w:trPr>
          <w:trHeight w:val="242"/>
        </w:trPr>
        <w:tc>
          <w:tcPr>
            <w:tcW w:w="1305" w:type="dxa"/>
            <w:tcBorders>
              <w:top w:val="nil"/>
              <w:left w:val="nil"/>
              <w:bottom w:val="nil"/>
              <w:right w:val="nil"/>
            </w:tcBorders>
            <w:shd w:val="clear" w:color="000000" w:fill="FFFFFF"/>
            <w:vAlign w:val="center"/>
            <w:hideMark/>
          </w:tcPr>
          <w:p w14:paraId="3E18F7C5" w14:textId="77777777" w:rsidR="000F2348" w:rsidRPr="00D618B7" w:rsidRDefault="000F2348" w:rsidP="004B11B7">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5EE6233F" w14:textId="77777777" w:rsidR="000F2348" w:rsidRPr="00D618B7" w:rsidRDefault="000F2348" w:rsidP="004B11B7">
            <w:pPr>
              <w:jc w:val="right"/>
              <w:rPr>
                <w:color w:val="000000"/>
                <w:sz w:val="22"/>
                <w:szCs w:val="22"/>
              </w:rPr>
            </w:pPr>
            <w:r w:rsidRPr="00D618B7">
              <w:rPr>
                <w:color w:val="000000"/>
                <w:sz w:val="22"/>
                <w:szCs w:val="22"/>
              </w:rPr>
              <w:t>1115.20</w:t>
            </w:r>
          </w:p>
        </w:tc>
        <w:tc>
          <w:tcPr>
            <w:tcW w:w="1070" w:type="dxa"/>
            <w:tcBorders>
              <w:top w:val="nil"/>
              <w:left w:val="nil"/>
              <w:bottom w:val="nil"/>
              <w:right w:val="nil"/>
            </w:tcBorders>
            <w:shd w:val="clear" w:color="000000" w:fill="FFFFFF"/>
            <w:noWrap/>
            <w:vAlign w:val="center"/>
            <w:hideMark/>
          </w:tcPr>
          <w:p w14:paraId="3DE30A31" w14:textId="77777777" w:rsidR="000F2348" w:rsidRPr="00D618B7" w:rsidRDefault="000F2348" w:rsidP="004B11B7">
            <w:pPr>
              <w:jc w:val="right"/>
              <w:rPr>
                <w:color w:val="000000"/>
                <w:sz w:val="22"/>
                <w:szCs w:val="22"/>
              </w:rPr>
            </w:pPr>
            <w:r w:rsidRPr="00D618B7">
              <w:rPr>
                <w:color w:val="000000"/>
                <w:sz w:val="22"/>
                <w:szCs w:val="22"/>
              </w:rPr>
              <w:t>623.48</w:t>
            </w:r>
          </w:p>
        </w:tc>
        <w:tc>
          <w:tcPr>
            <w:tcW w:w="1522" w:type="dxa"/>
            <w:tcBorders>
              <w:top w:val="nil"/>
              <w:left w:val="nil"/>
              <w:bottom w:val="nil"/>
              <w:right w:val="nil"/>
            </w:tcBorders>
            <w:shd w:val="clear" w:color="000000" w:fill="FFFFFF"/>
            <w:noWrap/>
            <w:vAlign w:val="center"/>
            <w:hideMark/>
          </w:tcPr>
          <w:p w14:paraId="4A0ADFA1" w14:textId="77777777" w:rsidR="000F2348" w:rsidRPr="00D618B7" w:rsidRDefault="000F2348" w:rsidP="004B11B7">
            <w:pPr>
              <w:jc w:val="right"/>
              <w:rPr>
                <w:color w:val="000000"/>
                <w:sz w:val="22"/>
                <w:szCs w:val="22"/>
              </w:rPr>
            </w:pPr>
            <w:r w:rsidRPr="00D618B7">
              <w:rPr>
                <w:color w:val="000000"/>
                <w:sz w:val="22"/>
                <w:szCs w:val="22"/>
              </w:rPr>
              <w:t>-1456.96</w:t>
            </w:r>
          </w:p>
        </w:tc>
        <w:tc>
          <w:tcPr>
            <w:tcW w:w="1059" w:type="dxa"/>
            <w:tcBorders>
              <w:top w:val="nil"/>
              <w:left w:val="nil"/>
              <w:bottom w:val="nil"/>
              <w:right w:val="nil"/>
            </w:tcBorders>
            <w:shd w:val="clear" w:color="000000" w:fill="FFFFFF"/>
            <w:noWrap/>
            <w:vAlign w:val="center"/>
            <w:hideMark/>
          </w:tcPr>
          <w:p w14:paraId="1E31F78F" w14:textId="77777777" w:rsidR="000F2348" w:rsidRPr="00D618B7" w:rsidRDefault="000F2348" w:rsidP="004B11B7">
            <w:pPr>
              <w:jc w:val="right"/>
              <w:rPr>
                <w:color w:val="000000"/>
                <w:sz w:val="22"/>
                <w:szCs w:val="22"/>
              </w:rPr>
            </w:pPr>
            <w:r w:rsidRPr="00D618B7">
              <w:rPr>
                <w:color w:val="000000"/>
                <w:sz w:val="22"/>
                <w:szCs w:val="22"/>
              </w:rPr>
              <w:t>1205.49</w:t>
            </w:r>
          </w:p>
        </w:tc>
        <w:tc>
          <w:tcPr>
            <w:tcW w:w="1575" w:type="dxa"/>
            <w:tcBorders>
              <w:top w:val="nil"/>
              <w:left w:val="nil"/>
              <w:bottom w:val="nil"/>
              <w:right w:val="nil"/>
            </w:tcBorders>
            <w:shd w:val="clear" w:color="000000" w:fill="FFFFFF"/>
            <w:noWrap/>
            <w:vAlign w:val="center"/>
            <w:hideMark/>
          </w:tcPr>
          <w:p w14:paraId="7DF2FB24" w14:textId="77777777" w:rsidR="000F2348" w:rsidRPr="00D618B7" w:rsidRDefault="000F2348" w:rsidP="004B11B7">
            <w:pPr>
              <w:jc w:val="right"/>
              <w:rPr>
                <w:color w:val="000000"/>
                <w:sz w:val="22"/>
                <w:szCs w:val="22"/>
              </w:rPr>
            </w:pPr>
            <w:r w:rsidRPr="00D618B7">
              <w:rPr>
                <w:color w:val="000000"/>
                <w:sz w:val="22"/>
                <w:szCs w:val="22"/>
              </w:rPr>
              <w:t>4119.97</w:t>
            </w:r>
          </w:p>
        </w:tc>
        <w:tc>
          <w:tcPr>
            <w:tcW w:w="1096" w:type="dxa"/>
            <w:tcBorders>
              <w:top w:val="nil"/>
              <w:left w:val="nil"/>
              <w:bottom w:val="nil"/>
              <w:right w:val="nil"/>
            </w:tcBorders>
            <w:shd w:val="clear" w:color="000000" w:fill="FFFFFF"/>
            <w:noWrap/>
            <w:vAlign w:val="center"/>
            <w:hideMark/>
          </w:tcPr>
          <w:p w14:paraId="6D999E3E" w14:textId="77777777" w:rsidR="000F2348" w:rsidRPr="00D618B7" w:rsidRDefault="000F2348" w:rsidP="004B11B7">
            <w:pPr>
              <w:jc w:val="right"/>
              <w:rPr>
                <w:color w:val="000000"/>
                <w:sz w:val="22"/>
                <w:szCs w:val="22"/>
              </w:rPr>
            </w:pPr>
            <w:r w:rsidRPr="00D618B7">
              <w:rPr>
                <w:color w:val="000000"/>
                <w:sz w:val="22"/>
                <w:szCs w:val="22"/>
              </w:rPr>
              <w:t>3447.29</w:t>
            </w:r>
          </w:p>
        </w:tc>
      </w:tr>
      <w:tr w:rsidR="000F2348" w:rsidRPr="00D618B7" w14:paraId="6B7F63FC" w14:textId="77777777" w:rsidTr="001E0AE6">
        <w:trPr>
          <w:trHeight w:val="242"/>
        </w:trPr>
        <w:tc>
          <w:tcPr>
            <w:tcW w:w="1305" w:type="dxa"/>
            <w:tcBorders>
              <w:top w:val="nil"/>
              <w:left w:val="nil"/>
              <w:bottom w:val="nil"/>
              <w:right w:val="nil"/>
            </w:tcBorders>
            <w:shd w:val="clear" w:color="000000" w:fill="FFFFFF"/>
            <w:vAlign w:val="center"/>
            <w:hideMark/>
          </w:tcPr>
          <w:p w14:paraId="1A3024F1" w14:textId="77777777" w:rsidR="000F2348" w:rsidRPr="00D618B7" w:rsidRDefault="000F2348" w:rsidP="004B11B7">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4405EBD8" w14:textId="77777777" w:rsidR="000F2348" w:rsidRPr="00D618B7" w:rsidRDefault="000F2348" w:rsidP="004B11B7">
            <w:pPr>
              <w:jc w:val="right"/>
              <w:rPr>
                <w:color w:val="000000"/>
                <w:sz w:val="22"/>
                <w:szCs w:val="22"/>
              </w:rPr>
            </w:pPr>
            <w:r w:rsidRPr="00D618B7">
              <w:rPr>
                <w:color w:val="000000"/>
                <w:sz w:val="22"/>
                <w:szCs w:val="22"/>
              </w:rPr>
              <w:t>-1505.08</w:t>
            </w:r>
          </w:p>
        </w:tc>
        <w:tc>
          <w:tcPr>
            <w:tcW w:w="1070" w:type="dxa"/>
            <w:tcBorders>
              <w:top w:val="nil"/>
              <w:left w:val="nil"/>
              <w:bottom w:val="nil"/>
              <w:right w:val="nil"/>
            </w:tcBorders>
            <w:shd w:val="clear" w:color="000000" w:fill="FFFFFF"/>
            <w:noWrap/>
            <w:vAlign w:val="center"/>
            <w:hideMark/>
          </w:tcPr>
          <w:p w14:paraId="3235A373" w14:textId="77777777" w:rsidR="000F2348" w:rsidRPr="00D618B7" w:rsidRDefault="000F2348" w:rsidP="004B11B7">
            <w:pPr>
              <w:jc w:val="right"/>
              <w:rPr>
                <w:color w:val="000000"/>
                <w:sz w:val="22"/>
                <w:szCs w:val="22"/>
              </w:rPr>
            </w:pPr>
            <w:r w:rsidRPr="00D618B7">
              <w:rPr>
                <w:color w:val="000000"/>
                <w:sz w:val="22"/>
                <w:szCs w:val="22"/>
              </w:rPr>
              <w:t>455.26</w:t>
            </w:r>
          </w:p>
        </w:tc>
        <w:tc>
          <w:tcPr>
            <w:tcW w:w="1522" w:type="dxa"/>
            <w:tcBorders>
              <w:top w:val="nil"/>
              <w:left w:val="nil"/>
              <w:bottom w:val="nil"/>
              <w:right w:val="nil"/>
            </w:tcBorders>
            <w:shd w:val="clear" w:color="000000" w:fill="FFFFFF"/>
            <w:noWrap/>
            <w:vAlign w:val="center"/>
            <w:hideMark/>
          </w:tcPr>
          <w:p w14:paraId="4ECC2E6B" w14:textId="77777777" w:rsidR="000F2348" w:rsidRPr="00D618B7" w:rsidRDefault="000F2348" w:rsidP="004B11B7">
            <w:pPr>
              <w:jc w:val="right"/>
              <w:rPr>
                <w:color w:val="000000"/>
                <w:sz w:val="22"/>
                <w:szCs w:val="22"/>
              </w:rPr>
            </w:pPr>
            <w:r w:rsidRPr="00D618B7">
              <w:rPr>
                <w:color w:val="000000"/>
                <w:sz w:val="22"/>
                <w:szCs w:val="22"/>
              </w:rPr>
              <w:t>-1053.01</w:t>
            </w:r>
          </w:p>
        </w:tc>
        <w:tc>
          <w:tcPr>
            <w:tcW w:w="1059" w:type="dxa"/>
            <w:tcBorders>
              <w:top w:val="nil"/>
              <w:left w:val="nil"/>
              <w:bottom w:val="nil"/>
              <w:right w:val="nil"/>
            </w:tcBorders>
            <w:shd w:val="clear" w:color="000000" w:fill="FFFFFF"/>
            <w:noWrap/>
            <w:vAlign w:val="center"/>
            <w:hideMark/>
          </w:tcPr>
          <w:p w14:paraId="0A1DAF31" w14:textId="77777777" w:rsidR="000F2348" w:rsidRPr="00D618B7" w:rsidRDefault="000F2348" w:rsidP="004B11B7">
            <w:pPr>
              <w:jc w:val="right"/>
              <w:rPr>
                <w:color w:val="000000"/>
                <w:sz w:val="22"/>
                <w:szCs w:val="22"/>
              </w:rPr>
            </w:pPr>
            <w:r w:rsidRPr="00D618B7">
              <w:rPr>
                <w:color w:val="000000"/>
                <w:sz w:val="22"/>
                <w:szCs w:val="22"/>
              </w:rPr>
              <w:t>1137.89</w:t>
            </w:r>
          </w:p>
        </w:tc>
        <w:tc>
          <w:tcPr>
            <w:tcW w:w="1575" w:type="dxa"/>
            <w:tcBorders>
              <w:top w:val="nil"/>
              <w:left w:val="nil"/>
              <w:bottom w:val="nil"/>
              <w:right w:val="nil"/>
            </w:tcBorders>
            <w:shd w:val="clear" w:color="000000" w:fill="FFFFFF"/>
            <w:noWrap/>
            <w:vAlign w:val="center"/>
            <w:hideMark/>
          </w:tcPr>
          <w:p w14:paraId="2FD6A8FE" w14:textId="77777777" w:rsidR="000F2348" w:rsidRPr="00D618B7" w:rsidRDefault="000F2348" w:rsidP="004B11B7">
            <w:pPr>
              <w:jc w:val="right"/>
              <w:rPr>
                <w:color w:val="000000"/>
                <w:sz w:val="22"/>
                <w:szCs w:val="22"/>
              </w:rPr>
            </w:pPr>
            <w:r w:rsidRPr="00D618B7">
              <w:rPr>
                <w:color w:val="000000"/>
                <w:sz w:val="22"/>
                <w:szCs w:val="22"/>
              </w:rPr>
              <w:t>-4364.26</w:t>
            </w:r>
          </w:p>
        </w:tc>
        <w:tc>
          <w:tcPr>
            <w:tcW w:w="1096" w:type="dxa"/>
            <w:tcBorders>
              <w:top w:val="nil"/>
              <w:left w:val="nil"/>
              <w:bottom w:val="nil"/>
              <w:right w:val="nil"/>
            </w:tcBorders>
            <w:shd w:val="clear" w:color="000000" w:fill="FFFFFF"/>
            <w:noWrap/>
            <w:vAlign w:val="center"/>
            <w:hideMark/>
          </w:tcPr>
          <w:p w14:paraId="591DE8F8" w14:textId="77777777" w:rsidR="000F2348" w:rsidRPr="00D618B7" w:rsidRDefault="000F2348" w:rsidP="004B11B7">
            <w:pPr>
              <w:jc w:val="right"/>
              <w:rPr>
                <w:color w:val="000000"/>
                <w:sz w:val="22"/>
                <w:szCs w:val="22"/>
              </w:rPr>
            </w:pPr>
            <w:r w:rsidRPr="00D618B7">
              <w:rPr>
                <w:color w:val="000000"/>
                <w:sz w:val="22"/>
                <w:szCs w:val="22"/>
              </w:rPr>
              <w:t>794.23</w:t>
            </w:r>
          </w:p>
        </w:tc>
      </w:tr>
      <w:tr w:rsidR="000F2348" w:rsidRPr="00D618B7" w14:paraId="4FD5F2DC" w14:textId="77777777" w:rsidTr="001E0AE6">
        <w:trPr>
          <w:trHeight w:val="242"/>
        </w:trPr>
        <w:tc>
          <w:tcPr>
            <w:tcW w:w="1305" w:type="dxa"/>
            <w:tcBorders>
              <w:top w:val="nil"/>
              <w:left w:val="nil"/>
              <w:bottom w:val="nil"/>
              <w:right w:val="nil"/>
            </w:tcBorders>
            <w:shd w:val="clear" w:color="000000" w:fill="FFFFFF"/>
            <w:vAlign w:val="center"/>
            <w:hideMark/>
          </w:tcPr>
          <w:p w14:paraId="112B97FC" w14:textId="77777777" w:rsidR="000F2348" w:rsidRPr="00D618B7" w:rsidRDefault="000F2348" w:rsidP="004B11B7">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50726581" w14:textId="77777777" w:rsidR="000F2348" w:rsidRPr="00D618B7" w:rsidRDefault="000F2348" w:rsidP="004B11B7">
            <w:pPr>
              <w:jc w:val="right"/>
              <w:rPr>
                <w:color w:val="000000"/>
                <w:sz w:val="22"/>
                <w:szCs w:val="22"/>
              </w:rPr>
            </w:pPr>
            <w:r w:rsidRPr="00D618B7">
              <w:rPr>
                <w:color w:val="000000"/>
                <w:sz w:val="22"/>
                <w:szCs w:val="22"/>
              </w:rPr>
              <w:t>734.35</w:t>
            </w:r>
          </w:p>
        </w:tc>
        <w:tc>
          <w:tcPr>
            <w:tcW w:w="1070" w:type="dxa"/>
            <w:tcBorders>
              <w:top w:val="nil"/>
              <w:left w:val="nil"/>
              <w:bottom w:val="nil"/>
              <w:right w:val="nil"/>
            </w:tcBorders>
            <w:shd w:val="clear" w:color="000000" w:fill="FFFFFF"/>
            <w:noWrap/>
            <w:vAlign w:val="center"/>
            <w:hideMark/>
          </w:tcPr>
          <w:p w14:paraId="4FACE03A" w14:textId="77777777" w:rsidR="000F2348" w:rsidRPr="00D618B7" w:rsidRDefault="000F2348" w:rsidP="004B11B7">
            <w:pPr>
              <w:jc w:val="right"/>
              <w:rPr>
                <w:color w:val="000000"/>
                <w:sz w:val="22"/>
                <w:szCs w:val="22"/>
              </w:rPr>
            </w:pPr>
            <w:r w:rsidRPr="00D618B7">
              <w:rPr>
                <w:color w:val="000000"/>
                <w:sz w:val="22"/>
                <w:szCs w:val="22"/>
              </w:rPr>
              <w:t>118.98</w:t>
            </w:r>
          </w:p>
        </w:tc>
        <w:tc>
          <w:tcPr>
            <w:tcW w:w="1522" w:type="dxa"/>
            <w:tcBorders>
              <w:top w:val="nil"/>
              <w:left w:val="nil"/>
              <w:bottom w:val="nil"/>
              <w:right w:val="nil"/>
            </w:tcBorders>
            <w:shd w:val="clear" w:color="000000" w:fill="FFFFFF"/>
            <w:noWrap/>
            <w:vAlign w:val="center"/>
            <w:hideMark/>
          </w:tcPr>
          <w:p w14:paraId="3622ED28" w14:textId="77777777" w:rsidR="000F2348" w:rsidRPr="00D618B7" w:rsidRDefault="000F2348" w:rsidP="004B11B7">
            <w:pPr>
              <w:jc w:val="right"/>
              <w:rPr>
                <w:color w:val="000000"/>
                <w:sz w:val="22"/>
                <w:szCs w:val="22"/>
              </w:rPr>
            </w:pPr>
            <w:r w:rsidRPr="00D618B7">
              <w:rPr>
                <w:color w:val="000000"/>
                <w:sz w:val="22"/>
                <w:szCs w:val="22"/>
              </w:rPr>
              <w:t>1796.09</w:t>
            </w:r>
          </w:p>
        </w:tc>
        <w:tc>
          <w:tcPr>
            <w:tcW w:w="1059" w:type="dxa"/>
            <w:tcBorders>
              <w:top w:val="nil"/>
              <w:left w:val="nil"/>
              <w:bottom w:val="nil"/>
              <w:right w:val="nil"/>
            </w:tcBorders>
            <w:shd w:val="clear" w:color="000000" w:fill="FFFFFF"/>
            <w:noWrap/>
            <w:vAlign w:val="center"/>
            <w:hideMark/>
          </w:tcPr>
          <w:p w14:paraId="74F0FA6F" w14:textId="77777777" w:rsidR="000F2348" w:rsidRPr="00D618B7" w:rsidRDefault="000F2348" w:rsidP="004B11B7">
            <w:pPr>
              <w:jc w:val="right"/>
              <w:rPr>
                <w:color w:val="000000"/>
                <w:sz w:val="22"/>
                <w:szCs w:val="22"/>
              </w:rPr>
            </w:pPr>
            <w:r w:rsidRPr="00D618B7">
              <w:rPr>
                <w:color w:val="000000"/>
                <w:sz w:val="22"/>
                <w:szCs w:val="22"/>
              </w:rPr>
              <w:t>638.01</w:t>
            </w:r>
          </w:p>
        </w:tc>
        <w:tc>
          <w:tcPr>
            <w:tcW w:w="1575" w:type="dxa"/>
            <w:tcBorders>
              <w:top w:val="nil"/>
              <w:left w:val="nil"/>
              <w:bottom w:val="nil"/>
              <w:right w:val="nil"/>
            </w:tcBorders>
            <w:shd w:val="clear" w:color="000000" w:fill="FFFFFF"/>
            <w:noWrap/>
            <w:vAlign w:val="center"/>
            <w:hideMark/>
          </w:tcPr>
          <w:p w14:paraId="5BC46B89" w14:textId="77777777" w:rsidR="000F2348" w:rsidRPr="00D618B7" w:rsidRDefault="000F2348" w:rsidP="004B11B7">
            <w:pPr>
              <w:jc w:val="right"/>
              <w:rPr>
                <w:color w:val="000000"/>
                <w:sz w:val="22"/>
                <w:szCs w:val="22"/>
              </w:rPr>
            </w:pPr>
            <w:r w:rsidRPr="00D618B7">
              <w:rPr>
                <w:color w:val="000000"/>
                <w:sz w:val="22"/>
                <w:szCs w:val="22"/>
              </w:rPr>
              <w:t>34007.82</w:t>
            </w:r>
          </w:p>
        </w:tc>
        <w:tc>
          <w:tcPr>
            <w:tcW w:w="1096" w:type="dxa"/>
            <w:tcBorders>
              <w:top w:val="nil"/>
              <w:left w:val="nil"/>
              <w:bottom w:val="nil"/>
              <w:right w:val="nil"/>
            </w:tcBorders>
            <w:shd w:val="clear" w:color="000000" w:fill="FFFFFF"/>
            <w:noWrap/>
            <w:vAlign w:val="center"/>
            <w:hideMark/>
          </w:tcPr>
          <w:p w14:paraId="195E4050" w14:textId="77777777" w:rsidR="000F2348" w:rsidRPr="00D618B7" w:rsidRDefault="000F2348" w:rsidP="004B11B7">
            <w:pPr>
              <w:jc w:val="right"/>
              <w:rPr>
                <w:color w:val="000000"/>
                <w:sz w:val="22"/>
                <w:szCs w:val="22"/>
              </w:rPr>
            </w:pPr>
            <w:r w:rsidRPr="00D618B7">
              <w:rPr>
                <w:color w:val="000000"/>
                <w:sz w:val="22"/>
                <w:szCs w:val="22"/>
              </w:rPr>
              <w:t>12859.26</w:t>
            </w:r>
          </w:p>
        </w:tc>
      </w:tr>
      <w:tr w:rsidR="000F2348" w:rsidRPr="00D618B7" w14:paraId="52F2FA18" w14:textId="77777777" w:rsidTr="001E0AE6">
        <w:trPr>
          <w:trHeight w:val="242"/>
        </w:trPr>
        <w:tc>
          <w:tcPr>
            <w:tcW w:w="1305" w:type="dxa"/>
            <w:tcBorders>
              <w:top w:val="nil"/>
              <w:left w:val="nil"/>
              <w:bottom w:val="nil"/>
              <w:right w:val="nil"/>
            </w:tcBorders>
            <w:shd w:val="clear" w:color="000000" w:fill="FFFFFF"/>
            <w:vAlign w:val="center"/>
            <w:hideMark/>
          </w:tcPr>
          <w:p w14:paraId="5DD2CBCB" w14:textId="77777777" w:rsidR="000F2348" w:rsidRPr="00D618B7" w:rsidRDefault="000F2348" w:rsidP="004B11B7">
            <w:pPr>
              <w:jc w:val="right"/>
              <w:rPr>
                <w:color w:val="000000"/>
                <w:sz w:val="22"/>
                <w:szCs w:val="22"/>
              </w:rPr>
            </w:pPr>
            <w:r w:rsidRPr="00D618B7">
              <w:rPr>
                <w:color w:val="000000"/>
                <w:sz w:val="22"/>
                <w:szCs w:val="22"/>
              </w:rPr>
              <w:t>0</w:t>
            </w:r>
          </w:p>
        </w:tc>
        <w:tc>
          <w:tcPr>
            <w:tcW w:w="1093" w:type="dxa"/>
            <w:tcBorders>
              <w:top w:val="nil"/>
              <w:left w:val="nil"/>
              <w:bottom w:val="nil"/>
              <w:right w:val="nil"/>
            </w:tcBorders>
            <w:shd w:val="clear" w:color="000000" w:fill="FFFFFF"/>
            <w:noWrap/>
            <w:vAlign w:val="center"/>
            <w:hideMark/>
          </w:tcPr>
          <w:p w14:paraId="7AE11DD5" w14:textId="77777777" w:rsidR="000F2348" w:rsidRPr="00D618B7" w:rsidRDefault="000F2348" w:rsidP="004B11B7">
            <w:pPr>
              <w:jc w:val="right"/>
              <w:rPr>
                <w:color w:val="000000"/>
                <w:sz w:val="22"/>
                <w:szCs w:val="22"/>
              </w:rPr>
            </w:pPr>
            <w:r w:rsidRPr="00D618B7">
              <w:rPr>
                <w:color w:val="000000"/>
                <w:sz w:val="22"/>
                <w:szCs w:val="22"/>
              </w:rPr>
              <w:t>-76.37</w:t>
            </w:r>
          </w:p>
        </w:tc>
        <w:tc>
          <w:tcPr>
            <w:tcW w:w="1070" w:type="dxa"/>
            <w:tcBorders>
              <w:top w:val="nil"/>
              <w:left w:val="nil"/>
              <w:bottom w:val="nil"/>
              <w:right w:val="nil"/>
            </w:tcBorders>
            <w:shd w:val="clear" w:color="000000" w:fill="FFFFFF"/>
            <w:noWrap/>
            <w:vAlign w:val="center"/>
            <w:hideMark/>
          </w:tcPr>
          <w:p w14:paraId="29427495" w14:textId="77777777" w:rsidR="000F2348" w:rsidRPr="00D618B7" w:rsidRDefault="000F2348" w:rsidP="004B11B7">
            <w:pPr>
              <w:jc w:val="right"/>
              <w:rPr>
                <w:color w:val="000000"/>
                <w:sz w:val="22"/>
                <w:szCs w:val="22"/>
              </w:rPr>
            </w:pPr>
            <w:r w:rsidRPr="00D618B7">
              <w:rPr>
                <w:color w:val="000000"/>
                <w:sz w:val="22"/>
                <w:szCs w:val="22"/>
              </w:rPr>
              <w:t>34.58</w:t>
            </w:r>
          </w:p>
        </w:tc>
        <w:tc>
          <w:tcPr>
            <w:tcW w:w="1522" w:type="dxa"/>
            <w:tcBorders>
              <w:top w:val="nil"/>
              <w:left w:val="nil"/>
              <w:bottom w:val="nil"/>
              <w:right w:val="nil"/>
            </w:tcBorders>
            <w:shd w:val="clear" w:color="000000" w:fill="FFFFFF"/>
            <w:noWrap/>
            <w:vAlign w:val="center"/>
            <w:hideMark/>
          </w:tcPr>
          <w:p w14:paraId="757F49DF" w14:textId="77777777" w:rsidR="000F2348" w:rsidRPr="00D618B7" w:rsidRDefault="000F2348" w:rsidP="004B11B7">
            <w:pPr>
              <w:jc w:val="right"/>
              <w:rPr>
                <w:color w:val="000000"/>
                <w:sz w:val="22"/>
                <w:szCs w:val="22"/>
              </w:rPr>
            </w:pPr>
            <w:r w:rsidRPr="00D618B7">
              <w:rPr>
                <w:color w:val="000000"/>
                <w:sz w:val="22"/>
                <w:szCs w:val="22"/>
              </w:rPr>
              <w:t>-1339.57</w:t>
            </w:r>
          </w:p>
        </w:tc>
        <w:tc>
          <w:tcPr>
            <w:tcW w:w="1059" w:type="dxa"/>
            <w:tcBorders>
              <w:top w:val="nil"/>
              <w:left w:val="nil"/>
              <w:bottom w:val="nil"/>
              <w:right w:val="nil"/>
            </w:tcBorders>
            <w:shd w:val="clear" w:color="000000" w:fill="FFFFFF"/>
            <w:noWrap/>
            <w:vAlign w:val="center"/>
            <w:hideMark/>
          </w:tcPr>
          <w:p w14:paraId="2F41F6BC" w14:textId="77777777" w:rsidR="000F2348" w:rsidRPr="00D618B7" w:rsidRDefault="000F2348" w:rsidP="004B11B7">
            <w:pPr>
              <w:jc w:val="right"/>
              <w:rPr>
                <w:color w:val="000000"/>
                <w:sz w:val="22"/>
                <w:szCs w:val="22"/>
              </w:rPr>
            </w:pPr>
            <w:r w:rsidRPr="00D618B7">
              <w:rPr>
                <w:color w:val="000000"/>
                <w:sz w:val="22"/>
                <w:szCs w:val="22"/>
              </w:rPr>
              <w:t>453.66</w:t>
            </w:r>
          </w:p>
        </w:tc>
        <w:tc>
          <w:tcPr>
            <w:tcW w:w="1575" w:type="dxa"/>
            <w:tcBorders>
              <w:top w:val="nil"/>
              <w:left w:val="nil"/>
              <w:bottom w:val="nil"/>
              <w:right w:val="nil"/>
            </w:tcBorders>
            <w:shd w:val="clear" w:color="000000" w:fill="FFFFFF"/>
            <w:noWrap/>
            <w:vAlign w:val="center"/>
            <w:hideMark/>
          </w:tcPr>
          <w:p w14:paraId="10A3548E" w14:textId="77777777" w:rsidR="000F2348" w:rsidRPr="00D618B7" w:rsidRDefault="000F2348" w:rsidP="004B11B7">
            <w:pPr>
              <w:jc w:val="right"/>
              <w:rPr>
                <w:color w:val="000000"/>
                <w:sz w:val="22"/>
                <w:szCs w:val="22"/>
              </w:rPr>
            </w:pPr>
            <w:r w:rsidRPr="00D618B7">
              <w:rPr>
                <w:color w:val="000000"/>
                <w:sz w:val="22"/>
                <w:szCs w:val="22"/>
              </w:rPr>
              <w:t>-3756.69</w:t>
            </w:r>
          </w:p>
        </w:tc>
        <w:tc>
          <w:tcPr>
            <w:tcW w:w="1096" w:type="dxa"/>
            <w:tcBorders>
              <w:top w:val="nil"/>
              <w:left w:val="nil"/>
              <w:bottom w:val="nil"/>
              <w:right w:val="nil"/>
            </w:tcBorders>
            <w:shd w:val="clear" w:color="000000" w:fill="FFFFFF"/>
            <w:noWrap/>
            <w:vAlign w:val="center"/>
            <w:hideMark/>
          </w:tcPr>
          <w:p w14:paraId="64EF7F49" w14:textId="77777777" w:rsidR="000F2348" w:rsidRPr="00D618B7" w:rsidRDefault="000F2348" w:rsidP="004B11B7">
            <w:pPr>
              <w:jc w:val="right"/>
              <w:rPr>
                <w:color w:val="000000"/>
                <w:sz w:val="22"/>
                <w:szCs w:val="22"/>
              </w:rPr>
            </w:pPr>
            <w:r w:rsidRPr="00D618B7">
              <w:rPr>
                <w:color w:val="000000"/>
                <w:sz w:val="22"/>
                <w:szCs w:val="22"/>
              </w:rPr>
              <w:t>4714.35</w:t>
            </w:r>
          </w:p>
        </w:tc>
      </w:tr>
      <w:tr w:rsidR="000F2348" w:rsidRPr="00D618B7" w14:paraId="5192C76F" w14:textId="77777777" w:rsidTr="001E0AE6">
        <w:trPr>
          <w:trHeight w:val="242"/>
        </w:trPr>
        <w:tc>
          <w:tcPr>
            <w:tcW w:w="1305" w:type="dxa"/>
            <w:tcBorders>
              <w:top w:val="nil"/>
              <w:left w:val="nil"/>
              <w:bottom w:val="nil"/>
              <w:right w:val="nil"/>
            </w:tcBorders>
            <w:shd w:val="clear" w:color="000000" w:fill="FFFFFF"/>
            <w:vAlign w:val="center"/>
            <w:hideMark/>
          </w:tcPr>
          <w:p w14:paraId="4E715E1C" w14:textId="77777777" w:rsidR="000F2348" w:rsidRPr="00D618B7" w:rsidRDefault="000F2348" w:rsidP="004B11B7">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6E342785" w14:textId="77777777" w:rsidR="000F2348" w:rsidRPr="00D618B7" w:rsidRDefault="000F2348" w:rsidP="004B11B7">
            <w:pPr>
              <w:jc w:val="right"/>
              <w:rPr>
                <w:color w:val="000000"/>
                <w:sz w:val="22"/>
                <w:szCs w:val="22"/>
              </w:rPr>
            </w:pPr>
            <w:r w:rsidRPr="00D618B7">
              <w:rPr>
                <w:color w:val="000000"/>
                <w:sz w:val="22"/>
                <w:szCs w:val="22"/>
              </w:rPr>
              <w:t>-534.40</w:t>
            </w:r>
          </w:p>
        </w:tc>
        <w:tc>
          <w:tcPr>
            <w:tcW w:w="1070" w:type="dxa"/>
            <w:tcBorders>
              <w:top w:val="nil"/>
              <w:left w:val="nil"/>
              <w:bottom w:val="nil"/>
              <w:right w:val="nil"/>
            </w:tcBorders>
            <w:shd w:val="clear" w:color="000000" w:fill="FFFFFF"/>
            <w:noWrap/>
            <w:vAlign w:val="center"/>
            <w:hideMark/>
          </w:tcPr>
          <w:p w14:paraId="61DD00DE" w14:textId="77777777" w:rsidR="000F2348" w:rsidRPr="00D618B7" w:rsidRDefault="000F2348" w:rsidP="004B11B7">
            <w:pPr>
              <w:jc w:val="right"/>
              <w:rPr>
                <w:color w:val="000000"/>
                <w:sz w:val="22"/>
                <w:szCs w:val="22"/>
              </w:rPr>
            </w:pPr>
            <w:r w:rsidRPr="00D618B7">
              <w:rPr>
                <w:color w:val="000000"/>
                <w:sz w:val="22"/>
                <w:szCs w:val="22"/>
              </w:rPr>
              <w:t>685.04</w:t>
            </w:r>
          </w:p>
        </w:tc>
        <w:tc>
          <w:tcPr>
            <w:tcW w:w="1522" w:type="dxa"/>
            <w:tcBorders>
              <w:top w:val="nil"/>
              <w:left w:val="nil"/>
              <w:bottom w:val="nil"/>
              <w:right w:val="nil"/>
            </w:tcBorders>
            <w:shd w:val="clear" w:color="000000" w:fill="FFFFFF"/>
            <w:noWrap/>
            <w:vAlign w:val="center"/>
            <w:hideMark/>
          </w:tcPr>
          <w:p w14:paraId="76771FAF" w14:textId="77777777" w:rsidR="000F2348" w:rsidRPr="00D618B7" w:rsidRDefault="000F2348" w:rsidP="004B11B7">
            <w:pPr>
              <w:jc w:val="right"/>
              <w:rPr>
                <w:color w:val="000000"/>
                <w:sz w:val="22"/>
                <w:szCs w:val="22"/>
              </w:rPr>
            </w:pPr>
            <w:r w:rsidRPr="00D618B7">
              <w:rPr>
                <w:color w:val="000000"/>
                <w:sz w:val="22"/>
                <w:szCs w:val="22"/>
              </w:rPr>
              <w:t>5558.43</w:t>
            </w:r>
          </w:p>
        </w:tc>
        <w:tc>
          <w:tcPr>
            <w:tcW w:w="1059" w:type="dxa"/>
            <w:tcBorders>
              <w:top w:val="nil"/>
              <w:left w:val="nil"/>
              <w:bottom w:val="nil"/>
              <w:right w:val="nil"/>
            </w:tcBorders>
            <w:shd w:val="clear" w:color="000000" w:fill="FFFFFF"/>
            <w:noWrap/>
            <w:vAlign w:val="center"/>
            <w:hideMark/>
          </w:tcPr>
          <w:p w14:paraId="53077103" w14:textId="77777777" w:rsidR="000F2348" w:rsidRPr="00D618B7" w:rsidRDefault="000F2348" w:rsidP="004B11B7">
            <w:pPr>
              <w:jc w:val="right"/>
              <w:rPr>
                <w:color w:val="000000"/>
                <w:sz w:val="22"/>
                <w:szCs w:val="22"/>
              </w:rPr>
            </w:pPr>
            <w:r w:rsidRPr="00D618B7">
              <w:rPr>
                <w:color w:val="000000"/>
                <w:sz w:val="22"/>
                <w:szCs w:val="22"/>
              </w:rPr>
              <w:t>664.00</w:t>
            </w:r>
          </w:p>
        </w:tc>
        <w:tc>
          <w:tcPr>
            <w:tcW w:w="1575" w:type="dxa"/>
            <w:tcBorders>
              <w:top w:val="nil"/>
              <w:left w:val="nil"/>
              <w:bottom w:val="nil"/>
              <w:right w:val="nil"/>
            </w:tcBorders>
            <w:shd w:val="clear" w:color="000000" w:fill="FFFFFF"/>
            <w:noWrap/>
            <w:vAlign w:val="center"/>
            <w:hideMark/>
          </w:tcPr>
          <w:p w14:paraId="5F87646B" w14:textId="77777777" w:rsidR="000F2348" w:rsidRPr="00D618B7" w:rsidRDefault="000F2348" w:rsidP="004B11B7">
            <w:pPr>
              <w:jc w:val="right"/>
              <w:rPr>
                <w:color w:val="000000"/>
                <w:sz w:val="22"/>
                <w:szCs w:val="22"/>
              </w:rPr>
            </w:pPr>
            <w:r w:rsidRPr="00D618B7">
              <w:rPr>
                <w:color w:val="000000"/>
                <w:sz w:val="22"/>
                <w:szCs w:val="22"/>
              </w:rPr>
              <w:t>6431.52</w:t>
            </w:r>
          </w:p>
        </w:tc>
        <w:tc>
          <w:tcPr>
            <w:tcW w:w="1096" w:type="dxa"/>
            <w:tcBorders>
              <w:top w:val="nil"/>
              <w:left w:val="nil"/>
              <w:bottom w:val="nil"/>
              <w:right w:val="nil"/>
            </w:tcBorders>
            <w:shd w:val="clear" w:color="000000" w:fill="FFFFFF"/>
            <w:noWrap/>
            <w:vAlign w:val="center"/>
            <w:hideMark/>
          </w:tcPr>
          <w:p w14:paraId="68243F06" w14:textId="77777777" w:rsidR="000F2348" w:rsidRPr="00D618B7" w:rsidRDefault="000F2348" w:rsidP="004B11B7">
            <w:pPr>
              <w:jc w:val="right"/>
              <w:rPr>
                <w:color w:val="000000"/>
                <w:sz w:val="22"/>
                <w:szCs w:val="22"/>
              </w:rPr>
            </w:pPr>
            <w:r w:rsidRPr="00D618B7">
              <w:rPr>
                <w:color w:val="000000"/>
                <w:sz w:val="22"/>
                <w:szCs w:val="22"/>
              </w:rPr>
              <w:t>2287.20</w:t>
            </w:r>
          </w:p>
        </w:tc>
      </w:tr>
      <w:tr w:rsidR="000F2348" w:rsidRPr="00D618B7" w14:paraId="7CE8C44F" w14:textId="77777777" w:rsidTr="001E0AE6">
        <w:trPr>
          <w:trHeight w:val="242"/>
        </w:trPr>
        <w:tc>
          <w:tcPr>
            <w:tcW w:w="1305" w:type="dxa"/>
            <w:tcBorders>
              <w:top w:val="nil"/>
              <w:left w:val="nil"/>
              <w:bottom w:val="nil"/>
              <w:right w:val="nil"/>
            </w:tcBorders>
            <w:shd w:val="clear" w:color="000000" w:fill="FFFFFF"/>
            <w:vAlign w:val="center"/>
            <w:hideMark/>
          </w:tcPr>
          <w:p w14:paraId="06F9C9A4" w14:textId="77777777" w:rsidR="000F2348" w:rsidRPr="00D618B7" w:rsidRDefault="000F2348" w:rsidP="004B11B7">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37B943AA" w14:textId="77777777" w:rsidR="000F2348" w:rsidRPr="00D618B7" w:rsidRDefault="000F2348" w:rsidP="004B11B7">
            <w:pPr>
              <w:jc w:val="right"/>
              <w:rPr>
                <w:color w:val="000000"/>
                <w:sz w:val="22"/>
                <w:szCs w:val="22"/>
              </w:rPr>
            </w:pPr>
            <w:r w:rsidRPr="00D618B7">
              <w:rPr>
                <w:color w:val="000000"/>
                <w:sz w:val="22"/>
                <w:szCs w:val="22"/>
              </w:rPr>
              <w:t>1262.40</w:t>
            </w:r>
          </w:p>
        </w:tc>
        <w:tc>
          <w:tcPr>
            <w:tcW w:w="1070" w:type="dxa"/>
            <w:tcBorders>
              <w:top w:val="nil"/>
              <w:left w:val="nil"/>
              <w:bottom w:val="nil"/>
              <w:right w:val="nil"/>
            </w:tcBorders>
            <w:shd w:val="clear" w:color="000000" w:fill="FFFFFF"/>
            <w:noWrap/>
            <w:vAlign w:val="center"/>
            <w:hideMark/>
          </w:tcPr>
          <w:p w14:paraId="5965953E" w14:textId="77777777" w:rsidR="000F2348" w:rsidRPr="00D618B7" w:rsidRDefault="000F2348" w:rsidP="004B11B7">
            <w:pPr>
              <w:jc w:val="right"/>
              <w:rPr>
                <w:color w:val="000000"/>
                <w:sz w:val="22"/>
                <w:szCs w:val="22"/>
              </w:rPr>
            </w:pPr>
            <w:r w:rsidRPr="00D618B7">
              <w:rPr>
                <w:color w:val="000000"/>
                <w:sz w:val="22"/>
                <w:szCs w:val="22"/>
              </w:rPr>
              <w:t>563.41</w:t>
            </w:r>
          </w:p>
        </w:tc>
        <w:tc>
          <w:tcPr>
            <w:tcW w:w="1522" w:type="dxa"/>
            <w:tcBorders>
              <w:top w:val="nil"/>
              <w:left w:val="nil"/>
              <w:bottom w:val="nil"/>
              <w:right w:val="nil"/>
            </w:tcBorders>
            <w:shd w:val="clear" w:color="000000" w:fill="FFFFFF"/>
            <w:noWrap/>
            <w:vAlign w:val="center"/>
            <w:hideMark/>
          </w:tcPr>
          <w:p w14:paraId="291B461D" w14:textId="77777777" w:rsidR="000F2348" w:rsidRPr="00D618B7" w:rsidRDefault="000F2348" w:rsidP="004B11B7">
            <w:pPr>
              <w:jc w:val="right"/>
              <w:rPr>
                <w:color w:val="000000"/>
                <w:sz w:val="22"/>
                <w:szCs w:val="22"/>
              </w:rPr>
            </w:pPr>
            <w:r w:rsidRPr="00D618B7">
              <w:rPr>
                <w:color w:val="000000"/>
                <w:sz w:val="22"/>
                <w:szCs w:val="22"/>
              </w:rPr>
              <w:t>-2674.36</w:t>
            </w:r>
          </w:p>
        </w:tc>
        <w:tc>
          <w:tcPr>
            <w:tcW w:w="1059" w:type="dxa"/>
            <w:tcBorders>
              <w:top w:val="nil"/>
              <w:left w:val="nil"/>
              <w:bottom w:val="nil"/>
              <w:right w:val="nil"/>
            </w:tcBorders>
            <w:shd w:val="clear" w:color="000000" w:fill="FFFFFF"/>
            <w:noWrap/>
            <w:vAlign w:val="center"/>
            <w:hideMark/>
          </w:tcPr>
          <w:p w14:paraId="165D912B" w14:textId="77777777" w:rsidR="000F2348" w:rsidRPr="00D618B7" w:rsidRDefault="000F2348" w:rsidP="004B11B7">
            <w:pPr>
              <w:jc w:val="right"/>
              <w:rPr>
                <w:color w:val="000000"/>
                <w:sz w:val="22"/>
                <w:szCs w:val="22"/>
              </w:rPr>
            </w:pPr>
            <w:r w:rsidRPr="00D618B7">
              <w:rPr>
                <w:color w:val="000000"/>
                <w:sz w:val="22"/>
                <w:szCs w:val="22"/>
              </w:rPr>
              <w:t>3115.27</w:t>
            </w:r>
          </w:p>
        </w:tc>
        <w:tc>
          <w:tcPr>
            <w:tcW w:w="1575" w:type="dxa"/>
            <w:tcBorders>
              <w:top w:val="nil"/>
              <w:left w:val="nil"/>
              <w:bottom w:val="nil"/>
              <w:right w:val="nil"/>
            </w:tcBorders>
            <w:shd w:val="clear" w:color="000000" w:fill="FFFFFF"/>
            <w:noWrap/>
            <w:vAlign w:val="center"/>
            <w:hideMark/>
          </w:tcPr>
          <w:p w14:paraId="1E96CECD" w14:textId="77777777" w:rsidR="000F2348" w:rsidRPr="00D618B7" w:rsidRDefault="000F2348" w:rsidP="004B11B7">
            <w:pPr>
              <w:jc w:val="right"/>
              <w:rPr>
                <w:color w:val="000000"/>
                <w:sz w:val="22"/>
                <w:szCs w:val="22"/>
              </w:rPr>
            </w:pPr>
            <w:r w:rsidRPr="00D618B7">
              <w:rPr>
                <w:color w:val="000000"/>
                <w:sz w:val="22"/>
                <w:szCs w:val="22"/>
              </w:rPr>
              <w:t>-15492.37</w:t>
            </w:r>
          </w:p>
        </w:tc>
        <w:tc>
          <w:tcPr>
            <w:tcW w:w="1096" w:type="dxa"/>
            <w:tcBorders>
              <w:top w:val="nil"/>
              <w:left w:val="nil"/>
              <w:bottom w:val="nil"/>
              <w:right w:val="nil"/>
            </w:tcBorders>
            <w:shd w:val="clear" w:color="000000" w:fill="FFFFFF"/>
            <w:noWrap/>
            <w:vAlign w:val="center"/>
            <w:hideMark/>
          </w:tcPr>
          <w:p w14:paraId="1A886072" w14:textId="77777777" w:rsidR="000F2348" w:rsidRPr="00D618B7" w:rsidRDefault="000F2348" w:rsidP="004B11B7">
            <w:pPr>
              <w:jc w:val="right"/>
              <w:rPr>
                <w:color w:val="000000"/>
                <w:sz w:val="22"/>
                <w:szCs w:val="22"/>
              </w:rPr>
            </w:pPr>
            <w:r w:rsidRPr="00D618B7">
              <w:rPr>
                <w:color w:val="000000"/>
                <w:sz w:val="22"/>
                <w:szCs w:val="22"/>
              </w:rPr>
              <w:t>5455.75</w:t>
            </w:r>
          </w:p>
        </w:tc>
      </w:tr>
      <w:tr w:rsidR="000F2348" w:rsidRPr="00D618B7" w14:paraId="72F1E5D1" w14:textId="77777777" w:rsidTr="001E0AE6">
        <w:trPr>
          <w:trHeight w:val="242"/>
        </w:trPr>
        <w:tc>
          <w:tcPr>
            <w:tcW w:w="1305" w:type="dxa"/>
            <w:tcBorders>
              <w:top w:val="nil"/>
              <w:left w:val="nil"/>
              <w:bottom w:val="nil"/>
              <w:right w:val="nil"/>
            </w:tcBorders>
            <w:shd w:val="clear" w:color="000000" w:fill="FFFFFF"/>
            <w:vAlign w:val="center"/>
            <w:hideMark/>
          </w:tcPr>
          <w:p w14:paraId="08C0152C" w14:textId="77777777" w:rsidR="000F2348" w:rsidRPr="00D618B7" w:rsidRDefault="000F2348" w:rsidP="004B11B7">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4BF8DFDF" w14:textId="77777777" w:rsidR="000F2348" w:rsidRPr="00D618B7" w:rsidRDefault="000F2348" w:rsidP="004B11B7">
            <w:pPr>
              <w:jc w:val="right"/>
              <w:rPr>
                <w:color w:val="000000"/>
                <w:sz w:val="22"/>
                <w:szCs w:val="22"/>
              </w:rPr>
            </w:pPr>
            <w:r w:rsidRPr="00D618B7">
              <w:rPr>
                <w:color w:val="000000"/>
                <w:sz w:val="22"/>
                <w:szCs w:val="22"/>
              </w:rPr>
              <w:t>-655.16</w:t>
            </w:r>
          </w:p>
        </w:tc>
        <w:tc>
          <w:tcPr>
            <w:tcW w:w="1070" w:type="dxa"/>
            <w:tcBorders>
              <w:top w:val="nil"/>
              <w:left w:val="nil"/>
              <w:bottom w:val="nil"/>
              <w:right w:val="nil"/>
            </w:tcBorders>
            <w:shd w:val="clear" w:color="000000" w:fill="FFFFFF"/>
            <w:noWrap/>
            <w:vAlign w:val="center"/>
            <w:hideMark/>
          </w:tcPr>
          <w:p w14:paraId="25B15245" w14:textId="77777777" w:rsidR="000F2348" w:rsidRPr="00D618B7" w:rsidRDefault="000F2348" w:rsidP="004B11B7">
            <w:pPr>
              <w:jc w:val="right"/>
              <w:rPr>
                <w:color w:val="000000"/>
                <w:sz w:val="22"/>
                <w:szCs w:val="22"/>
              </w:rPr>
            </w:pPr>
            <w:r w:rsidRPr="00D618B7">
              <w:rPr>
                <w:color w:val="000000"/>
                <w:sz w:val="22"/>
                <w:szCs w:val="22"/>
              </w:rPr>
              <w:t>58.35</w:t>
            </w:r>
          </w:p>
        </w:tc>
        <w:tc>
          <w:tcPr>
            <w:tcW w:w="1522" w:type="dxa"/>
            <w:tcBorders>
              <w:top w:val="nil"/>
              <w:left w:val="nil"/>
              <w:bottom w:val="nil"/>
              <w:right w:val="nil"/>
            </w:tcBorders>
            <w:shd w:val="clear" w:color="000000" w:fill="FFFFFF"/>
            <w:noWrap/>
            <w:vAlign w:val="center"/>
            <w:hideMark/>
          </w:tcPr>
          <w:p w14:paraId="1EADD5E5" w14:textId="77777777" w:rsidR="000F2348" w:rsidRPr="00D618B7" w:rsidRDefault="000F2348" w:rsidP="004B11B7">
            <w:pPr>
              <w:jc w:val="right"/>
              <w:rPr>
                <w:color w:val="000000"/>
                <w:sz w:val="22"/>
                <w:szCs w:val="22"/>
              </w:rPr>
            </w:pPr>
            <w:r w:rsidRPr="00D618B7">
              <w:rPr>
                <w:color w:val="000000"/>
                <w:sz w:val="22"/>
                <w:szCs w:val="22"/>
              </w:rPr>
              <w:t>-2303.02</w:t>
            </w:r>
          </w:p>
        </w:tc>
        <w:tc>
          <w:tcPr>
            <w:tcW w:w="1059" w:type="dxa"/>
            <w:tcBorders>
              <w:top w:val="nil"/>
              <w:left w:val="nil"/>
              <w:bottom w:val="nil"/>
              <w:right w:val="nil"/>
            </w:tcBorders>
            <w:shd w:val="clear" w:color="000000" w:fill="FFFFFF"/>
            <w:noWrap/>
            <w:vAlign w:val="center"/>
            <w:hideMark/>
          </w:tcPr>
          <w:p w14:paraId="0DF367D8" w14:textId="77777777" w:rsidR="000F2348" w:rsidRPr="00D618B7" w:rsidRDefault="000F2348" w:rsidP="004B11B7">
            <w:pPr>
              <w:jc w:val="right"/>
              <w:rPr>
                <w:color w:val="000000"/>
                <w:sz w:val="22"/>
                <w:szCs w:val="22"/>
              </w:rPr>
            </w:pPr>
            <w:r w:rsidRPr="00D618B7">
              <w:rPr>
                <w:color w:val="000000"/>
                <w:sz w:val="22"/>
                <w:szCs w:val="22"/>
              </w:rPr>
              <w:t>3323.84</w:t>
            </w:r>
          </w:p>
        </w:tc>
        <w:tc>
          <w:tcPr>
            <w:tcW w:w="1575" w:type="dxa"/>
            <w:tcBorders>
              <w:top w:val="nil"/>
              <w:left w:val="nil"/>
              <w:bottom w:val="nil"/>
              <w:right w:val="nil"/>
            </w:tcBorders>
            <w:shd w:val="clear" w:color="000000" w:fill="FFFFFF"/>
            <w:noWrap/>
            <w:vAlign w:val="center"/>
            <w:hideMark/>
          </w:tcPr>
          <w:p w14:paraId="4DE37F0B" w14:textId="77777777" w:rsidR="000F2348" w:rsidRPr="00D618B7" w:rsidRDefault="000F2348" w:rsidP="004B11B7">
            <w:pPr>
              <w:jc w:val="right"/>
              <w:rPr>
                <w:color w:val="000000"/>
                <w:sz w:val="22"/>
                <w:szCs w:val="22"/>
              </w:rPr>
            </w:pPr>
            <w:r w:rsidRPr="00D618B7">
              <w:rPr>
                <w:color w:val="000000"/>
                <w:sz w:val="22"/>
                <w:szCs w:val="22"/>
              </w:rPr>
              <w:t>19162.96</w:t>
            </w:r>
          </w:p>
        </w:tc>
        <w:tc>
          <w:tcPr>
            <w:tcW w:w="1096" w:type="dxa"/>
            <w:tcBorders>
              <w:top w:val="nil"/>
              <w:left w:val="nil"/>
              <w:bottom w:val="nil"/>
              <w:right w:val="nil"/>
            </w:tcBorders>
            <w:shd w:val="clear" w:color="000000" w:fill="FFFFFF"/>
            <w:noWrap/>
            <w:vAlign w:val="center"/>
            <w:hideMark/>
          </w:tcPr>
          <w:p w14:paraId="2B8D9DF7" w14:textId="77777777" w:rsidR="000F2348" w:rsidRPr="00D618B7" w:rsidRDefault="000F2348" w:rsidP="004B11B7">
            <w:pPr>
              <w:jc w:val="right"/>
              <w:rPr>
                <w:color w:val="000000"/>
                <w:sz w:val="22"/>
                <w:szCs w:val="22"/>
              </w:rPr>
            </w:pPr>
            <w:r w:rsidRPr="00D618B7">
              <w:rPr>
                <w:color w:val="000000"/>
                <w:sz w:val="22"/>
                <w:szCs w:val="22"/>
              </w:rPr>
              <w:t>872.35</w:t>
            </w:r>
          </w:p>
        </w:tc>
      </w:tr>
      <w:tr w:rsidR="000F2348" w:rsidRPr="00D618B7" w14:paraId="35D8FC44" w14:textId="77777777" w:rsidTr="001E0AE6">
        <w:trPr>
          <w:trHeight w:val="242"/>
        </w:trPr>
        <w:tc>
          <w:tcPr>
            <w:tcW w:w="1305" w:type="dxa"/>
            <w:tcBorders>
              <w:top w:val="nil"/>
              <w:left w:val="nil"/>
              <w:right w:val="nil"/>
            </w:tcBorders>
            <w:shd w:val="clear" w:color="000000" w:fill="FFFFFF"/>
            <w:vAlign w:val="center"/>
            <w:hideMark/>
          </w:tcPr>
          <w:p w14:paraId="450A8201" w14:textId="77777777" w:rsidR="000F2348" w:rsidRPr="00D618B7" w:rsidRDefault="000F2348" w:rsidP="004B11B7">
            <w:pPr>
              <w:jc w:val="right"/>
              <w:rPr>
                <w:color w:val="000000"/>
                <w:sz w:val="22"/>
                <w:szCs w:val="22"/>
              </w:rPr>
            </w:pPr>
            <w:r w:rsidRPr="00D618B7">
              <w:rPr>
                <w:color w:val="000000"/>
                <w:sz w:val="22"/>
                <w:szCs w:val="22"/>
              </w:rPr>
              <w:t>4</w:t>
            </w:r>
          </w:p>
        </w:tc>
        <w:tc>
          <w:tcPr>
            <w:tcW w:w="1093" w:type="dxa"/>
            <w:tcBorders>
              <w:top w:val="nil"/>
              <w:left w:val="nil"/>
              <w:right w:val="nil"/>
            </w:tcBorders>
            <w:shd w:val="clear" w:color="000000" w:fill="FFFFFF"/>
            <w:noWrap/>
            <w:vAlign w:val="center"/>
            <w:hideMark/>
          </w:tcPr>
          <w:p w14:paraId="3F2A3C9A" w14:textId="77777777" w:rsidR="000F2348" w:rsidRPr="00D618B7" w:rsidRDefault="000F2348" w:rsidP="004B11B7">
            <w:pPr>
              <w:jc w:val="right"/>
              <w:rPr>
                <w:color w:val="000000"/>
                <w:sz w:val="22"/>
                <w:szCs w:val="22"/>
              </w:rPr>
            </w:pPr>
            <w:r w:rsidRPr="00D618B7">
              <w:rPr>
                <w:color w:val="000000"/>
                <w:sz w:val="22"/>
                <w:szCs w:val="22"/>
              </w:rPr>
              <w:t>1610.26</w:t>
            </w:r>
          </w:p>
        </w:tc>
        <w:tc>
          <w:tcPr>
            <w:tcW w:w="1070" w:type="dxa"/>
            <w:tcBorders>
              <w:top w:val="nil"/>
              <w:left w:val="nil"/>
              <w:right w:val="nil"/>
            </w:tcBorders>
            <w:shd w:val="clear" w:color="000000" w:fill="FFFFFF"/>
            <w:noWrap/>
            <w:vAlign w:val="center"/>
            <w:hideMark/>
          </w:tcPr>
          <w:p w14:paraId="5263AA6C" w14:textId="77777777" w:rsidR="000F2348" w:rsidRPr="00D618B7" w:rsidRDefault="000F2348" w:rsidP="004B11B7">
            <w:pPr>
              <w:jc w:val="right"/>
              <w:rPr>
                <w:color w:val="000000"/>
                <w:sz w:val="22"/>
                <w:szCs w:val="22"/>
              </w:rPr>
            </w:pPr>
            <w:r w:rsidRPr="00D618B7">
              <w:rPr>
                <w:color w:val="000000"/>
                <w:sz w:val="22"/>
                <w:szCs w:val="22"/>
              </w:rPr>
              <w:t>118.90</w:t>
            </w:r>
          </w:p>
        </w:tc>
        <w:tc>
          <w:tcPr>
            <w:tcW w:w="1522" w:type="dxa"/>
            <w:tcBorders>
              <w:top w:val="nil"/>
              <w:left w:val="nil"/>
              <w:right w:val="nil"/>
            </w:tcBorders>
            <w:shd w:val="clear" w:color="000000" w:fill="FFFFFF"/>
            <w:noWrap/>
            <w:vAlign w:val="center"/>
            <w:hideMark/>
          </w:tcPr>
          <w:p w14:paraId="548DE034" w14:textId="77777777" w:rsidR="000F2348" w:rsidRPr="00D618B7" w:rsidRDefault="000F2348" w:rsidP="004B11B7">
            <w:pPr>
              <w:jc w:val="right"/>
              <w:rPr>
                <w:color w:val="000000"/>
                <w:sz w:val="22"/>
                <w:szCs w:val="22"/>
              </w:rPr>
            </w:pPr>
            <w:r w:rsidRPr="00D618B7">
              <w:rPr>
                <w:color w:val="000000"/>
                <w:sz w:val="22"/>
                <w:szCs w:val="22"/>
              </w:rPr>
              <w:t>-1506.07</w:t>
            </w:r>
          </w:p>
        </w:tc>
        <w:tc>
          <w:tcPr>
            <w:tcW w:w="1059" w:type="dxa"/>
            <w:tcBorders>
              <w:top w:val="nil"/>
              <w:left w:val="nil"/>
              <w:right w:val="nil"/>
            </w:tcBorders>
            <w:shd w:val="clear" w:color="000000" w:fill="FFFFFF"/>
            <w:noWrap/>
            <w:vAlign w:val="center"/>
            <w:hideMark/>
          </w:tcPr>
          <w:p w14:paraId="61DF051A" w14:textId="77777777" w:rsidR="000F2348" w:rsidRPr="00D618B7" w:rsidRDefault="000F2348" w:rsidP="004B11B7">
            <w:pPr>
              <w:jc w:val="right"/>
              <w:rPr>
                <w:color w:val="000000"/>
                <w:sz w:val="22"/>
                <w:szCs w:val="22"/>
              </w:rPr>
            </w:pPr>
            <w:r w:rsidRPr="00D618B7">
              <w:rPr>
                <w:color w:val="000000"/>
                <w:sz w:val="22"/>
                <w:szCs w:val="22"/>
              </w:rPr>
              <w:t>3600.59</w:t>
            </w:r>
          </w:p>
        </w:tc>
        <w:tc>
          <w:tcPr>
            <w:tcW w:w="1575" w:type="dxa"/>
            <w:tcBorders>
              <w:top w:val="nil"/>
              <w:left w:val="nil"/>
              <w:right w:val="nil"/>
            </w:tcBorders>
            <w:shd w:val="clear" w:color="000000" w:fill="FFFFFF"/>
            <w:noWrap/>
            <w:vAlign w:val="center"/>
            <w:hideMark/>
          </w:tcPr>
          <w:p w14:paraId="43D3AAF5" w14:textId="77777777" w:rsidR="000F2348" w:rsidRPr="00D618B7" w:rsidRDefault="000F2348" w:rsidP="004B11B7">
            <w:pPr>
              <w:jc w:val="right"/>
              <w:rPr>
                <w:color w:val="000000"/>
                <w:sz w:val="22"/>
                <w:szCs w:val="22"/>
              </w:rPr>
            </w:pPr>
            <w:r w:rsidRPr="00D618B7">
              <w:rPr>
                <w:color w:val="000000"/>
                <w:sz w:val="22"/>
                <w:szCs w:val="22"/>
              </w:rPr>
              <w:t>25.80</w:t>
            </w:r>
          </w:p>
        </w:tc>
        <w:tc>
          <w:tcPr>
            <w:tcW w:w="1096" w:type="dxa"/>
            <w:tcBorders>
              <w:top w:val="nil"/>
              <w:left w:val="nil"/>
              <w:right w:val="nil"/>
            </w:tcBorders>
            <w:shd w:val="clear" w:color="000000" w:fill="FFFFFF"/>
            <w:noWrap/>
            <w:vAlign w:val="center"/>
            <w:hideMark/>
          </w:tcPr>
          <w:p w14:paraId="2A526427" w14:textId="77777777" w:rsidR="000F2348" w:rsidRPr="00D618B7" w:rsidRDefault="000F2348" w:rsidP="004B11B7">
            <w:pPr>
              <w:jc w:val="right"/>
              <w:rPr>
                <w:color w:val="000000"/>
                <w:sz w:val="22"/>
                <w:szCs w:val="22"/>
              </w:rPr>
            </w:pPr>
            <w:r w:rsidRPr="00D618B7">
              <w:rPr>
                <w:color w:val="000000"/>
                <w:sz w:val="22"/>
                <w:szCs w:val="22"/>
              </w:rPr>
              <w:t>2856.13</w:t>
            </w:r>
          </w:p>
        </w:tc>
      </w:tr>
      <w:tr w:rsidR="000F2348" w:rsidRPr="00D618B7" w14:paraId="5E2169E9" w14:textId="77777777" w:rsidTr="00187F1A">
        <w:trPr>
          <w:trHeight w:val="92"/>
        </w:trPr>
        <w:tc>
          <w:tcPr>
            <w:tcW w:w="1305" w:type="dxa"/>
            <w:tcBorders>
              <w:top w:val="nil"/>
              <w:left w:val="nil"/>
              <w:bottom w:val="single" w:sz="18" w:space="0" w:color="auto"/>
              <w:right w:val="nil"/>
            </w:tcBorders>
            <w:shd w:val="clear" w:color="000000" w:fill="FFFFFF"/>
            <w:vAlign w:val="center"/>
            <w:hideMark/>
          </w:tcPr>
          <w:p w14:paraId="60529D36" w14:textId="77777777" w:rsidR="000F2348" w:rsidRPr="00D618B7" w:rsidRDefault="000F2348" w:rsidP="004B11B7">
            <w:pPr>
              <w:jc w:val="right"/>
              <w:rPr>
                <w:color w:val="000000"/>
                <w:sz w:val="22"/>
                <w:szCs w:val="22"/>
              </w:rPr>
            </w:pPr>
            <w:r w:rsidRPr="00D618B7">
              <w:rPr>
                <w:color w:val="000000"/>
                <w:sz w:val="22"/>
                <w:szCs w:val="22"/>
              </w:rPr>
              <w:t>5</w:t>
            </w:r>
          </w:p>
        </w:tc>
        <w:tc>
          <w:tcPr>
            <w:tcW w:w="1093" w:type="dxa"/>
            <w:tcBorders>
              <w:top w:val="nil"/>
              <w:left w:val="nil"/>
              <w:bottom w:val="single" w:sz="18" w:space="0" w:color="auto"/>
              <w:right w:val="nil"/>
            </w:tcBorders>
            <w:shd w:val="clear" w:color="000000" w:fill="FFFFFF"/>
            <w:noWrap/>
            <w:vAlign w:val="center"/>
            <w:hideMark/>
          </w:tcPr>
          <w:p w14:paraId="5C65F8A8" w14:textId="77777777" w:rsidR="000F2348" w:rsidRPr="00D618B7" w:rsidRDefault="000F2348" w:rsidP="004B11B7">
            <w:pPr>
              <w:jc w:val="right"/>
              <w:rPr>
                <w:color w:val="000000"/>
                <w:sz w:val="22"/>
                <w:szCs w:val="22"/>
              </w:rPr>
            </w:pPr>
            <w:r w:rsidRPr="00D618B7">
              <w:rPr>
                <w:color w:val="000000"/>
                <w:sz w:val="22"/>
                <w:szCs w:val="22"/>
              </w:rPr>
              <w:t>-988.30</w:t>
            </w:r>
          </w:p>
        </w:tc>
        <w:tc>
          <w:tcPr>
            <w:tcW w:w="1070" w:type="dxa"/>
            <w:tcBorders>
              <w:top w:val="nil"/>
              <w:left w:val="nil"/>
              <w:bottom w:val="single" w:sz="18" w:space="0" w:color="auto"/>
              <w:right w:val="nil"/>
            </w:tcBorders>
            <w:shd w:val="clear" w:color="000000" w:fill="FFFFFF"/>
            <w:noWrap/>
            <w:vAlign w:val="center"/>
            <w:hideMark/>
          </w:tcPr>
          <w:p w14:paraId="4F012F47" w14:textId="77777777" w:rsidR="000F2348" w:rsidRPr="00D618B7" w:rsidRDefault="000F2348" w:rsidP="004B11B7">
            <w:pPr>
              <w:jc w:val="right"/>
              <w:rPr>
                <w:color w:val="000000"/>
                <w:sz w:val="22"/>
                <w:szCs w:val="22"/>
              </w:rPr>
            </w:pPr>
            <w:r w:rsidRPr="00D618B7">
              <w:rPr>
                <w:color w:val="000000"/>
                <w:sz w:val="22"/>
                <w:szCs w:val="22"/>
              </w:rPr>
              <w:t>924.48</w:t>
            </w:r>
          </w:p>
        </w:tc>
        <w:tc>
          <w:tcPr>
            <w:tcW w:w="1522" w:type="dxa"/>
            <w:tcBorders>
              <w:top w:val="nil"/>
              <w:left w:val="nil"/>
              <w:bottom w:val="single" w:sz="18" w:space="0" w:color="auto"/>
              <w:right w:val="nil"/>
            </w:tcBorders>
            <w:shd w:val="clear" w:color="000000" w:fill="FFFFFF"/>
            <w:noWrap/>
            <w:vAlign w:val="center"/>
            <w:hideMark/>
          </w:tcPr>
          <w:p w14:paraId="7B7FA65C" w14:textId="77777777" w:rsidR="000F2348" w:rsidRPr="00D618B7" w:rsidRDefault="000F2348" w:rsidP="004B11B7">
            <w:pPr>
              <w:jc w:val="right"/>
              <w:rPr>
                <w:color w:val="000000"/>
                <w:sz w:val="22"/>
                <w:szCs w:val="22"/>
              </w:rPr>
            </w:pPr>
            <w:r w:rsidRPr="00D618B7">
              <w:rPr>
                <w:color w:val="000000"/>
                <w:sz w:val="22"/>
                <w:szCs w:val="22"/>
              </w:rPr>
              <w:t>6617.09</w:t>
            </w:r>
          </w:p>
        </w:tc>
        <w:tc>
          <w:tcPr>
            <w:tcW w:w="1059" w:type="dxa"/>
            <w:tcBorders>
              <w:top w:val="nil"/>
              <w:left w:val="nil"/>
              <w:bottom w:val="single" w:sz="18" w:space="0" w:color="auto"/>
              <w:right w:val="nil"/>
            </w:tcBorders>
            <w:shd w:val="clear" w:color="000000" w:fill="FFFFFF"/>
            <w:noWrap/>
            <w:vAlign w:val="center"/>
            <w:hideMark/>
          </w:tcPr>
          <w:p w14:paraId="6B1E0304" w14:textId="77777777" w:rsidR="000F2348" w:rsidRPr="00D618B7" w:rsidRDefault="000F2348" w:rsidP="004B11B7">
            <w:pPr>
              <w:jc w:val="right"/>
              <w:rPr>
                <w:color w:val="000000"/>
                <w:sz w:val="22"/>
                <w:szCs w:val="22"/>
              </w:rPr>
            </w:pPr>
            <w:r w:rsidRPr="00D618B7">
              <w:rPr>
                <w:color w:val="000000"/>
                <w:sz w:val="22"/>
                <w:szCs w:val="22"/>
              </w:rPr>
              <w:t>1819.98</w:t>
            </w:r>
          </w:p>
        </w:tc>
        <w:tc>
          <w:tcPr>
            <w:tcW w:w="1575" w:type="dxa"/>
            <w:tcBorders>
              <w:top w:val="nil"/>
              <w:left w:val="nil"/>
              <w:bottom w:val="single" w:sz="18" w:space="0" w:color="auto"/>
              <w:right w:val="nil"/>
            </w:tcBorders>
            <w:shd w:val="clear" w:color="000000" w:fill="FFFFFF"/>
            <w:noWrap/>
            <w:vAlign w:val="center"/>
            <w:hideMark/>
          </w:tcPr>
          <w:p w14:paraId="7966AA5C" w14:textId="77777777" w:rsidR="000F2348" w:rsidRPr="00D618B7" w:rsidRDefault="000F2348" w:rsidP="004B11B7">
            <w:pPr>
              <w:jc w:val="right"/>
              <w:rPr>
                <w:color w:val="000000"/>
                <w:sz w:val="22"/>
                <w:szCs w:val="22"/>
              </w:rPr>
            </w:pPr>
            <w:r w:rsidRPr="00D618B7">
              <w:rPr>
                <w:color w:val="000000"/>
                <w:sz w:val="22"/>
                <w:szCs w:val="22"/>
              </w:rPr>
              <w:t>-8163.15</w:t>
            </w:r>
          </w:p>
        </w:tc>
        <w:tc>
          <w:tcPr>
            <w:tcW w:w="1096" w:type="dxa"/>
            <w:tcBorders>
              <w:top w:val="nil"/>
              <w:left w:val="nil"/>
              <w:bottom w:val="single" w:sz="18" w:space="0" w:color="auto"/>
              <w:right w:val="nil"/>
            </w:tcBorders>
            <w:shd w:val="clear" w:color="000000" w:fill="FFFFFF"/>
            <w:noWrap/>
            <w:vAlign w:val="center"/>
            <w:hideMark/>
          </w:tcPr>
          <w:p w14:paraId="72A279A3" w14:textId="77777777" w:rsidR="000F2348" w:rsidRPr="00D618B7" w:rsidRDefault="000F2348" w:rsidP="004B11B7">
            <w:pPr>
              <w:jc w:val="right"/>
              <w:rPr>
                <w:color w:val="000000"/>
                <w:sz w:val="22"/>
                <w:szCs w:val="22"/>
              </w:rPr>
            </w:pPr>
            <w:r w:rsidRPr="00D618B7">
              <w:rPr>
                <w:color w:val="000000"/>
                <w:sz w:val="22"/>
                <w:szCs w:val="22"/>
              </w:rPr>
              <w:t>1292.81</w:t>
            </w:r>
          </w:p>
        </w:tc>
      </w:tr>
      <w:tr w:rsidR="000F2348" w:rsidRPr="00D618B7" w14:paraId="1BFE7DDC" w14:textId="77777777" w:rsidTr="001E0AE6">
        <w:trPr>
          <w:trHeight w:val="242"/>
        </w:trPr>
        <w:tc>
          <w:tcPr>
            <w:tcW w:w="1305" w:type="dxa"/>
            <w:tcBorders>
              <w:top w:val="single" w:sz="18" w:space="0" w:color="auto"/>
              <w:left w:val="nil"/>
              <w:bottom w:val="nil"/>
              <w:right w:val="nil"/>
            </w:tcBorders>
            <w:shd w:val="clear" w:color="000000" w:fill="FFFFFF"/>
            <w:noWrap/>
            <w:vAlign w:val="bottom"/>
            <w:hideMark/>
          </w:tcPr>
          <w:p w14:paraId="42E8E7AF" w14:textId="77777777" w:rsidR="000F2348" w:rsidRPr="00D618B7" w:rsidRDefault="000F2348" w:rsidP="004B11B7">
            <w:pPr>
              <w:rPr>
                <w:color w:val="000000"/>
                <w:sz w:val="22"/>
                <w:szCs w:val="22"/>
              </w:rPr>
            </w:pPr>
            <w:r w:rsidRPr="00D618B7">
              <w:rPr>
                <w:color w:val="000000"/>
                <w:sz w:val="22"/>
                <w:szCs w:val="22"/>
              </w:rPr>
              <w:t> </w:t>
            </w:r>
          </w:p>
        </w:tc>
        <w:tc>
          <w:tcPr>
            <w:tcW w:w="7419" w:type="dxa"/>
            <w:gridSpan w:val="6"/>
            <w:tcBorders>
              <w:top w:val="single" w:sz="18" w:space="0" w:color="auto"/>
              <w:left w:val="nil"/>
              <w:bottom w:val="nil"/>
              <w:right w:val="nil"/>
            </w:tcBorders>
            <w:shd w:val="clear" w:color="000000" w:fill="FFFFFF"/>
            <w:noWrap/>
            <w:vAlign w:val="center"/>
            <w:hideMark/>
          </w:tcPr>
          <w:p w14:paraId="7C0D0ED2" w14:textId="77777777" w:rsidR="000F2348" w:rsidRPr="00D618B7" w:rsidRDefault="000F2348" w:rsidP="004B11B7">
            <w:pPr>
              <w:jc w:val="center"/>
              <w:rPr>
                <w:color w:val="000000"/>
                <w:sz w:val="22"/>
                <w:szCs w:val="22"/>
              </w:rPr>
            </w:pPr>
            <w:r w:rsidRPr="00D618B7">
              <w:rPr>
                <w:color w:val="000000"/>
                <w:sz w:val="22"/>
                <w:szCs w:val="22"/>
              </w:rPr>
              <w:t>Toy-in-Reach</w:t>
            </w:r>
          </w:p>
        </w:tc>
      </w:tr>
      <w:tr w:rsidR="000F2348" w:rsidRPr="00D618B7" w14:paraId="47AB1779" w14:textId="77777777" w:rsidTr="001E0AE6">
        <w:trPr>
          <w:trHeight w:val="242"/>
        </w:trPr>
        <w:tc>
          <w:tcPr>
            <w:tcW w:w="1305" w:type="dxa"/>
            <w:tcBorders>
              <w:top w:val="nil"/>
              <w:left w:val="nil"/>
              <w:bottom w:val="nil"/>
              <w:right w:val="nil"/>
            </w:tcBorders>
            <w:shd w:val="clear" w:color="000000" w:fill="FFFFFF"/>
            <w:vAlign w:val="center"/>
            <w:hideMark/>
          </w:tcPr>
          <w:p w14:paraId="0D2F263C" w14:textId="77777777" w:rsidR="000F2348" w:rsidRPr="00D618B7" w:rsidRDefault="000F2348" w:rsidP="004B11B7">
            <w:pPr>
              <w:jc w:val="right"/>
              <w:rPr>
                <w:color w:val="000000"/>
                <w:sz w:val="22"/>
                <w:szCs w:val="22"/>
              </w:rPr>
            </w:pPr>
            <w:r w:rsidRPr="00D618B7">
              <w:rPr>
                <w:color w:val="000000"/>
                <w:sz w:val="22"/>
                <w:szCs w:val="22"/>
              </w:rPr>
              <w:t>-5</w:t>
            </w:r>
          </w:p>
        </w:tc>
        <w:tc>
          <w:tcPr>
            <w:tcW w:w="1093" w:type="dxa"/>
            <w:tcBorders>
              <w:top w:val="nil"/>
              <w:left w:val="nil"/>
              <w:bottom w:val="nil"/>
              <w:right w:val="nil"/>
            </w:tcBorders>
            <w:shd w:val="clear" w:color="000000" w:fill="FFFFFF"/>
            <w:noWrap/>
            <w:vAlign w:val="center"/>
            <w:hideMark/>
          </w:tcPr>
          <w:p w14:paraId="64DA7FF2" w14:textId="77777777" w:rsidR="000F2348" w:rsidRPr="00D618B7" w:rsidRDefault="000F2348" w:rsidP="004B11B7">
            <w:pPr>
              <w:jc w:val="right"/>
              <w:rPr>
                <w:color w:val="000000"/>
                <w:sz w:val="22"/>
                <w:szCs w:val="22"/>
              </w:rPr>
            </w:pPr>
            <w:r w:rsidRPr="00D618B7">
              <w:rPr>
                <w:color w:val="000000"/>
                <w:sz w:val="22"/>
                <w:szCs w:val="22"/>
              </w:rPr>
              <w:t>10266.42</w:t>
            </w:r>
          </w:p>
        </w:tc>
        <w:tc>
          <w:tcPr>
            <w:tcW w:w="1070" w:type="dxa"/>
            <w:tcBorders>
              <w:top w:val="nil"/>
              <w:left w:val="nil"/>
              <w:bottom w:val="nil"/>
              <w:right w:val="nil"/>
            </w:tcBorders>
            <w:shd w:val="clear" w:color="000000" w:fill="FFFFFF"/>
            <w:noWrap/>
            <w:vAlign w:val="center"/>
            <w:hideMark/>
          </w:tcPr>
          <w:p w14:paraId="2D6B50F0" w14:textId="77777777" w:rsidR="000F2348" w:rsidRPr="00D618B7" w:rsidRDefault="000F2348" w:rsidP="004B11B7">
            <w:pPr>
              <w:jc w:val="right"/>
              <w:rPr>
                <w:color w:val="000000"/>
                <w:sz w:val="22"/>
                <w:szCs w:val="22"/>
              </w:rPr>
            </w:pPr>
            <w:r w:rsidRPr="00D618B7">
              <w:rPr>
                <w:color w:val="000000"/>
                <w:sz w:val="22"/>
                <w:szCs w:val="22"/>
              </w:rPr>
              <w:t>60.80</w:t>
            </w:r>
          </w:p>
        </w:tc>
        <w:tc>
          <w:tcPr>
            <w:tcW w:w="1522" w:type="dxa"/>
            <w:tcBorders>
              <w:top w:val="nil"/>
              <w:left w:val="nil"/>
              <w:bottom w:val="nil"/>
              <w:right w:val="nil"/>
            </w:tcBorders>
            <w:shd w:val="clear" w:color="000000" w:fill="FFFFFF"/>
            <w:noWrap/>
            <w:vAlign w:val="center"/>
            <w:hideMark/>
          </w:tcPr>
          <w:p w14:paraId="090CE1DB" w14:textId="77777777" w:rsidR="000F2348" w:rsidRPr="00D618B7" w:rsidRDefault="000F2348" w:rsidP="004B11B7">
            <w:pPr>
              <w:jc w:val="right"/>
              <w:rPr>
                <w:color w:val="000000"/>
                <w:sz w:val="22"/>
                <w:szCs w:val="22"/>
              </w:rPr>
            </w:pPr>
            <w:r w:rsidRPr="00D618B7">
              <w:rPr>
                <w:color w:val="000000"/>
                <w:sz w:val="22"/>
                <w:szCs w:val="22"/>
              </w:rPr>
              <w:t>-4.69</w:t>
            </w:r>
          </w:p>
        </w:tc>
        <w:tc>
          <w:tcPr>
            <w:tcW w:w="1059" w:type="dxa"/>
            <w:tcBorders>
              <w:top w:val="nil"/>
              <w:left w:val="nil"/>
              <w:bottom w:val="nil"/>
              <w:right w:val="nil"/>
            </w:tcBorders>
            <w:shd w:val="clear" w:color="000000" w:fill="FFFFFF"/>
            <w:noWrap/>
            <w:vAlign w:val="center"/>
            <w:hideMark/>
          </w:tcPr>
          <w:p w14:paraId="4E4139CB" w14:textId="77777777" w:rsidR="000F2348" w:rsidRPr="00D618B7" w:rsidRDefault="000F2348" w:rsidP="004B11B7">
            <w:pPr>
              <w:jc w:val="right"/>
              <w:rPr>
                <w:color w:val="000000"/>
                <w:sz w:val="22"/>
                <w:szCs w:val="22"/>
              </w:rPr>
            </w:pPr>
            <w:r w:rsidRPr="00D618B7">
              <w:rPr>
                <w:color w:val="000000"/>
                <w:sz w:val="22"/>
                <w:szCs w:val="22"/>
              </w:rPr>
              <w:t>543.72</w:t>
            </w:r>
          </w:p>
        </w:tc>
        <w:tc>
          <w:tcPr>
            <w:tcW w:w="1575" w:type="dxa"/>
            <w:tcBorders>
              <w:top w:val="nil"/>
              <w:left w:val="nil"/>
              <w:bottom w:val="nil"/>
              <w:right w:val="nil"/>
            </w:tcBorders>
            <w:shd w:val="clear" w:color="000000" w:fill="FFFFFF"/>
            <w:noWrap/>
            <w:vAlign w:val="center"/>
            <w:hideMark/>
          </w:tcPr>
          <w:p w14:paraId="3752F32B" w14:textId="77777777" w:rsidR="000F2348" w:rsidRPr="00D618B7" w:rsidRDefault="000F2348" w:rsidP="004B11B7">
            <w:pPr>
              <w:jc w:val="right"/>
              <w:rPr>
                <w:color w:val="000000"/>
                <w:sz w:val="22"/>
                <w:szCs w:val="22"/>
              </w:rPr>
            </w:pPr>
            <w:r w:rsidRPr="00D618B7">
              <w:rPr>
                <w:color w:val="000000"/>
                <w:sz w:val="22"/>
                <w:szCs w:val="22"/>
              </w:rPr>
              <w:t>12443.71</w:t>
            </w:r>
          </w:p>
        </w:tc>
        <w:tc>
          <w:tcPr>
            <w:tcW w:w="1096" w:type="dxa"/>
            <w:tcBorders>
              <w:top w:val="nil"/>
              <w:left w:val="nil"/>
              <w:bottom w:val="nil"/>
              <w:right w:val="nil"/>
            </w:tcBorders>
            <w:shd w:val="clear" w:color="000000" w:fill="FFFFFF"/>
            <w:noWrap/>
            <w:vAlign w:val="center"/>
            <w:hideMark/>
          </w:tcPr>
          <w:p w14:paraId="04478AF9" w14:textId="77777777" w:rsidR="000F2348" w:rsidRPr="00D618B7" w:rsidRDefault="000F2348" w:rsidP="004B11B7">
            <w:pPr>
              <w:jc w:val="right"/>
              <w:rPr>
                <w:color w:val="000000"/>
                <w:sz w:val="22"/>
                <w:szCs w:val="22"/>
              </w:rPr>
            </w:pPr>
            <w:r w:rsidRPr="00D618B7">
              <w:rPr>
                <w:color w:val="000000"/>
                <w:sz w:val="22"/>
                <w:szCs w:val="22"/>
              </w:rPr>
              <w:t>3185.30</w:t>
            </w:r>
          </w:p>
        </w:tc>
      </w:tr>
      <w:tr w:rsidR="000F2348" w:rsidRPr="00D618B7" w14:paraId="3255A929" w14:textId="77777777" w:rsidTr="001E0AE6">
        <w:trPr>
          <w:trHeight w:val="242"/>
        </w:trPr>
        <w:tc>
          <w:tcPr>
            <w:tcW w:w="1305" w:type="dxa"/>
            <w:tcBorders>
              <w:top w:val="nil"/>
              <w:left w:val="nil"/>
              <w:bottom w:val="nil"/>
              <w:right w:val="nil"/>
            </w:tcBorders>
            <w:shd w:val="clear" w:color="000000" w:fill="FFFFFF"/>
            <w:vAlign w:val="center"/>
            <w:hideMark/>
          </w:tcPr>
          <w:p w14:paraId="09B04C76" w14:textId="77777777" w:rsidR="000F2348" w:rsidRPr="00D618B7" w:rsidRDefault="000F2348" w:rsidP="004B11B7">
            <w:pPr>
              <w:jc w:val="right"/>
              <w:rPr>
                <w:color w:val="000000"/>
                <w:sz w:val="22"/>
                <w:szCs w:val="22"/>
              </w:rPr>
            </w:pPr>
            <w:r w:rsidRPr="00D618B7">
              <w:rPr>
                <w:color w:val="000000"/>
                <w:sz w:val="22"/>
                <w:szCs w:val="22"/>
              </w:rPr>
              <w:t>-4</w:t>
            </w:r>
          </w:p>
        </w:tc>
        <w:tc>
          <w:tcPr>
            <w:tcW w:w="1093" w:type="dxa"/>
            <w:tcBorders>
              <w:top w:val="nil"/>
              <w:left w:val="nil"/>
              <w:bottom w:val="nil"/>
              <w:right w:val="nil"/>
            </w:tcBorders>
            <w:shd w:val="clear" w:color="000000" w:fill="FFFFFF"/>
            <w:noWrap/>
            <w:vAlign w:val="center"/>
            <w:hideMark/>
          </w:tcPr>
          <w:p w14:paraId="4B71F3A1" w14:textId="77777777" w:rsidR="000F2348" w:rsidRPr="00D618B7" w:rsidRDefault="000F2348" w:rsidP="004B11B7">
            <w:pPr>
              <w:jc w:val="right"/>
              <w:rPr>
                <w:color w:val="000000"/>
                <w:sz w:val="22"/>
                <w:szCs w:val="22"/>
              </w:rPr>
            </w:pPr>
            <w:r w:rsidRPr="00D618B7">
              <w:rPr>
                <w:color w:val="000000"/>
                <w:sz w:val="22"/>
                <w:szCs w:val="22"/>
              </w:rPr>
              <w:t>-0.31</w:t>
            </w:r>
          </w:p>
        </w:tc>
        <w:tc>
          <w:tcPr>
            <w:tcW w:w="1070" w:type="dxa"/>
            <w:tcBorders>
              <w:top w:val="nil"/>
              <w:left w:val="nil"/>
              <w:bottom w:val="nil"/>
              <w:right w:val="nil"/>
            </w:tcBorders>
            <w:shd w:val="clear" w:color="000000" w:fill="FFFFFF"/>
            <w:noWrap/>
            <w:vAlign w:val="center"/>
            <w:hideMark/>
          </w:tcPr>
          <w:p w14:paraId="6D9C3A22" w14:textId="77777777" w:rsidR="000F2348" w:rsidRPr="00D618B7" w:rsidRDefault="000F2348" w:rsidP="004B11B7">
            <w:pPr>
              <w:jc w:val="right"/>
              <w:rPr>
                <w:color w:val="000000"/>
                <w:sz w:val="22"/>
                <w:szCs w:val="22"/>
              </w:rPr>
            </w:pPr>
            <w:r w:rsidRPr="00D618B7">
              <w:rPr>
                <w:color w:val="000000"/>
                <w:sz w:val="22"/>
                <w:szCs w:val="22"/>
              </w:rPr>
              <w:t>167.34</w:t>
            </w:r>
          </w:p>
        </w:tc>
        <w:tc>
          <w:tcPr>
            <w:tcW w:w="1522" w:type="dxa"/>
            <w:tcBorders>
              <w:top w:val="nil"/>
              <w:left w:val="nil"/>
              <w:bottom w:val="nil"/>
              <w:right w:val="nil"/>
            </w:tcBorders>
            <w:shd w:val="clear" w:color="000000" w:fill="FFFFFF"/>
            <w:noWrap/>
            <w:vAlign w:val="center"/>
            <w:hideMark/>
          </w:tcPr>
          <w:p w14:paraId="1D6F119B" w14:textId="77777777" w:rsidR="000F2348" w:rsidRPr="00D618B7" w:rsidRDefault="000F2348" w:rsidP="004B11B7">
            <w:pPr>
              <w:jc w:val="right"/>
              <w:rPr>
                <w:color w:val="000000"/>
                <w:sz w:val="22"/>
                <w:szCs w:val="22"/>
              </w:rPr>
            </w:pPr>
            <w:r w:rsidRPr="00D618B7">
              <w:rPr>
                <w:color w:val="000000"/>
                <w:sz w:val="22"/>
                <w:szCs w:val="22"/>
              </w:rPr>
              <w:t>796.67</w:t>
            </w:r>
          </w:p>
        </w:tc>
        <w:tc>
          <w:tcPr>
            <w:tcW w:w="1059" w:type="dxa"/>
            <w:tcBorders>
              <w:top w:val="nil"/>
              <w:left w:val="nil"/>
              <w:bottom w:val="nil"/>
              <w:right w:val="nil"/>
            </w:tcBorders>
            <w:shd w:val="clear" w:color="000000" w:fill="FFFFFF"/>
            <w:noWrap/>
            <w:vAlign w:val="center"/>
            <w:hideMark/>
          </w:tcPr>
          <w:p w14:paraId="49032679" w14:textId="77777777" w:rsidR="000F2348" w:rsidRPr="00D618B7" w:rsidRDefault="000F2348" w:rsidP="004B11B7">
            <w:pPr>
              <w:jc w:val="right"/>
              <w:rPr>
                <w:color w:val="000000"/>
                <w:sz w:val="22"/>
                <w:szCs w:val="22"/>
              </w:rPr>
            </w:pPr>
            <w:r w:rsidRPr="00D618B7">
              <w:rPr>
                <w:color w:val="000000"/>
                <w:sz w:val="22"/>
                <w:szCs w:val="22"/>
              </w:rPr>
              <w:t>897.57</w:t>
            </w:r>
          </w:p>
        </w:tc>
        <w:tc>
          <w:tcPr>
            <w:tcW w:w="1575" w:type="dxa"/>
            <w:tcBorders>
              <w:top w:val="nil"/>
              <w:left w:val="nil"/>
              <w:bottom w:val="nil"/>
              <w:right w:val="nil"/>
            </w:tcBorders>
            <w:shd w:val="clear" w:color="000000" w:fill="FFFFFF"/>
            <w:noWrap/>
            <w:vAlign w:val="center"/>
            <w:hideMark/>
          </w:tcPr>
          <w:p w14:paraId="18E7CE85" w14:textId="77777777" w:rsidR="000F2348" w:rsidRPr="00D618B7" w:rsidRDefault="000F2348" w:rsidP="004B11B7">
            <w:pPr>
              <w:jc w:val="right"/>
              <w:rPr>
                <w:color w:val="000000"/>
                <w:sz w:val="22"/>
                <w:szCs w:val="22"/>
              </w:rPr>
            </w:pPr>
            <w:r w:rsidRPr="00D618B7">
              <w:rPr>
                <w:color w:val="000000"/>
                <w:sz w:val="22"/>
                <w:szCs w:val="22"/>
              </w:rPr>
              <w:t>2533.73</w:t>
            </w:r>
          </w:p>
        </w:tc>
        <w:tc>
          <w:tcPr>
            <w:tcW w:w="1096" w:type="dxa"/>
            <w:tcBorders>
              <w:top w:val="nil"/>
              <w:left w:val="nil"/>
              <w:bottom w:val="nil"/>
              <w:right w:val="nil"/>
            </w:tcBorders>
            <w:shd w:val="clear" w:color="000000" w:fill="FFFFFF"/>
            <w:noWrap/>
            <w:vAlign w:val="center"/>
            <w:hideMark/>
          </w:tcPr>
          <w:p w14:paraId="0FEA80A3" w14:textId="77777777" w:rsidR="000F2348" w:rsidRPr="00D618B7" w:rsidRDefault="000F2348" w:rsidP="004B11B7">
            <w:pPr>
              <w:jc w:val="right"/>
              <w:rPr>
                <w:color w:val="000000"/>
                <w:sz w:val="22"/>
                <w:szCs w:val="22"/>
              </w:rPr>
            </w:pPr>
            <w:r w:rsidRPr="00D618B7">
              <w:rPr>
                <w:color w:val="000000"/>
                <w:sz w:val="22"/>
                <w:szCs w:val="22"/>
              </w:rPr>
              <w:t>4889.06</w:t>
            </w:r>
          </w:p>
        </w:tc>
      </w:tr>
      <w:tr w:rsidR="000F2348" w:rsidRPr="00D618B7" w14:paraId="630A5AA3" w14:textId="77777777" w:rsidTr="001E0AE6">
        <w:trPr>
          <w:trHeight w:val="242"/>
        </w:trPr>
        <w:tc>
          <w:tcPr>
            <w:tcW w:w="1305" w:type="dxa"/>
            <w:tcBorders>
              <w:top w:val="nil"/>
              <w:left w:val="nil"/>
              <w:bottom w:val="nil"/>
              <w:right w:val="nil"/>
            </w:tcBorders>
            <w:shd w:val="clear" w:color="000000" w:fill="FFFFFF"/>
            <w:vAlign w:val="center"/>
            <w:hideMark/>
          </w:tcPr>
          <w:p w14:paraId="1B47495D" w14:textId="77777777" w:rsidR="000F2348" w:rsidRPr="00D618B7" w:rsidRDefault="000F2348" w:rsidP="004B11B7">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18D6227E" w14:textId="77777777" w:rsidR="000F2348" w:rsidRPr="00D618B7" w:rsidRDefault="000F2348" w:rsidP="004B11B7">
            <w:pPr>
              <w:jc w:val="right"/>
              <w:rPr>
                <w:color w:val="000000"/>
                <w:sz w:val="22"/>
                <w:szCs w:val="22"/>
              </w:rPr>
            </w:pPr>
            <w:r w:rsidRPr="00D618B7">
              <w:rPr>
                <w:color w:val="000000"/>
                <w:sz w:val="22"/>
                <w:szCs w:val="22"/>
              </w:rPr>
              <w:t>479.01</w:t>
            </w:r>
          </w:p>
        </w:tc>
        <w:tc>
          <w:tcPr>
            <w:tcW w:w="1070" w:type="dxa"/>
            <w:tcBorders>
              <w:top w:val="nil"/>
              <w:left w:val="nil"/>
              <w:bottom w:val="nil"/>
              <w:right w:val="nil"/>
            </w:tcBorders>
            <w:shd w:val="clear" w:color="000000" w:fill="FFFFFF"/>
            <w:noWrap/>
            <w:vAlign w:val="center"/>
            <w:hideMark/>
          </w:tcPr>
          <w:p w14:paraId="69F60DF8" w14:textId="77777777" w:rsidR="000F2348" w:rsidRPr="00D618B7" w:rsidRDefault="000F2348" w:rsidP="004B11B7">
            <w:pPr>
              <w:jc w:val="right"/>
              <w:rPr>
                <w:color w:val="000000"/>
                <w:sz w:val="22"/>
                <w:szCs w:val="22"/>
              </w:rPr>
            </w:pPr>
            <w:r w:rsidRPr="00D618B7">
              <w:rPr>
                <w:color w:val="000000"/>
                <w:sz w:val="22"/>
                <w:szCs w:val="22"/>
              </w:rPr>
              <w:t>530.24</w:t>
            </w:r>
          </w:p>
        </w:tc>
        <w:tc>
          <w:tcPr>
            <w:tcW w:w="1522" w:type="dxa"/>
            <w:tcBorders>
              <w:top w:val="nil"/>
              <w:left w:val="nil"/>
              <w:bottom w:val="nil"/>
              <w:right w:val="nil"/>
            </w:tcBorders>
            <w:shd w:val="clear" w:color="000000" w:fill="FFFFFF"/>
            <w:noWrap/>
            <w:vAlign w:val="center"/>
            <w:hideMark/>
          </w:tcPr>
          <w:p w14:paraId="1F82C6E7" w14:textId="77777777" w:rsidR="000F2348" w:rsidRPr="00D618B7" w:rsidRDefault="000F2348" w:rsidP="004B11B7">
            <w:pPr>
              <w:jc w:val="right"/>
              <w:rPr>
                <w:color w:val="000000"/>
                <w:sz w:val="22"/>
                <w:szCs w:val="22"/>
              </w:rPr>
            </w:pPr>
            <w:r w:rsidRPr="00D618B7">
              <w:rPr>
                <w:color w:val="000000"/>
                <w:sz w:val="22"/>
                <w:szCs w:val="22"/>
              </w:rPr>
              <w:t>219.32</w:t>
            </w:r>
          </w:p>
        </w:tc>
        <w:tc>
          <w:tcPr>
            <w:tcW w:w="1059" w:type="dxa"/>
            <w:tcBorders>
              <w:top w:val="nil"/>
              <w:left w:val="nil"/>
              <w:bottom w:val="nil"/>
              <w:right w:val="nil"/>
            </w:tcBorders>
            <w:shd w:val="clear" w:color="000000" w:fill="FFFFFF"/>
            <w:noWrap/>
            <w:vAlign w:val="center"/>
            <w:hideMark/>
          </w:tcPr>
          <w:p w14:paraId="77153D4B" w14:textId="77777777" w:rsidR="000F2348" w:rsidRPr="00D618B7" w:rsidRDefault="000F2348" w:rsidP="004B11B7">
            <w:pPr>
              <w:jc w:val="right"/>
              <w:rPr>
                <w:color w:val="000000"/>
                <w:sz w:val="22"/>
                <w:szCs w:val="22"/>
              </w:rPr>
            </w:pPr>
            <w:r w:rsidRPr="00D618B7">
              <w:rPr>
                <w:color w:val="000000"/>
                <w:sz w:val="22"/>
                <w:szCs w:val="22"/>
              </w:rPr>
              <w:t>655.30</w:t>
            </w:r>
          </w:p>
        </w:tc>
        <w:tc>
          <w:tcPr>
            <w:tcW w:w="1575" w:type="dxa"/>
            <w:tcBorders>
              <w:top w:val="nil"/>
              <w:left w:val="nil"/>
              <w:bottom w:val="nil"/>
              <w:right w:val="nil"/>
            </w:tcBorders>
            <w:shd w:val="clear" w:color="000000" w:fill="FFFFFF"/>
            <w:noWrap/>
            <w:vAlign w:val="center"/>
            <w:hideMark/>
          </w:tcPr>
          <w:p w14:paraId="04DD5AFD" w14:textId="77777777" w:rsidR="000F2348" w:rsidRPr="00D618B7" w:rsidRDefault="000F2348" w:rsidP="004B11B7">
            <w:pPr>
              <w:jc w:val="right"/>
              <w:rPr>
                <w:color w:val="000000"/>
                <w:sz w:val="22"/>
                <w:szCs w:val="22"/>
              </w:rPr>
            </w:pPr>
            <w:r w:rsidRPr="00D618B7">
              <w:rPr>
                <w:color w:val="000000"/>
                <w:sz w:val="22"/>
                <w:szCs w:val="22"/>
              </w:rPr>
              <w:t>38529.14</w:t>
            </w:r>
          </w:p>
        </w:tc>
        <w:tc>
          <w:tcPr>
            <w:tcW w:w="1096" w:type="dxa"/>
            <w:tcBorders>
              <w:top w:val="nil"/>
              <w:left w:val="nil"/>
              <w:bottom w:val="nil"/>
              <w:right w:val="nil"/>
            </w:tcBorders>
            <w:shd w:val="clear" w:color="000000" w:fill="FFFFFF"/>
            <w:noWrap/>
            <w:vAlign w:val="center"/>
            <w:hideMark/>
          </w:tcPr>
          <w:p w14:paraId="3AF84F63" w14:textId="77777777" w:rsidR="000F2348" w:rsidRPr="00D618B7" w:rsidRDefault="000F2348" w:rsidP="004B11B7">
            <w:pPr>
              <w:jc w:val="right"/>
              <w:rPr>
                <w:color w:val="000000"/>
                <w:sz w:val="22"/>
                <w:szCs w:val="22"/>
              </w:rPr>
            </w:pPr>
            <w:r w:rsidRPr="00D618B7">
              <w:rPr>
                <w:color w:val="000000"/>
                <w:sz w:val="22"/>
                <w:szCs w:val="22"/>
              </w:rPr>
              <w:t>21713.48</w:t>
            </w:r>
          </w:p>
        </w:tc>
      </w:tr>
      <w:tr w:rsidR="000F2348" w:rsidRPr="00D618B7" w14:paraId="6700E003" w14:textId="77777777" w:rsidTr="001E0AE6">
        <w:trPr>
          <w:trHeight w:val="242"/>
        </w:trPr>
        <w:tc>
          <w:tcPr>
            <w:tcW w:w="1305" w:type="dxa"/>
            <w:tcBorders>
              <w:top w:val="nil"/>
              <w:left w:val="nil"/>
              <w:bottom w:val="nil"/>
              <w:right w:val="nil"/>
            </w:tcBorders>
            <w:shd w:val="clear" w:color="000000" w:fill="FFFFFF"/>
            <w:vAlign w:val="center"/>
            <w:hideMark/>
          </w:tcPr>
          <w:p w14:paraId="1F43F89B" w14:textId="77777777" w:rsidR="000F2348" w:rsidRPr="00D618B7" w:rsidRDefault="000F2348" w:rsidP="004B11B7">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0DA5208A" w14:textId="77777777" w:rsidR="000F2348" w:rsidRPr="00D618B7" w:rsidRDefault="000F2348" w:rsidP="004B11B7">
            <w:pPr>
              <w:jc w:val="right"/>
              <w:rPr>
                <w:color w:val="000000"/>
                <w:sz w:val="22"/>
                <w:szCs w:val="22"/>
              </w:rPr>
            </w:pPr>
            <w:r w:rsidRPr="00D618B7">
              <w:rPr>
                <w:color w:val="000000"/>
                <w:sz w:val="22"/>
                <w:szCs w:val="22"/>
              </w:rPr>
              <w:t>7779.18</w:t>
            </w:r>
          </w:p>
        </w:tc>
        <w:tc>
          <w:tcPr>
            <w:tcW w:w="1070" w:type="dxa"/>
            <w:tcBorders>
              <w:top w:val="nil"/>
              <w:left w:val="nil"/>
              <w:bottom w:val="nil"/>
              <w:right w:val="nil"/>
            </w:tcBorders>
            <w:shd w:val="clear" w:color="000000" w:fill="FFFFFF"/>
            <w:noWrap/>
            <w:vAlign w:val="center"/>
            <w:hideMark/>
          </w:tcPr>
          <w:p w14:paraId="12DDF386" w14:textId="77777777" w:rsidR="000F2348" w:rsidRPr="00D618B7" w:rsidRDefault="000F2348" w:rsidP="004B11B7">
            <w:pPr>
              <w:jc w:val="right"/>
              <w:rPr>
                <w:color w:val="000000"/>
                <w:sz w:val="22"/>
                <w:szCs w:val="22"/>
              </w:rPr>
            </w:pPr>
            <w:r w:rsidRPr="00D618B7">
              <w:rPr>
                <w:color w:val="000000"/>
                <w:sz w:val="22"/>
                <w:szCs w:val="22"/>
              </w:rPr>
              <w:t>5999.75</w:t>
            </w:r>
          </w:p>
        </w:tc>
        <w:tc>
          <w:tcPr>
            <w:tcW w:w="1522" w:type="dxa"/>
            <w:tcBorders>
              <w:top w:val="nil"/>
              <w:left w:val="nil"/>
              <w:bottom w:val="nil"/>
              <w:right w:val="nil"/>
            </w:tcBorders>
            <w:shd w:val="clear" w:color="000000" w:fill="FFFFFF"/>
            <w:noWrap/>
            <w:vAlign w:val="center"/>
            <w:hideMark/>
          </w:tcPr>
          <w:p w14:paraId="67D427A8" w14:textId="77777777" w:rsidR="000F2348" w:rsidRPr="00D618B7" w:rsidRDefault="000F2348" w:rsidP="004B11B7">
            <w:pPr>
              <w:jc w:val="right"/>
              <w:rPr>
                <w:color w:val="000000"/>
                <w:sz w:val="22"/>
                <w:szCs w:val="22"/>
              </w:rPr>
            </w:pPr>
            <w:r w:rsidRPr="00D618B7">
              <w:rPr>
                <w:color w:val="000000"/>
                <w:sz w:val="22"/>
                <w:szCs w:val="22"/>
              </w:rPr>
              <w:t>-537.52</w:t>
            </w:r>
          </w:p>
        </w:tc>
        <w:tc>
          <w:tcPr>
            <w:tcW w:w="1059" w:type="dxa"/>
            <w:tcBorders>
              <w:top w:val="nil"/>
              <w:left w:val="nil"/>
              <w:bottom w:val="nil"/>
              <w:right w:val="nil"/>
            </w:tcBorders>
            <w:shd w:val="clear" w:color="000000" w:fill="FFFFFF"/>
            <w:noWrap/>
            <w:vAlign w:val="center"/>
            <w:hideMark/>
          </w:tcPr>
          <w:p w14:paraId="510238EA" w14:textId="77777777" w:rsidR="000F2348" w:rsidRPr="00D618B7" w:rsidRDefault="000F2348" w:rsidP="004B11B7">
            <w:pPr>
              <w:jc w:val="right"/>
              <w:rPr>
                <w:color w:val="000000"/>
                <w:sz w:val="22"/>
                <w:szCs w:val="22"/>
              </w:rPr>
            </w:pPr>
            <w:r w:rsidRPr="00D618B7">
              <w:rPr>
                <w:color w:val="000000"/>
                <w:sz w:val="22"/>
                <w:szCs w:val="22"/>
              </w:rPr>
              <w:t>1096.84</w:t>
            </w:r>
          </w:p>
        </w:tc>
        <w:tc>
          <w:tcPr>
            <w:tcW w:w="1575" w:type="dxa"/>
            <w:tcBorders>
              <w:top w:val="nil"/>
              <w:left w:val="nil"/>
              <w:bottom w:val="nil"/>
              <w:right w:val="nil"/>
            </w:tcBorders>
            <w:shd w:val="clear" w:color="000000" w:fill="FFFFFF"/>
            <w:noWrap/>
            <w:vAlign w:val="center"/>
            <w:hideMark/>
          </w:tcPr>
          <w:p w14:paraId="5D4E3D87" w14:textId="77777777" w:rsidR="000F2348" w:rsidRPr="00D618B7" w:rsidRDefault="000F2348" w:rsidP="004B11B7">
            <w:pPr>
              <w:jc w:val="right"/>
              <w:rPr>
                <w:color w:val="000000"/>
                <w:sz w:val="22"/>
                <w:szCs w:val="22"/>
              </w:rPr>
            </w:pPr>
            <w:r w:rsidRPr="00D618B7">
              <w:rPr>
                <w:color w:val="000000"/>
                <w:sz w:val="22"/>
                <w:szCs w:val="22"/>
              </w:rPr>
              <w:t>28828.60</w:t>
            </w:r>
          </w:p>
        </w:tc>
        <w:tc>
          <w:tcPr>
            <w:tcW w:w="1096" w:type="dxa"/>
            <w:tcBorders>
              <w:top w:val="nil"/>
              <w:left w:val="nil"/>
              <w:bottom w:val="nil"/>
              <w:right w:val="nil"/>
            </w:tcBorders>
            <w:shd w:val="clear" w:color="000000" w:fill="FFFFFF"/>
            <w:noWrap/>
            <w:vAlign w:val="center"/>
            <w:hideMark/>
          </w:tcPr>
          <w:p w14:paraId="1D9B39B0" w14:textId="77777777" w:rsidR="000F2348" w:rsidRPr="00D618B7" w:rsidRDefault="000F2348" w:rsidP="004B11B7">
            <w:pPr>
              <w:jc w:val="right"/>
              <w:rPr>
                <w:color w:val="000000"/>
                <w:sz w:val="22"/>
                <w:szCs w:val="22"/>
              </w:rPr>
            </w:pPr>
            <w:r w:rsidRPr="00D618B7">
              <w:rPr>
                <w:color w:val="000000"/>
                <w:sz w:val="22"/>
                <w:szCs w:val="22"/>
              </w:rPr>
              <w:t>24355.60</w:t>
            </w:r>
          </w:p>
        </w:tc>
      </w:tr>
      <w:tr w:rsidR="000F2348" w:rsidRPr="00D618B7" w14:paraId="5BCB0167" w14:textId="77777777" w:rsidTr="001E0AE6">
        <w:trPr>
          <w:trHeight w:val="242"/>
        </w:trPr>
        <w:tc>
          <w:tcPr>
            <w:tcW w:w="1305" w:type="dxa"/>
            <w:tcBorders>
              <w:top w:val="nil"/>
              <w:left w:val="nil"/>
              <w:bottom w:val="nil"/>
              <w:right w:val="nil"/>
            </w:tcBorders>
            <w:shd w:val="clear" w:color="000000" w:fill="FFFFFF"/>
            <w:vAlign w:val="center"/>
            <w:hideMark/>
          </w:tcPr>
          <w:p w14:paraId="279ED372" w14:textId="77777777" w:rsidR="000F2348" w:rsidRPr="00D618B7" w:rsidRDefault="000F2348" w:rsidP="004B11B7">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132275AA" w14:textId="77777777" w:rsidR="000F2348" w:rsidRPr="00D618B7" w:rsidRDefault="000F2348" w:rsidP="004B11B7">
            <w:pPr>
              <w:jc w:val="right"/>
              <w:rPr>
                <w:color w:val="000000"/>
                <w:sz w:val="22"/>
                <w:szCs w:val="22"/>
              </w:rPr>
            </w:pPr>
            <w:r w:rsidRPr="00D618B7">
              <w:rPr>
                <w:color w:val="000000"/>
                <w:sz w:val="22"/>
                <w:szCs w:val="22"/>
              </w:rPr>
              <w:t>-264.00</w:t>
            </w:r>
          </w:p>
        </w:tc>
        <w:tc>
          <w:tcPr>
            <w:tcW w:w="1070" w:type="dxa"/>
            <w:tcBorders>
              <w:top w:val="nil"/>
              <w:left w:val="nil"/>
              <w:bottom w:val="nil"/>
              <w:right w:val="nil"/>
            </w:tcBorders>
            <w:shd w:val="clear" w:color="000000" w:fill="FFFFFF"/>
            <w:noWrap/>
            <w:vAlign w:val="center"/>
            <w:hideMark/>
          </w:tcPr>
          <w:p w14:paraId="2C08A58B" w14:textId="77777777" w:rsidR="000F2348" w:rsidRPr="00D618B7" w:rsidRDefault="000F2348" w:rsidP="004B11B7">
            <w:pPr>
              <w:jc w:val="right"/>
              <w:rPr>
                <w:color w:val="000000"/>
                <w:sz w:val="22"/>
                <w:szCs w:val="22"/>
              </w:rPr>
            </w:pPr>
            <w:r w:rsidRPr="00D618B7">
              <w:rPr>
                <w:color w:val="000000"/>
                <w:sz w:val="22"/>
                <w:szCs w:val="22"/>
              </w:rPr>
              <w:t>334.12</w:t>
            </w:r>
          </w:p>
        </w:tc>
        <w:tc>
          <w:tcPr>
            <w:tcW w:w="1522" w:type="dxa"/>
            <w:tcBorders>
              <w:top w:val="nil"/>
              <w:left w:val="nil"/>
              <w:bottom w:val="nil"/>
              <w:right w:val="nil"/>
            </w:tcBorders>
            <w:shd w:val="clear" w:color="000000" w:fill="FFFFFF"/>
            <w:noWrap/>
            <w:vAlign w:val="center"/>
            <w:hideMark/>
          </w:tcPr>
          <w:p w14:paraId="62C39478" w14:textId="77777777" w:rsidR="000F2348" w:rsidRPr="00D618B7" w:rsidRDefault="000F2348" w:rsidP="004B11B7">
            <w:pPr>
              <w:jc w:val="right"/>
              <w:rPr>
                <w:color w:val="000000"/>
                <w:sz w:val="22"/>
                <w:szCs w:val="22"/>
              </w:rPr>
            </w:pPr>
            <w:r w:rsidRPr="00D618B7">
              <w:rPr>
                <w:color w:val="000000"/>
                <w:sz w:val="22"/>
                <w:szCs w:val="22"/>
              </w:rPr>
              <w:t>1303.89</w:t>
            </w:r>
          </w:p>
        </w:tc>
        <w:tc>
          <w:tcPr>
            <w:tcW w:w="1059" w:type="dxa"/>
            <w:tcBorders>
              <w:top w:val="nil"/>
              <w:left w:val="nil"/>
              <w:bottom w:val="nil"/>
              <w:right w:val="nil"/>
            </w:tcBorders>
            <w:shd w:val="clear" w:color="000000" w:fill="FFFFFF"/>
            <w:noWrap/>
            <w:vAlign w:val="center"/>
            <w:hideMark/>
          </w:tcPr>
          <w:p w14:paraId="0423AAAC" w14:textId="77777777" w:rsidR="000F2348" w:rsidRPr="00D618B7" w:rsidRDefault="000F2348" w:rsidP="004B11B7">
            <w:pPr>
              <w:jc w:val="right"/>
              <w:rPr>
                <w:color w:val="000000"/>
                <w:sz w:val="22"/>
                <w:szCs w:val="22"/>
              </w:rPr>
            </w:pPr>
            <w:r w:rsidRPr="00D618B7">
              <w:rPr>
                <w:color w:val="000000"/>
                <w:sz w:val="22"/>
                <w:szCs w:val="22"/>
              </w:rPr>
              <w:t>1350.54</w:t>
            </w:r>
          </w:p>
        </w:tc>
        <w:tc>
          <w:tcPr>
            <w:tcW w:w="1575" w:type="dxa"/>
            <w:tcBorders>
              <w:top w:val="nil"/>
              <w:left w:val="nil"/>
              <w:bottom w:val="nil"/>
              <w:right w:val="nil"/>
            </w:tcBorders>
            <w:shd w:val="clear" w:color="000000" w:fill="FFFFFF"/>
            <w:noWrap/>
            <w:vAlign w:val="center"/>
            <w:hideMark/>
          </w:tcPr>
          <w:p w14:paraId="67572B40" w14:textId="77777777" w:rsidR="000F2348" w:rsidRPr="00D618B7" w:rsidRDefault="000F2348" w:rsidP="004B11B7">
            <w:pPr>
              <w:jc w:val="right"/>
              <w:rPr>
                <w:color w:val="000000"/>
                <w:sz w:val="22"/>
                <w:szCs w:val="22"/>
              </w:rPr>
            </w:pPr>
            <w:r w:rsidRPr="00D618B7">
              <w:rPr>
                <w:color w:val="000000"/>
                <w:sz w:val="22"/>
                <w:szCs w:val="22"/>
              </w:rPr>
              <w:t>57587.66</w:t>
            </w:r>
          </w:p>
        </w:tc>
        <w:tc>
          <w:tcPr>
            <w:tcW w:w="1096" w:type="dxa"/>
            <w:tcBorders>
              <w:top w:val="nil"/>
              <w:left w:val="nil"/>
              <w:bottom w:val="nil"/>
              <w:right w:val="nil"/>
            </w:tcBorders>
            <w:shd w:val="clear" w:color="000000" w:fill="FFFFFF"/>
            <w:noWrap/>
            <w:vAlign w:val="center"/>
            <w:hideMark/>
          </w:tcPr>
          <w:p w14:paraId="16231AE2" w14:textId="77777777" w:rsidR="000F2348" w:rsidRPr="00D618B7" w:rsidRDefault="000F2348" w:rsidP="004B11B7">
            <w:pPr>
              <w:jc w:val="right"/>
              <w:rPr>
                <w:color w:val="000000"/>
                <w:sz w:val="22"/>
                <w:szCs w:val="22"/>
              </w:rPr>
            </w:pPr>
            <w:r w:rsidRPr="00D618B7">
              <w:rPr>
                <w:color w:val="000000"/>
                <w:sz w:val="22"/>
                <w:szCs w:val="22"/>
              </w:rPr>
              <w:t>27858.16</w:t>
            </w:r>
          </w:p>
        </w:tc>
      </w:tr>
      <w:tr w:rsidR="000F2348" w:rsidRPr="00D618B7" w14:paraId="5BAADC70" w14:textId="77777777" w:rsidTr="001E0AE6">
        <w:trPr>
          <w:trHeight w:val="242"/>
        </w:trPr>
        <w:tc>
          <w:tcPr>
            <w:tcW w:w="1305" w:type="dxa"/>
            <w:tcBorders>
              <w:top w:val="nil"/>
              <w:left w:val="nil"/>
              <w:bottom w:val="nil"/>
              <w:right w:val="nil"/>
            </w:tcBorders>
            <w:shd w:val="clear" w:color="000000" w:fill="FFFFFF"/>
            <w:vAlign w:val="center"/>
            <w:hideMark/>
          </w:tcPr>
          <w:p w14:paraId="1601BA31" w14:textId="77777777" w:rsidR="000F2348" w:rsidRPr="00D618B7" w:rsidRDefault="000F2348" w:rsidP="004B11B7">
            <w:pPr>
              <w:jc w:val="right"/>
              <w:rPr>
                <w:color w:val="000000"/>
                <w:sz w:val="22"/>
                <w:szCs w:val="22"/>
              </w:rPr>
            </w:pPr>
            <w:r w:rsidRPr="00D618B7">
              <w:rPr>
                <w:color w:val="000000"/>
                <w:sz w:val="22"/>
                <w:szCs w:val="22"/>
              </w:rPr>
              <w:t>0</w:t>
            </w:r>
          </w:p>
        </w:tc>
        <w:tc>
          <w:tcPr>
            <w:tcW w:w="1093" w:type="dxa"/>
            <w:tcBorders>
              <w:top w:val="nil"/>
              <w:left w:val="nil"/>
              <w:bottom w:val="nil"/>
              <w:right w:val="nil"/>
            </w:tcBorders>
            <w:shd w:val="clear" w:color="000000" w:fill="FFFFFF"/>
            <w:noWrap/>
            <w:vAlign w:val="center"/>
            <w:hideMark/>
          </w:tcPr>
          <w:p w14:paraId="5B50A13F" w14:textId="77777777" w:rsidR="000F2348" w:rsidRPr="00D618B7" w:rsidRDefault="000F2348" w:rsidP="004B11B7">
            <w:pPr>
              <w:jc w:val="right"/>
              <w:rPr>
                <w:color w:val="000000"/>
                <w:sz w:val="22"/>
                <w:szCs w:val="22"/>
              </w:rPr>
            </w:pPr>
            <w:r w:rsidRPr="00D618B7">
              <w:rPr>
                <w:color w:val="000000"/>
                <w:sz w:val="22"/>
                <w:szCs w:val="22"/>
              </w:rPr>
              <w:t>189.44</w:t>
            </w:r>
          </w:p>
        </w:tc>
        <w:tc>
          <w:tcPr>
            <w:tcW w:w="1070" w:type="dxa"/>
            <w:tcBorders>
              <w:top w:val="nil"/>
              <w:left w:val="nil"/>
              <w:bottom w:val="nil"/>
              <w:right w:val="nil"/>
            </w:tcBorders>
            <w:shd w:val="clear" w:color="000000" w:fill="FFFFFF"/>
            <w:noWrap/>
            <w:vAlign w:val="center"/>
            <w:hideMark/>
          </w:tcPr>
          <w:p w14:paraId="3F46D79C" w14:textId="77777777" w:rsidR="000F2348" w:rsidRPr="00D618B7" w:rsidRDefault="000F2348" w:rsidP="004B11B7">
            <w:pPr>
              <w:jc w:val="right"/>
              <w:rPr>
                <w:color w:val="000000"/>
                <w:sz w:val="22"/>
                <w:szCs w:val="22"/>
              </w:rPr>
            </w:pPr>
            <w:r w:rsidRPr="00D618B7">
              <w:rPr>
                <w:color w:val="000000"/>
                <w:sz w:val="22"/>
                <w:szCs w:val="22"/>
              </w:rPr>
              <w:t>382.64</w:t>
            </w:r>
          </w:p>
        </w:tc>
        <w:tc>
          <w:tcPr>
            <w:tcW w:w="1522" w:type="dxa"/>
            <w:tcBorders>
              <w:top w:val="nil"/>
              <w:left w:val="nil"/>
              <w:bottom w:val="nil"/>
              <w:right w:val="nil"/>
            </w:tcBorders>
            <w:shd w:val="clear" w:color="000000" w:fill="FFFFFF"/>
            <w:noWrap/>
            <w:vAlign w:val="center"/>
            <w:hideMark/>
          </w:tcPr>
          <w:p w14:paraId="1BCA60D4" w14:textId="77777777" w:rsidR="000F2348" w:rsidRPr="00D618B7" w:rsidRDefault="000F2348" w:rsidP="004B11B7">
            <w:pPr>
              <w:jc w:val="right"/>
              <w:rPr>
                <w:color w:val="000000"/>
                <w:sz w:val="22"/>
                <w:szCs w:val="22"/>
              </w:rPr>
            </w:pPr>
            <w:r w:rsidRPr="00D618B7">
              <w:rPr>
                <w:color w:val="000000"/>
                <w:sz w:val="22"/>
                <w:szCs w:val="22"/>
              </w:rPr>
              <w:t>-1393.32</w:t>
            </w:r>
          </w:p>
        </w:tc>
        <w:tc>
          <w:tcPr>
            <w:tcW w:w="1059" w:type="dxa"/>
            <w:tcBorders>
              <w:top w:val="nil"/>
              <w:left w:val="nil"/>
              <w:bottom w:val="nil"/>
              <w:right w:val="nil"/>
            </w:tcBorders>
            <w:shd w:val="clear" w:color="000000" w:fill="FFFFFF"/>
            <w:noWrap/>
            <w:vAlign w:val="center"/>
            <w:hideMark/>
          </w:tcPr>
          <w:p w14:paraId="3DF160BC" w14:textId="77777777" w:rsidR="000F2348" w:rsidRPr="00D618B7" w:rsidRDefault="000F2348" w:rsidP="004B11B7">
            <w:pPr>
              <w:jc w:val="right"/>
              <w:rPr>
                <w:color w:val="000000"/>
                <w:sz w:val="22"/>
                <w:szCs w:val="22"/>
              </w:rPr>
            </w:pPr>
            <w:r w:rsidRPr="00D618B7">
              <w:rPr>
                <w:color w:val="000000"/>
                <w:sz w:val="22"/>
                <w:szCs w:val="22"/>
              </w:rPr>
              <w:t>1391.15</w:t>
            </w:r>
          </w:p>
        </w:tc>
        <w:tc>
          <w:tcPr>
            <w:tcW w:w="1575" w:type="dxa"/>
            <w:tcBorders>
              <w:top w:val="nil"/>
              <w:left w:val="nil"/>
              <w:bottom w:val="nil"/>
              <w:right w:val="nil"/>
            </w:tcBorders>
            <w:shd w:val="clear" w:color="000000" w:fill="FFFFFF"/>
            <w:noWrap/>
            <w:vAlign w:val="center"/>
            <w:hideMark/>
          </w:tcPr>
          <w:p w14:paraId="7018DD38" w14:textId="77777777" w:rsidR="000F2348" w:rsidRPr="00D618B7" w:rsidRDefault="000F2348" w:rsidP="004B11B7">
            <w:pPr>
              <w:jc w:val="right"/>
              <w:rPr>
                <w:color w:val="000000"/>
                <w:sz w:val="22"/>
                <w:szCs w:val="22"/>
              </w:rPr>
            </w:pPr>
            <w:r w:rsidRPr="00D618B7">
              <w:rPr>
                <w:color w:val="000000"/>
                <w:sz w:val="22"/>
                <w:szCs w:val="22"/>
              </w:rPr>
              <w:t>16031.46</w:t>
            </w:r>
          </w:p>
        </w:tc>
        <w:tc>
          <w:tcPr>
            <w:tcW w:w="1096" w:type="dxa"/>
            <w:tcBorders>
              <w:top w:val="nil"/>
              <w:left w:val="nil"/>
              <w:bottom w:val="nil"/>
              <w:right w:val="nil"/>
            </w:tcBorders>
            <w:shd w:val="clear" w:color="000000" w:fill="FFFFFF"/>
            <w:noWrap/>
            <w:vAlign w:val="center"/>
            <w:hideMark/>
          </w:tcPr>
          <w:p w14:paraId="04EB8DC8" w14:textId="77777777" w:rsidR="000F2348" w:rsidRPr="00D618B7" w:rsidRDefault="000F2348" w:rsidP="004B11B7">
            <w:pPr>
              <w:jc w:val="right"/>
              <w:rPr>
                <w:color w:val="000000"/>
                <w:sz w:val="22"/>
                <w:szCs w:val="22"/>
              </w:rPr>
            </w:pPr>
            <w:r w:rsidRPr="00D618B7">
              <w:rPr>
                <w:color w:val="000000"/>
                <w:sz w:val="22"/>
                <w:szCs w:val="22"/>
              </w:rPr>
              <w:t>2626.47</w:t>
            </w:r>
          </w:p>
        </w:tc>
      </w:tr>
      <w:tr w:rsidR="000F2348" w:rsidRPr="00D618B7" w14:paraId="02936E43" w14:textId="77777777" w:rsidTr="001E0AE6">
        <w:trPr>
          <w:trHeight w:val="242"/>
        </w:trPr>
        <w:tc>
          <w:tcPr>
            <w:tcW w:w="1305" w:type="dxa"/>
            <w:tcBorders>
              <w:top w:val="nil"/>
              <w:left w:val="nil"/>
              <w:bottom w:val="nil"/>
              <w:right w:val="nil"/>
            </w:tcBorders>
            <w:shd w:val="clear" w:color="000000" w:fill="FFFFFF"/>
            <w:vAlign w:val="center"/>
            <w:hideMark/>
          </w:tcPr>
          <w:p w14:paraId="44D7AA06" w14:textId="77777777" w:rsidR="000F2348" w:rsidRPr="00D618B7" w:rsidRDefault="000F2348" w:rsidP="004B11B7">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20A29341" w14:textId="77777777" w:rsidR="000F2348" w:rsidRPr="00D618B7" w:rsidRDefault="000F2348" w:rsidP="004B11B7">
            <w:pPr>
              <w:jc w:val="right"/>
              <w:rPr>
                <w:color w:val="000000"/>
                <w:sz w:val="22"/>
                <w:szCs w:val="22"/>
              </w:rPr>
            </w:pPr>
            <w:r w:rsidRPr="00D618B7">
              <w:rPr>
                <w:color w:val="000000"/>
                <w:sz w:val="22"/>
                <w:szCs w:val="22"/>
              </w:rPr>
              <w:t>-301.28</w:t>
            </w:r>
          </w:p>
        </w:tc>
        <w:tc>
          <w:tcPr>
            <w:tcW w:w="1070" w:type="dxa"/>
            <w:tcBorders>
              <w:top w:val="nil"/>
              <w:left w:val="nil"/>
              <w:bottom w:val="nil"/>
              <w:right w:val="nil"/>
            </w:tcBorders>
            <w:shd w:val="clear" w:color="000000" w:fill="FFFFFF"/>
            <w:noWrap/>
            <w:vAlign w:val="center"/>
            <w:hideMark/>
          </w:tcPr>
          <w:p w14:paraId="17F7EDBF" w14:textId="77777777" w:rsidR="000F2348" w:rsidRPr="00D618B7" w:rsidRDefault="000F2348" w:rsidP="004B11B7">
            <w:pPr>
              <w:jc w:val="right"/>
              <w:rPr>
                <w:color w:val="000000"/>
                <w:sz w:val="22"/>
                <w:szCs w:val="22"/>
              </w:rPr>
            </w:pPr>
            <w:r w:rsidRPr="00D618B7">
              <w:rPr>
                <w:color w:val="000000"/>
                <w:sz w:val="22"/>
                <w:szCs w:val="22"/>
              </w:rPr>
              <w:t>506.95</w:t>
            </w:r>
          </w:p>
        </w:tc>
        <w:tc>
          <w:tcPr>
            <w:tcW w:w="1522" w:type="dxa"/>
            <w:tcBorders>
              <w:top w:val="nil"/>
              <w:left w:val="nil"/>
              <w:bottom w:val="nil"/>
              <w:right w:val="nil"/>
            </w:tcBorders>
            <w:shd w:val="clear" w:color="000000" w:fill="FFFFFF"/>
            <w:noWrap/>
            <w:vAlign w:val="center"/>
            <w:hideMark/>
          </w:tcPr>
          <w:p w14:paraId="1D6876A8" w14:textId="77777777" w:rsidR="000F2348" w:rsidRPr="00D618B7" w:rsidRDefault="000F2348" w:rsidP="004B11B7">
            <w:pPr>
              <w:jc w:val="right"/>
              <w:rPr>
                <w:color w:val="000000"/>
                <w:sz w:val="22"/>
                <w:szCs w:val="22"/>
              </w:rPr>
            </w:pPr>
            <w:r w:rsidRPr="00D618B7">
              <w:rPr>
                <w:color w:val="000000"/>
                <w:sz w:val="22"/>
                <w:szCs w:val="22"/>
              </w:rPr>
              <w:t>2260.53</w:t>
            </w:r>
          </w:p>
        </w:tc>
        <w:tc>
          <w:tcPr>
            <w:tcW w:w="1059" w:type="dxa"/>
            <w:tcBorders>
              <w:top w:val="nil"/>
              <w:left w:val="nil"/>
              <w:bottom w:val="nil"/>
              <w:right w:val="nil"/>
            </w:tcBorders>
            <w:shd w:val="clear" w:color="000000" w:fill="FFFFFF"/>
            <w:noWrap/>
            <w:vAlign w:val="center"/>
            <w:hideMark/>
          </w:tcPr>
          <w:p w14:paraId="4B9CBC55" w14:textId="77777777" w:rsidR="000F2348" w:rsidRPr="00D618B7" w:rsidRDefault="000F2348" w:rsidP="004B11B7">
            <w:pPr>
              <w:jc w:val="right"/>
              <w:rPr>
                <w:color w:val="000000"/>
                <w:sz w:val="22"/>
                <w:szCs w:val="22"/>
              </w:rPr>
            </w:pPr>
            <w:r w:rsidRPr="00D618B7">
              <w:rPr>
                <w:color w:val="000000"/>
                <w:sz w:val="22"/>
                <w:szCs w:val="22"/>
              </w:rPr>
              <w:t>1353.79</w:t>
            </w:r>
          </w:p>
        </w:tc>
        <w:tc>
          <w:tcPr>
            <w:tcW w:w="1575" w:type="dxa"/>
            <w:tcBorders>
              <w:top w:val="nil"/>
              <w:left w:val="nil"/>
              <w:bottom w:val="nil"/>
              <w:right w:val="nil"/>
            </w:tcBorders>
            <w:shd w:val="clear" w:color="000000" w:fill="FFFFFF"/>
            <w:noWrap/>
            <w:vAlign w:val="center"/>
            <w:hideMark/>
          </w:tcPr>
          <w:p w14:paraId="56F1F6A6" w14:textId="77777777" w:rsidR="000F2348" w:rsidRPr="00D618B7" w:rsidRDefault="000F2348" w:rsidP="004B11B7">
            <w:pPr>
              <w:jc w:val="right"/>
              <w:rPr>
                <w:color w:val="000000"/>
                <w:sz w:val="22"/>
                <w:szCs w:val="22"/>
              </w:rPr>
            </w:pPr>
            <w:r w:rsidRPr="00D618B7">
              <w:rPr>
                <w:color w:val="000000"/>
                <w:sz w:val="22"/>
                <w:szCs w:val="22"/>
              </w:rPr>
              <w:t>11200.97</w:t>
            </w:r>
          </w:p>
        </w:tc>
        <w:tc>
          <w:tcPr>
            <w:tcW w:w="1096" w:type="dxa"/>
            <w:tcBorders>
              <w:top w:val="nil"/>
              <w:left w:val="nil"/>
              <w:bottom w:val="nil"/>
              <w:right w:val="nil"/>
            </w:tcBorders>
            <w:shd w:val="clear" w:color="000000" w:fill="FFFFFF"/>
            <w:noWrap/>
            <w:vAlign w:val="center"/>
            <w:hideMark/>
          </w:tcPr>
          <w:p w14:paraId="1B901C1E" w14:textId="77777777" w:rsidR="000F2348" w:rsidRPr="00D618B7" w:rsidRDefault="000F2348" w:rsidP="004B11B7">
            <w:pPr>
              <w:jc w:val="right"/>
              <w:rPr>
                <w:color w:val="000000"/>
                <w:sz w:val="22"/>
                <w:szCs w:val="22"/>
              </w:rPr>
            </w:pPr>
            <w:r w:rsidRPr="00D618B7">
              <w:rPr>
                <w:color w:val="000000"/>
                <w:sz w:val="22"/>
                <w:szCs w:val="22"/>
              </w:rPr>
              <w:t>2611.28</w:t>
            </w:r>
          </w:p>
        </w:tc>
      </w:tr>
      <w:tr w:rsidR="000F2348" w:rsidRPr="00D618B7" w14:paraId="56BD2083" w14:textId="77777777" w:rsidTr="001E0AE6">
        <w:trPr>
          <w:trHeight w:val="242"/>
        </w:trPr>
        <w:tc>
          <w:tcPr>
            <w:tcW w:w="1305" w:type="dxa"/>
            <w:tcBorders>
              <w:top w:val="nil"/>
              <w:left w:val="nil"/>
              <w:bottom w:val="nil"/>
              <w:right w:val="nil"/>
            </w:tcBorders>
            <w:shd w:val="clear" w:color="000000" w:fill="FFFFFF"/>
            <w:vAlign w:val="center"/>
            <w:hideMark/>
          </w:tcPr>
          <w:p w14:paraId="6CF9BF21" w14:textId="77777777" w:rsidR="000F2348" w:rsidRPr="00D618B7" w:rsidRDefault="000F2348" w:rsidP="004B11B7">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44263712" w14:textId="77777777" w:rsidR="000F2348" w:rsidRPr="00D618B7" w:rsidRDefault="000F2348" w:rsidP="004B11B7">
            <w:pPr>
              <w:jc w:val="right"/>
              <w:rPr>
                <w:color w:val="000000"/>
                <w:sz w:val="22"/>
                <w:szCs w:val="22"/>
              </w:rPr>
            </w:pPr>
            <w:r w:rsidRPr="00D618B7">
              <w:rPr>
                <w:color w:val="000000"/>
                <w:sz w:val="22"/>
                <w:szCs w:val="22"/>
              </w:rPr>
              <w:t>737.55</w:t>
            </w:r>
          </w:p>
        </w:tc>
        <w:tc>
          <w:tcPr>
            <w:tcW w:w="1070" w:type="dxa"/>
            <w:tcBorders>
              <w:top w:val="nil"/>
              <w:left w:val="nil"/>
              <w:bottom w:val="nil"/>
              <w:right w:val="nil"/>
            </w:tcBorders>
            <w:shd w:val="clear" w:color="000000" w:fill="FFFFFF"/>
            <w:noWrap/>
            <w:vAlign w:val="center"/>
            <w:hideMark/>
          </w:tcPr>
          <w:p w14:paraId="091B9578" w14:textId="77777777" w:rsidR="000F2348" w:rsidRPr="00D618B7" w:rsidRDefault="000F2348" w:rsidP="004B11B7">
            <w:pPr>
              <w:jc w:val="right"/>
              <w:rPr>
                <w:color w:val="000000"/>
                <w:sz w:val="22"/>
                <w:szCs w:val="22"/>
              </w:rPr>
            </w:pPr>
            <w:r w:rsidRPr="00D618B7">
              <w:rPr>
                <w:color w:val="000000"/>
                <w:sz w:val="22"/>
                <w:szCs w:val="22"/>
              </w:rPr>
              <w:t>383.10</w:t>
            </w:r>
          </w:p>
        </w:tc>
        <w:tc>
          <w:tcPr>
            <w:tcW w:w="1522" w:type="dxa"/>
            <w:tcBorders>
              <w:top w:val="nil"/>
              <w:left w:val="nil"/>
              <w:bottom w:val="nil"/>
              <w:right w:val="nil"/>
            </w:tcBorders>
            <w:shd w:val="clear" w:color="000000" w:fill="FFFFFF"/>
            <w:noWrap/>
            <w:vAlign w:val="center"/>
            <w:hideMark/>
          </w:tcPr>
          <w:p w14:paraId="0241CD9A" w14:textId="77777777" w:rsidR="000F2348" w:rsidRPr="00D618B7" w:rsidRDefault="000F2348" w:rsidP="004B11B7">
            <w:pPr>
              <w:jc w:val="right"/>
              <w:rPr>
                <w:color w:val="000000"/>
                <w:sz w:val="22"/>
                <w:szCs w:val="22"/>
              </w:rPr>
            </w:pPr>
            <w:r w:rsidRPr="00D618B7">
              <w:rPr>
                <w:color w:val="000000"/>
                <w:sz w:val="22"/>
                <w:szCs w:val="22"/>
              </w:rPr>
              <w:t>-366.57</w:t>
            </w:r>
          </w:p>
        </w:tc>
        <w:tc>
          <w:tcPr>
            <w:tcW w:w="1059" w:type="dxa"/>
            <w:tcBorders>
              <w:top w:val="nil"/>
              <w:left w:val="nil"/>
              <w:bottom w:val="nil"/>
              <w:right w:val="nil"/>
            </w:tcBorders>
            <w:shd w:val="clear" w:color="000000" w:fill="FFFFFF"/>
            <w:noWrap/>
            <w:vAlign w:val="center"/>
            <w:hideMark/>
          </w:tcPr>
          <w:p w14:paraId="3179387B" w14:textId="77777777" w:rsidR="000F2348" w:rsidRPr="00D618B7" w:rsidRDefault="000F2348" w:rsidP="004B11B7">
            <w:pPr>
              <w:jc w:val="right"/>
              <w:rPr>
                <w:color w:val="000000"/>
                <w:sz w:val="22"/>
                <w:szCs w:val="22"/>
              </w:rPr>
            </w:pPr>
            <w:r w:rsidRPr="00D618B7">
              <w:rPr>
                <w:color w:val="000000"/>
                <w:sz w:val="22"/>
                <w:szCs w:val="22"/>
              </w:rPr>
              <w:t>1523.22</w:t>
            </w:r>
          </w:p>
        </w:tc>
        <w:tc>
          <w:tcPr>
            <w:tcW w:w="1575" w:type="dxa"/>
            <w:tcBorders>
              <w:top w:val="nil"/>
              <w:left w:val="nil"/>
              <w:bottom w:val="nil"/>
              <w:right w:val="nil"/>
            </w:tcBorders>
            <w:shd w:val="clear" w:color="000000" w:fill="FFFFFF"/>
            <w:noWrap/>
            <w:vAlign w:val="center"/>
            <w:hideMark/>
          </w:tcPr>
          <w:p w14:paraId="12788E9F" w14:textId="77777777" w:rsidR="000F2348" w:rsidRPr="00D618B7" w:rsidRDefault="000F2348" w:rsidP="004B11B7">
            <w:pPr>
              <w:jc w:val="right"/>
              <w:rPr>
                <w:color w:val="000000"/>
                <w:sz w:val="22"/>
                <w:szCs w:val="22"/>
              </w:rPr>
            </w:pPr>
            <w:r w:rsidRPr="00D618B7">
              <w:rPr>
                <w:color w:val="000000"/>
                <w:sz w:val="22"/>
                <w:szCs w:val="22"/>
              </w:rPr>
              <w:t>-8624.07</w:t>
            </w:r>
          </w:p>
        </w:tc>
        <w:tc>
          <w:tcPr>
            <w:tcW w:w="1096" w:type="dxa"/>
            <w:tcBorders>
              <w:top w:val="nil"/>
              <w:left w:val="nil"/>
              <w:bottom w:val="nil"/>
              <w:right w:val="nil"/>
            </w:tcBorders>
            <w:shd w:val="clear" w:color="000000" w:fill="FFFFFF"/>
            <w:noWrap/>
            <w:vAlign w:val="center"/>
            <w:hideMark/>
          </w:tcPr>
          <w:p w14:paraId="36041C44" w14:textId="77777777" w:rsidR="000F2348" w:rsidRPr="00D618B7" w:rsidRDefault="000F2348" w:rsidP="004B11B7">
            <w:pPr>
              <w:jc w:val="right"/>
              <w:rPr>
                <w:color w:val="000000"/>
                <w:sz w:val="22"/>
                <w:szCs w:val="22"/>
              </w:rPr>
            </w:pPr>
            <w:r w:rsidRPr="00D618B7">
              <w:rPr>
                <w:color w:val="000000"/>
                <w:sz w:val="22"/>
                <w:szCs w:val="22"/>
              </w:rPr>
              <w:t>2956.52</w:t>
            </w:r>
          </w:p>
        </w:tc>
      </w:tr>
      <w:tr w:rsidR="000F2348" w:rsidRPr="00D618B7" w14:paraId="71B27147" w14:textId="77777777" w:rsidTr="001E0AE6">
        <w:trPr>
          <w:trHeight w:val="242"/>
        </w:trPr>
        <w:tc>
          <w:tcPr>
            <w:tcW w:w="1305" w:type="dxa"/>
            <w:tcBorders>
              <w:top w:val="nil"/>
              <w:left w:val="nil"/>
              <w:bottom w:val="nil"/>
              <w:right w:val="nil"/>
            </w:tcBorders>
            <w:shd w:val="clear" w:color="000000" w:fill="FFFFFF"/>
            <w:vAlign w:val="center"/>
            <w:hideMark/>
          </w:tcPr>
          <w:p w14:paraId="30952A31" w14:textId="77777777" w:rsidR="000F2348" w:rsidRPr="00D618B7" w:rsidRDefault="000F2348" w:rsidP="004B11B7">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65806327" w14:textId="77777777" w:rsidR="000F2348" w:rsidRPr="00D618B7" w:rsidRDefault="000F2348" w:rsidP="004B11B7">
            <w:pPr>
              <w:jc w:val="right"/>
              <w:rPr>
                <w:color w:val="000000"/>
                <w:sz w:val="22"/>
                <w:szCs w:val="22"/>
              </w:rPr>
            </w:pPr>
            <w:r w:rsidRPr="00D618B7">
              <w:rPr>
                <w:color w:val="000000"/>
                <w:sz w:val="22"/>
                <w:szCs w:val="22"/>
              </w:rPr>
              <w:t>-426.66</w:t>
            </w:r>
          </w:p>
        </w:tc>
        <w:tc>
          <w:tcPr>
            <w:tcW w:w="1070" w:type="dxa"/>
            <w:tcBorders>
              <w:top w:val="nil"/>
              <w:left w:val="nil"/>
              <w:bottom w:val="nil"/>
              <w:right w:val="nil"/>
            </w:tcBorders>
            <w:shd w:val="clear" w:color="000000" w:fill="FFFFFF"/>
            <w:noWrap/>
            <w:vAlign w:val="center"/>
            <w:hideMark/>
          </w:tcPr>
          <w:p w14:paraId="0968C8B5" w14:textId="77777777" w:rsidR="000F2348" w:rsidRPr="00D618B7" w:rsidRDefault="000F2348" w:rsidP="004B11B7">
            <w:pPr>
              <w:jc w:val="right"/>
              <w:rPr>
                <w:color w:val="000000"/>
                <w:sz w:val="22"/>
                <w:szCs w:val="22"/>
              </w:rPr>
            </w:pPr>
            <w:r w:rsidRPr="00D618B7">
              <w:rPr>
                <w:color w:val="000000"/>
                <w:sz w:val="22"/>
                <w:szCs w:val="22"/>
              </w:rPr>
              <w:t>778.95</w:t>
            </w:r>
          </w:p>
        </w:tc>
        <w:tc>
          <w:tcPr>
            <w:tcW w:w="1522" w:type="dxa"/>
            <w:tcBorders>
              <w:top w:val="nil"/>
              <w:left w:val="nil"/>
              <w:bottom w:val="nil"/>
              <w:right w:val="nil"/>
            </w:tcBorders>
            <w:shd w:val="clear" w:color="000000" w:fill="FFFFFF"/>
            <w:noWrap/>
            <w:vAlign w:val="center"/>
            <w:hideMark/>
          </w:tcPr>
          <w:p w14:paraId="13E86CB2" w14:textId="77777777" w:rsidR="000F2348" w:rsidRPr="00D618B7" w:rsidRDefault="000F2348" w:rsidP="004B11B7">
            <w:pPr>
              <w:jc w:val="right"/>
              <w:rPr>
                <w:color w:val="000000"/>
                <w:sz w:val="22"/>
                <w:szCs w:val="22"/>
              </w:rPr>
            </w:pPr>
            <w:r w:rsidRPr="00D618B7">
              <w:rPr>
                <w:color w:val="000000"/>
                <w:sz w:val="22"/>
                <w:szCs w:val="22"/>
              </w:rPr>
              <w:t>-1711.38</w:t>
            </w:r>
          </w:p>
        </w:tc>
        <w:tc>
          <w:tcPr>
            <w:tcW w:w="1059" w:type="dxa"/>
            <w:tcBorders>
              <w:top w:val="nil"/>
              <w:left w:val="nil"/>
              <w:bottom w:val="nil"/>
              <w:right w:val="nil"/>
            </w:tcBorders>
            <w:shd w:val="clear" w:color="000000" w:fill="FFFFFF"/>
            <w:noWrap/>
            <w:vAlign w:val="center"/>
            <w:hideMark/>
          </w:tcPr>
          <w:p w14:paraId="569EB132" w14:textId="77777777" w:rsidR="000F2348" w:rsidRPr="00D618B7" w:rsidRDefault="000F2348" w:rsidP="004B11B7">
            <w:pPr>
              <w:jc w:val="right"/>
              <w:rPr>
                <w:color w:val="000000"/>
                <w:sz w:val="22"/>
                <w:szCs w:val="22"/>
              </w:rPr>
            </w:pPr>
            <w:r w:rsidRPr="00D618B7">
              <w:rPr>
                <w:color w:val="000000"/>
                <w:sz w:val="22"/>
                <w:szCs w:val="22"/>
              </w:rPr>
              <w:t>1934.63</w:t>
            </w:r>
          </w:p>
        </w:tc>
        <w:tc>
          <w:tcPr>
            <w:tcW w:w="1575" w:type="dxa"/>
            <w:tcBorders>
              <w:top w:val="nil"/>
              <w:left w:val="nil"/>
              <w:bottom w:val="nil"/>
              <w:right w:val="nil"/>
            </w:tcBorders>
            <w:shd w:val="clear" w:color="000000" w:fill="FFFFFF"/>
            <w:noWrap/>
            <w:vAlign w:val="center"/>
            <w:hideMark/>
          </w:tcPr>
          <w:p w14:paraId="21009E69" w14:textId="77777777" w:rsidR="000F2348" w:rsidRPr="00D618B7" w:rsidRDefault="000F2348" w:rsidP="004B11B7">
            <w:pPr>
              <w:jc w:val="right"/>
              <w:rPr>
                <w:color w:val="000000"/>
                <w:sz w:val="22"/>
                <w:szCs w:val="22"/>
              </w:rPr>
            </w:pPr>
            <w:r w:rsidRPr="00D618B7">
              <w:rPr>
                <w:color w:val="000000"/>
                <w:sz w:val="22"/>
                <w:szCs w:val="22"/>
              </w:rPr>
              <w:t>3146.84</w:t>
            </w:r>
          </w:p>
        </w:tc>
        <w:tc>
          <w:tcPr>
            <w:tcW w:w="1096" w:type="dxa"/>
            <w:tcBorders>
              <w:top w:val="nil"/>
              <w:left w:val="nil"/>
              <w:bottom w:val="nil"/>
              <w:right w:val="nil"/>
            </w:tcBorders>
            <w:shd w:val="clear" w:color="000000" w:fill="FFFFFF"/>
            <w:noWrap/>
            <w:vAlign w:val="center"/>
            <w:hideMark/>
          </w:tcPr>
          <w:p w14:paraId="2FC9F46B" w14:textId="77777777" w:rsidR="000F2348" w:rsidRPr="00D618B7" w:rsidRDefault="000F2348" w:rsidP="004B11B7">
            <w:pPr>
              <w:jc w:val="right"/>
              <w:rPr>
                <w:color w:val="000000"/>
                <w:sz w:val="22"/>
                <w:szCs w:val="22"/>
              </w:rPr>
            </w:pPr>
            <w:r w:rsidRPr="00D618B7">
              <w:rPr>
                <w:color w:val="000000"/>
                <w:sz w:val="22"/>
                <w:szCs w:val="22"/>
              </w:rPr>
              <w:t>2731.00</w:t>
            </w:r>
          </w:p>
        </w:tc>
      </w:tr>
      <w:tr w:rsidR="000F2348" w:rsidRPr="00D618B7" w14:paraId="387852B5" w14:textId="77777777" w:rsidTr="001E0AE6">
        <w:trPr>
          <w:trHeight w:val="242"/>
        </w:trPr>
        <w:tc>
          <w:tcPr>
            <w:tcW w:w="1305" w:type="dxa"/>
            <w:tcBorders>
              <w:top w:val="nil"/>
              <w:left w:val="nil"/>
              <w:right w:val="nil"/>
            </w:tcBorders>
            <w:shd w:val="clear" w:color="000000" w:fill="FFFFFF"/>
            <w:vAlign w:val="center"/>
            <w:hideMark/>
          </w:tcPr>
          <w:p w14:paraId="65B0AAC6" w14:textId="77777777" w:rsidR="000F2348" w:rsidRPr="00D618B7" w:rsidRDefault="000F2348" w:rsidP="004B11B7">
            <w:pPr>
              <w:jc w:val="right"/>
              <w:rPr>
                <w:color w:val="000000"/>
                <w:sz w:val="22"/>
                <w:szCs w:val="22"/>
              </w:rPr>
            </w:pPr>
            <w:r w:rsidRPr="00D618B7">
              <w:rPr>
                <w:color w:val="000000"/>
                <w:sz w:val="22"/>
                <w:szCs w:val="22"/>
              </w:rPr>
              <w:t>4</w:t>
            </w:r>
          </w:p>
        </w:tc>
        <w:tc>
          <w:tcPr>
            <w:tcW w:w="1093" w:type="dxa"/>
            <w:tcBorders>
              <w:top w:val="nil"/>
              <w:left w:val="nil"/>
              <w:right w:val="nil"/>
            </w:tcBorders>
            <w:shd w:val="clear" w:color="000000" w:fill="FFFFFF"/>
            <w:noWrap/>
            <w:vAlign w:val="center"/>
            <w:hideMark/>
          </w:tcPr>
          <w:p w14:paraId="4594630B" w14:textId="77777777" w:rsidR="000F2348" w:rsidRPr="00D618B7" w:rsidRDefault="000F2348" w:rsidP="004B11B7">
            <w:pPr>
              <w:jc w:val="right"/>
              <w:rPr>
                <w:color w:val="000000"/>
                <w:sz w:val="22"/>
                <w:szCs w:val="22"/>
              </w:rPr>
            </w:pPr>
            <w:r w:rsidRPr="00D618B7">
              <w:rPr>
                <w:color w:val="000000"/>
                <w:sz w:val="22"/>
                <w:szCs w:val="22"/>
              </w:rPr>
              <w:t>-173.95</w:t>
            </w:r>
          </w:p>
        </w:tc>
        <w:tc>
          <w:tcPr>
            <w:tcW w:w="1070" w:type="dxa"/>
            <w:tcBorders>
              <w:top w:val="nil"/>
              <w:left w:val="nil"/>
              <w:right w:val="nil"/>
            </w:tcBorders>
            <w:shd w:val="clear" w:color="000000" w:fill="FFFFFF"/>
            <w:noWrap/>
            <w:vAlign w:val="center"/>
            <w:hideMark/>
          </w:tcPr>
          <w:p w14:paraId="68A87329" w14:textId="77777777" w:rsidR="000F2348" w:rsidRPr="00D618B7" w:rsidRDefault="000F2348" w:rsidP="004B11B7">
            <w:pPr>
              <w:jc w:val="right"/>
              <w:rPr>
                <w:color w:val="000000"/>
                <w:sz w:val="22"/>
                <w:szCs w:val="22"/>
              </w:rPr>
            </w:pPr>
            <w:r w:rsidRPr="00D618B7">
              <w:rPr>
                <w:color w:val="000000"/>
                <w:sz w:val="22"/>
                <w:szCs w:val="22"/>
              </w:rPr>
              <w:t>405.08</w:t>
            </w:r>
          </w:p>
        </w:tc>
        <w:tc>
          <w:tcPr>
            <w:tcW w:w="1522" w:type="dxa"/>
            <w:tcBorders>
              <w:top w:val="nil"/>
              <w:left w:val="nil"/>
              <w:right w:val="nil"/>
            </w:tcBorders>
            <w:shd w:val="clear" w:color="000000" w:fill="FFFFFF"/>
            <w:noWrap/>
            <w:vAlign w:val="center"/>
            <w:hideMark/>
          </w:tcPr>
          <w:p w14:paraId="2156E7C1" w14:textId="77777777" w:rsidR="000F2348" w:rsidRPr="00D618B7" w:rsidRDefault="000F2348" w:rsidP="004B11B7">
            <w:pPr>
              <w:jc w:val="right"/>
              <w:rPr>
                <w:color w:val="000000"/>
                <w:sz w:val="22"/>
                <w:szCs w:val="22"/>
              </w:rPr>
            </w:pPr>
            <w:r w:rsidRPr="00D618B7">
              <w:rPr>
                <w:color w:val="000000"/>
                <w:sz w:val="22"/>
                <w:szCs w:val="22"/>
              </w:rPr>
              <w:t>-221.54</w:t>
            </w:r>
          </w:p>
        </w:tc>
        <w:tc>
          <w:tcPr>
            <w:tcW w:w="1059" w:type="dxa"/>
            <w:tcBorders>
              <w:top w:val="nil"/>
              <w:left w:val="nil"/>
              <w:right w:val="nil"/>
            </w:tcBorders>
            <w:shd w:val="clear" w:color="000000" w:fill="FFFFFF"/>
            <w:noWrap/>
            <w:vAlign w:val="center"/>
            <w:hideMark/>
          </w:tcPr>
          <w:p w14:paraId="1E059442" w14:textId="77777777" w:rsidR="000F2348" w:rsidRPr="00D618B7" w:rsidRDefault="000F2348" w:rsidP="004B11B7">
            <w:pPr>
              <w:jc w:val="right"/>
              <w:rPr>
                <w:color w:val="000000"/>
                <w:sz w:val="22"/>
                <w:szCs w:val="22"/>
              </w:rPr>
            </w:pPr>
            <w:r w:rsidRPr="00D618B7">
              <w:rPr>
                <w:color w:val="000000"/>
                <w:sz w:val="22"/>
                <w:szCs w:val="22"/>
              </w:rPr>
              <w:t>1734.65</w:t>
            </w:r>
          </w:p>
        </w:tc>
        <w:tc>
          <w:tcPr>
            <w:tcW w:w="1575" w:type="dxa"/>
            <w:tcBorders>
              <w:top w:val="nil"/>
              <w:left w:val="nil"/>
              <w:right w:val="nil"/>
            </w:tcBorders>
            <w:shd w:val="clear" w:color="000000" w:fill="FFFFFF"/>
            <w:noWrap/>
            <w:vAlign w:val="center"/>
            <w:hideMark/>
          </w:tcPr>
          <w:p w14:paraId="571563D8" w14:textId="77777777" w:rsidR="000F2348" w:rsidRPr="00D618B7" w:rsidRDefault="000F2348" w:rsidP="004B11B7">
            <w:pPr>
              <w:jc w:val="right"/>
              <w:rPr>
                <w:color w:val="000000"/>
                <w:sz w:val="22"/>
                <w:szCs w:val="22"/>
              </w:rPr>
            </w:pPr>
            <w:r w:rsidRPr="00D618B7">
              <w:rPr>
                <w:color w:val="000000"/>
                <w:sz w:val="22"/>
                <w:szCs w:val="22"/>
              </w:rPr>
              <w:t>1451.43</w:t>
            </w:r>
          </w:p>
        </w:tc>
        <w:tc>
          <w:tcPr>
            <w:tcW w:w="1096" w:type="dxa"/>
            <w:tcBorders>
              <w:top w:val="nil"/>
              <w:left w:val="nil"/>
              <w:right w:val="nil"/>
            </w:tcBorders>
            <w:shd w:val="clear" w:color="000000" w:fill="FFFFFF"/>
            <w:noWrap/>
            <w:vAlign w:val="center"/>
            <w:hideMark/>
          </w:tcPr>
          <w:p w14:paraId="6AA43453" w14:textId="77777777" w:rsidR="000F2348" w:rsidRPr="00D618B7" w:rsidRDefault="000F2348" w:rsidP="004B11B7">
            <w:pPr>
              <w:jc w:val="right"/>
              <w:rPr>
                <w:color w:val="000000"/>
                <w:sz w:val="22"/>
                <w:szCs w:val="22"/>
              </w:rPr>
            </w:pPr>
            <w:r w:rsidRPr="00D618B7">
              <w:rPr>
                <w:color w:val="000000"/>
                <w:sz w:val="22"/>
                <w:szCs w:val="22"/>
              </w:rPr>
              <w:t>2582.80</w:t>
            </w:r>
          </w:p>
        </w:tc>
      </w:tr>
      <w:tr w:rsidR="000F2348" w:rsidRPr="00D618B7" w14:paraId="088ABD6B" w14:textId="77777777" w:rsidTr="001E0AE6">
        <w:trPr>
          <w:trHeight w:val="253"/>
        </w:trPr>
        <w:tc>
          <w:tcPr>
            <w:tcW w:w="1305" w:type="dxa"/>
            <w:tcBorders>
              <w:top w:val="nil"/>
              <w:left w:val="nil"/>
              <w:bottom w:val="single" w:sz="18" w:space="0" w:color="auto"/>
              <w:right w:val="nil"/>
            </w:tcBorders>
            <w:shd w:val="clear" w:color="000000" w:fill="FFFFFF"/>
            <w:vAlign w:val="center"/>
            <w:hideMark/>
          </w:tcPr>
          <w:p w14:paraId="7B09BB93" w14:textId="77777777" w:rsidR="000F2348" w:rsidRPr="00D618B7" w:rsidRDefault="000F2348" w:rsidP="004B11B7">
            <w:pPr>
              <w:jc w:val="right"/>
              <w:rPr>
                <w:color w:val="000000"/>
                <w:sz w:val="22"/>
                <w:szCs w:val="22"/>
              </w:rPr>
            </w:pPr>
            <w:r w:rsidRPr="00D618B7">
              <w:rPr>
                <w:color w:val="000000"/>
                <w:sz w:val="22"/>
                <w:szCs w:val="22"/>
              </w:rPr>
              <w:t>5</w:t>
            </w:r>
          </w:p>
        </w:tc>
        <w:tc>
          <w:tcPr>
            <w:tcW w:w="1093" w:type="dxa"/>
            <w:tcBorders>
              <w:top w:val="nil"/>
              <w:left w:val="nil"/>
              <w:bottom w:val="single" w:sz="18" w:space="0" w:color="auto"/>
              <w:right w:val="nil"/>
            </w:tcBorders>
            <w:shd w:val="clear" w:color="000000" w:fill="FFFFFF"/>
            <w:noWrap/>
            <w:vAlign w:val="center"/>
            <w:hideMark/>
          </w:tcPr>
          <w:p w14:paraId="3F6DDDBB" w14:textId="77777777" w:rsidR="000F2348" w:rsidRPr="00D618B7" w:rsidRDefault="000F2348" w:rsidP="004B11B7">
            <w:pPr>
              <w:jc w:val="right"/>
              <w:rPr>
                <w:color w:val="000000"/>
                <w:sz w:val="22"/>
                <w:szCs w:val="22"/>
              </w:rPr>
            </w:pPr>
            <w:r w:rsidRPr="00D618B7">
              <w:rPr>
                <w:color w:val="000000"/>
                <w:sz w:val="22"/>
                <w:szCs w:val="22"/>
              </w:rPr>
              <w:t>594.51</w:t>
            </w:r>
          </w:p>
        </w:tc>
        <w:tc>
          <w:tcPr>
            <w:tcW w:w="1070" w:type="dxa"/>
            <w:tcBorders>
              <w:top w:val="nil"/>
              <w:left w:val="nil"/>
              <w:bottom w:val="single" w:sz="18" w:space="0" w:color="auto"/>
              <w:right w:val="nil"/>
            </w:tcBorders>
            <w:shd w:val="clear" w:color="000000" w:fill="FFFFFF"/>
            <w:noWrap/>
            <w:vAlign w:val="center"/>
            <w:hideMark/>
          </w:tcPr>
          <w:p w14:paraId="74E014FD" w14:textId="77777777" w:rsidR="000F2348" w:rsidRPr="00D618B7" w:rsidRDefault="000F2348" w:rsidP="004B11B7">
            <w:pPr>
              <w:jc w:val="right"/>
              <w:rPr>
                <w:color w:val="000000"/>
                <w:sz w:val="22"/>
                <w:szCs w:val="22"/>
              </w:rPr>
            </w:pPr>
            <w:r w:rsidRPr="00D618B7">
              <w:rPr>
                <w:color w:val="000000"/>
                <w:sz w:val="22"/>
                <w:szCs w:val="22"/>
              </w:rPr>
              <w:t>772.92</w:t>
            </w:r>
          </w:p>
        </w:tc>
        <w:tc>
          <w:tcPr>
            <w:tcW w:w="1522" w:type="dxa"/>
            <w:tcBorders>
              <w:top w:val="nil"/>
              <w:left w:val="nil"/>
              <w:bottom w:val="single" w:sz="18" w:space="0" w:color="auto"/>
              <w:right w:val="nil"/>
            </w:tcBorders>
            <w:shd w:val="clear" w:color="000000" w:fill="FFFFFF"/>
            <w:noWrap/>
            <w:vAlign w:val="center"/>
            <w:hideMark/>
          </w:tcPr>
          <w:p w14:paraId="539227BE" w14:textId="77777777" w:rsidR="000F2348" w:rsidRPr="00D618B7" w:rsidRDefault="000F2348" w:rsidP="004B11B7">
            <w:pPr>
              <w:jc w:val="right"/>
              <w:rPr>
                <w:color w:val="000000"/>
                <w:sz w:val="22"/>
                <w:szCs w:val="22"/>
              </w:rPr>
            </w:pPr>
            <w:r w:rsidRPr="00D618B7">
              <w:rPr>
                <w:color w:val="000000"/>
                <w:sz w:val="22"/>
                <w:szCs w:val="22"/>
              </w:rPr>
              <w:t>1581.03</w:t>
            </w:r>
          </w:p>
        </w:tc>
        <w:tc>
          <w:tcPr>
            <w:tcW w:w="1059" w:type="dxa"/>
            <w:tcBorders>
              <w:top w:val="nil"/>
              <w:left w:val="nil"/>
              <w:bottom w:val="single" w:sz="18" w:space="0" w:color="auto"/>
              <w:right w:val="nil"/>
            </w:tcBorders>
            <w:shd w:val="clear" w:color="000000" w:fill="FFFFFF"/>
            <w:noWrap/>
            <w:vAlign w:val="center"/>
            <w:hideMark/>
          </w:tcPr>
          <w:p w14:paraId="290B8B5A" w14:textId="77777777" w:rsidR="000F2348" w:rsidRPr="00D618B7" w:rsidRDefault="000F2348" w:rsidP="004B11B7">
            <w:pPr>
              <w:jc w:val="right"/>
              <w:rPr>
                <w:color w:val="000000"/>
                <w:sz w:val="22"/>
                <w:szCs w:val="22"/>
              </w:rPr>
            </w:pPr>
            <w:r w:rsidRPr="00D618B7">
              <w:rPr>
                <w:color w:val="000000"/>
                <w:sz w:val="22"/>
                <w:szCs w:val="22"/>
              </w:rPr>
              <w:t>346.59</w:t>
            </w:r>
          </w:p>
        </w:tc>
        <w:tc>
          <w:tcPr>
            <w:tcW w:w="1575" w:type="dxa"/>
            <w:tcBorders>
              <w:top w:val="nil"/>
              <w:left w:val="nil"/>
              <w:bottom w:val="single" w:sz="18" w:space="0" w:color="auto"/>
              <w:right w:val="nil"/>
            </w:tcBorders>
            <w:shd w:val="clear" w:color="000000" w:fill="FFFFFF"/>
            <w:noWrap/>
            <w:vAlign w:val="center"/>
            <w:hideMark/>
          </w:tcPr>
          <w:p w14:paraId="3AEDC1AE" w14:textId="77777777" w:rsidR="000F2348" w:rsidRPr="00D618B7" w:rsidRDefault="000F2348" w:rsidP="004B11B7">
            <w:pPr>
              <w:jc w:val="right"/>
              <w:rPr>
                <w:color w:val="000000"/>
                <w:sz w:val="22"/>
                <w:szCs w:val="22"/>
              </w:rPr>
            </w:pPr>
            <w:r w:rsidRPr="00D618B7">
              <w:rPr>
                <w:color w:val="000000"/>
                <w:sz w:val="22"/>
                <w:szCs w:val="22"/>
              </w:rPr>
              <w:t>-1373.44</w:t>
            </w:r>
          </w:p>
        </w:tc>
        <w:tc>
          <w:tcPr>
            <w:tcW w:w="1096" w:type="dxa"/>
            <w:tcBorders>
              <w:top w:val="nil"/>
              <w:left w:val="nil"/>
              <w:bottom w:val="single" w:sz="18" w:space="0" w:color="auto"/>
              <w:right w:val="nil"/>
            </w:tcBorders>
            <w:shd w:val="clear" w:color="000000" w:fill="FFFFFF"/>
            <w:noWrap/>
            <w:vAlign w:val="center"/>
            <w:hideMark/>
          </w:tcPr>
          <w:p w14:paraId="4E2BFCB6" w14:textId="77777777" w:rsidR="000F2348" w:rsidRPr="00D618B7" w:rsidRDefault="000F2348" w:rsidP="004B11B7">
            <w:pPr>
              <w:jc w:val="right"/>
              <w:rPr>
                <w:color w:val="000000"/>
                <w:sz w:val="22"/>
                <w:szCs w:val="22"/>
              </w:rPr>
            </w:pPr>
            <w:r w:rsidRPr="00D618B7">
              <w:rPr>
                <w:color w:val="000000"/>
                <w:sz w:val="22"/>
                <w:szCs w:val="22"/>
              </w:rPr>
              <w:t>758.71</w:t>
            </w:r>
          </w:p>
        </w:tc>
      </w:tr>
    </w:tbl>
    <w:p w14:paraId="5E8AD1C3" w14:textId="77777777" w:rsidR="000F2348" w:rsidRPr="00D618B7" w:rsidRDefault="000F2348" w:rsidP="000F2348">
      <w:r w:rsidRPr="00D618B7">
        <w:rPr>
          <w:i/>
          <w:iCs/>
        </w:rPr>
        <w:t>Note</w:t>
      </w:r>
      <w:r w:rsidRPr="00D618B7">
        <w:t>: This table lists the estimated mean summed duration and standard error in milliseconds for face, hand, and mouth events for toy-out-of-reach, toy-moving-into-reach, and toy-in-reach for each week of observation around reach-onset for the early reach group.</w:t>
      </w:r>
    </w:p>
    <w:p w14:paraId="0223430E" w14:textId="59B1D5C0" w:rsidR="00A20AF0" w:rsidRPr="00D618B7" w:rsidRDefault="00A20AF0" w:rsidP="007C5074">
      <w:pPr>
        <w:pStyle w:val="Caption"/>
      </w:pPr>
      <w:bookmarkStart w:id="214" w:name="_Toc172716897"/>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69</w:t>
      </w:r>
      <w:r w:rsidR="00000000">
        <w:rPr>
          <w:noProof/>
        </w:rPr>
        <w:fldChar w:fldCharType="end"/>
      </w:r>
      <w:r w:rsidR="00AE3927">
        <w:rPr>
          <w:noProof/>
        </w:rPr>
        <w:t>:</w:t>
      </w:r>
      <w:r w:rsidR="00AC6256" w:rsidRPr="00AC6256">
        <w:t xml:space="preserve"> </w:t>
      </w:r>
      <w:r w:rsidR="00AC6256">
        <w:t>Event summed duration</w:t>
      </w:r>
      <w:r w:rsidR="00AC6256" w:rsidRPr="00BA36EF">
        <w:t xml:space="preserve"> by </w:t>
      </w:r>
      <w:r w:rsidR="00AC6256">
        <w:t>type, proximity, and week for late group</w:t>
      </w:r>
      <w:bookmarkEnd w:id="214"/>
    </w:p>
    <w:p w14:paraId="1DD027D6" w14:textId="2CA0D767" w:rsidR="00A20AF0" w:rsidRPr="00D618B7" w:rsidRDefault="00A20AF0" w:rsidP="00A20AF0">
      <w:r w:rsidRPr="00D618B7">
        <w:t xml:space="preserve">Estimated Mean Summed Duration of Event by Type, Proximity, and Week for the </w:t>
      </w:r>
      <w:r w:rsidR="00AC6256">
        <w:t>Late</w:t>
      </w:r>
      <w:r w:rsidRPr="00D618B7">
        <w:t xml:space="preserve"> Reach Group</w:t>
      </w:r>
    </w:p>
    <w:tbl>
      <w:tblPr>
        <w:tblW w:w="8724" w:type="dxa"/>
        <w:tblLook w:val="04A0" w:firstRow="1" w:lastRow="0" w:firstColumn="1" w:lastColumn="0" w:noHBand="0" w:noVBand="1"/>
      </w:tblPr>
      <w:tblGrid>
        <w:gridCol w:w="1305"/>
        <w:gridCol w:w="1093"/>
        <w:gridCol w:w="1071"/>
        <w:gridCol w:w="1522"/>
        <w:gridCol w:w="1060"/>
        <w:gridCol w:w="1575"/>
        <w:gridCol w:w="1098"/>
      </w:tblGrid>
      <w:tr w:rsidR="00A20AF0" w:rsidRPr="00D618B7" w14:paraId="2053B53C" w14:textId="77777777" w:rsidTr="00A20AF0">
        <w:trPr>
          <w:trHeight w:val="253"/>
        </w:trPr>
        <w:tc>
          <w:tcPr>
            <w:tcW w:w="1305" w:type="dxa"/>
            <w:tcBorders>
              <w:top w:val="single" w:sz="18" w:space="0" w:color="auto"/>
              <w:left w:val="nil"/>
              <w:bottom w:val="nil"/>
              <w:right w:val="nil"/>
            </w:tcBorders>
            <w:shd w:val="clear" w:color="000000" w:fill="FFFFFF"/>
            <w:vAlign w:val="center"/>
            <w:hideMark/>
          </w:tcPr>
          <w:p w14:paraId="5594F59D" w14:textId="77777777" w:rsidR="00A20AF0" w:rsidRPr="00D618B7" w:rsidRDefault="00A20AF0" w:rsidP="004B11B7">
            <w:pPr>
              <w:rPr>
                <w:color w:val="000000"/>
                <w:sz w:val="22"/>
                <w:szCs w:val="22"/>
              </w:rPr>
            </w:pPr>
            <w:r w:rsidRPr="00D618B7">
              <w:rPr>
                <w:color w:val="000000"/>
                <w:sz w:val="22"/>
                <w:szCs w:val="22"/>
              </w:rPr>
              <w:t>Week</w:t>
            </w:r>
          </w:p>
        </w:tc>
        <w:tc>
          <w:tcPr>
            <w:tcW w:w="2164" w:type="dxa"/>
            <w:gridSpan w:val="2"/>
            <w:tcBorders>
              <w:top w:val="single" w:sz="18" w:space="0" w:color="auto"/>
              <w:left w:val="nil"/>
              <w:bottom w:val="single" w:sz="18" w:space="0" w:color="auto"/>
              <w:right w:val="nil"/>
            </w:tcBorders>
            <w:shd w:val="clear" w:color="000000" w:fill="FFFFFF"/>
            <w:vAlign w:val="center"/>
            <w:hideMark/>
          </w:tcPr>
          <w:p w14:paraId="4E9F73B5" w14:textId="77777777" w:rsidR="00A20AF0" w:rsidRPr="00D618B7" w:rsidRDefault="00A20AF0" w:rsidP="004B11B7">
            <w:pPr>
              <w:jc w:val="center"/>
              <w:rPr>
                <w:color w:val="000000"/>
                <w:sz w:val="22"/>
                <w:szCs w:val="22"/>
              </w:rPr>
            </w:pPr>
            <w:r w:rsidRPr="00D618B7">
              <w:rPr>
                <w:color w:val="000000"/>
                <w:sz w:val="22"/>
                <w:szCs w:val="22"/>
              </w:rPr>
              <w:t>Face</w:t>
            </w:r>
          </w:p>
        </w:tc>
        <w:tc>
          <w:tcPr>
            <w:tcW w:w="2582" w:type="dxa"/>
            <w:gridSpan w:val="2"/>
            <w:tcBorders>
              <w:top w:val="single" w:sz="18" w:space="0" w:color="auto"/>
              <w:left w:val="nil"/>
              <w:bottom w:val="single" w:sz="18" w:space="0" w:color="auto"/>
              <w:right w:val="nil"/>
            </w:tcBorders>
            <w:shd w:val="clear" w:color="000000" w:fill="FFFFFF"/>
            <w:vAlign w:val="center"/>
            <w:hideMark/>
          </w:tcPr>
          <w:p w14:paraId="5626C144" w14:textId="77777777" w:rsidR="00A20AF0" w:rsidRPr="00D618B7" w:rsidRDefault="00A20AF0" w:rsidP="004B11B7">
            <w:pPr>
              <w:jc w:val="center"/>
              <w:rPr>
                <w:color w:val="000000"/>
                <w:sz w:val="22"/>
                <w:szCs w:val="22"/>
              </w:rPr>
            </w:pPr>
            <w:r w:rsidRPr="00D618B7">
              <w:rPr>
                <w:color w:val="000000"/>
                <w:sz w:val="22"/>
                <w:szCs w:val="22"/>
              </w:rPr>
              <w:t xml:space="preserve">              Hand</w:t>
            </w:r>
          </w:p>
        </w:tc>
        <w:tc>
          <w:tcPr>
            <w:tcW w:w="2673" w:type="dxa"/>
            <w:gridSpan w:val="2"/>
            <w:tcBorders>
              <w:top w:val="single" w:sz="18" w:space="0" w:color="auto"/>
              <w:left w:val="nil"/>
              <w:bottom w:val="single" w:sz="18" w:space="0" w:color="auto"/>
              <w:right w:val="nil"/>
            </w:tcBorders>
            <w:shd w:val="clear" w:color="000000" w:fill="FFFFFF"/>
            <w:vAlign w:val="center"/>
            <w:hideMark/>
          </w:tcPr>
          <w:p w14:paraId="27D137BA" w14:textId="77777777" w:rsidR="00A20AF0" w:rsidRPr="00D618B7" w:rsidRDefault="00A20AF0" w:rsidP="004B11B7">
            <w:pPr>
              <w:jc w:val="center"/>
              <w:rPr>
                <w:color w:val="000000"/>
                <w:sz w:val="22"/>
                <w:szCs w:val="22"/>
              </w:rPr>
            </w:pPr>
            <w:r w:rsidRPr="00D618B7">
              <w:rPr>
                <w:color w:val="000000"/>
                <w:sz w:val="22"/>
                <w:szCs w:val="22"/>
              </w:rPr>
              <w:t xml:space="preserve">                Mouth</w:t>
            </w:r>
          </w:p>
        </w:tc>
      </w:tr>
      <w:tr w:rsidR="00A20AF0" w:rsidRPr="00D618B7" w14:paraId="5E66B23C" w14:textId="77777777" w:rsidTr="00A20AF0">
        <w:trPr>
          <w:trHeight w:val="253"/>
        </w:trPr>
        <w:tc>
          <w:tcPr>
            <w:tcW w:w="1305" w:type="dxa"/>
            <w:tcBorders>
              <w:top w:val="nil"/>
              <w:left w:val="nil"/>
              <w:bottom w:val="single" w:sz="18" w:space="0" w:color="auto"/>
              <w:right w:val="nil"/>
            </w:tcBorders>
            <w:shd w:val="clear" w:color="000000" w:fill="FFFFFF"/>
            <w:noWrap/>
            <w:vAlign w:val="bottom"/>
            <w:hideMark/>
          </w:tcPr>
          <w:p w14:paraId="465C9065" w14:textId="77777777" w:rsidR="00A20AF0" w:rsidRPr="00D618B7" w:rsidRDefault="00A20AF0" w:rsidP="004B11B7">
            <w:pPr>
              <w:rPr>
                <w:color w:val="000000"/>
                <w:sz w:val="22"/>
                <w:szCs w:val="22"/>
              </w:rPr>
            </w:pPr>
            <w:r w:rsidRPr="00D618B7">
              <w:rPr>
                <w:color w:val="000000"/>
                <w:sz w:val="22"/>
                <w:szCs w:val="22"/>
              </w:rPr>
              <w:t> </w:t>
            </w:r>
          </w:p>
        </w:tc>
        <w:tc>
          <w:tcPr>
            <w:tcW w:w="1093" w:type="dxa"/>
            <w:tcBorders>
              <w:top w:val="single" w:sz="18" w:space="0" w:color="auto"/>
              <w:left w:val="nil"/>
              <w:bottom w:val="single" w:sz="18" w:space="0" w:color="auto"/>
              <w:right w:val="nil"/>
            </w:tcBorders>
            <w:shd w:val="clear" w:color="000000" w:fill="FFFFFF"/>
            <w:noWrap/>
            <w:vAlign w:val="center"/>
            <w:hideMark/>
          </w:tcPr>
          <w:p w14:paraId="681C451C" w14:textId="77777777" w:rsidR="00A20AF0" w:rsidRPr="00D618B7" w:rsidRDefault="00A20AF0" w:rsidP="004B11B7">
            <w:pPr>
              <w:jc w:val="right"/>
              <w:rPr>
                <w:color w:val="000000"/>
                <w:sz w:val="22"/>
                <w:szCs w:val="22"/>
              </w:rPr>
            </w:pPr>
            <w:r w:rsidRPr="00D618B7">
              <w:rPr>
                <w:color w:val="000000"/>
                <w:sz w:val="22"/>
                <w:szCs w:val="22"/>
              </w:rPr>
              <w:t>Mean</w:t>
            </w:r>
          </w:p>
        </w:tc>
        <w:tc>
          <w:tcPr>
            <w:tcW w:w="1071" w:type="dxa"/>
            <w:tcBorders>
              <w:top w:val="single" w:sz="18" w:space="0" w:color="auto"/>
              <w:left w:val="nil"/>
              <w:bottom w:val="single" w:sz="18" w:space="0" w:color="auto"/>
              <w:right w:val="nil"/>
            </w:tcBorders>
            <w:shd w:val="clear" w:color="000000" w:fill="FFFFFF"/>
            <w:noWrap/>
            <w:vAlign w:val="center"/>
            <w:hideMark/>
          </w:tcPr>
          <w:p w14:paraId="1F943BE2" w14:textId="77777777" w:rsidR="00A20AF0" w:rsidRPr="00D618B7" w:rsidRDefault="00A20AF0" w:rsidP="004B11B7">
            <w:pPr>
              <w:jc w:val="right"/>
              <w:rPr>
                <w:color w:val="000000"/>
                <w:sz w:val="22"/>
                <w:szCs w:val="22"/>
              </w:rPr>
            </w:pPr>
            <w:r w:rsidRPr="00D618B7">
              <w:rPr>
                <w:color w:val="000000"/>
                <w:sz w:val="22"/>
                <w:szCs w:val="22"/>
              </w:rPr>
              <w:t>Std. Error</w:t>
            </w:r>
          </w:p>
        </w:tc>
        <w:tc>
          <w:tcPr>
            <w:tcW w:w="1522" w:type="dxa"/>
            <w:tcBorders>
              <w:top w:val="single" w:sz="18" w:space="0" w:color="auto"/>
              <w:left w:val="nil"/>
              <w:bottom w:val="single" w:sz="18" w:space="0" w:color="auto"/>
              <w:right w:val="nil"/>
            </w:tcBorders>
            <w:shd w:val="clear" w:color="000000" w:fill="FFFFFF"/>
            <w:noWrap/>
            <w:vAlign w:val="center"/>
            <w:hideMark/>
          </w:tcPr>
          <w:p w14:paraId="14CA187B" w14:textId="77777777" w:rsidR="00A20AF0" w:rsidRPr="00D618B7" w:rsidRDefault="00A20AF0" w:rsidP="004B11B7">
            <w:pPr>
              <w:jc w:val="right"/>
              <w:rPr>
                <w:color w:val="000000"/>
                <w:sz w:val="22"/>
                <w:szCs w:val="22"/>
              </w:rPr>
            </w:pPr>
            <w:r w:rsidRPr="00D618B7">
              <w:rPr>
                <w:color w:val="000000"/>
                <w:sz w:val="22"/>
                <w:szCs w:val="22"/>
              </w:rPr>
              <w:t>Mean</w:t>
            </w:r>
          </w:p>
        </w:tc>
        <w:tc>
          <w:tcPr>
            <w:tcW w:w="1060" w:type="dxa"/>
            <w:tcBorders>
              <w:top w:val="single" w:sz="18" w:space="0" w:color="auto"/>
              <w:left w:val="nil"/>
              <w:bottom w:val="single" w:sz="18" w:space="0" w:color="auto"/>
              <w:right w:val="nil"/>
            </w:tcBorders>
            <w:shd w:val="clear" w:color="000000" w:fill="FFFFFF"/>
            <w:noWrap/>
            <w:vAlign w:val="center"/>
            <w:hideMark/>
          </w:tcPr>
          <w:p w14:paraId="2819F62F" w14:textId="77777777" w:rsidR="00A20AF0" w:rsidRPr="00D618B7" w:rsidRDefault="00A20AF0" w:rsidP="004B11B7">
            <w:pPr>
              <w:jc w:val="right"/>
              <w:rPr>
                <w:color w:val="000000"/>
                <w:sz w:val="22"/>
                <w:szCs w:val="22"/>
              </w:rPr>
            </w:pPr>
            <w:r w:rsidRPr="00D618B7">
              <w:rPr>
                <w:color w:val="000000"/>
                <w:sz w:val="22"/>
                <w:szCs w:val="22"/>
              </w:rPr>
              <w:t>Std. Error</w:t>
            </w:r>
          </w:p>
        </w:tc>
        <w:tc>
          <w:tcPr>
            <w:tcW w:w="1575" w:type="dxa"/>
            <w:tcBorders>
              <w:top w:val="single" w:sz="18" w:space="0" w:color="auto"/>
              <w:left w:val="nil"/>
              <w:bottom w:val="single" w:sz="18" w:space="0" w:color="auto"/>
              <w:right w:val="nil"/>
            </w:tcBorders>
            <w:shd w:val="clear" w:color="000000" w:fill="FFFFFF"/>
            <w:noWrap/>
            <w:vAlign w:val="center"/>
            <w:hideMark/>
          </w:tcPr>
          <w:p w14:paraId="07063834" w14:textId="77777777" w:rsidR="00A20AF0" w:rsidRPr="00D618B7" w:rsidRDefault="00A20AF0" w:rsidP="004B11B7">
            <w:pPr>
              <w:jc w:val="right"/>
              <w:rPr>
                <w:color w:val="000000"/>
                <w:sz w:val="22"/>
                <w:szCs w:val="22"/>
              </w:rPr>
            </w:pPr>
            <w:r w:rsidRPr="00D618B7">
              <w:rPr>
                <w:color w:val="000000"/>
                <w:sz w:val="22"/>
                <w:szCs w:val="22"/>
              </w:rPr>
              <w:t>Mean</w:t>
            </w:r>
          </w:p>
        </w:tc>
        <w:tc>
          <w:tcPr>
            <w:tcW w:w="1098" w:type="dxa"/>
            <w:tcBorders>
              <w:top w:val="single" w:sz="18" w:space="0" w:color="auto"/>
              <w:left w:val="nil"/>
              <w:bottom w:val="single" w:sz="18" w:space="0" w:color="auto"/>
              <w:right w:val="nil"/>
            </w:tcBorders>
            <w:shd w:val="clear" w:color="000000" w:fill="FFFFFF"/>
            <w:noWrap/>
            <w:vAlign w:val="center"/>
            <w:hideMark/>
          </w:tcPr>
          <w:p w14:paraId="14A6CF2D" w14:textId="77777777" w:rsidR="00A20AF0" w:rsidRPr="00D618B7" w:rsidRDefault="00A20AF0" w:rsidP="004B11B7">
            <w:pPr>
              <w:jc w:val="right"/>
              <w:rPr>
                <w:color w:val="000000"/>
                <w:sz w:val="22"/>
                <w:szCs w:val="22"/>
              </w:rPr>
            </w:pPr>
            <w:r w:rsidRPr="00D618B7">
              <w:rPr>
                <w:color w:val="000000"/>
                <w:sz w:val="22"/>
                <w:szCs w:val="22"/>
              </w:rPr>
              <w:t>Std. Error</w:t>
            </w:r>
          </w:p>
        </w:tc>
      </w:tr>
      <w:tr w:rsidR="00A20AF0" w:rsidRPr="00D618B7" w14:paraId="6B386004" w14:textId="77777777" w:rsidTr="004B11B7">
        <w:trPr>
          <w:trHeight w:val="242"/>
        </w:trPr>
        <w:tc>
          <w:tcPr>
            <w:tcW w:w="1305" w:type="dxa"/>
            <w:tcBorders>
              <w:top w:val="single" w:sz="18" w:space="0" w:color="auto"/>
              <w:left w:val="nil"/>
              <w:bottom w:val="nil"/>
              <w:right w:val="nil"/>
            </w:tcBorders>
            <w:shd w:val="clear" w:color="000000" w:fill="FFFFFF"/>
            <w:noWrap/>
            <w:vAlign w:val="bottom"/>
            <w:hideMark/>
          </w:tcPr>
          <w:p w14:paraId="24D08D2D" w14:textId="77777777" w:rsidR="00A20AF0" w:rsidRPr="00D618B7" w:rsidRDefault="00A20AF0" w:rsidP="004B11B7">
            <w:pPr>
              <w:rPr>
                <w:color w:val="000000"/>
                <w:sz w:val="22"/>
                <w:szCs w:val="22"/>
              </w:rPr>
            </w:pPr>
            <w:r w:rsidRPr="00D618B7">
              <w:rPr>
                <w:color w:val="000000"/>
                <w:sz w:val="22"/>
                <w:szCs w:val="22"/>
              </w:rPr>
              <w:t> </w:t>
            </w:r>
          </w:p>
        </w:tc>
        <w:tc>
          <w:tcPr>
            <w:tcW w:w="7419" w:type="dxa"/>
            <w:gridSpan w:val="6"/>
            <w:tcBorders>
              <w:top w:val="single" w:sz="18" w:space="0" w:color="auto"/>
              <w:left w:val="nil"/>
              <w:bottom w:val="nil"/>
              <w:right w:val="nil"/>
            </w:tcBorders>
            <w:shd w:val="clear" w:color="000000" w:fill="FFFFFF"/>
            <w:noWrap/>
            <w:vAlign w:val="center"/>
            <w:hideMark/>
          </w:tcPr>
          <w:p w14:paraId="6FC4C7F8" w14:textId="77777777" w:rsidR="00A20AF0" w:rsidRPr="00D618B7" w:rsidRDefault="00A20AF0" w:rsidP="004B11B7">
            <w:pPr>
              <w:jc w:val="center"/>
              <w:rPr>
                <w:color w:val="000000"/>
                <w:sz w:val="22"/>
                <w:szCs w:val="22"/>
              </w:rPr>
            </w:pPr>
            <w:r w:rsidRPr="00D618B7">
              <w:rPr>
                <w:color w:val="000000"/>
                <w:sz w:val="22"/>
                <w:szCs w:val="22"/>
              </w:rPr>
              <w:t>Toy-out-of-Reach</w:t>
            </w:r>
          </w:p>
        </w:tc>
      </w:tr>
      <w:tr w:rsidR="00A20AF0" w:rsidRPr="00D618B7" w14:paraId="026C6AA0" w14:textId="77777777" w:rsidTr="00A20AF0">
        <w:trPr>
          <w:trHeight w:val="242"/>
        </w:trPr>
        <w:tc>
          <w:tcPr>
            <w:tcW w:w="1305" w:type="dxa"/>
            <w:tcBorders>
              <w:top w:val="nil"/>
              <w:left w:val="nil"/>
              <w:bottom w:val="nil"/>
              <w:right w:val="nil"/>
            </w:tcBorders>
            <w:shd w:val="clear" w:color="000000" w:fill="FFFFFF"/>
            <w:vAlign w:val="center"/>
            <w:hideMark/>
          </w:tcPr>
          <w:p w14:paraId="6CC85B15" w14:textId="77777777" w:rsidR="00A20AF0" w:rsidRPr="00D618B7" w:rsidRDefault="00A20AF0" w:rsidP="00A20AF0">
            <w:pPr>
              <w:jc w:val="right"/>
              <w:rPr>
                <w:color w:val="000000"/>
                <w:sz w:val="22"/>
                <w:szCs w:val="22"/>
              </w:rPr>
            </w:pPr>
            <w:r w:rsidRPr="00D618B7">
              <w:rPr>
                <w:color w:val="000000"/>
                <w:sz w:val="22"/>
                <w:szCs w:val="22"/>
              </w:rPr>
              <w:t>-5</w:t>
            </w:r>
          </w:p>
        </w:tc>
        <w:tc>
          <w:tcPr>
            <w:tcW w:w="1093" w:type="dxa"/>
            <w:tcBorders>
              <w:top w:val="nil"/>
              <w:left w:val="nil"/>
              <w:bottom w:val="nil"/>
              <w:right w:val="nil"/>
            </w:tcBorders>
            <w:shd w:val="clear" w:color="000000" w:fill="FFFFFF"/>
            <w:noWrap/>
            <w:vAlign w:val="center"/>
            <w:hideMark/>
          </w:tcPr>
          <w:p w14:paraId="5D5B288B" w14:textId="18663876" w:rsidR="00A20AF0" w:rsidRPr="00D618B7" w:rsidRDefault="00A20AF0" w:rsidP="00A20AF0">
            <w:pPr>
              <w:jc w:val="right"/>
              <w:rPr>
                <w:color w:val="000000"/>
                <w:sz w:val="22"/>
                <w:szCs w:val="22"/>
              </w:rPr>
            </w:pPr>
            <w:r w:rsidRPr="00D618B7">
              <w:rPr>
                <w:color w:val="000000"/>
                <w:sz w:val="20"/>
                <w:szCs w:val="20"/>
              </w:rPr>
              <w:t>57.09</w:t>
            </w:r>
          </w:p>
        </w:tc>
        <w:tc>
          <w:tcPr>
            <w:tcW w:w="1071" w:type="dxa"/>
            <w:tcBorders>
              <w:top w:val="nil"/>
              <w:left w:val="nil"/>
              <w:bottom w:val="nil"/>
              <w:right w:val="nil"/>
            </w:tcBorders>
            <w:shd w:val="clear" w:color="000000" w:fill="FFFFFF"/>
            <w:noWrap/>
            <w:vAlign w:val="center"/>
            <w:hideMark/>
          </w:tcPr>
          <w:p w14:paraId="0D2F3657" w14:textId="61FB749A" w:rsidR="00A20AF0" w:rsidRPr="00D618B7" w:rsidRDefault="00A20AF0" w:rsidP="00A20AF0">
            <w:pPr>
              <w:jc w:val="right"/>
              <w:rPr>
                <w:color w:val="000000"/>
                <w:sz w:val="22"/>
                <w:szCs w:val="22"/>
              </w:rPr>
            </w:pPr>
            <w:r w:rsidRPr="00D618B7">
              <w:rPr>
                <w:color w:val="000000"/>
                <w:sz w:val="20"/>
                <w:szCs w:val="20"/>
              </w:rPr>
              <w:t>104.87</w:t>
            </w:r>
          </w:p>
        </w:tc>
        <w:tc>
          <w:tcPr>
            <w:tcW w:w="1522" w:type="dxa"/>
            <w:tcBorders>
              <w:top w:val="nil"/>
              <w:left w:val="nil"/>
              <w:bottom w:val="nil"/>
              <w:right w:val="nil"/>
            </w:tcBorders>
            <w:shd w:val="clear" w:color="000000" w:fill="FFFFFF"/>
            <w:noWrap/>
            <w:vAlign w:val="center"/>
            <w:hideMark/>
          </w:tcPr>
          <w:p w14:paraId="674452E9" w14:textId="6CA8CFFB" w:rsidR="00A20AF0" w:rsidRPr="00D618B7" w:rsidRDefault="00A20AF0" w:rsidP="00A20AF0">
            <w:pPr>
              <w:jc w:val="right"/>
              <w:rPr>
                <w:color w:val="000000"/>
                <w:sz w:val="22"/>
                <w:szCs w:val="22"/>
              </w:rPr>
            </w:pPr>
            <w:r w:rsidRPr="00D618B7">
              <w:rPr>
                <w:color w:val="000000"/>
                <w:sz w:val="20"/>
                <w:szCs w:val="20"/>
              </w:rPr>
              <w:t>-183.65</w:t>
            </w:r>
          </w:p>
        </w:tc>
        <w:tc>
          <w:tcPr>
            <w:tcW w:w="1060" w:type="dxa"/>
            <w:tcBorders>
              <w:top w:val="nil"/>
              <w:left w:val="nil"/>
              <w:bottom w:val="nil"/>
              <w:right w:val="nil"/>
            </w:tcBorders>
            <w:shd w:val="clear" w:color="000000" w:fill="FFFFFF"/>
            <w:noWrap/>
            <w:vAlign w:val="center"/>
            <w:hideMark/>
          </w:tcPr>
          <w:p w14:paraId="432DB466" w14:textId="5FDFD218" w:rsidR="00A20AF0" w:rsidRPr="00D618B7" w:rsidRDefault="00A20AF0" w:rsidP="00A20AF0">
            <w:pPr>
              <w:jc w:val="right"/>
              <w:rPr>
                <w:color w:val="000000"/>
                <w:sz w:val="22"/>
                <w:szCs w:val="22"/>
              </w:rPr>
            </w:pPr>
            <w:r w:rsidRPr="00D618B7">
              <w:rPr>
                <w:color w:val="000000"/>
                <w:sz w:val="20"/>
                <w:szCs w:val="20"/>
              </w:rPr>
              <w:t>402.57</w:t>
            </w:r>
          </w:p>
        </w:tc>
        <w:tc>
          <w:tcPr>
            <w:tcW w:w="1575" w:type="dxa"/>
            <w:tcBorders>
              <w:top w:val="nil"/>
              <w:left w:val="nil"/>
              <w:bottom w:val="nil"/>
              <w:right w:val="nil"/>
            </w:tcBorders>
            <w:shd w:val="clear" w:color="000000" w:fill="FFFFFF"/>
            <w:noWrap/>
            <w:vAlign w:val="center"/>
            <w:hideMark/>
          </w:tcPr>
          <w:p w14:paraId="4B6E7B48" w14:textId="14492610" w:rsidR="00A20AF0" w:rsidRPr="00D618B7" w:rsidRDefault="00A20AF0" w:rsidP="00A20AF0">
            <w:pPr>
              <w:jc w:val="right"/>
              <w:rPr>
                <w:color w:val="000000"/>
                <w:sz w:val="22"/>
                <w:szCs w:val="22"/>
              </w:rPr>
            </w:pPr>
            <w:r w:rsidRPr="00D618B7">
              <w:rPr>
                <w:color w:val="000000"/>
                <w:sz w:val="20"/>
                <w:szCs w:val="20"/>
              </w:rPr>
              <w:t>-1689.57</w:t>
            </w:r>
          </w:p>
        </w:tc>
        <w:tc>
          <w:tcPr>
            <w:tcW w:w="1098" w:type="dxa"/>
            <w:tcBorders>
              <w:top w:val="nil"/>
              <w:left w:val="nil"/>
              <w:bottom w:val="nil"/>
              <w:right w:val="nil"/>
            </w:tcBorders>
            <w:shd w:val="clear" w:color="000000" w:fill="FFFFFF"/>
            <w:noWrap/>
            <w:vAlign w:val="center"/>
            <w:hideMark/>
          </w:tcPr>
          <w:p w14:paraId="687C44E8" w14:textId="77E61B1C" w:rsidR="00A20AF0" w:rsidRPr="00D618B7" w:rsidRDefault="00A20AF0" w:rsidP="00A20AF0">
            <w:pPr>
              <w:jc w:val="right"/>
              <w:rPr>
                <w:color w:val="000000"/>
                <w:sz w:val="22"/>
                <w:szCs w:val="22"/>
              </w:rPr>
            </w:pPr>
            <w:r w:rsidRPr="00D618B7">
              <w:rPr>
                <w:color w:val="000000"/>
                <w:sz w:val="20"/>
                <w:szCs w:val="20"/>
              </w:rPr>
              <w:t>1407.07</w:t>
            </w:r>
          </w:p>
        </w:tc>
      </w:tr>
      <w:tr w:rsidR="00A20AF0" w:rsidRPr="00D618B7" w14:paraId="25C904D4" w14:textId="77777777" w:rsidTr="00A20AF0">
        <w:trPr>
          <w:trHeight w:val="242"/>
        </w:trPr>
        <w:tc>
          <w:tcPr>
            <w:tcW w:w="1305" w:type="dxa"/>
            <w:tcBorders>
              <w:top w:val="nil"/>
              <w:left w:val="nil"/>
              <w:bottom w:val="nil"/>
              <w:right w:val="nil"/>
            </w:tcBorders>
            <w:shd w:val="clear" w:color="000000" w:fill="FFFFFF"/>
            <w:vAlign w:val="center"/>
            <w:hideMark/>
          </w:tcPr>
          <w:p w14:paraId="144336A6" w14:textId="77777777" w:rsidR="00A20AF0" w:rsidRPr="00D618B7" w:rsidRDefault="00A20AF0" w:rsidP="00A20AF0">
            <w:pPr>
              <w:jc w:val="right"/>
              <w:rPr>
                <w:color w:val="000000"/>
                <w:sz w:val="22"/>
                <w:szCs w:val="22"/>
              </w:rPr>
            </w:pPr>
            <w:r w:rsidRPr="00D618B7">
              <w:rPr>
                <w:color w:val="000000"/>
                <w:sz w:val="22"/>
                <w:szCs w:val="22"/>
              </w:rPr>
              <w:t>-4</w:t>
            </w:r>
          </w:p>
        </w:tc>
        <w:tc>
          <w:tcPr>
            <w:tcW w:w="1093" w:type="dxa"/>
            <w:tcBorders>
              <w:top w:val="nil"/>
              <w:left w:val="nil"/>
              <w:bottom w:val="nil"/>
              <w:right w:val="nil"/>
            </w:tcBorders>
            <w:shd w:val="clear" w:color="000000" w:fill="FFFFFF"/>
            <w:noWrap/>
            <w:vAlign w:val="center"/>
            <w:hideMark/>
          </w:tcPr>
          <w:p w14:paraId="71942C76" w14:textId="2691C685" w:rsidR="00A20AF0" w:rsidRPr="00D618B7" w:rsidRDefault="00A20AF0" w:rsidP="00A20AF0">
            <w:pPr>
              <w:jc w:val="right"/>
              <w:rPr>
                <w:color w:val="000000"/>
                <w:sz w:val="22"/>
                <w:szCs w:val="22"/>
              </w:rPr>
            </w:pPr>
            <w:r w:rsidRPr="00D618B7">
              <w:rPr>
                <w:color w:val="000000"/>
                <w:sz w:val="20"/>
                <w:szCs w:val="20"/>
              </w:rPr>
              <w:t>-57.47</w:t>
            </w:r>
          </w:p>
        </w:tc>
        <w:tc>
          <w:tcPr>
            <w:tcW w:w="1071" w:type="dxa"/>
            <w:tcBorders>
              <w:top w:val="nil"/>
              <w:left w:val="nil"/>
              <w:bottom w:val="nil"/>
              <w:right w:val="nil"/>
            </w:tcBorders>
            <w:shd w:val="clear" w:color="000000" w:fill="FFFFFF"/>
            <w:noWrap/>
            <w:vAlign w:val="center"/>
            <w:hideMark/>
          </w:tcPr>
          <w:p w14:paraId="5C7A9783" w14:textId="7345A59C" w:rsidR="00A20AF0" w:rsidRPr="00D618B7" w:rsidRDefault="00A20AF0" w:rsidP="00A20AF0">
            <w:pPr>
              <w:jc w:val="right"/>
              <w:rPr>
                <w:color w:val="000000"/>
                <w:sz w:val="22"/>
                <w:szCs w:val="22"/>
              </w:rPr>
            </w:pPr>
            <w:r w:rsidRPr="00D618B7">
              <w:rPr>
                <w:color w:val="000000"/>
                <w:sz w:val="20"/>
                <w:szCs w:val="20"/>
              </w:rPr>
              <w:t>202.70</w:t>
            </w:r>
          </w:p>
        </w:tc>
        <w:tc>
          <w:tcPr>
            <w:tcW w:w="1522" w:type="dxa"/>
            <w:tcBorders>
              <w:top w:val="nil"/>
              <w:left w:val="nil"/>
              <w:bottom w:val="nil"/>
              <w:right w:val="nil"/>
            </w:tcBorders>
            <w:shd w:val="clear" w:color="000000" w:fill="FFFFFF"/>
            <w:noWrap/>
            <w:vAlign w:val="center"/>
            <w:hideMark/>
          </w:tcPr>
          <w:p w14:paraId="6613651D" w14:textId="61E055AE" w:rsidR="00A20AF0" w:rsidRPr="00D618B7" w:rsidRDefault="00A20AF0" w:rsidP="00A20AF0">
            <w:pPr>
              <w:jc w:val="right"/>
              <w:rPr>
                <w:color w:val="000000"/>
                <w:sz w:val="22"/>
                <w:szCs w:val="22"/>
              </w:rPr>
            </w:pPr>
            <w:r w:rsidRPr="00D618B7">
              <w:rPr>
                <w:color w:val="000000"/>
                <w:sz w:val="20"/>
                <w:szCs w:val="20"/>
              </w:rPr>
              <w:t>353.11</w:t>
            </w:r>
          </w:p>
        </w:tc>
        <w:tc>
          <w:tcPr>
            <w:tcW w:w="1060" w:type="dxa"/>
            <w:tcBorders>
              <w:top w:val="nil"/>
              <w:left w:val="nil"/>
              <w:bottom w:val="nil"/>
              <w:right w:val="nil"/>
            </w:tcBorders>
            <w:shd w:val="clear" w:color="000000" w:fill="FFFFFF"/>
            <w:noWrap/>
            <w:vAlign w:val="center"/>
            <w:hideMark/>
          </w:tcPr>
          <w:p w14:paraId="111AF24A" w14:textId="23B1A9F9" w:rsidR="00A20AF0" w:rsidRPr="00D618B7" w:rsidRDefault="00A20AF0" w:rsidP="00A20AF0">
            <w:pPr>
              <w:jc w:val="right"/>
              <w:rPr>
                <w:color w:val="000000"/>
                <w:sz w:val="22"/>
                <w:szCs w:val="22"/>
              </w:rPr>
            </w:pPr>
            <w:r w:rsidRPr="00D618B7">
              <w:rPr>
                <w:color w:val="000000"/>
                <w:sz w:val="20"/>
                <w:szCs w:val="20"/>
              </w:rPr>
              <w:t>534.51</w:t>
            </w:r>
          </w:p>
        </w:tc>
        <w:tc>
          <w:tcPr>
            <w:tcW w:w="1575" w:type="dxa"/>
            <w:tcBorders>
              <w:top w:val="nil"/>
              <w:left w:val="nil"/>
              <w:bottom w:val="nil"/>
              <w:right w:val="nil"/>
            </w:tcBorders>
            <w:shd w:val="clear" w:color="000000" w:fill="FFFFFF"/>
            <w:noWrap/>
            <w:vAlign w:val="center"/>
            <w:hideMark/>
          </w:tcPr>
          <w:p w14:paraId="51CDB1CF" w14:textId="3210137A" w:rsidR="00A20AF0" w:rsidRPr="00D618B7" w:rsidRDefault="00A20AF0" w:rsidP="00A20AF0">
            <w:pPr>
              <w:jc w:val="right"/>
              <w:rPr>
                <w:color w:val="000000"/>
                <w:sz w:val="22"/>
                <w:szCs w:val="22"/>
              </w:rPr>
            </w:pPr>
            <w:r w:rsidRPr="00D618B7">
              <w:rPr>
                <w:color w:val="000000"/>
                <w:sz w:val="20"/>
                <w:szCs w:val="20"/>
              </w:rPr>
              <w:t>-5305.07</w:t>
            </w:r>
          </w:p>
        </w:tc>
        <w:tc>
          <w:tcPr>
            <w:tcW w:w="1098" w:type="dxa"/>
            <w:tcBorders>
              <w:top w:val="nil"/>
              <w:left w:val="nil"/>
              <w:bottom w:val="nil"/>
              <w:right w:val="nil"/>
            </w:tcBorders>
            <w:shd w:val="clear" w:color="000000" w:fill="FFFFFF"/>
            <w:noWrap/>
            <w:vAlign w:val="center"/>
            <w:hideMark/>
          </w:tcPr>
          <w:p w14:paraId="5B2B437D" w14:textId="6D50C45C" w:rsidR="00A20AF0" w:rsidRPr="00D618B7" w:rsidRDefault="00A20AF0" w:rsidP="00A20AF0">
            <w:pPr>
              <w:jc w:val="right"/>
              <w:rPr>
                <w:color w:val="000000"/>
                <w:sz w:val="22"/>
                <w:szCs w:val="22"/>
              </w:rPr>
            </w:pPr>
            <w:r w:rsidRPr="00D618B7">
              <w:rPr>
                <w:color w:val="000000"/>
                <w:sz w:val="20"/>
                <w:szCs w:val="20"/>
              </w:rPr>
              <w:t>2926.83</w:t>
            </w:r>
          </w:p>
        </w:tc>
      </w:tr>
      <w:tr w:rsidR="00A20AF0" w:rsidRPr="00D618B7" w14:paraId="43996054" w14:textId="77777777" w:rsidTr="00A20AF0">
        <w:trPr>
          <w:trHeight w:val="242"/>
        </w:trPr>
        <w:tc>
          <w:tcPr>
            <w:tcW w:w="1305" w:type="dxa"/>
            <w:tcBorders>
              <w:top w:val="nil"/>
              <w:left w:val="nil"/>
              <w:bottom w:val="nil"/>
              <w:right w:val="nil"/>
            </w:tcBorders>
            <w:shd w:val="clear" w:color="000000" w:fill="FFFFFF"/>
            <w:vAlign w:val="center"/>
            <w:hideMark/>
          </w:tcPr>
          <w:p w14:paraId="2BCAFA81" w14:textId="77777777" w:rsidR="00A20AF0" w:rsidRPr="00D618B7" w:rsidRDefault="00A20AF0" w:rsidP="00A20AF0">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24F8F743" w14:textId="1AC323B1" w:rsidR="00A20AF0" w:rsidRPr="00D618B7" w:rsidRDefault="00A20AF0" w:rsidP="00A20AF0">
            <w:pPr>
              <w:jc w:val="right"/>
              <w:rPr>
                <w:color w:val="000000"/>
                <w:sz w:val="22"/>
                <w:szCs w:val="22"/>
              </w:rPr>
            </w:pPr>
            <w:r w:rsidRPr="00D618B7">
              <w:rPr>
                <w:color w:val="000000"/>
                <w:sz w:val="20"/>
                <w:szCs w:val="20"/>
              </w:rPr>
              <w:t>88.94</w:t>
            </w:r>
          </w:p>
        </w:tc>
        <w:tc>
          <w:tcPr>
            <w:tcW w:w="1071" w:type="dxa"/>
            <w:tcBorders>
              <w:top w:val="nil"/>
              <w:left w:val="nil"/>
              <w:bottom w:val="nil"/>
              <w:right w:val="nil"/>
            </w:tcBorders>
            <w:shd w:val="clear" w:color="000000" w:fill="FFFFFF"/>
            <w:noWrap/>
            <w:vAlign w:val="center"/>
            <w:hideMark/>
          </w:tcPr>
          <w:p w14:paraId="7E329B5B" w14:textId="7C413036" w:rsidR="00A20AF0" w:rsidRPr="00D618B7" w:rsidRDefault="00A20AF0" w:rsidP="00A20AF0">
            <w:pPr>
              <w:jc w:val="right"/>
              <w:rPr>
                <w:color w:val="000000"/>
                <w:sz w:val="22"/>
                <w:szCs w:val="22"/>
              </w:rPr>
            </w:pPr>
            <w:r w:rsidRPr="00D618B7">
              <w:rPr>
                <w:color w:val="000000"/>
                <w:sz w:val="20"/>
                <w:szCs w:val="20"/>
              </w:rPr>
              <w:t>142.30</w:t>
            </w:r>
          </w:p>
        </w:tc>
        <w:tc>
          <w:tcPr>
            <w:tcW w:w="1522" w:type="dxa"/>
            <w:tcBorders>
              <w:top w:val="nil"/>
              <w:left w:val="nil"/>
              <w:bottom w:val="nil"/>
              <w:right w:val="nil"/>
            </w:tcBorders>
            <w:shd w:val="clear" w:color="000000" w:fill="FFFFFF"/>
            <w:noWrap/>
            <w:vAlign w:val="center"/>
            <w:hideMark/>
          </w:tcPr>
          <w:p w14:paraId="767EDFFA" w14:textId="12237D85" w:rsidR="00A20AF0" w:rsidRPr="00D618B7" w:rsidRDefault="00A20AF0" w:rsidP="00A20AF0">
            <w:pPr>
              <w:jc w:val="right"/>
              <w:rPr>
                <w:color w:val="000000"/>
                <w:sz w:val="22"/>
                <w:szCs w:val="22"/>
              </w:rPr>
            </w:pPr>
            <w:r w:rsidRPr="00D618B7">
              <w:rPr>
                <w:color w:val="000000"/>
                <w:sz w:val="20"/>
                <w:szCs w:val="20"/>
              </w:rPr>
              <w:t>-338.20</w:t>
            </w:r>
          </w:p>
        </w:tc>
        <w:tc>
          <w:tcPr>
            <w:tcW w:w="1060" w:type="dxa"/>
            <w:tcBorders>
              <w:top w:val="nil"/>
              <w:left w:val="nil"/>
              <w:bottom w:val="nil"/>
              <w:right w:val="nil"/>
            </w:tcBorders>
            <w:shd w:val="clear" w:color="000000" w:fill="FFFFFF"/>
            <w:noWrap/>
            <w:vAlign w:val="center"/>
            <w:hideMark/>
          </w:tcPr>
          <w:p w14:paraId="7C6365A4" w14:textId="0400492E" w:rsidR="00A20AF0" w:rsidRPr="00D618B7" w:rsidRDefault="00A20AF0" w:rsidP="00A20AF0">
            <w:pPr>
              <w:jc w:val="right"/>
              <w:rPr>
                <w:color w:val="000000"/>
                <w:sz w:val="22"/>
                <w:szCs w:val="22"/>
              </w:rPr>
            </w:pPr>
            <w:r w:rsidRPr="00D618B7">
              <w:rPr>
                <w:color w:val="000000"/>
                <w:sz w:val="20"/>
                <w:szCs w:val="20"/>
              </w:rPr>
              <w:t>253.38</w:t>
            </w:r>
          </w:p>
        </w:tc>
        <w:tc>
          <w:tcPr>
            <w:tcW w:w="1575" w:type="dxa"/>
            <w:tcBorders>
              <w:top w:val="nil"/>
              <w:left w:val="nil"/>
              <w:bottom w:val="nil"/>
              <w:right w:val="nil"/>
            </w:tcBorders>
            <w:shd w:val="clear" w:color="000000" w:fill="FFFFFF"/>
            <w:noWrap/>
            <w:vAlign w:val="center"/>
            <w:hideMark/>
          </w:tcPr>
          <w:p w14:paraId="0C3F2D1B" w14:textId="2817AC2F" w:rsidR="00A20AF0" w:rsidRPr="00D618B7" w:rsidRDefault="00A20AF0" w:rsidP="00A20AF0">
            <w:pPr>
              <w:jc w:val="right"/>
              <w:rPr>
                <w:color w:val="000000"/>
                <w:sz w:val="22"/>
                <w:szCs w:val="22"/>
              </w:rPr>
            </w:pPr>
            <w:r w:rsidRPr="00D618B7">
              <w:rPr>
                <w:color w:val="000000"/>
                <w:sz w:val="20"/>
                <w:szCs w:val="20"/>
              </w:rPr>
              <w:t>14560.59</w:t>
            </w:r>
          </w:p>
        </w:tc>
        <w:tc>
          <w:tcPr>
            <w:tcW w:w="1098" w:type="dxa"/>
            <w:tcBorders>
              <w:top w:val="nil"/>
              <w:left w:val="nil"/>
              <w:bottom w:val="nil"/>
              <w:right w:val="nil"/>
            </w:tcBorders>
            <w:shd w:val="clear" w:color="000000" w:fill="FFFFFF"/>
            <w:noWrap/>
            <w:vAlign w:val="center"/>
            <w:hideMark/>
          </w:tcPr>
          <w:p w14:paraId="6EB22744" w14:textId="2BB19B41" w:rsidR="00A20AF0" w:rsidRPr="00D618B7" w:rsidRDefault="00A20AF0" w:rsidP="00A20AF0">
            <w:pPr>
              <w:jc w:val="right"/>
              <w:rPr>
                <w:color w:val="000000"/>
                <w:sz w:val="22"/>
                <w:szCs w:val="22"/>
              </w:rPr>
            </w:pPr>
            <w:r w:rsidRPr="00D618B7">
              <w:rPr>
                <w:color w:val="000000"/>
                <w:sz w:val="20"/>
                <w:szCs w:val="20"/>
              </w:rPr>
              <w:t>6407.54</w:t>
            </w:r>
          </w:p>
        </w:tc>
      </w:tr>
      <w:tr w:rsidR="00A20AF0" w:rsidRPr="00D618B7" w14:paraId="27062723" w14:textId="77777777" w:rsidTr="00A20AF0">
        <w:trPr>
          <w:trHeight w:val="242"/>
        </w:trPr>
        <w:tc>
          <w:tcPr>
            <w:tcW w:w="1305" w:type="dxa"/>
            <w:tcBorders>
              <w:top w:val="nil"/>
              <w:left w:val="nil"/>
              <w:bottom w:val="nil"/>
              <w:right w:val="nil"/>
            </w:tcBorders>
            <w:shd w:val="clear" w:color="000000" w:fill="FFFFFF"/>
            <w:vAlign w:val="center"/>
            <w:hideMark/>
          </w:tcPr>
          <w:p w14:paraId="6E113D78" w14:textId="77777777" w:rsidR="00A20AF0" w:rsidRPr="00D618B7" w:rsidRDefault="00A20AF0" w:rsidP="00A20AF0">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26702553" w14:textId="5C2969A5" w:rsidR="00A20AF0" w:rsidRPr="00D618B7" w:rsidRDefault="00A20AF0" w:rsidP="00A20AF0">
            <w:pPr>
              <w:jc w:val="right"/>
              <w:rPr>
                <w:color w:val="000000"/>
                <w:sz w:val="22"/>
                <w:szCs w:val="22"/>
              </w:rPr>
            </w:pPr>
            <w:r w:rsidRPr="00D618B7">
              <w:rPr>
                <w:color w:val="000000"/>
                <w:sz w:val="20"/>
                <w:szCs w:val="20"/>
              </w:rPr>
              <w:t>65.97</w:t>
            </w:r>
          </w:p>
        </w:tc>
        <w:tc>
          <w:tcPr>
            <w:tcW w:w="1071" w:type="dxa"/>
            <w:tcBorders>
              <w:top w:val="nil"/>
              <w:left w:val="nil"/>
              <w:bottom w:val="nil"/>
              <w:right w:val="nil"/>
            </w:tcBorders>
            <w:shd w:val="clear" w:color="000000" w:fill="FFFFFF"/>
            <w:noWrap/>
            <w:vAlign w:val="center"/>
            <w:hideMark/>
          </w:tcPr>
          <w:p w14:paraId="37549707" w14:textId="5218DD6A" w:rsidR="00A20AF0" w:rsidRPr="00D618B7" w:rsidRDefault="00A20AF0" w:rsidP="00A20AF0">
            <w:pPr>
              <w:jc w:val="right"/>
              <w:rPr>
                <w:color w:val="000000"/>
                <w:sz w:val="22"/>
                <w:szCs w:val="22"/>
              </w:rPr>
            </w:pPr>
            <w:r w:rsidRPr="00D618B7">
              <w:rPr>
                <w:color w:val="000000"/>
                <w:sz w:val="20"/>
                <w:szCs w:val="20"/>
              </w:rPr>
              <w:t>157.69</w:t>
            </w:r>
          </w:p>
        </w:tc>
        <w:tc>
          <w:tcPr>
            <w:tcW w:w="1522" w:type="dxa"/>
            <w:tcBorders>
              <w:top w:val="nil"/>
              <w:left w:val="nil"/>
              <w:bottom w:val="nil"/>
              <w:right w:val="nil"/>
            </w:tcBorders>
            <w:shd w:val="clear" w:color="000000" w:fill="FFFFFF"/>
            <w:noWrap/>
            <w:vAlign w:val="center"/>
            <w:hideMark/>
          </w:tcPr>
          <w:p w14:paraId="4332B206" w14:textId="6B96FF36" w:rsidR="00A20AF0" w:rsidRPr="00D618B7" w:rsidRDefault="00A20AF0" w:rsidP="00A20AF0">
            <w:pPr>
              <w:jc w:val="right"/>
              <w:rPr>
                <w:color w:val="000000"/>
                <w:sz w:val="22"/>
                <w:szCs w:val="22"/>
              </w:rPr>
            </w:pPr>
            <w:r w:rsidRPr="00D618B7">
              <w:rPr>
                <w:color w:val="000000"/>
                <w:sz w:val="20"/>
                <w:szCs w:val="20"/>
              </w:rPr>
              <w:t>368.96</w:t>
            </w:r>
          </w:p>
        </w:tc>
        <w:tc>
          <w:tcPr>
            <w:tcW w:w="1060" w:type="dxa"/>
            <w:tcBorders>
              <w:top w:val="nil"/>
              <w:left w:val="nil"/>
              <w:bottom w:val="nil"/>
              <w:right w:val="nil"/>
            </w:tcBorders>
            <w:shd w:val="clear" w:color="000000" w:fill="FFFFFF"/>
            <w:noWrap/>
            <w:vAlign w:val="center"/>
            <w:hideMark/>
          </w:tcPr>
          <w:p w14:paraId="0AE458CA" w14:textId="4325D4AE" w:rsidR="00A20AF0" w:rsidRPr="00D618B7" w:rsidRDefault="00A20AF0" w:rsidP="00A20AF0">
            <w:pPr>
              <w:jc w:val="right"/>
              <w:rPr>
                <w:color w:val="000000"/>
                <w:sz w:val="22"/>
                <w:szCs w:val="22"/>
              </w:rPr>
            </w:pPr>
            <w:r w:rsidRPr="00D618B7">
              <w:rPr>
                <w:color w:val="000000"/>
                <w:sz w:val="20"/>
                <w:szCs w:val="20"/>
              </w:rPr>
              <w:t>495.52</w:t>
            </w:r>
          </w:p>
        </w:tc>
        <w:tc>
          <w:tcPr>
            <w:tcW w:w="1575" w:type="dxa"/>
            <w:tcBorders>
              <w:top w:val="nil"/>
              <w:left w:val="nil"/>
              <w:bottom w:val="nil"/>
              <w:right w:val="nil"/>
            </w:tcBorders>
            <w:shd w:val="clear" w:color="000000" w:fill="FFFFFF"/>
            <w:noWrap/>
            <w:vAlign w:val="center"/>
            <w:hideMark/>
          </w:tcPr>
          <w:p w14:paraId="752EF13B" w14:textId="12DD22C9" w:rsidR="00A20AF0" w:rsidRPr="00D618B7" w:rsidRDefault="00A20AF0" w:rsidP="00A20AF0">
            <w:pPr>
              <w:jc w:val="right"/>
              <w:rPr>
                <w:color w:val="000000"/>
                <w:sz w:val="22"/>
                <w:szCs w:val="22"/>
              </w:rPr>
            </w:pPr>
            <w:r w:rsidRPr="00D618B7">
              <w:rPr>
                <w:color w:val="000000"/>
                <w:sz w:val="20"/>
                <w:szCs w:val="20"/>
              </w:rPr>
              <w:t>1718.99</w:t>
            </w:r>
          </w:p>
        </w:tc>
        <w:tc>
          <w:tcPr>
            <w:tcW w:w="1098" w:type="dxa"/>
            <w:tcBorders>
              <w:top w:val="nil"/>
              <w:left w:val="nil"/>
              <w:bottom w:val="nil"/>
              <w:right w:val="nil"/>
            </w:tcBorders>
            <w:shd w:val="clear" w:color="000000" w:fill="FFFFFF"/>
            <w:noWrap/>
            <w:vAlign w:val="center"/>
            <w:hideMark/>
          </w:tcPr>
          <w:p w14:paraId="24E958F3" w14:textId="43B67FC4" w:rsidR="00A20AF0" w:rsidRPr="00D618B7" w:rsidRDefault="00A20AF0" w:rsidP="00A20AF0">
            <w:pPr>
              <w:jc w:val="right"/>
              <w:rPr>
                <w:color w:val="000000"/>
                <w:sz w:val="22"/>
                <w:szCs w:val="22"/>
              </w:rPr>
            </w:pPr>
            <w:r w:rsidRPr="00D618B7">
              <w:rPr>
                <w:color w:val="000000"/>
                <w:sz w:val="20"/>
                <w:szCs w:val="20"/>
              </w:rPr>
              <w:t>716.08</w:t>
            </w:r>
          </w:p>
        </w:tc>
      </w:tr>
      <w:tr w:rsidR="00A20AF0" w:rsidRPr="00D618B7" w14:paraId="1E828BE7" w14:textId="77777777" w:rsidTr="00A20AF0">
        <w:trPr>
          <w:trHeight w:val="242"/>
        </w:trPr>
        <w:tc>
          <w:tcPr>
            <w:tcW w:w="1305" w:type="dxa"/>
            <w:tcBorders>
              <w:top w:val="nil"/>
              <w:left w:val="nil"/>
              <w:bottom w:val="nil"/>
              <w:right w:val="nil"/>
            </w:tcBorders>
            <w:shd w:val="clear" w:color="000000" w:fill="FFFFFF"/>
            <w:vAlign w:val="center"/>
            <w:hideMark/>
          </w:tcPr>
          <w:p w14:paraId="321840C8" w14:textId="77777777" w:rsidR="00A20AF0" w:rsidRPr="00D618B7" w:rsidRDefault="00A20AF0" w:rsidP="00A20AF0">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677A150A" w14:textId="66663277" w:rsidR="00A20AF0" w:rsidRPr="00D618B7" w:rsidRDefault="00A20AF0" w:rsidP="00A20AF0">
            <w:pPr>
              <w:jc w:val="right"/>
              <w:rPr>
                <w:color w:val="000000"/>
                <w:sz w:val="22"/>
                <w:szCs w:val="22"/>
              </w:rPr>
            </w:pPr>
            <w:r w:rsidRPr="00D618B7">
              <w:rPr>
                <w:color w:val="000000"/>
                <w:sz w:val="20"/>
                <w:szCs w:val="20"/>
              </w:rPr>
              <w:t>-38.81</w:t>
            </w:r>
          </w:p>
        </w:tc>
        <w:tc>
          <w:tcPr>
            <w:tcW w:w="1071" w:type="dxa"/>
            <w:tcBorders>
              <w:top w:val="nil"/>
              <w:left w:val="nil"/>
              <w:bottom w:val="nil"/>
              <w:right w:val="nil"/>
            </w:tcBorders>
            <w:shd w:val="clear" w:color="000000" w:fill="FFFFFF"/>
            <w:noWrap/>
            <w:vAlign w:val="center"/>
            <w:hideMark/>
          </w:tcPr>
          <w:p w14:paraId="51861F69" w14:textId="2E5E4AC9" w:rsidR="00A20AF0" w:rsidRPr="00D618B7" w:rsidRDefault="00A20AF0" w:rsidP="00A20AF0">
            <w:pPr>
              <w:jc w:val="right"/>
              <w:rPr>
                <w:color w:val="000000"/>
                <w:sz w:val="22"/>
                <w:szCs w:val="22"/>
              </w:rPr>
            </w:pPr>
            <w:r w:rsidRPr="00D618B7">
              <w:rPr>
                <w:color w:val="000000"/>
                <w:sz w:val="20"/>
                <w:szCs w:val="20"/>
              </w:rPr>
              <w:t>21.72</w:t>
            </w:r>
          </w:p>
        </w:tc>
        <w:tc>
          <w:tcPr>
            <w:tcW w:w="1522" w:type="dxa"/>
            <w:tcBorders>
              <w:top w:val="nil"/>
              <w:left w:val="nil"/>
              <w:bottom w:val="nil"/>
              <w:right w:val="nil"/>
            </w:tcBorders>
            <w:shd w:val="clear" w:color="000000" w:fill="FFFFFF"/>
            <w:noWrap/>
            <w:vAlign w:val="center"/>
            <w:hideMark/>
          </w:tcPr>
          <w:p w14:paraId="216FE5E0" w14:textId="11F6E19E" w:rsidR="00A20AF0" w:rsidRPr="00D618B7" w:rsidRDefault="00A20AF0" w:rsidP="00A20AF0">
            <w:pPr>
              <w:jc w:val="right"/>
              <w:rPr>
                <w:color w:val="000000"/>
                <w:sz w:val="22"/>
                <w:szCs w:val="22"/>
              </w:rPr>
            </w:pPr>
            <w:r w:rsidRPr="00D618B7">
              <w:rPr>
                <w:color w:val="000000"/>
                <w:sz w:val="20"/>
                <w:szCs w:val="20"/>
              </w:rPr>
              <w:t>169.61</w:t>
            </w:r>
          </w:p>
        </w:tc>
        <w:tc>
          <w:tcPr>
            <w:tcW w:w="1060" w:type="dxa"/>
            <w:tcBorders>
              <w:top w:val="nil"/>
              <w:left w:val="nil"/>
              <w:bottom w:val="nil"/>
              <w:right w:val="nil"/>
            </w:tcBorders>
            <w:shd w:val="clear" w:color="000000" w:fill="FFFFFF"/>
            <w:noWrap/>
            <w:vAlign w:val="center"/>
            <w:hideMark/>
          </w:tcPr>
          <w:p w14:paraId="5CD276F9" w14:textId="1EE04649" w:rsidR="00A20AF0" w:rsidRPr="00D618B7" w:rsidRDefault="00A20AF0" w:rsidP="00A20AF0">
            <w:pPr>
              <w:jc w:val="right"/>
              <w:rPr>
                <w:color w:val="000000"/>
                <w:sz w:val="22"/>
                <w:szCs w:val="22"/>
              </w:rPr>
            </w:pPr>
            <w:r w:rsidRPr="00D618B7">
              <w:rPr>
                <w:color w:val="000000"/>
                <w:sz w:val="20"/>
                <w:szCs w:val="20"/>
              </w:rPr>
              <w:t>38.45</w:t>
            </w:r>
          </w:p>
        </w:tc>
        <w:tc>
          <w:tcPr>
            <w:tcW w:w="1575" w:type="dxa"/>
            <w:tcBorders>
              <w:top w:val="nil"/>
              <w:left w:val="nil"/>
              <w:bottom w:val="nil"/>
              <w:right w:val="nil"/>
            </w:tcBorders>
            <w:shd w:val="clear" w:color="000000" w:fill="FFFFFF"/>
            <w:noWrap/>
            <w:vAlign w:val="center"/>
            <w:hideMark/>
          </w:tcPr>
          <w:p w14:paraId="112B1BEE" w14:textId="04524C30" w:rsidR="00A20AF0" w:rsidRPr="00D618B7" w:rsidRDefault="00A20AF0" w:rsidP="00A20AF0">
            <w:pPr>
              <w:jc w:val="right"/>
              <w:rPr>
                <w:color w:val="000000"/>
                <w:sz w:val="22"/>
                <w:szCs w:val="22"/>
              </w:rPr>
            </w:pPr>
            <w:r w:rsidRPr="00D618B7">
              <w:rPr>
                <w:color w:val="000000"/>
                <w:sz w:val="20"/>
                <w:szCs w:val="20"/>
              </w:rPr>
              <w:t>10805.55</w:t>
            </w:r>
          </w:p>
        </w:tc>
        <w:tc>
          <w:tcPr>
            <w:tcW w:w="1098" w:type="dxa"/>
            <w:tcBorders>
              <w:top w:val="nil"/>
              <w:left w:val="nil"/>
              <w:bottom w:val="nil"/>
              <w:right w:val="nil"/>
            </w:tcBorders>
            <w:shd w:val="clear" w:color="000000" w:fill="FFFFFF"/>
            <w:noWrap/>
            <w:vAlign w:val="center"/>
            <w:hideMark/>
          </w:tcPr>
          <w:p w14:paraId="3DDB3B66" w14:textId="3EFE6E10" w:rsidR="00A20AF0" w:rsidRPr="00D618B7" w:rsidRDefault="00A20AF0" w:rsidP="00A20AF0">
            <w:pPr>
              <w:jc w:val="right"/>
              <w:rPr>
                <w:color w:val="000000"/>
                <w:sz w:val="22"/>
                <w:szCs w:val="22"/>
              </w:rPr>
            </w:pPr>
            <w:r w:rsidRPr="00D618B7">
              <w:rPr>
                <w:color w:val="000000"/>
                <w:sz w:val="20"/>
                <w:szCs w:val="20"/>
              </w:rPr>
              <w:t>9617.50</w:t>
            </w:r>
          </w:p>
        </w:tc>
      </w:tr>
      <w:tr w:rsidR="00A20AF0" w:rsidRPr="00D618B7" w14:paraId="1FD6ED9F" w14:textId="77777777" w:rsidTr="00A20AF0">
        <w:trPr>
          <w:trHeight w:val="242"/>
        </w:trPr>
        <w:tc>
          <w:tcPr>
            <w:tcW w:w="1305" w:type="dxa"/>
            <w:tcBorders>
              <w:top w:val="nil"/>
              <w:left w:val="nil"/>
              <w:bottom w:val="nil"/>
              <w:right w:val="nil"/>
            </w:tcBorders>
            <w:shd w:val="clear" w:color="000000" w:fill="FFFFFF"/>
            <w:vAlign w:val="center"/>
            <w:hideMark/>
          </w:tcPr>
          <w:p w14:paraId="113DDA36" w14:textId="77777777" w:rsidR="00A20AF0" w:rsidRPr="00D618B7" w:rsidRDefault="00A20AF0" w:rsidP="00A20AF0">
            <w:pPr>
              <w:jc w:val="right"/>
              <w:rPr>
                <w:color w:val="000000"/>
                <w:sz w:val="22"/>
                <w:szCs w:val="22"/>
              </w:rPr>
            </w:pPr>
            <w:r w:rsidRPr="00D618B7">
              <w:rPr>
                <w:color w:val="000000"/>
                <w:sz w:val="22"/>
                <w:szCs w:val="22"/>
              </w:rPr>
              <w:t>0</w:t>
            </w:r>
          </w:p>
        </w:tc>
        <w:tc>
          <w:tcPr>
            <w:tcW w:w="1093" w:type="dxa"/>
            <w:tcBorders>
              <w:top w:val="nil"/>
              <w:left w:val="nil"/>
              <w:bottom w:val="nil"/>
              <w:right w:val="nil"/>
            </w:tcBorders>
            <w:shd w:val="clear" w:color="000000" w:fill="FFFFFF"/>
            <w:noWrap/>
            <w:vAlign w:val="center"/>
            <w:hideMark/>
          </w:tcPr>
          <w:p w14:paraId="0CE9136D" w14:textId="0ECDFE55" w:rsidR="00A20AF0" w:rsidRPr="00D618B7" w:rsidRDefault="00A20AF0" w:rsidP="00A20AF0">
            <w:pPr>
              <w:jc w:val="right"/>
              <w:rPr>
                <w:color w:val="000000"/>
                <w:sz w:val="22"/>
                <w:szCs w:val="22"/>
              </w:rPr>
            </w:pPr>
            <w:r w:rsidRPr="00D618B7">
              <w:rPr>
                <w:color w:val="000000"/>
                <w:sz w:val="20"/>
                <w:szCs w:val="20"/>
              </w:rPr>
              <w:t>721.06</w:t>
            </w:r>
          </w:p>
        </w:tc>
        <w:tc>
          <w:tcPr>
            <w:tcW w:w="1071" w:type="dxa"/>
            <w:tcBorders>
              <w:top w:val="nil"/>
              <w:left w:val="nil"/>
              <w:bottom w:val="nil"/>
              <w:right w:val="nil"/>
            </w:tcBorders>
            <w:shd w:val="clear" w:color="000000" w:fill="FFFFFF"/>
            <w:noWrap/>
            <w:vAlign w:val="center"/>
            <w:hideMark/>
          </w:tcPr>
          <w:p w14:paraId="649AECD9" w14:textId="6E9125DE" w:rsidR="00A20AF0" w:rsidRPr="00D618B7" w:rsidRDefault="00A20AF0" w:rsidP="00A20AF0">
            <w:pPr>
              <w:jc w:val="right"/>
              <w:rPr>
                <w:color w:val="000000"/>
                <w:sz w:val="22"/>
                <w:szCs w:val="22"/>
              </w:rPr>
            </w:pPr>
            <w:r w:rsidRPr="00D618B7">
              <w:rPr>
                <w:color w:val="000000"/>
                <w:sz w:val="20"/>
                <w:szCs w:val="20"/>
              </w:rPr>
              <w:t>493.69</w:t>
            </w:r>
          </w:p>
        </w:tc>
        <w:tc>
          <w:tcPr>
            <w:tcW w:w="1522" w:type="dxa"/>
            <w:tcBorders>
              <w:top w:val="nil"/>
              <w:left w:val="nil"/>
              <w:bottom w:val="nil"/>
              <w:right w:val="nil"/>
            </w:tcBorders>
            <w:shd w:val="clear" w:color="000000" w:fill="FFFFFF"/>
            <w:noWrap/>
            <w:vAlign w:val="center"/>
            <w:hideMark/>
          </w:tcPr>
          <w:p w14:paraId="267D4023" w14:textId="6BB48571" w:rsidR="00A20AF0" w:rsidRPr="00D618B7" w:rsidRDefault="00A20AF0" w:rsidP="00A20AF0">
            <w:pPr>
              <w:jc w:val="right"/>
              <w:rPr>
                <w:color w:val="000000"/>
                <w:sz w:val="22"/>
                <w:szCs w:val="22"/>
              </w:rPr>
            </w:pPr>
            <w:r w:rsidRPr="00D618B7">
              <w:rPr>
                <w:color w:val="000000"/>
                <w:sz w:val="20"/>
                <w:szCs w:val="20"/>
              </w:rPr>
              <w:t>-1083.77</w:t>
            </w:r>
          </w:p>
        </w:tc>
        <w:tc>
          <w:tcPr>
            <w:tcW w:w="1060" w:type="dxa"/>
            <w:tcBorders>
              <w:top w:val="nil"/>
              <w:left w:val="nil"/>
              <w:bottom w:val="nil"/>
              <w:right w:val="nil"/>
            </w:tcBorders>
            <w:shd w:val="clear" w:color="000000" w:fill="FFFFFF"/>
            <w:noWrap/>
            <w:vAlign w:val="center"/>
            <w:hideMark/>
          </w:tcPr>
          <w:p w14:paraId="2E12497F" w14:textId="74EB56FC" w:rsidR="00A20AF0" w:rsidRPr="00D618B7" w:rsidRDefault="00A20AF0" w:rsidP="00A20AF0">
            <w:pPr>
              <w:jc w:val="right"/>
              <w:rPr>
                <w:color w:val="000000"/>
                <w:sz w:val="22"/>
                <w:szCs w:val="22"/>
              </w:rPr>
            </w:pPr>
            <w:r w:rsidRPr="00D618B7">
              <w:rPr>
                <w:color w:val="000000"/>
                <w:sz w:val="20"/>
                <w:szCs w:val="20"/>
              </w:rPr>
              <w:t>176.07</w:t>
            </w:r>
          </w:p>
        </w:tc>
        <w:tc>
          <w:tcPr>
            <w:tcW w:w="1575" w:type="dxa"/>
            <w:tcBorders>
              <w:top w:val="nil"/>
              <w:left w:val="nil"/>
              <w:bottom w:val="nil"/>
              <w:right w:val="nil"/>
            </w:tcBorders>
            <w:shd w:val="clear" w:color="000000" w:fill="FFFFFF"/>
            <w:noWrap/>
            <w:vAlign w:val="center"/>
            <w:hideMark/>
          </w:tcPr>
          <w:p w14:paraId="0E9A4B41" w14:textId="3AA016C5" w:rsidR="00A20AF0" w:rsidRPr="00D618B7" w:rsidRDefault="00A20AF0" w:rsidP="00A20AF0">
            <w:pPr>
              <w:jc w:val="right"/>
              <w:rPr>
                <w:color w:val="000000"/>
                <w:sz w:val="22"/>
                <w:szCs w:val="22"/>
              </w:rPr>
            </w:pPr>
            <w:r w:rsidRPr="00D618B7">
              <w:rPr>
                <w:color w:val="000000"/>
                <w:sz w:val="20"/>
                <w:szCs w:val="20"/>
              </w:rPr>
              <w:t>5339.12</w:t>
            </w:r>
          </w:p>
        </w:tc>
        <w:tc>
          <w:tcPr>
            <w:tcW w:w="1098" w:type="dxa"/>
            <w:tcBorders>
              <w:top w:val="nil"/>
              <w:left w:val="nil"/>
              <w:bottom w:val="nil"/>
              <w:right w:val="nil"/>
            </w:tcBorders>
            <w:shd w:val="clear" w:color="000000" w:fill="FFFFFF"/>
            <w:noWrap/>
            <w:vAlign w:val="center"/>
            <w:hideMark/>
          </w:tcPr>
          <w:p w14:paraId="5045C658" w14:textId="668FC4AF" w:rsidR="00A20AF0" w:rsidRPr="00D618B7" w:rsidRDefault="00A20AF0" w:rsidP="00A20AF0">
            <w:pPr>
              <w:jc w:val="right"/>
              <w:rPr>
                <w:color w:val="000000"/>
                <w:sz w:val="22"/>
                <w:szCs w:val="22"/>
              </w:rPr>
            </w:pPr>
            <w:r w:rsidRPr="00D618B7">
              <w:rPr>
                <w:color w:val="000000"/>
                <w:sz w:val="20"/>
                <w:szCs w:val="20"/>
              </w:rPr>
              <w:t>3077.01</w:t>
            </w:r>
          </w:p>
        </w:tc>
      </w:tr>
      <w:tr w:rsidR="00A20AF0" w:rsidRPr="00D618B7" w14:paraId="1BF0311B" w14:textId="77777777" w:rsidTr="00A20AF0">
        <w:trPr>
          <w:trHeight w:val="242"/>
        </w:trPr>
        <w:tc>
          <w:tcPr>
            <w:tcW w:w="1305" w:type="dxa"/>
            <w:tcBorders>
              <w:top w:val="nil"/>
              <w:left w:val="nil"/>
              <w:bottom w:val="nil"/>
              <w:right w:val="nil"/>
            </w:tcBorders>
            <w:shd w:val="clear" w:color="000000" w:fill="FFFFFF"/>
            <w:vAlign w:val="center"/>
            <w:hideMark/>
          </w:tcPr>
          <w:p w14:paraId="1366A376" w14:textId="77777777" w:rsidR="00A20AF0" w:rsidRPr="00D618B7" w:rsidRDefault="00A20AF0" w:rsidP="00A20AF0">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6399B045" w14:textId="2CEED116" w:rsidR="00A20AF0" w:rsidRPr="00D618B7" w:rsidRDefault="00A20AF0" w:rsidP="00A20AF0">
            <w:pPr>
              <w:jc w:val="right"/>
              <w:rPr>
                <w:color w:val="000000"/>
                <w:sz w:val="22"/>
                <w:szCs w:val="22"/>
              </w:rPr>
            </w:pPr>
            <w:r w:rsidRPr="00D618B7">
              <w:rPr>
                <w:color w:val="000000"/>
                <w:sz w:val="20"/>
                <w:szCs w:val="20"/>
              </w:rPr>
              <w:t>-15.97</w:t>
            </w:r>
          </w:p>
        </w:tc>
        <w:tc>
          <w:tcPr>
            <w:tcW w:w="1071" w:type="dxa"/>
            <w:tcBorders>
              <w:top w:val="nil"/>
              <w:left w:val="nil"/>
              <w:bottom w:val="nil"/>
              <w:right w:val="nil"/>
            </w:tcBorders>
            <w:shd w:val="clear" w:color="000000" w:fill="FFFFFF"/>
            <w:noWrap/>
            <w:vAlign w:val="center"/>
            <w:hideMark/>
          </w:tcPr>
          <w:p w14:paraId="1A0C2F12" w14:textId="583296C5" w:rsidR="00A20AF0" w:rsidRPr="00D618B7" w:rsidRDefault="00A20AF0" w:rsidP="00A20AF0">
            <w:pPr>
              <w:jc w:val="right"/>
              <w:rPr>
                <w:color w:val="000000"/>
                <w:sz w:val="22"/>
                <w:szCs w:val="22"/>
              </w:rPr>
            </w:pPr>
            <w:r w:rsidRPr="00D618B7">
              <w:rPr>
                <w:color w:val="000000"/>
                <w:sz w:val="20"/>
                <w:szCs w:val="20"/>
              </w:rPr>
              <w:t>53.81</w:t>
            </w:r>
          </w:p>
        </w:tc>
        <w:tc>
          <w:tcPr>
            <w:tcW w:w="1522" w:type="dxa"/>
            <w:tcBorders>
              <w:top w:val="nil"/>
              <w:left w:val="nil"/>
              <w:bottom w:val="nil"/>
              <w:right w:val="nil"/>
            </w:tcBorders>
            <w:shd w:val="clear" w:color="000000" w:fill="FFFFFF"/>
            <w:noWrap/>
            <w:vAlign w:val="center"/>
            <w:hideMark/>
          </w:tcPr>
          <w:p w14:paraId="60767D82" w14:textId="49AB66F0" w:rsidR="00A20AF0" w:rsidRPr="00D618B7" w:rsidRDefault="00A20AF0" w:rsidP="00A20AF0">
            <w:pPr>
              <w:jc w:val="right"/>
              <w:rPr>
                <w:color w:val="000000"/>
                <w:sz w:val="22"/>
                <w:szCs w:val="22"/>
              </w:rPr>
            </w:pPr>
            <w:r w:rsidRPr="00D618B7">
              <w:rPr>
                <w:color w:val="000000"/>
                <w:sz w:val="20"/>
                <w:szCs w:val="20"/>
              </w:rPr>
              <w:t>836.46</w:t>
            </w:r>
          </w:p>
        </w:tc>
        <w:tc>
          <w:tcPr>
            <w:tcW w:w="1060" w:type="dxa"/>
            <w:tcBorders>
              <w:top w:val="nil"/>
              <w:left w:val="nil"/>
              <w:bottom w:val="nil"/>
              <w:right w:val="nil"/>
            </w:tcBorders>
            <w:shd w:val="clear" w:color="000000" w:fill="FFFFFF"/>
            <w:noWrap/>
            <w:vAlign w:val="center"/>
            <w:hideMark/>
          </w:tcPr>
          <w:p w14:paraId="3CB9D85E" w14:textId="39995FB8" w:rsidR="00A20AF0" w:rsidRPr="00D618B7" w:rsidRDefault="00A20AF0" w:rsidP="00A20AF0">
            <w:pPr>
              <w:jc w:val="right"/>
              <w:rPr>
                <w:color w:val="000000"/>
                <w:sz w:val="22"/>
                <w:szCs w:val="22"/>
              </w:rPr>
            </w:pPr>
            <w:r w:rsidRPr="00D618B7">
              <w:rPr>
                <w:color w:val="000000"/>
                <w:sz w:val="20"/>
                <w:szCs w:val="20"/>
              </w:rPr>
              <w:t>606.27</w:t>
            </w:r>
          </w:p>
        </w:tc>
        <w:tc>
          <w:tcPr>
            <w:tcW w:w="1575" w:type="dxa"/>
            <w:tcBorders>
              <w:top w:val="nil"/>
              <w:left w:val="nil"/>
              <w:bottom w:val="nil"/>
              <w:right w:val="nil"/>
            </w:tcBorders>
            <w:shd w:val="clear" w:color="000000" w:fill="FFFFFF"/>
            <w:noWrap/>
            <w:vAlign w:val="center"/>
            <w:hideMark/>
          </w:tcPr>
          <w:p w14:paraId="40AE5674" w14:textId="4F613341" w:rsidR="00A20AF0" w:rsidRPr="00D618B7" w:rsidRDefault="00A20AF0" w:rsidP="00A20AF0">
            <w:pPr>
              <w:jc w:val="right"/>
              <w:rPr>
                <w:color w:val="000000"/>
                <w:sz w:val="22"/>
                <w:szCs w:val="22"/>
              </w:rPr>
            </w:pPr>
            <w:r w:rsidRPr="00D618B7">
              <w:rPr>
                <w:color w:val="000000"/>
                <w:sz w:val="20"/>
                <w:szCs w:val="20"/>
              </w:rPr>
              <w:t>57873.13</w:t>
            </w:r>
          </w:p>
        </w:tc>
        <w:tc>
          <w:tcPr>
            <w:tcW w:w="1098" w:type="dxa"/>
            <w:tcBorders>
              <w:top w:val="nil"/>
              <w:left w:val="nil"/>
              <w:bottom w:val="nil"/>
              <w:right w:val="nil"/>
            </w:tcBorders>
            <w:shd w:val="clear" w:color="000000" w:fill="FFFFFF"/>
            <w:noWrap/>
            <w:vAlign w:val="center"/>
            <w:hideMark/>
          </w:tcPr>
          <w:p w14:paraId="7B3784D7" w14:textId="6EE34340" w:rsidR="00A20AF0" w:rsidRPr="00D618B7" w:rsidRDefault="00A20AF0" w:rsidP="00A20AF0">
            <w:pPr>
              <w:jc w:val="right"/>
              <w:rPr>
                <w:color w:val="000000"/>
                <w:sz w:val="22"/>
                <w:szCs w:val="22"/>
              </w:rPr>
            </w:pPr>
            <w:r w:rsidRPr="00D618B7">
              <w:rPr>
                <w:color w:val="000000"/>
                <w:sz w:val="20"/>
                <w:szCs w:val="20"/>
              </w:rPr>
              <w:t>36935.58</w:t>
            </w:r>
          </w:p>
        </w:tc>
      </w:tr>
      <w:tr w:rsidR="00A20AF0" w:rsidRPr="00D618B7" w14:paraId="00396A19" w14:textId="77777777" w:rsidTr="00A20AF0">
        <w:trPr>
          <w:trHeight w:val="242"/>
        </w:trPr>
        <w:tc>
          <w:tcPr>
            <w:tcW w:w="1305" w:type="dxa"/>
            <w:tcBorders>
              <w:top w:val="nil"/>
              <w:left w:val="nil"/>
              <w:bottom w:val="nil"/>
              <w:right w:val="nil"/>
            </w:tcBorders>
            <w:shd w:val="clear" w:color="000000" w:fill="FFFFFF"/>
            <w:vAlign w:val="center"/>
            <w:hideMark/>
          </w:tcPr>
          <w:p w14:paraId="68989C2B" w14:textId="77777777" w:rsidR="00A20AF0" w:rsidRPr="00D618B7" w:rsidRDefault="00A20AF0" w:rsidP="00A20AF0">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41AC02C6" w14:textId="21A99511" w:rsidR="00A20AF0" w:rsidRPr="00D618B7" w:rsidRDefault="00A20AF0" w:rsidP="00A20AF0">
            <w:pPr>
              <w:jc w:val="right"/>
              <w:rPr>
                <w:color w:val="000000"/>
                <w:sz w:val="22"/>
                <w:szCs w:val="22"/>
              </w:rPr>
            </w:pPr>
            <w:r w:rsidRPr="00D618B7">
              <w:rPr>
                <w:color w:val="000000"/>
                <w:sz w:val="20"/>
                <w:szCs w:val="20"/>
              </w:rPr>
              <w:t>1084.19</w:t>
            </w:r>
          </w:p>
        </w:tc>
        <w:tc>
          <w:tcPr>
            <w:tcW w:w="1071" w:type="dxa"/>
            <w:tcBorders>
              <w:top w:val="nil"/>
              <w:left w:val="nil"/>
              <w:bottom w:val="nil"/>
              <w:right w:val="nil"/>
            </w:tcBorders>
            <w:shd w:val="clear" w:color="000000" w:fill="FFFFFF"/>
            <w:noWrap/>
            <w:vAlign w:val="center"/>
            <w:hideMark/>
          </w:tcPr>
          <w:p w14:paraId="7EF34802" w14:textId="011C423B" w:rsidR="00A20AF0" w:rsidRPr="00D618B7" w:rsidRDefault="00A20AF0" w:rsidP="00A20AF0">
            <w:pPr>
              <w:jc w:val="right"/>
              <w:rPr>
                <w:color w:val="000000"/>
                <w:sz w:val="22"/>
                <w:szCs w:val="22"/>
              </w:rPr>
            </w:pPr>
            <w:r w:rsidRPr="00D618B7">
              <w:rPr>
                <w:color w:val="000000"/>
                <w:sz w:val="20"/>
                <w:szCs w:val="20"/>
              </w:rPr>
              <w:t>298.25</w:t>
            </w:r>
          </w:p>
        </w:tc>
        <w:tc>
          <w:tcPr>
            <w:tcW w:w="1522" w:type="dxa"/>
            <w:tcBorders>
              <w:top w:val="nil"/>
              <w:left w:val="nil"/>
              <w:bottom w:val="nil"/>
              <w:right w:val="nil"/>
            </w:tcBorders>
            <w:shd w:val="clear" w:color="000000" w:fill="FFFFFF"/>
            <w:noWrap/>
            <w:vAlign w:val="center"/>
            <w:hideMark/>
          </w:tcPr>
          <w:p w14:paraId="561E6C03" w14:textId="1C384089" w:rsidR="00A20AF0" w:rsidRPr="00D618B7" w:rsidRDefault="00A20AF0" w:rsidP="00A20AF0">
            <w:pPr>
              <w:jc w:val="right"/>
              <w:rPr>
                <w:color w:val="000000"/>
                <w:sz w:val="22"/>
                <w:szCs w:val="22"/>
              </w:rPr>
            </w:pPr>
            <w:r w:rsidRPr="00D618B7">
              <w:rPr>
                <w:color w:val="000000"/>
                <w:sz w:val="20"/>
                <w:szCs w:val="20"/>
              </w:rPr>
              <w:t>-83.87</w:t>
            </w:r>
          </w:p>
        </w:tc>
        <w:tc>
          <w:tcPr>
            <w:tcW w:w="1060" w:type="dxa"/>
            <w:tcBorders>
              <w:top w:val="nil"/>
              <w:left w:val="nil"/>
              <w:bottom w:val="nil"/>
              <w:right w:val="nil"/>
            </w:tcBorders>
            <w:shd w:val="clear" w:color="000000" w:fill="FFFFFF"/>
            <w:noWrap/>
            <w:vAlign w:val="center"/>
            <w:hideMark/>
          </w:tcPr>
          <w:p w14:paraId="68228F85" w14:textId="557B944D" w:rsidR="00A20AF0" w:rsidRPr="00D618B7" w:rsidRDefault="00A20AF0" w:rsidP="00A20AF0">
            <w:pPr>
              <w:jc w:val="right"/>
              <w:rPr>
                <w:color w:val="000000"/>
                <w:sz w:val="22"/>
                <w:szCs w:val="22"/>
              </w:rPr>
            </w:pPr>
            <w:r w:rsidRPr="00D618B7">
              <w:rPr>
                <w:color w:val="000000"/>
                <w:sz w:val="20"/>
                <w:szCs w:val="20"/>
              </w:rPr>
              <w:t>553.93</w:t>
            </w:r>
          </w:p>
        </w:tc>
        <w:tc>
          <w:tcPr>
            <w:tcW w:w="1575" w:type="dxa"/>
            <w:tcBorders>
              <w:top w:val="nil"/>
              <w:left w:val="nil"/>
              <w:bottom w:val="nil"/>
              <w:right w:val="nil"/>
            </w:tcBorders>
            <w:shd w:val="clear" w:color="000000" w:fill="FFFFFF"/>
            <w:noWrap/>
            <w:vAlign w:val="center"/>
            <w:hideMark/>
          </w:tcPr>
          <w:p w14:paraId="10E8D8C1" w14:textId="5AC3F893" w:rsidR="00A20AF0" w:rsidRPr="00D618B7" w:rsidRDefault="00A20AF0" w:rsidP="00A20AF0">
            <w:pPr>
              <w:jc w:val="right"/>
              <w:rPr>
                <w:color w:val="000000"/>
                <w:sz w:val="22"/>
                <w:szCs w:val="22"/>
              </w:rPr>
            </w:pPr>
            <w:r w:rsidRPr="00D618B7">
              <w:rPr>
                <w:color w:val="000000"/>
                <w:sz w:val="20"/>
                <w:szCs w:val="20"/>
              </w:rPr>
              <w:t>35618.59</w:t>
            </w:r>
          </w:p>
        </w:tc>
        <w:tc>
          <w:tcPr>
            <w:tcW w:w="1098" w:type="dxa"/>
            <w:tcBorders>
              <w:top w:val="nil"/>
              <w:left w:val="nil"/>
              <w:bottom w:val="nil"/>
              <w:right w:val="nil"/>
            </w:tcBorders>
            <w:shd w:val="clear" w:color="000000" w:fill="FFFFFF"/>
            <w:noWrap/>
            <w:vAlign w:val="center"/>
            <w:hideMark/>
          </w:tcPr>
          <w:p w14:paraId="4FD02C1E" w14:textId="21C0F2C3" w:rsidR="00A20AF0" w:rsidRPr="00D618B7" w:rsidRDefault="00A20AF0" w:rsidP="00A20AF0">
            <w:pPr>
              <w:jc w:val="right"/>
              <w:rPr>
                <w:color w:val="000000"/>
                <w:sz w:val="22"/>
                <w:szCs w:val="22"/>
              </w:rPr>
            </w:pPr>
            <w:r w:rsidRPr="00D618B7">
              <w:rPr>
                <w:color w:val="000000"/>
                <w:sz w:val="20"/>
                <w:szCs w:val="20"/>
              </w:rPr>
              <w:t>10420.49</w:t>
            </w:r>
          </w:p>
        </w:tc>
      </w:tr>
      <w:tr w:rsidR="00A20AF0" w:rsidRPr="00D618B7" w14:paraId="7B0DA6C1" w14:textId="77777777" w:rsidTr="00A20AF0">
        <w:trPr>
          <w:trHeight w:val="242"/>
        </w:trPr>
        <w:tc>
          <w:tcPr>
            <w:tcW w:w="1305" w:type="dxa"/>
            <w:tcBorders>
              <w:top w:val="nil"/>
              <w:left w:val="nil"/>
              <w:bottom w:val="nil"/>
              <w:right w:val="nil"/>
            </w:tcBorders>
            <w:shd w:val="clear" w:color="000000" w:fill="FFFFFF"/>
            <w:vAlign w:val="center"/>
            <w:hideMark/>
          </w:tcPr>
          <w:p w14:paraId="35A7E37A" w14:textId="77777777" w:rsidR="00A20AF0" w:rsidRPr="00D618B7" w:rsidRDefault="00A20AF0" w:rsidP="00A20AF0">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04CE811D" w14:textId="335E54C8" w:rsidR="00A20AF0" w:rsidRPr="00D618B7" w:rsidRDefault="00A20AF0" w:rsidP="00A20AF0">
            <w:pPr>
              <w:jc w:val="right"/>
              <w:rPr>
                <w:color w:val="000000"/>
                <w:sz w:val="22"/>
                <w:szCs w:val="22"/>
              </w:rPr>
            </w:pPr>
            <w:r w:rsidRPr="00D618B7">
              <w:rPr>
                <w:color w:val="000000"/>
                <w:sz w:val="20"/>
                <w:szCs w:val="20"/>
              </w:rPr>
              <w:t>-18.93</w:t>
            </w:r>
          </w:p>
        </w:tc>
        <w:tc>
          <w:tcPr>
            <w:tcW w:w="1071" w:type="dxa"/>
            <w:tcBorders>
              <w:top w:val="nil"/>
              <w:left w:val="nil"/>
              <w:bottom w:val="nil"/>
              <w:right w:val="nil"/>
            </w:tcBorders>
            <w:shd w:val="clear" w:color="000000" w:fill="FFFFFF"/>
            <w:noWrap/>
            <w:vAlign w:val="center"/>
            <w:hideMark/>
          </w:tcPr>
          <w:p w14:paraId="013BE378" w14:textId="7664B78C" w:rsidR="00A20AF0" w:rsidRPr="00D618B7" w:rsidRDefault="00A20AF0" w:rsidP="00A20AF0">
            <w:pPr>
              <w:jc w:val="right"/>
              <w:rPr>
                <w:color w:val="000000"/>
                <w:sz w:val="22"/>
                <w:szCs w:val="22"/>
              </w:rPr>
            </w:pPr>
            <w:r w:rsidRPr="00D618B7">
              <w:rPr>
                <w:color w:val="000000"/>
                <w:sz w:val="20"/>
                <w:szCs w:val="20"/>
              </w:rPr>
              <w:t>265.45</w:t>
            </w:r>
          </w:p>
        </w:tc>
        <w:tc>
          <w:tcPr>
            <w:tcW w:w="1522" w:type="dxa"/>
            <w:tcBorders>
              <w:top w:val="nil"/>
              <w:left w:val="nil"/>
              <w:bottom w:val="nil"/>
              <w:right w:val="nil"/>
            </w:tcBorders>
            <w:shd w:val="clear" w:color="000000" w:fill="FFFFFF"/>
            <w:noWrap/>
            <w:vAlign w:val="center"/>
            <w:hideMark/>
          </w:tcPr>
          <w:p w14:paraId="71923354" w14:textId="587C70B7" w:rsidR="00A20AF0" w:rsidRPr="00D618B7" w:rsidRDefault="00A20AF0" w:rsidP="00A20AF0">
            <w:pPr>
              <w:jc w:val="right"/>
              <w:rPr>
                <w:color w:val="000000"/>
                <w:sz w:val="22"/>
                <w:szCs w:val="22"/>
              </w:rPr>
            </w:pPr>
            <w:r w:rsidRPr="00D618B7">
              <w:rPr>
                <w:color w:val="000000"/>
                <w:sz w:val="20"/>
                <w:szCs w:val="20"/>
              </w:rPr>
              <w:t>-377.40</w:t>
            </w:r>
          </w:p>
        </w:tc>
        <w:tc>
          <w:tcPr>
            <w:tcW w:w="1060" w:type="dxa"/>
            <w:tcBorders>
              <w:top w:val="nil"/>
              <w:left w:val="nil"/>
              <w:bottom w:val="nil"/>
              <w:right w:val="nil"/>
            </w:tcBorders>
            <w:shd w:val="clear" w:color="000000" w:fill="FFFFFF"/>
            <w:noWrap/>
            <w:vAlign w:val="center"/>
            <w:hideMark/>
          </w:tcPr>
          <w:p w14:paraId="10C81B53" w14:textId="5FB2A939" w:rsidR="00A20AF0" w:rsidRPr="00D618B7" w:rsidRDefault="00A20AF0" w:rsidP="00A20AF0">
            <w:pPr>
              <w:jc w:val="right"/>
              <w:rPr>
                <w:color w:val="000000"/>
                <w:sz w:val="22"/>
                <w:szCs w:val="22"/>
              </w:rPr>
            </w:pPr>
            <w:r w:rsidRPr="00D618B7">
              <w:rPr>
                <w:color w:val="000000"/>
                <w:sz w:val="20"/>
                <w:szCs w:val="20"/>
              </w:rPr>
              <w:t>313.09</w:t>
            </w:r>
          </w:p>
        </w:tc>
        <w:tc>
          <w:tcPr>
            <w:tcW w:w="1575" w:type="dxa"/>
            <w:tcBorders>
              <w:top w:val="nil"/>
              <w:left w:val="nil"/>
              <w:bottom w:val="nil"/>
              <w:right w:val="nil"/>
            </w:tcBorders>
            <w:shd w:val="clear" w:color="000000" w:fill="FFFFFF"/>
            <w:noWrap/>
            <w:vAlign w:val="center"/>
            <w:hideMark/>
          </w:tcPr>
          <w:p w14:paraId="67CCFD44" w14:textId="3F54F6D5" w:rsidR="00A20AF0" w:rsidRPr="00D618B7" w:rsidRDefault="00A20AF0" w:rsidP="00A20AF0">
            <w:pPr>
              <w:jc w:val="right"/>
              <w:rPr>
                <w:color w:val="000000"/>
                <w:sz w:val="22"/>
                <w:szCs w:val="22"/>
              </w:rPr>
            </w:pPr>
            <w:r w:rsidRPr="00D618B7">
              <w:rPr>
                <w:color w:val="000000"/>
                <w:sz w:val="20"/>
                <w:szCs w:val="20"/>
              </w:rPr>
              <w:t>23340.68</w:t>
            </w:r>
          </w:p>
        </w:tc>
        <w:tc>
          <w:tcPr>
            <w:tcW w:w="1098" w:type="dxa"/>
            <w:tcBorders>
              <w:top w:val="nil"/>
              <w:left w:val="nil"/>
              <w:bottom w:val="nil"/>
              <w:right w:val="nil"/>
            </w:tcBorders>
            <w:shd w:val="clear" w:color="000000" w:fill="FFFFFF"/>
            <w:noWrap/>
            <w:vAlign w:val="center"/>
            <w:hideMark/>
          </w:tcPr>
          <w:p w14:paraId="3E1D09CC" w14:textId="1F2BB306" w:rsidR="00A20AF0" w:rsidRPr="00D618B7" w:rsidRDefault="00A20AF0" w:rsidP="00A20AF0">
            <w:pPr>
              <w:jc w:val="right"/>
              <w:rPr>
                <w:color w:val="000000"/>
                <w:sz w:val="22"/>
                <w:szCs w:val="22"/>
              </w:rPr>
            </w:pPr>
            <w:r w:rsidRPr="00D618B7">
              <w:rPr>
                <w:color w:val="000000"/>
                <w:sz w:val="20"/>
                <w:szCs w:val="20"/>
              </w:rPr>
              <w:t>3274.15</w:t>
            </w:r>
          </w:p>
        </w:tc>
      </w:tr>
      <w:tr w:rsidR="00A20AF0" w:rsidRPr="00D618B7" w14:paraId="588AD141" w14:textId="77777777" w:rsidTr="00A20AF0">
        <w:trPr>
          <w:trHeight w:val="242"/>
        </w:trPr>
        <w:tc>
          <w:tcPr>
            <w:tcW w:w="1305" w:type="dxa"/>
            <w:tcBorders>
              <w:top w:val="nil"/>
              <w:left w:val="nil"/>
              <w:right w:val="nil"/>
            </w:tcBorders>
            <w:shd w:val="clear" w:color="000000" w:fill="FFFFFF"/>
            <w:vAlign w:val="center"/>
            <w:hideMark/>
          </w:tcPr>
          <w:p w14:paraId="55C33D89" w14:textId="77777777" w:rsidR="00A20AF0" w:rsidRPr="00D618B7" w:rsidRDefault="00A20AF0" w:rsidP="00A20AF0">
            <w:pPr>
              <w:jc w:val="right"/>
              <w:rPr>
                <w:color w:val="000000"/>
                <w:sz w:val="22"/>
                <w:szCs w:val="22"/>
              </w:rPr>
            </w:pPr>
            <w:r w:rsidRPr="00D618B7">
              <w:rPr>
                <w:color w:val="000000"/>
                <w:sz w:val="22"/>
                <w:szCs w:val="22"/>
              </w:rPr>
              <w:t>4</w:t>
            </w:r>
          </w:p>
        </w:tc>
        <w:tc>
          <w:tcPr>
            <w:tcW w:w="1093" w:type="dxa"/>
            <w:tcBorders>
              <w:top w:val="nil"/>
              <w:left w:val="nil"/>
              <w:right w:val="nil"/>
            </w:tcBorders>
            <w:shd w:val="clear" w:color="000000" w:fill="FFFFFF"/>
            <w:noWrap/>
            <w:vAlign w:val="center"/>
            <w:hideMark/>
          </w:tcPr>
          <w:p w14:paraId="3E1CA1B0" w14:textId="3F8AA473" w:rsidR="00A20AF0" w:rsidRPr="00D618B7" w:rsidRDefault="00A20AF0" w:rsidP="00A20AF0">
            <w:pPr>
              <w:jc w:val="right"/>
              <w:rPr>
                <w:color w:val="000000"/>
                <w:sz w:val="22"/>
                <w:szCs w:val="22"/>
              </w:rPr>
            </w:pPr>
            <w:r w:rsidRPr="00D618B7">
              <w:rPr>
                <w:color w:val="000000"/>
                <w:sz w:val="20"/>
                <w:szCs w:val="20"/>
              </w:rPr>
              <w:t>2356.33</w:t>
            </w:r>
          </w:p>
        </w:tc>
        <w:tc>
          <w:tcPr>
            <w:tcW w:w="1071" w:type="dxa"/>
            <w:tcBorders>
              <w:top w:val="nil"/>
              <w:left w:val="nil"/>
              <w:right w:val="nil"/>
            </w:tcBorders>
            <w:shd w:val="clear" w:color="000000" w:fill="FFFFFF"/>
            <w:noWrap/>
            <w:vAlign w:val="center"/>
            <w:hideMark/>
          </w:tcPr>
          <w:p w14:paraId="6B73AC82" w14:textId="082A380C" w:rsidR="00A20AF0" w:rsidRPr="00D618B7" w:rsidRDefault="00A20AF0" w:rsidP="00A20AF0">
            <w:pPr>
              <w:jc w:val="right"/>
              <w:rPr>
                <w:color w:val="000000"/>
                <w:sz w:val="22"/>
                <w:szCs w:val="22"/>
              </w:rPr>
            </w:pPr>
            <w:r w:rsidRPr="00D618B7">
              <w:rPr>
                <w:color w:val="000000"/>
                <w:sz w:val="20"/>
                <w:szCs w:val="20"/>
              </w:rPr>
              <w:t>605.23</w:t>
            </w:r>
          </w:p>
        </w:tc>
        <w:tc>
          <w:tcPr>
            <w:tcW w:w="1522" w:type="dxa"/>
            <w:tcBorders>
              <w:top w:val="nil"/>
              <w:left w:val="nil"/>
              <w:right w:val="nil"/>
            </w:tcBorders>
            <w:shd w:val="clear" w:color="000000" w:fill="FFFFFF"/>
            <w:noWrap/>
            <w:vAlign w:val="center"/>
            <w:hideMark/>
          </w:tcPr>
          <w:p w14:paraId="4FADF3AF" w14:textId="72C61E8A" w:rsidR="00A20AF0" w:rsidRPr="00D618B7" w:rsidRDefault="00A20AF0" w:rsidP="00A20AF0">
            <w:pPr>
              <w:jc w:val="right"/>
              <w:rPr>
                <w:color w:val="000000"/>
                <w:sz w:val="22"/>
                <w:szCs w:val="22"/>
              </w:rPr>
            </w:pPr>
            <w:r w:rsidRPr="00D618B7">
              <w:rPr>
                <w:color w:val="000000"/>
                <w:sz w:val="20"/>
                <w:szCs w:val="20"/>
              </w:rPr>
              <w:t>1684.04</w:t>
            </w:r>
          </w:p>
        </w:tc>
        <w:tc>
          <w:tcPr>
            <w:tcW w:w="1060" w:type="dxa"/>
            <w:tcBorders>
              <w:top w:val="nil"/>
              <w:left w:val="nil"/>
              <w:right w:val="nil"/>
            </w:tcBorders>
            <w:shd w:val="clear" w:color="000000" w:fill="FFFFFF"/>
            <w:noWrap/>
            <w:vAlign w:val="center"/>
            <w:hideMark/>
          </w:tcPr>
          <w:p w14:paraId="5F6A4F2C" w14:textId="3A6A5294" w:rsidR="00A20AF0" w:rsidRPr="00D618B7" w:rsidRDefault="00A20AF0" w:rsidP="00A20AF0">
            <w:pPr>
              <w:jc w:val="right"/>
              <w:rPr>
                <w:color w:val="000000"/>
                <w:sz w:val="22"/>
                <w:szCs w:val="22"/>
              </w:rPr>
            </w:pPr>
            <w:r w:rsidRPr="00D618B7">
              <w:rPr>
                <w:color w:val="000000"/>
                <w:sz w:val="20"/>
                <w:szCs w:val="20"/>
              </w:rPr>
              <w:t>736.11</w:t>
            </w:r>
          </w:p>
        </w:tc>
        <w:tc>
          <w:tcPr>
            <w:tcW w:w="1575" w:type="dxa"/>
            <w:tcBorders>
              <w:top w:val="nil"/>
              <w:left w:val="nil"/>
              <w:right w:val="nil"/>
            </w:tcBorders>
            <w:shd w:val="clear" w:color="000000" w:fill="FFFFFF"/>
            <w:noWrap/>
            <w:vAlign w:val="center"/>
            <w:hideMark/>
          </w:tcPr>
          <w:p w14:paraId="0C6C3995" w14:textId="3256AB37" w:rsidR="00A20AF0" w:rsidRPr="00D618B7" w:rsidRDefault="00A20AF0" w:rsidP="00A20AF0">
            <w:pPr>
              <w:jc w:val="right"/>
              <w:rPr>
                <w:color w:val="000000"/>
                <w:sz w:val="22"/>
                <w:szCs w:val="22"/>
              </w:rPr>
            </w:pPr>
            <w:r w:rsidRPr="00D618B7">
              <w:rPr>
                <w:color w:val="000000"/>
                <w:sz w:val="20"/>
                <w:szCs w:val="20"/>
              </w:rPr>
              <w:t>62845.32</w:t>
            </w:r>
          </w:p>
        </w:tc>
        <w:tc>
          <w:tcPr>
            <w:tcW w:w="1098" w:type="dxa"/>
            <w:tcBorders>
              <w:top w:val="nil"/>
              <w:left w:val="nil"/>
              <w:right w:val="nil"/>
            </w:tcBorders>
            <w:shd w:val="clear" w:color="000000" w:fill="FFFFFF"/>
            <w:noWrap/>
            <w:vAlign w:val="center"/>
            <w:hideMark/>
          </w:tcPr>
          <w:p w14:paraId="2EE9C081" w14:textId="2B513F0A" w:rsidR="00A20AF0" w:rsidRPr="00D618B7" w:rsidRDefault="00A20AF0" w:rsidP="00A20AF0">
            <w:pPr>
              <w:jc w:val="right"/>
              <w:rPr>
                <w:color w:val="000000"/>
                <w:sz w:val="22"/>
                <w:szCs w:val="22"/>
              </w:rPr>
            </w:pPr>
            <w:r w:rsidRPr="00D618B7">
              <w:rPr>
                <w:color w:val="000000"/>
                <w:sz w:val="20"/>
                <w:szCs w:val="20"/>
              </w:rPr>
              <w:t>6160.61</w:t>
            </w:r>
          </w:p>
        </w:tc>
      </w:tr>
      <w:tr w:rsidR="00A20AF0" w:rsidRPr="00D618B7" w14:paraId="38C9FD15" w14:textId="77777777" w:rsidTr="00A20AF0">
        <w:trPr>
          <w:trHeight w:val="253"/>
        </w:trPr>
        <w:tc>
          <w:tcPr>
            <w:tcW w:w="1305" w:type="dxa"/>
            <w:tcBorders>
              <w:top w:val="nil"/>
              <w:left w:val="nil"/>
              <w:bottom w:val="single" w:sz="18" w:space="0" w:color="auto"/>
              <w:right w:val="nil"/>
            </w:tcBorders>
            <w:shd w:val="clear" w:color="000000" w:fill="FFFFFF"/>
            <w:vAlign w:val="center"/>
            <w:hideMark/>
          </w:tcPr>
          <w:p w14:paraId="608A93E3" w14:textId="77777777" w:rsidR="00A20AF0" w:rsidRPr="00D618B7" w:rsidRDefault="00A20AF0" w:rsidP="00A20AF0">
            <w:pPr>
              <w:jc w:val="right"/>
              <w:rPr>
                <w:color w:val="000000"/>
                <w:sz w:val="22"/>
                <w:szCs w:val="22"/>
              </w:rPr>
            </w:pPr>
            <w:r w:rsidRPr="00D618B7">
              <w:rPr>
                <w:color w:val="000000"/>
                <w:sz w:val="22"/>
                <w:szCs w:val="22"/>
              </w:rPr>
              <w:t>5</w:t>
            </w:r>
          </w:p>
        </w:tc>
        <w:tc>
          <w:tcPr>
            <w:tcW w:w="1093" w:type="dxa"/>
            <w:tcBorders>
              <w:top w:val="nil"/>
              <w:left w:val="nil"/>
              <w:bottom w:val="single" w:sz="18" w:space="0" w:color="auto"/>
              <w:right w:val="nil"/>
            </w:tcBorders>
            <w:shd w:val="clear" w:color="000000" w:fill="FFFFFF"/>
            <w:noWrap/>
            <w:vAlign w:val="center"/>
            <w:hideMark/>
          </w:tcPr>
          <w:p w14:paraId="3F584D2C" w14:textId="0D68FBB2" w:rsidR="00A20AF0" w:rsidRPr="00D618B7" w:rsidRDefault="00A20AF0" w:rsidP="00A20AF0">
            <w:pPr>
              <w:jc w:val="right"/>
              <w:rPr>
                <w:color w:val="000000"/>
                <w:sz w:val="22"/>
                <w:szCs w:val="22"/>
              </w:rPr>
            </w:pPr>
            <w:r w:rsidRPr="00D618B7">
              <w:rPr>
                <w:color w:val="000000"/>
                <w:sz w:val="20"/>
                <w:szCs w:val="20"/>
              </w:rPr>
              <w:t>-280.85</w:t>
            </w:r>
          </w:p>
        </w:tc>
        <w:tc>
          <w:tcPr>
            <w:tcW w:w="1071" w:type="dxa"/>
            <w:tcBorders>
              <w:top w:val="nil"/>
              <w:left w:val="nil"/>
              <w:bottom w:val="single" w:sz="18" w:space="0" w:color="auto"/>
              <w:right w:val="nil"/>
            </w:tcBorders>
            <w:shd w:val="clear" w:color="000000" w:fill="FFFFFF"/>
            <w:noWrap/>
            <w:vAlign w:val="center"/>
            <w:hideMark/>
          </w:tcPr>
          <w:p w14:paraId="3995656E" w14:textId="2013F5F7" w:rsidR="00A20AF0" w:rsidRPr="00D618B7" w:rsidRDefault="00A20AF0" w:rsidP="00A20AF0">
            <w:pPr>
              <w:jc w:val="right"/>
              <w:rPr>
                <w:color w:val="000000"/>
                <w:sz w:val="22"/>
                <w:szCs w:val="22"/>
              </w:rPr>
            </w:pPr>
            <w:r w:rsidRPr="00D618B7">
              <w:rPr>
                <w:color w:val="000000"/>
                <w:sz w:val="20"/>
                <w:szCs w:val="20"/>
              </w:rPr>
              <w:t>474.80</w:t>
            </w:r>
          </w:p>
        </w:tc>
        <w:tc>
          <w:tcPr>
            <w:tcW w:w="1522" w:type="dxa"/>
            <w:tcBorders>
              <w:top w:val="nil"/>
              <w:left w:val="nil"/>
              <w:bottom w:val="single" w:sz="18" w:space="0" w:color="auto"/>
              <w:right w:val="nil"/>
            </w:tcBorders>
            <w:shd w:val="clear" w:color="000000" w:fill="FFFFFF"/>
            <w:noWrap/>
            <w:vAlign w:val="center"/>
            <w:hideMark/>
          </w:tcPr>
          <w:p w14:paraId="3360FBA3" w14:textId="17081654" w:rsidR="00A20AF0" w:rsidRPr="00D618B7" w:rsidRDefault="00A20AF0" w:rsidP="00A20AF0">
            <w:pPr>
              <w:jc w:val="right"/>
              <w:rPr>
                <w:color w:val="000000"/>
                <w:sz w:val="22"/>
                <w:szCs w:val="22"/>
              </w:rPr>
            </w:pPr>
            <w:r w:rsidRPr="00D618B7">
              <w:rPr>
                <w:color w:val="000000"/>
                <w:sz w:val="20"/>
                <w:szCs w:val="20"/>
              </w:rPr>
              <w:t>-2968.50</w:t>
            </w:r>
          </w:p>
        </w:tc>
        <w:tc>
          <w:tcPr>
            <w:tcW w:w="1060" w:type="dxa"/>
            <w:tcBorders>
              <w:top w:val="nil"/>
              <w:left w:val="nil"/>
              <w:bottom w:val="single" w:sz="18" w:space="0" w:color="auto"/>
              <w:right w:val="nil"/>
            </w:tcBorders>
            <w:shd w:val="clear" w:color="000000" w:fill="FFFFFF"/>
            <w:noWrap/>
            <w:vAlign w:val="center"/>
            <w:hideMark/>
          </w:tcPr>
          <w:p w14:paraId="2AA26B6A" w14:textId="2F30E605" w:rsidR="00A20AF0" w:rsidRPr="00D618B7" w:rsidRDefault="00A20AF0" w:rsidP="00A20AF0">
            <w:pPr>
              <w:jc w:val="right"/>
              <w:rPr>
                <w:color w:val="000000"/>
                <w:sz w:val="22"/>
                <w:szCs w:val="22"/>
              </w:rPr>
            </w:pPr>
            <w:r w:rsidRPr="00D618B7">
              <w:rPr>
                <w:color w:val="000000"/>
                <w:sz w:val="20"/>
                <w:szCs w:val="20"/>
              </w:rPr>
              <w:t>1825.39</w:t>
            </w:r>
          </w:p>
        </w:tc>
        <w:tc>
          <w:tcPr>
            <w:tcW w:w="1575" w:type="dxa"/>
            <w:tcBorders>
              <w:top w:val="nil"/>
              <w:left w:val="nil"/>
              <w:bottom w:val="single" w:sz="18" w:space="0" w:color="auto"/>
              <w:right w:val="nil"/>
            </w:tcBorders>
            <w:shd w:val="clear" w:color="000000" w:fill="FFFFFF"/>
            <w:noWrap/>
            <w:vAlign w:val="center"/>
            <w:hideMark/>
          </w:tcPr>
          <w:p w14:paraId="33FF9B20" w14:textId="33026098" w:rsidR="00A20AF0" w:rsidRPr="00D618B7" w:rsidRDefault="00A20AF0" w:rsidP="00A20AF0">
            <w:pPr>
              <w:jc w:val="right"/>
              <w:rPr>
                <w:color w:val="000000"/>
                <w:sz w:val="22"/>
                <w:szCs w:val="22"/>
              </w:rPr>
            </w:pPr>
            <w:r w:rsidRPr="00D618B7">
              <w:rPr>
                <w:color w:val="000000"/>
                <w:sz w:val="20"/>
                <w:szCs w:val="20"/>
              </w:rPr>
              <w:t>-2656.62</w:t>
            </w:r>
          </w:p>
        </w:tc>
        <w:tc>
          <w:tcPr>
            <w:tcW w:w="1098" w:type="dxa"/>
            <w:tcBorders>
              <w:top w:val="nil"/>
              <w:left w:val="nil"/>
              <w:bottom w:val="single" w:sz="18" w:space="0" w:color="auto"/>
              <w:right w:val="nil"/>
            </w:tcBorders>
            <w:shd w:val="clear" w:color="000000" w:fill="FFFFFF"/>
            <w:noWrap/>
            <w:vAlign w:val="center"/>
            <w:hideMark/>
          </w:tcPr>
          <w:p w14:paraId="6FEED764" w14:textId="2EA6E4FF" w:rsidR="00A20AF0" w:rsidRPr="00D618B7" w:rsidRDefault="00A20AF0" w:rsidP="00A20AF0">
            <w:pPr>
              <w:jc w:val="right"/>
              <w:rPr>
                <w:color w:val="000000"/>
                <w:sz w:val="22"/>
                <w:szCs w:val="22"/>
              </w:rPr>
            </w:pPr>
            <w:r w:rsidRPr="00D618B7">
              <w:rPr>
                <w:color w:val="000000"/>
                <w:sz w:val="20"/>
                <w:szCs w:val="20"/>
              </w:rPr>
              <w:t>4762.90</w:t>
            </w:r>
          </w:p>
        </w:tc>
      </w:tr>
      <w:tr w:rsidR="00A20AF0" w:rsidRPr="00D618B7" w14:paraId="69EC2D75" w14:textId="77777777" w:rsidTr="004B11B7">
        <w:trPr>
          <w:trHeight w:val="242"/>
        </w:trPr>
        <w:tc>
          <w:tcPr>
            <w:tcW w:w="1305" w:type="dxa"/>
            <w:tcBorders>
              <w:top w:val="single" w:sz="18" w:space="0" w:color="auto"/>
              <w:left w:val="nil"/>
              <w:bottom w:val="nil"/>
              <w:right w:val="nil"/>
            </w:tcBorders>
            <w:shd w:val="clear" w:color="000000" w:fill="FFFFFF"/>
            <w:noWrap/>
            <w:vAlign w:val="bottom"/>
            <w:hideMark/>
          </w:tcPr>
          <w:p w14:paraId="37FEDBE1" w14:textId="77777777" w:rsidR="00A20AF0" w:rsidRPr="00D618B7" w:rsidRDefault="00A20AF0" w:rsidP="004B11B7">
            <w:pPr>
              <w:rPr>
                <w:color w:val="000000"/>
                <w:sz w:val="22"/>
                <w:szCs w:val="22"/>
              </w:rPr>
            </w:pPr>
            <w:r w:rsidRPr="00D618B7">
              <w:rPr>
                <w:color w:val="000000"/>
                <w:sz w:val="22"/>
                <w:szCs w:val="22"/>
              </w:rPr>
              <w:t> </w:t>
            </w:r>
          </w:p>
        </w:tc>
        <w:tc>
          <w:tcPr>
            <w:tcW w:w="7419" w:type="dxa"/>
            <w:gridSpan w:val="6"/>
            <w:tcBorders>
              <w:top w:val="single" w:sz="18" w:space="0" w:color="auto"/>
              <w:left w:val="nil"/>
              <w:bottom w:val="nil"/>
              <w:right w:val="nil"/>
            </w:tcBorders>
            <w:shd w:val="clear" w:color="000000" w:fill="FFFFFF"/>
            <w:noWrap/>
            <w:vAlign w:val="center"/>
            <w:hideMark/>
          </w:tcPr>
          <w:p w14:paraId="47462AFE" w14:textId="77777777" w:rsidR="00A20AF0" w:rsidRPr="00D618B7" w:rsidRDefault="00A20AF0" w:rsidP="004B11B7">
            <w:pPr>
              <w:jc w:val="center"/>
              <w:rPr>
                <w:color w:val="000000"/>
                <w:sz w:val="22"/>
                <w:szCs w:val="22"/>
              </w:rPr>
            </w:pPr>
            <w:r w:rsidRPr="00D618B7">
              <w:rPr>
                <w:color w:val="000000"/>
                <w:sz w:val="22"/>
                <w:szCs w:val="22"/>
              </w:rPr>
              <w:t>Toy-Moving-into-Reach</w:t>
            </w:r>
          </w:p>
        </w:tc>
      </w:tr>
      <w:tr w:rsidR="00A20AF0" w:rsidRPr="00D618B7" w14:paraId="60682306" w14:textId="77777777" w:rsidTr="00A20AF0">
        <w:trPr>
          <w:trHeight w:val="242"/>
        </w:trPr>
        <w:tc>
          <w:tcPr>
            <w:tcW w:w="1305" w:type="dxa"/>
            <w:tcBorders>
              <w:top w:val="nil"/>
              <w:left w:val="nil"/>
              <w:bottom w:val="nil"/>
              <w:right w:val="nil"/>
            </w:tcBorders>
            <w:shd w:val="clear" w:color="000000" w:fill="FFFFFF"/>
            <w:vAlign w:val="center"/>
            <w:hideMark/>
          </w:tcPr>
          <w:p w14:paraId="2498E3E2" w14:textId="77777777" w:rsidR="00A20AF0" w:rsidRPr="00D618B7" w:rsidRDefault="00A20AF0" w:rsidP="00A20AF0">
            <w:pPr>
              <w:jc w:val="right"/>
              <w:rPr>
                <w:color w:val="000000"/>
                <w:sz w:val="22"/>
                <w:szCs w:val="22"/>
              </w:rPr>
            </w:pPr>
            <w:r w:rsidRPr="00D618B7">
              <w:rPr>
                <w:color w:val="000000"/>
                <w:sz w:val="22"/>
                <w:szCs w:val="22"/>
              </w:rPr>
              <w:t>-5</w:t>
            </w:r>
          </w:p>
        </w:tc>
        <w:tc>
          <w:tcPr>
            <w:tcW w:w="1093" w:type="dxa"/>
            <w:tcBorders>
              <w:top w:val="nil"/>
              <w:left w:val="nil"/>
              <w:bottom w:val="nil"/>
              <w:right w:val="nil"/>
            </w:tcBorders>
            <w:shd w:val="clear" w:color="000000" w:fill="FFFFFF"/>
            <w:noWrap/>
            <w:vAlign w:val="center"/>
            <w:hideMark/>
          </w:tcPr>
          <w:p w14:paraId="186B0AAE" w14:textId="5D918FD9" w:rsidR="00A20AF0" w:rsidRPr="00D618B7" w:rsidRDefault="00A20AF0" w:rsidP="00A20AF0">
            <w:pPr>
              <w:jc w:val="right"/>
              <w:rPr>
                <w:color w:val="000000"/>
                <w:sz w:val="22"/>
                <w:szCs w:val="22"/>
              </w:rPr>
            </w:pPr>
            <w:r w:rsidRPr="00D618B7">
              <w:rPr>
                <w:color w:val="000000"/>
                <w:sz w:val="20"/>
                <w:szCs w:val="20"/>
              </w:rPr>
              <w:t>57.09</w:t>
            </w:r>
          </w:p>
        </w:tc>
        <w:tc>
          <w:tcPr>
            <w:tcW w:w="1071" w:type="dxa"/>
            <w:tcBorders>
              <w:top w:val="nil"/>
              <w:left w:val="nil"/>
              <w:bottom w:val="nil"/>
              <w:right w:val="nil"/>
            </w:tcBorders>
            <w:shd w:val="clear" w:color="000000" w:fill="FFFFFF"/>
            <w:noWrap/>
            <w:vAlign w:val="center"/>
            <w:hideMark/>
          </w:tcPr>
          <w:p w14:paraId="5D8563D1" w14:textId="5874627F" w:rsidR="00A20AF0" w:rsidRPr="00D618B7" w:rsidRDefault="00A20AF0" w:rsidP="00A20AF0">
            <w:pPr>
              <w:jc w:val="right"/>
              <w:rPr>
                <w:color w:val="000000"/>
                <w:sz w:val="22"/>
                <w:szCs w:val="22"/>
              </w:rPr>
            </w:pPr>
            <w:r w:rsidRPr="00D618B7">
              <w:rPr>
                <w:color w:val="000000"/>
                <w:sz w:val="20"/>
                <w:szCs w:val="20"/>
              </w:rPr>
              <w:t>104.87</w:t>
            </w:r>
          </w:p>
        </w:tc>
        <w:tc>
          <w:tcPr>
            <w:tcW w:w="1522" w:type="dxa"/>
            <w:tcBorders>
              <w:top w:val="nil"/>
              <w:left w:val="nil"/>
              <w:bottom w:val="nil"/>
              <w:right w:val="nil"/>
            </w:tcBorders>
            <w:shd w:val="clear" w:color="000000" w:fill="FFFFFF"/>
            <w:noWrap/>
            <w:vAlign w:val="center"/>
            <w:hideMark/>
          </w:tcPr>
          <w:p w14:paraId="61532204" w14:textId="300D2A4D" w:rsidR="00A20AF0" w:rsidRPr="00D618B7" w:rsidRDefault="00A20AF0" w:rsidP="00A20AF0">
            <w:pPr>
              <w:jc w:val="right"/>
              <w:rPr>
                <w:color w:val="000000"/>
                <w:sz w:val="22"/>
                <w:szCs w:val="22"/>
              </w:rPr>
            </w:pPr>
            <w:r w:rsidRPr="00D618B7">
              <w:rPr>
                <w:color w:val="000000"/>
                <w:sz w:val="20"/>
                <w:szCs w:val="20"/>
              </w:rPr>
              <w:t>-183.65</w:t>
            </w:r>
          </w:p>
        </w:tc>
        <w:tc>
          <w:tcPr>
            <w:tcW w:w="1060" w:type="dxa"/>
            <w:tcBorders>
              <w:top w:val="nil"/>
              <w:left w:val="nil"/>
              <w:bottom w:val="nil"/>
              <w:right w:val="nil"/>
            </w:tcBorders>
            <w:shd w:val="clear" w:color="000000" w:fill="FFFFFF"/>
            <w:noWrap/>
            <w:vAlign w:val="center"/>
            <w:hideMark/>
          </w:tcPr>
          <w:p w14:paraId="4D4CCC2B" w14:textId="5A3FEC2A" w:rsidR="00A20AF0" w:rsidRPr="00D618B7" w:rsidRDefault="00A20AF0" w:rsidP="00A20AF0">
            <w:pPr>
              <w:jc w:val="right"/>
              <w:rPr>
                <w:color w:val="000000"/>
                <w:sz w:val="22"/>
                <w:szCs w:val="22"/>
              </w:rPr>
            </w:pPr>
            <w:r w:rsidRPr="00D618B7">
              <w:rPr>
                <w:color w:val="000000"/>
                <w:sz w:val="20"/>
                <w:szCs w:val="20"/>
              </w:rPr>
              <w:t>402.57</w:t>
            </w:r>
          </w:p>
        </w:tc>
        <w:tc>
          <w:tcPr>
            <w:tcW w:w="1575" w:type="dxa"/>
            <w:tcBorders>
              <w:top w:val="nil"/>
              <w:left w:val="nil"/>
              <w:bottom w:val="nil"/>
              <w:right w:val="nil"/>
            </w:tcBorders>
            <w:shd w:val="clear" w:color="000000" w:fill="FFFFFF"/>
            <w:noWrap/>
            <w:vAlign w:val="center"/>
            <w:hideMark/>
          </w:tcPr>
          <w:p w14:paraId="164169DC" w14:textId="6B7BFBE8" w:rsidR="00A20AF0" w:rsidRPr="00D618B7" w:rsidRDefault="00A20AF0" w:rsidP="00A20AF0">
            <w:pPr>
              <w:jc w:val="right"/>
              <w:rPr>
                <w:color w:val="000000"/>
                <w:sz w:val="22"/>
                <w:szCs w:val="22"/>
              </w:rPr>
            </w:pPr>
            <w:r w:rsidRPr="00D618B7">
              <w:rPr>
                <w:color w:val="000000"/>
                <w:sz w:val="20"/>
                <w:szCs w:val="20"/>
              </w:rPr>
              <w:t>-1689.57</w:t>
            </w:r>
          </w:p>
        </w:tc>
        <w:tc>
          <w:tcPr>
            <w:tcW w:w="1098" w:type="dxa"/>
            <w:tcBorders>
              <w:top w:val="nil"/>
              <w:left w:val="nil"/>
              <w:bottom w:val="nil"/>
              <w:right w:val="nil"/>
            </w:tcBorders>
            <w:shd w:val="clear" w:color="000000" w:fill="FFFFFF"/>
            <w:noWrap/>
            <w:vAlign w:val="center"/>
            <w:hideMark/>
          </w:tcPr>
          <w:p w14:paraId="6686E766" w14:textId="3F6A6525" w:rsidR="00A20AF0" w:rsidRPr="00D618B7" w:rsidRDefault="00A20AF0" w:rsidP="00A20AF0">
            <w:pPr>
              <w:jc w:val="right"/>
              <w:rPr>
                <w:color w:val="000000"/>
                <w:sz w:val="22"/>
                <w:szCs w:val="22"/>
              </w:rPr>
            </w:pPr>
            <w:r w:rsidRPr="00D618B7">
              <w:rPr>
                <w:color w:val="000000"/>
                <w:sz w:val="20"/>
                <w:szCs w:val="20"/>
              </w:rPr>
              <w:t>1407.07</w:t>
            </w:r>
          </w:p>
        </w:tc>
      </w:tr>
      <w:tr w:rsidR="00A20AF0" w:rsidRPr="00D618B7" w14:paraId="4126DC6F" w14:textId="77777777" w:rsidTr="00A20AF0">
        <w:trPr>
          <w:trHeight w:val="242"/>
        </w:trPr>
        <w:tc>
          <w:tcPr>
            <w:tcW w:w="1305" w:type="dxa"/>
            <w:tcBorders>
              <w:top w:val="nil"/>
              <w:left w:val="nil"/>
              <w:bottom w:val="nil"/>
              <w:right w:val="nil"/>
            </w:tcBorders>
            <w:shd w:val="clear" w:color="000000" w:fill="FFFFFF"/>
            <w:vAlign w:val="center"/>
            <w:hideMark/>
          </w:tcPr>
          <w:p w14:paraId="16147765" w14:textId="77777777" w:rsidR="00A20AF0" w:rsidRPr="00D618B7" w:rsidRDefault="00A20AF0" w:rsidP="00A20AF0">
            <w:pPr>
              <w:jc w:val="right"/>
              <w:rPr>
                <w:color w:val="000000"/>
                <w:sz w:val="22"/>
                <w:szCs w:val="22"/>
              </w:rPr>
            </w:pPr>
            <w:r w:rsidRPr="00D618B7">
              <w:rPr>
                <w:color w:val="000000"/>
                <w:sz w:val="22"/>
                <w:szCs w:val="22"/>
              </w:rPr>
              <w:t>-4</w:t>
            </w:r>
          </w:p>
        </w:tc>
        <w:tc>
          <w:tcPr>
            <w:tcW w:w="1093" w:type="dxa"/>
            <w:tcBorders>
              <w:top w:val="nil"/>
              <w:left w:val="nil"/>
              <w:bottom w:val="nil"/>
              <w:right w:val="nil"/>
            </w:tcBorders>
            <w:shd w:val="clear" w:color="000000" w:fill="FFFFFF"/>
            <w:noWrap/>
            <w:vAlign w:val="center"/>
            <w:hideMark/>
          </w:tcPr>
          <w:p w14:paraId="2A352BD8" w14:textId="5EB63021" w:rsidR="00A20AF0" w:rsidRPr="00D618B7" w:rsidRDefault="00A20AF0" w:rsidP="00A20AF0">
            <w:pPr>
              <w:jc w:val="right"/>
              <w:rPr>
                <w:color w:val="000000"/>
                <w:sz w:val="22"/>
                <w:szCs w:val="22"/>
              </w:rPr>
            </w:pPr>
            <w:r w:rsidRPr="00D618B7">
              <w:rPr>
                <w:color w:val="000000"/>
                <w:sz w:val="20"/>
                <w:szCs w:val="20"/>
              </w:rPr>
              <w:t>-57.47</w:t>
            </w:r>
          </w:p>
        </w:tc>
        <w:tc>
          <w:tcPr>
            <w:tcW w:w="1071" w:type="dxa"/>
            <w:tcBorders>
              <w:top w:val="nil"/>
              <w:left w:val="nil"/>
              <w:bottom w:val="nil"/>
              <w:right w:val="nil"/>
            </w:tcBorders>
            <w:shd w:val="clear" w:color="000000" w:fill="FFFFFF"/>
            <w:noWrap/>
            <w:vAlign w:val="center"/>
            <w:hideMark/>
          </w:tcPr>
          <w:p w14:paraId="54DFC241" w14:textId="42DF4A16" w:rsidR="00A20AF0" w:rsidRPr="00D618B7" w:rsidRDefault="00A20AF0" w:rsidP="00A20AF0">
            <w:pPr>
              <w:jc w:val="right"/>
              <w:rPr>
                <w:color w:val="000000"/>
                <w:sz w:val="22"/>
                <w:szCs w:val="22"/>
              </w:rPr>
            </w:pPr>
            <w:r w:rsidRPr="00D618B7">
              <w:rPr>
                <w:color w:val="000000"/>
                <w:sz w:val="20"/>
                <w:szCs w:val="20"/>
              </w:rPr>
              <w:t>202.70</w:t>
            </w:r>
          </w:p>
        </w:tc>
        <w:tc>
          <w:tcPr>
            <w:tcW w:w="1522" w:type="dxa"/>
            <w:tcBorders>
              <w:top w:val="nil"/>
              <w:left w:val="nil"/>
              <w:bottom w:val="nil"/>
              <w:right w:val="nil"/>
            </w:tcBorders>
            <w:shd w:val="clear" w:color="000000" w:fill="FFFFFF"/>
            <w:noWrap/>
            <w:vAlign w:val="center"/>
            <w:hideMark/>
          </w:tcPr>
          <w:p w14:paraId="272C07B7" w14:textId="646A5FD8" w:rsidR="00A20AF0" w:rsidRPr="00D618B7" w:rsidRDefault="00A20AF0" w:rsidP="00A20AF0">
            <w:pPr>
              <w:jc w:val="right"/>
              <w:rPr>
                <w:color w:val="000000"/>
                <w:sz w:val="22"/>
                <w:szCs w:val="22"/>
              </w:rPr>
            </w:pPr>
            <w:r w:rsidRPr="00D618B7">
              <w:rPr>
                <w:color w:val="000000"/>
                <w:sz w:val="20"/>
                <w:szCs w:val="20"/>
              </w:rPr>
              <w:t>353.11</w:t>
            </w:r>
          </w:p>
        </w:tc>
        <w:tc>
          <w:tcPr>
            <w:tcW w:w="1060" w:type="dxa"/>
            <w:tcBorders>
              <w:top w:val="nil"/>
              <w:left w:val="nil"/>
              <w:bottom w:val="nil"/>
              <w:right w:val="nil"/>
            </w:tcBorders>
            <w:shd w:val="clear" w:color="000000" w:fill="FFFFFF"/>
            <w:noWrap/>
            <w:vAlign w:val="center"/>
            <w:hideMark/>
          </w:tcPr>
          <w:p w14:paraId="5F30B1A0" w14:textId="75D32573" w:rsidR="00A20AF0" w:rsidRPr="00D618B7" w:rsidRDefault="00A20AF0" w:rsidP="00A20AF0">
            <w:pPr>
              <w:jc w:val="right"/>
              <w:rPr>
                <w:color w:val="000000"/>
                <w:sz w:val="22"/>
                <w:szCs w:val="22"/>
              </w:rPr>
            </w:pPr>
            <w:r w:rsidRPr="00D618B7">
              <w:rPr>
                <w:color w:val="000000"/>
                <w:sz w:val="20"/>
                <w:szCs w:val="20"/>
              </w:rPr>
              <w:t>534.51</w:t>
            </w:r>
          </w:p>
        </w:tc>
        <w:tc>
          <w:tcPr>
            <w:tcW w:w="1575" w:type="dxa"/>
            <w:tcBorders>
              <w:top w:val="nil"/>
              <w:left w:val="nil"/>
              <w:bottom w:val="nil"/>
              <w:right w:val="nil"/>
            </w:tcBorders>
            <w:shd w:val="clear" w:color="000000" w:fill="FFFFFF"/>
            <w:noWrap/>
            <w:vAlign w:val="center"/>
            <w:hideMark/>
          </w:tcPr>
          <w:p w14:paraId="6A1B1F2A" w14:textId="6F4B8A7C" w:rsidR="00A20AF0" w:rsidRPr="00D618B7" w:rsidRDefault="00A20AF0" w:rsidP="00A20AF0">
            <w:pPr>
              <w:jc w:val="right"/>
              <w:rPr>
                <w:color w:val="000000"/>
                <w:sz w:val="22"/>
                <w:szCs w:val="22"/>
              </w:rPr>
            </w:pPr>
            <w:r w:rsidRPr="00D618B7">
              <w:rPr>
                <w:color w:val="000000"/>
                <w:sz w:val="20"/>
                <w:szCs w:val="20"/>
              </w:rPr>
              <w:t>-5305.07</w:t>
            </w:r>
          </w:p>
        </w:tc>
        <w:tc>
          <w:tcPr>
            <w:tcW w:w="1098" w:type="dxa"/>
            <w:tcBorders>
              <w:top w:val="nil"/>
              <w:left w:val="nil"/>
              <w:bottom w:val="nil"/>
              <w:right w:val="nil"/>
            </w:tcBorders>
            <w:shd w:val="clear" w:color="000000" w:fill="FFFFFF"/>
            <w:noWrap/>
            <w:vAlign w:val="center"/>
            <w:hideMark/>
          </w:tcPr>
          <w:p w14:paraId="2D877882" w14:textId="3F4FAD12" w:rsidR="00A20AF0" w:rsidRPr="00D618B7" w:rsidRDefault="00A20AF0" w:rsidP="00A20AF0">
            <w:pPr>
              <w:jc w:val="right"/>
              <w:rPr>
                <w:color w:val="000000"/>
                <w:sz w:val="22"/>
                <w:szCs w:val="22"/>
              </w:rPr>
            </w:pPr>
            <w:r w:rsidRPr="00D618B7">
              <w:rPr>
                <w:color w:val="000000"/>
                <w:sz w:val="20"/>
                <w:szCs w:val="20"/>
              </w:rPr>
              <w:t>2926.83</w:t>
            </w:r>
          </w:p>
        </w:tc>
      </w:tr>
      <w:tr w:rsidR="00A20AF0" w:rsidRPr="00D618B7" w14:paraId="18E8CCDF" w14:textId="77777777" w:rsidTr="00A20AF0">
        <w:trPr>
          <w:trHeight w:val="242"/>
        </w:trPr>
        <w:tc>
          <w:tcPr>
            <w:tcW w:w="1305" w:type="dxa"/>
            <w:tcBorders>
              <w:top w:val="nil"/>
              <w:left w:val="nil"/>
              <w:bottom w:val="nil"/>
              <w:right w:val="nil"/>
            </w:tcBorders>
            <w:shd w:val="clear" w:color="000000" w:fill="FFFFFF"/>
            <w:vAlign w:val="center"/>
            <w:hideMark/>
          </w:tcPr>
          <w:p w14:paraId="0AE35390" w14:textId="77777777" w:rsidR="00A20AF0" w:rsidRPr="00D618B7" w:rsidRDefault="00A20AF0" w:rsidP="00A20AF0">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4E09687E" w14:textId="5664535A" w:rsidR="00A20AF0" w:rsidRPr="00D618B7" w:rsidRDefault="00A20AF0" w:rsidP="00A20AF0">
            <w:pPr>
              <w:jc w:val="right"/>
              <w:rPr>
                <w:color w:val="000000"/>
                <w:sz w:val="22"/>
                <w:szCs w:val="22"/>
              </w:rPr>
            </w:pPr>
            <w:r w:rsidRPr="00D618B7">
              <w:rPr>
                <w:color w:val="000000"/>
                <w:sz w:val="20"/>
                <w:szCs w:val="20"/>
              </w:rPr>
              <w:t>88.94</w:t>
            </w:r>
          </w:p>
        </w:tc>
        <w:tc>
          <w:tcPr>
            <w:tcW w:w="1071" w:type="dxa"/>
            <w:tcBorders>
              <w:top w:val="nil"/>
              <w:left w:val="nil"/>
              <w:bottom w:val="nil"/>
              <w:right w:val="nil"/>
            </w:tcBorders>
            <w:shd w:val="clear" w:color="000000" w:fill="FFFFFF"/>
            <w:noWrap/>
            <w:vAlign w:val="center"/>
            <w:hideMark/>
          </w:tcPr>
          <w:p w14:paraId="59FA97EB" w14:textId="33D85086" w:rsidR="00A20AF0" w:rsidRPr="00D618B7" w:rsidRDefault="00A20AF0" w:rsidP="00A20AF0">
            <w:pPr>
              <w:jc w:val="right"/>
              <w:rPr>
                <w:color w:val="000000"/>
                <w:sz w:val="22"/>
                <w:szCs w:val="22"/>
              </w:rPr>
            </w:pPr>
            <w:r w:rsidRPr="00D618B7">
              <w:rPr>
                <w:color w:val="000000"/>
                <w:sz w:val="20"/>
                <w:szCs w:val="20"/>
              </w:rPr>
              <w:t>142.30</w:t>
            </w:r>
          </w:p>
        </w:tc>
        <w:tc>
          <w:tcPr>
            <w:tcW w:w="1522" w:type="dxa"/>
            <w:tcBorders>
              <w:top w:val="nil"/>
              <w:left w:val="nil"/>
              <w:bottom w:val="nil"/>
              <w:right w:val="nil"/>
            </w:tcBorders>
            <w:shd w:val="clear" w:color="000000" w:fill="FFFFFF"/>
            <w:noWrap/>
            <w:vAlign w:val="center"/>
            <w:hideMark/>
          </w:tcPr>
          <w:p w14:paraId="7DA2ECA8" w14:textId="6E94A58B" w:rsidR="00A20AF0" w:rsidRPr="00D618B7" w:rsidRDefault="00A20AF0" w:rsidP="00A20AF0">
            <w:pPr>
              <w:jc w:val="right"/>
              <w:rPr>
                <w:color w:val="000000"/>
                <w:sz w:val="22"/>
                <w:szCs w:val="22"/>
              </w:rPr>
            </w:pPr>
            <w:r w:rsidRPr="00D618B7">
              <w:rPr>
                <w:color w:val="000000"/>
                <w:sz w:val="20"/>
                <w:szCs w:val="20"/>
              </w:rPr>
              <w:t>-338.20</w:t>
            </w:r>
          </w:p>
        </w:tc>
        <w:tc>
          <w:tcPr>
            <w:tcW w:w="1060" w:type="dxa"/>
            <w:tcBorders>
              <w:top w:val="nil"/>
              <w:left w:val="nil"/>
              <w:bottom w:val="nil"/>
              <w:right w:val="nil"/>
            </w:tcBorders>
            <w:shd w:val="clear" w:color="000000" w:fill="FFFFFF"/>
            <w:noWrap/>
            <w:vAlign w:val="center"/>
            <w:hideMark/>
          </w:tcPr>
          <w:p w14:paraId="6E5DE483" w14:textId="22D5AACD" w:rsidR="00A20AF0" w:rsidRPr="00D618B7" w:rsidRDefault="00A20AF0" w:rsidP="00A20AF0">
            <w:pPr>
              <w:jc w:val="right"/>
              <w:rPr>
                <w:color w:val="000000"/>
                <w:sz w:val="22"/>
                <w:szCs w:val="22"/>
              </w:rPr>
            </w:pPr>
            <w:r w:rsidRPr="00D618B7">
              <w:rPr>
                <w:color w:val="000000"/>
                <w:sz w:val="20"/>
                <w:szCs w:val="20"/>
              </w:rPr>
              <w:t>253.38</w:t>
            </w:r>
          </w:p>
        </w:tc>
        <w:tc>
          <w:tcPr>
            <w:tcW w:w="1575" w:type="dxa"/>
            <w:tcBorders>
              <w:top w:val="nil"/>
              <w:left w:val="nil"/>
              <w:bottom w:val="nil"/>
              <w:right w:val="nil"/>
            </w:tcBorders>
            <w:shd w:val="clear" w:color="000000" w:fill="FFFFFF"/>
            <w:noWrap/>
            <w:vAlign w:val="center"/>
            <w:hideMark/>
          </w:tcPr>
          <w:p w14:paraId="23145C9E" w14:textId="5B56E6DA" w:rsidR="00A20AF0" w:rsidRPr="00D618B7" w:rsidRDefault="00A20AF0" w:rsidP="00A20AF0">
            <w:pPr>
              <w:jc w:val="right"/>
              <w:rPr>
                <w:color w:val="000000"/>
                <w:sz w:val="22"/>
                <w:szCs w:val="22"/>
              </w:rPr>
            </w:pPr>
            <w:r w:rsidRPr="00D618B7">
              <w:rPr>
                <w:color w:val="000000"/>
                <w:sz w:val="20"/>
                <w:szCs w:val="20"/>
              </w:rPr>
              <w:t>14560.59</w:t>
            </w:r>
          </w:p>
        </w:tc>
        <w:tc>
          <w:tcPr>
            <w:tcW w:w="1098" w:type="dxa"/>
            <w:tcBorders>
              <w:top w:val="nil"/>
              <w:left w:val="nil"/>
              <w:bottom w:val="nil"/>
              <w:right w:val="nil"/>
            </w:tcBorders>
            <w:shd w:val="clear" w:color="000000" w:fill="FFFFFF"/>
            <w:noWrap/>
            <w:vAlign w:val="center"/>
            <w:hideMark/>
          </w:tcPr>
          <w:p w14:paraId="5F31E9F2" w14:textId="36FBFF52" w:rsidR="00A20AF0" w:rsidRPr="00D618B7" w:rsidRDefault="00A20AF0" w:rsidP="00A20AF0">
            <w:pPr>
              <w:jc w:val="right"/>
              <w:rPr>
                <w:color w:val="000000"/>
                <w:sz w:val="22"/>
                <w:szCs w:val="22"/>
              </w:rPr>
            </w:pPr>
            <w:r w:rsidRPr="00D618B7">
              <w:rPr>
                <w:color w:val="000000"/>
                <w:sz w:val="20"/>
                <w:szCs w:val="20"/>
              </w:rPr>
              <w:t>6407.54</w:t>
            </w:r>
          </w:p>
        </w:tc>
      </w:tr>
      <w:tr w:rsidR="00A20AF0" w:rsidRPr="00D618B7" w14:paraId="6209D7F9" w14:textId="77777777" w:rsidTr="00A20AF0">
        <w:trPr>
          <w:trHeight w:val="242"/>
        </w:trPr>
        <w:tc>
          <w:tcPr>
            <w:tcW w:w="1305" w:type="dxa"/>
            <w:tcBorders>
              <w:top w:val="nil"/>
              <w:left w:val="nil"/>
              <w:bottom w:val="nil"/>
              <w:right w:val="nil"/>
            </w:tcBorders>
            <w:shd w:val="clear" w:color="000000" w:fill="FFFFFF"/>
            <w:vAlign w:val="center"/>
            <w:hideMark/>
          </w:tcPr>
          <w:p w14:paraId="36084654" w14:textId="77777777" w:rsidR="00A20AF0" w:rsidRPr="00D618B7" w:rsidRDefault="00A20AF0" w:rsidP="00A20AF0">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767ECAA5" w14:textId="23D3BFFA" w:rsidR="00A20AF0" w:rsidRPr="00D618B7" w:rsidRDefault="00A20AF0" w:rsidP="00A20AF0">
            <w:pPr>
              <w:jc w:val="right"/>
              <w:rPr>
                <w:color w:val="000000"/>
                <w:sz w:val="22"/>
                <w:szCs w:val="22"/>
              </w:rPr>
            </w:pPr>
            <w:r w:rsidRPr="00D618B7">
              <w:rPr>
                <w:color w:val="000000"/>
                <w:sz w:val="20"/>
                <w:szCs w:val="20"/>
              </w:rPr>
              <w:t>65.97</w:t>
            </w:r>
          </w:p>
        </w:tc>
        <w:tc>
          <w:tcPr>
            <w:tcW w:w="1071" w:type="dxa"/>
            <w:tcBorders>
              <w:top w:val="nil"/>
              <w:left w:val="nil"/>
              <w:bottom w:val="nil"/>
              <w:right w:val="nil"/>
            </w:tcBorders>
            <w:shd w:val="clear" w:color="000000" w:fill="FFFFFF"/>
            <w:noWrap/>
            <w:vAlign w:val="center"/>
            <w:hideMark/>
          </w:tcPr>
          <w:p w14:paraId="79311CBD" w14:textId="6732D2DD" w:rsidR="00A20AF0" w:rsidRPr="00D618B7" w:rsidRDefault="00A20AF0" w:rsidP="00A20AF0">
            <w:pPr>
              <w:jc w:val="right"/>
              <w:rPr>
                <w:color w:val="000000"/>
                <w:sz w:val="22"/>
                <w:szCs w:val="22"/>
              </w:rPr>
            </w:pPr>
            <w:r w:rsidRPr="00D618B7">
              <w:rPr>
                <w:color w:val="000000"/>
                <w:sz w:val="20"/>
                <w:szCs w:val="20"/>
              </w:rPr>
              <w:t>157.69</w:t>
            </w:r>
          </w:p>
        </w:tc>
        <w:tc>
          <w:tcPr>
            <w:tcW w:w="1522" w:type="dxa"/>
            <w:tcBorders>
              <w:top w:val="nil"/>
              <w:left w:val="nil"/>
              <w:bottom w:val="nil"/>
              <w:right w:val="nil"/>
            </w:tcBorders>
            <w:shd w:val="clear" w:color="000000" w:fill="FFFFFF"/>
            <w:noWrap/>
            <w:vAlign w:val="center"/>
            <w:hideMark/>
          </w:tcPr>
          <w:p w14:paraId="6C288827" w14:textId="08C1C913" w:rsidR="00A20AF0" w:rsidRPr="00D618B7" w:rsidRDefault="00A20AF0" w:rsidP="00A20AF0">
            <w:pPr>
              <w:jc w:val="right"/>
              <w:rPr>
                <w:color w:val="000000"/>
                <w:sz w:val="22"/>
                <w:szCs w:val="22"/>
              </w:rPr>
            </w:pPr>
            <w:r w:rsidRPr="00D618B7">
              <w:rPr>
                <w:color w:val="000000"/>
                <w:sz w:val="20"/>
                <w:szCs w:val="20"/>
              </w:rPr>
              <w:t>368.96</w:t>
            </w:r>
          </w:p>
        </w:tc>
        <w:tc>
          <w:tcPr>
            <w:tcW w:w="1060" w:type="dxa"/>
            <w:tcBorders>
              <w:top w:val="nil"/>
              <w:left w:val="nil"/>
              <w:bottom w:val="nil"/>
              <w:right w:val="nil"/>
            </w:tcBorders>
            <w:shd w:val="clear" w:color="000000" w:fill="FFFFFF"/>
            <w:noWrap/>
            <w:vAlign w:val="center"/>
            <w:hideMark/>
          </w:tcPr>
          <w:p w14:paraId="69FC25FE" w14:textId="2811FC88" w:rsidR="00A20AF0" w:rsidRPr="00D618B7" w:rsidRDefault="00A20AF0" w:rsidP="00A20AF0">
            <w:pPr>
              <w:jc w:val="right"/>
              <w:rPr>
                <w:color w:val="000000"/>
                <w:sz w:val="22"/>
                <w:szCs w:val="22"/>
              </w:rPr>
            </w:pPr>
            <w:r w:rsidRPr="00D618B7">
              <w:rPr>
                <w:color w:val="000000"/>
                <w:sz w:val="20"/>
                <w:szCs w:val="20"/>
              </w:rPr>
              <w:t>495.52</w:t>
            </w:r>
          </w:p>
        </w:tc>
        <w:tc>
          <w:tcPr>
            <w:tcW w:w="1575" w:type="dxa"/>
            <w:tcBorders>
              <w:top w:val="nil"/>
              <w:left w:val="nil"/>
              <w:bottom w:val="nil"/>
              <w:right w:val="nil"/>
            </w:tcBorders>
            <w:shd w:val="clear" w:color="000000" w:fill="FFFFFF"/>
            <w:noWrap/>
            <w:vAlign w:val="center"/>
            <w:hideMark/>
          </w:tcPr>
          <w:p w14:paraId="094A7BC9" w14:textId="23696C57" w:rsidR="00A20AF0" w:rsidRPr="00D618B7" w:rsidRDefault="00A20AF0" w:rsidP="00A20AF0">
            <w:pPr>
              <w:jc w:val="right"/>
              <w:rPr>
                <w:color w:val="000000"/>
                <w:sz w:val="22"/>
                <w:szCs w:val="22"/>
              </w:rPr>
            </w:pPr>
            <w:r w:rsidRPr="00D618B7">
              <w:rPr>
                <w:color w:val="000000"/>
                <w:sz w:val="20"/>
                <w:szCs w:val="20"/>
              </w:rPr>
              <w:t>1718.99</w:t>
            </w:r>
          </w:p>
        </w:tc>
        <w:tc>
          <w:tcPr>
            <w:tcW w:w="1098" w:type="dxa"/>
            <w:tcBorders>
              <w:top w:val="nil"/>
              <w:left w:val="nil"/>
              <w:bottom w:val="nil"/>
              <w:right w:val="nil"/>
            </w:tcBorders>
            <w:shd w:val="clear" w:color="000000" w:fill="FFFFFF"/>
            <w:noWrap/>
            <w:vAlign w:val="center"/>
            <w:hideMark/>
          </w:tcPr>
          <w:p w14:paraId="097B80D3" w14:textId="7F29C792" w:rsidR="00A20AF0" w:rsidRPr="00D618B7" w:rsidRDefault="00A20AF0" w:rsidP="00A20AF0">
            <w:pPr>
              <w:jc w:val="right"/>
              <w:rPr>
                <w:color w:val="000000"/>
                <w:sz w:val="22"/>
                <w:szCs w:val="22"/>
              </w:rPr>
            </w:pPr>
            <w:r w:rsidRPr="00D618B7">
              <w:rPr>
                <w:color w:val="000000"/>
                <w:sz w:val="20"/>
                <w:szCs w:val="20"/>
              </w:rPr>
              <w:t>716.08</w:t>
            </w:r>
          </w:p>
        </w:tc>
      </w:tr>
      <w:tr w:rsidR="00A20AF0" w:rsidRPr="00D618B7" w14:paraId="584AC768" w14:textId="77777777" w:rsidTr="00A20AF0">
        <w:trPr>
          <w:trHeight w:val="242"/>
        </w:trPr>
        <w:tc>
          <w:tcPr>
            <w:tcW w:w="1305" w:type="dxa"/>
            <w:tcBorders>
              <w:top w:val="nil"/>
              <w:left w:val="nil"/>
              <w:bottom w:val="nil"/>
              <w:right w:val="nil"/>
            </w:tcBorders>
            <w:shd w:val="clear" w:color="000000" w:fill="FFFFFF"/>
            <w:vAlign w:val="center"/>
            <w:hideMark/>
          </w:tcPr>
          <w:p w14:paraId="2EAF4393" w14:textId="77777777" w:rsidR="00A20AF0" w:rsidRPr="00D618B7" w:rsidRDefault="00A20AF0" w:rsidP="00A20AF0">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14C02942" w14:textId="49E37AAC" w:rsidR="00A20AF0" w:rsidRPr="00D618B7" w:rsidRDefault="00A20AF0" w:rsidP="00A20AF0">
            <w:pPr>
              <w:jc w:val="right"/>
              <w:rPr>
                <w:color w:val="000000"/>
                <w:sz w:val="22"/>
                <w:szCs w:val="22"/>
              </w:rPr>
            </w:pPr>
            <w:r w:rsidRPr="00D618B7">
              <w:rPr>
                <w:color w:val="000000"/>
                <w:sz w:val="20"/>
                <w:szCs w:val="20"/>
              </w:rPr>
              <w:t>-38.81</w:t>
            </w:r>
          </w:p>
        </w:tc>
        <w:tc>
          <w:tcPr>
            <w:tcW w:w="1071" w:type="dxa"/>
            <w:tcBorders>
              <w:top w:val="nil"/>
              <w:left w:val="nil"/>
              <w:bottom w:val="nil"/>
              <w:right w:val="nil"/>
            </w:tcBorders>
            <w:shd w:val="clear" w:color="000000" w:fill="FFFFFF"/>
            <w:noWrap/>
            <w:vAlign w:val="center"/>
            <w:hideMark/>
          </w:tcPr>
          <w:p w14:paraId="2AFB8E10" w14:textId="2D15A83B" w:rsidR="00A20AF0" w:rsidRPr="00D618B7" w:rsidRDefault="00A20AF0" w:rsidP="00A20AF0">
            <w:pPr>
              <w:jc w:val="right"/>
              <w:rPr>
                <w:color w:val="000000"/>
                <w:sz w:val="22"/>
                <w:szCs w:val="22"/>
              </w:rPr>
            </w:pPr>
            <w:r w:rsidRPr="00D618B7">
              <w:rPr>
                <w:color w:val="000000"/>
                <w:sz w:val="20"/>
                <w:szCs w:val="20"/>
              </w:rPr>
              <w:t>21.72</w:t>
            </w:r>
          </w:p>
        </w:tc>
        <w:tc>
          <w:tcPr>
            <w:tcW w:w="1522" w:type="dxa"/>
            <w:tcBorders>
              <w:top w:val="nil"/>
              <w:left w:val="nil"/>
              <w:bottom w:val="nil"/>
              <w:right w:val="nil"/>
            </w:tcBorders>
            <w:shd w:val="clear" w:color="000000" w:fill="FFFFFF"/>
            <w:noWrap/>
            <w:vAlign w:val="center"/>
            <w:hideMark/>
          </w:tcPr>
          <w:p w14:paraId="0F85C16D" w14:textId="646D0DEE" w:rsidR="00A20AF0" w:rsidRPr="00D618B7" w:rsidRDefault="00A20AF0" w:rsidP="00A20AF0">
            <w:pPr>
              <w:jc w:val="right"/>
              <w:rPr>
                <w:color w:val="000000"/>
                <w:sz w:val="22"/>
                <w:szCs w:val="22"/>
              </w:rPr>
            </w:pPr>
            <w:r w:rsidRPr="00D618B7">
              <w:rPr>
                <w:color w:val="000000"/>
                <w:sz w:val="20"/>
                <w:szCs w:val="20"/>
              </w:rPr>
              <w:t>169.61</w:t>
            </w:r>
          </w:p>
        </w:tc>
        <w:tc>
          <w:tcPr>
            <w:tcW w:w="1060" w:type="dxa"/>
            <w:tcBorders>
              <w:top w:val="nil"/>
              <w:left w:val="nil"/>
              <w:bottom w:val="nil"/>
              <w:right w:val="nil"/>
            </w:tcBorders>
            <w:shd w:val="clear" w:color="000000" w:fill="FFFFFF"/>
            <w:noWrap/>
            <w:vAlign w:val="center"/>
            <w:hideMark/>
          </w:tcPr>
          <w:p w14:paraId="195A1C43" w14:textId="3F68BA8F" w:rsidR="00A20AF0" w:rsidRPr="00D618B7" w:rsidRDefault="00A20AF0" w:rsidP="00A20AF0">
            <w:pPr>
              <w:jc w:val="right"/>
              <w:rPr>
                <w:color w:val="000000"/>
                <w:sz w:val="22"/>
                <w:szCs w:val="22"/>
              </w:rPr>
            </w:pPr>
            <w:r w:rsidRPr="00D618B7">
              <w:rPr>
                <w:color w:val="000000"/>
                <w:sz w:val="20"/>
                <w:szCs w:val="20"/>
              </w:rPr>
              <w:t>38.45</w:t>
            </w:r>
          </w:p>
        </w:tc>
        <w:tc>
          <w:tcPr>
            <w:tcW w:w="1575" w:type="dxa"/>
            <w:tcBorders>
              <w:top w:val="nil"/>
              <w:left w:val="nil"/>
              <w:bottom w:val="nil"/>
              <w:right w:val="nil"/>
            </w:tcBorders>
            <w:shd w:val="clear" w:color="000000" w:fill="FFFFFF"/>
            <w:noWrap/>
            <w:vAlign w:val="center"/>
            <w:hideMark/>
          </w:tcPr>
          <w:p w14:paraId="30FAE984" w14:textId="6B7605EB" w:rsidR="00A20AF0" w:rsidRPr="00D618B7" w:rsidRDefault="00A20AF0" w:rsidP="00A20AF0">
            <w:pPr>
              <w:jc w:val="right"/>
              <w:rPr>
                <w:color w:val="000000"/>
                <w:sz w:val="22"/>
                <w:szCs w:val="22"/>
              </w:rPr>
            </w:pPr>
            <w:r w:rsidRPr="00D618B7">
              <w:rPr>
                <w:color w:val="000000"/>
                <w:sz w:val="20"/>
                <w:szCs w:val="20"/>
              </w:rPr>
              <w:t>10805.55</w:t>
            </w:r>
          </w:p>
        </w:tc>
        <w:tc>
          <w:tcPr>
            <w:tcW w:w="1098" w:type="dxa"/>
            <w:tcBorders>
              <w:top w:val="nil"/>
              <w:left w:val="nil"/>
              <w:bottom w:val="nil"/>
              <w:right w:val="nil"/>
            </w:tcBorders>
            <w:shd w:val="clear" w:color="000000" w:fill="FFFFFF"/>
            <w:noWrap/>
            <w:vAlign w:val="center"/>
            <w:hideMark/>
          </w:tcPr>
          <w:p w14:paraId="24DD491E" w14:textId="5D23A411" w:rsidR="00A20AF0" w:rsidRPr="00D618B7" w:rsidRDefault="00A20AF0" w:rsidP="00A20AF0">
            <w:pPr>
              <w:jc w:val="right"/>
              <w:rPr>
                <w:color w:val="000000"/>
                <w:sz w:val="22"/>
                <w:szCs w:val="22"/>
              </w:rPr>
            </w:pPr>
            <w:r w:rsidRPr="00D618B7">
              <w:rPr>
                <w:color w:val="000000"/>
                <w:sz w:val="20"/>
                <w:szCs w:val="20"/>
              </w:rPr>
              <w:t>9617.50</w:t>
            </w:r>
          </w:p>
        </w:tc>
      </w:tr>
      <w:tr w:rsidR="00A20AF0" w:rsidRPr="00D618B7" w14:paraId="3DC9478A" w14:textId="77777777" w:rsidTr="00A20AF0">
        <w:trPr>
          <w:trHeight w:val="242"/>
        </w:trPr>
        <w:tc>
          <w:tcPr>
            <w:tcW w:w="1305" w:type="dxa"/>
            <w:tcBorders>
              <w:top w:val="nil"/>
              <w:left w:val="nil"/>
              <w:bottom w:val="nil"/>
              <w:right w:val="nil"/>
            </w:tcBorders>
            <w:shd w:val="clear" w:color="000000" w:fill="FFFFFF"/>
            <w:vAlign w:val="center"/>
            <w:hideMark/>
          </w:tcPr>
          <w:p w14:paraId="47D0D3DF" w14:textId="77777777" w:rsidR="00A20AF0" w:rsidRPr="00D618B7" w:rsidRDefault="00A20AF0" w:rsidP="00A20AF0">
            <w:pPr>
              <w:jc w:val="right"/>
              <w:rPr>
                <w:color w:val="000000"/>
                <w:sz w:val="22"/>
                <w:szCs w:val="22"/>
              </w:rPr>
            </w:pPr>
            <w:r w:rsidRPr="00D618B7">
              <w:rPr>
                <w:color w:val="000000"/>
                <w:sz w:val="22"/>
                <w:szCs w:val="22"/>
              </w:rPr>
              <w:t>0</w:t>
            </w:r>
          </w:p>
        </w:tc>
        <w:tc>
          <w:tcPr>
            <w:tcW w:w="1093" w:type="dxa"/>
            <w:tcBorders>
              <w:top w:val="nil"/>
              <w:left w:val="nil"/>
              <w:bottom w:val="nil"/>
              <w:right w:val="nil"/>
            </w:tcBorders>
            <w:shd w:val="clear" w:color="000000" w:fill="FFFFFF"/>
            <w:noWrap/>
            <w:vAlign w:val="center"/>
            <w:hideMark/>
          </w:tcPr>
          <w:p w14:paraId="315CEBDA" w14:textId="06D9119E" w:rsidR="00A20AF0" w:rsidRPr="00D618B7" w:rsidRDefault="00A20AF0" w:rsidP="00A20AF0">
            <w:pPr>
              <w:jc w:val="right"/>
              <w:rPr>
                <w:color w:val="000000"/>
                <w:sz w:val="22"/>
                <w:szCs w:val="22"/>
              </w:rPr>
            </w:pPr>
            <w:r w:rsidRPr="00D618B7">
              <w:rPr>
                <w:color w:val="000000"/>
                <w:sz w:val="20"/>
                <w:szCs w:val="20"/>
              </w:rPr>
              <w:t>721.06</w:t>
            </w:r>
          </w:p>
        </w:tc>
        <w:tc>
          <w:tcPr>
            <w:tcW w:w="1071" w:type="dxa"/>
            <w:tcBorders>
              <w:top w:val="nil"/>
              <w:left w:val="nil"/>
              <w:bottom w:val="nil"/>
              <w:right w:val="nil"/>
            </w:tcBorders>
            <w:shd w:val="clear" w:color="000000" w:fill="FFFFFF"/>
            <w:noWrap/>
            <w:vAlign w:val="center"/>
            <w:hideMark/>
          </w:tcPr>
          <w:p w14:paraId="54D0DBDE" w14:textId="31161FBA" w:rsidR="00A20AF0" w:rsidRPr="00D618B7" w:rsidRDefault="00A20AF0" w:rsidP="00A20AF0">
            <w:pPr>
              <w:jc w:val="right"/>
              <w:rPr>
                <w:color w:val="000000"/>
                <w:sz w:val="22"/>
                <w:szCs w:val="22"/>
              </w:rPr>
            </w:pPr>
            <w:r w:rsidRPr="00D618B7">
              <w:rPr>
                <w:color w:val="000000"/>
                <w:sz w:val="20"/>
                <w:szCs w:val="20"/>
              </w:rPr>
              <w:t>493.69</w:t>
            </w:r>
          </w:p>
        </w:tc>
        <w:tc>
          <w:tcPr>
            <w:tcW w:w="1522" w:type="dxa"/>
            <w:tcBorders>
              <w:top w:val="nil"/>
              <w:left w:val="nil"/>
              <w:bottom w:val="nil"/>
              <w:right w:val="nil"/>
            </w:tcBorders>
            <w:shd w:val="clear" w:color="000000" w:fill="FFFFFF"/>
            <w:noWrap/>
            <w:vAlign w:val="center"/>
            <w:hideMark/>
          </w:tcPr>
          <w:p w14:paraId="6B8FAD09" w14:textId="01889D63" w:rsidR="00A20AF0" w:rsidRPr="00D618B7" w:rsidRDefault="00A20AF0" w:rsidP="00A20AF0">
            <w:pPr>
              <w:jc w:val="right"/>
              <w:rPr>
                <w:color w:val="000000"/>
                <w:sz w:val="22"/>
                <w:szCs w:val="22"/>
              </w:rPr>
            </w:pPr>
            <w:r w:rsidRPr="00D618B7">
              <w:rPr>
                <w:color w:val="000000"/>
                <w:sz w:val="20"/>
                <w:szCs w:val="20"/>
              </w:rPr>
              <w:t>-1083.77</w:t>
            </w:r>
          </w:p>
        </w:tc>
        <w:tc>
          <w:tcPr>
            <w:tcW w:w="1060" w:type="dxa"/>
            <w:tcBorders>
              <w:top w:val="nil"/>
              <w:left w:val="nil"/>
              <w:bottom w:val="nil"/>
              <w:right w:val="nil"/>
            </w:tcBorders>
            <w:shd w:val="clear" w:color="000000" w:fill="FFFFFF"/>
            <w:noWrap/>
            <w:vAlign w:val="center"/>
            <w:hideMark/>
          </w:tcPr>
          <w:p w14:paraId="01EE26DD" w14:textId="3AEC09E4" w:rsidR="00A20AF0" w:rsidRPr="00D618B7" w:rsidRDefault="00A20AF0" w:rsidP="00A20AF0">
            <w:pPr>
              <w:jc w:val="right"/>
              <w:rPr>
                <w:color w:val="000000"/>
                <w:sz w:val="22"/>
                <w:szCs w:val="22"/>
              </w:rPr>
            </w:pPr>
            <w:r w:rsidRPr="00D618B7">
              <w:rPr>
                <w:color w:val="000000"/>
                <w:sz w:val="20"/>
                <w:szCs w:val="20"/>
              </w:rPr>
              <w:t>176.07</w:t>
            </w:r>
          </w:p>
        </w:tc>
        <w:tc>
          <w:tcPr>
            <w:tcW w:w="1575" w:type="dxa"/>
            <w:tcBorders>
              <w:top w:val="nil"/>
              <w:left w:val="nil"/>
              <w:bottom w:val="nil"/>
              <w:right w:val="nil"/>
            </w:tcBorders>
            <w:shd w:val="clear" w:color="000000" w:fill="FFFFFF"/>
            <w:noWrap/>
            <w:vAlign w:val="center"/>
            <w:hideMark/>
          </w:tcPr>
          <w:p w14:paraId="285591AD" w14:textId="33D36AE5" w:rsidR="00A20AF0" w:rsidRPr="00D618B7" w:rsidRDefault="00A20AF0" w:rsidP="00A20AF0">
            <w:pPr>
              <w:jc w:val="right"/>
              <w:rPr>
                <w:color w:val="000000"/>
                <w:sz w:val="22"/>
                <w:szCs w:val="22"/>
              </w:rPr>
            </w:pPr>
            <w:r w:rsidRPr="00D618B7">
              <w:rPr>
                <w:color w:val="000000"/>
                <w:sz w:val="20"/>
                <w:szCs w:val="20"/>
              </w:rPr>
              <w:t>5339.12</w:t>
            </w:r>
          </w:p>
        </w:tc>
        <w:tc>
          <w:tcPr>
            <w:tcW w:w="1098" w:type="dxa"/>
            <w:tcBorders>
              <w:top w:val="nil"/>
              <w:left w:val="nil"/>
              <w:bottom w:val="nil"/>
              <w:right w:val="nil"/>
            </w:tcBorders>
            <w:shd w:val="clear" w:color="000000" w:fill="FFFFFF"/>
            <w:noWrap/>
            <w:vAlign w:val="center"/>
            <w:hideMark/>
          </w:tcPr>
          <w:p w14:paraId="75C265D3" w14:textId="586E1698" w:rsidR="00A20AF0" w:rsidRPr="00D618B7" w:rsidRDefault="00A20AF0" w:rsidP="00A20AF0">
            <w:pPr>
              <w:jc w:val="right"/>
              <w:rPr>
                <w:color w:val="000000"/>
                <w:sz w:val="22"/>
                <w:szCs w:val="22"/>
              </w:rPr>
            </w:pPr>
            <w:r w:rsidRPr="00D618B7">
              <w:rPr>
                <w:color w:val="000000"/>
                <w:sz w:val="20"/>
                <w:szCs w:val="20"/>
              </w:rPr>
              <w:t>3077.01</w:t>
            </w:r>
          </w:p>
        </w:tc>
      </w:tr>
      <w:tr w:rsidR="00A20AF0" w:rsidRPr="00D618B7" w14:paraId="744747E3" w14:textId="77777777" w:rsidTr="00A20AF0">
        <w:trPr>
          <w:trHeight w:val="242"/>
        </w:trPr>
        <w:tc>
          <w:tcPr>
            <w:tcW w:w="1305" w:type="dxa"/>
            <w:tcBorders>
              <w:top w:val="nil"/>
              <w:left w:val="nil"/>
              <w:bottom w:val="nil"/>
              <w:right w:val="nil"/>
            </w:tcBorders>
            <w:shd w:val="clear" w:color="000000" w:fill="FFFFFF"/>
            <w:vAlign w:val="center"/>
            <w:hideMark/>
          </w:tcPr>
          <w:p w14:paraId="6DCA4495" w14:textId="77777777" w:rsidR="00A20AF0" w:rsidRPr="00D618B7" w:rsidRDefault="00A20AF0" w:rsidP="00A20AF0">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03B604F7" w14:textId="60A7C7B4" w:rsidR="00A20AF0" w:rsidRPr="00D618B7" w:rsidRDefault="00A20AF0" w:rsidP="00A20AF0">
            <w:pPr>
              <w:jc w:val="right"/>
              <w:rPr>
                <w:color w:val="000000"/>
                <w:sz w:val="22"/>
                <w:szCs w:val="22"/>
              </w:rPr>
            </w:pPr>
            <w:r w:rsidRPr="00D618B7">
              <w:rPr>
                <w:color w:val="000000"/>
                <w:sz w:val="20"/>
                <w:szCs w:val="20"/>
              </w:rPr>
              <w:t>-15.97</w:t>
            </w:r>
          </w:p>
        </w:tc>
        <w:tc>
          <w:tcPr>
            <w:tcW w:w="1071" w:type="dxa"/>
            <w:tcBorders>
              <w:top w:val="nil"/>
              <w:left w:val="nil"/>
              <w:bottom w:val="nil"/>
              <w:right w:val="nil"/>
            </w:tcBorders>
            <w:shd w:val="clear" w:color="000000" w:fill="FFFFFF"/>
            <w:noWrap/>
            <w:vAlign w:val="center"/>
            <w:hideMark/>
          </w:tcPr>
          <w:p w14:paraId="78E91C84" w14:textId="2068225C" w:rsidR="00A20AF0" w:rsidRPr="00D618B7" w:rsidRDefault="00A20AF0" w:rsidP="00A20AF0">
            <w:pPr>
              <w:jc w:val="right"/>
              <w:rPr>
                <w:color w:val="000000"/>
                <w:sz w:val="22"/>
                <w:szCs w:val="22"/>
              </w:rPr>
            </w:pPr>
            <w:r w:rsidRPr="00D618B7">
              <w:rPr>
                <w:color w:val="000000"/>
                <w:sz w:val="20"/>
                <w:szCs w:val="20"/>
              </w:rPr>
              <w:t>53.81</w:t>
            </w:r>
          </w:p>
        </w:tc>
        <w:tc>
          <w:tcPr>
            <w:tcW w:w="1522" w:type="dxa"/>
            <w:tcBorders>
              <w:top w:val="nil"/>
              <w:left w:val="nil"/>
              <w:bottom w:val="nil"/>
              <w:right w:val="nil"/>
            </w:tcBorders>
            <w:shd w:val="clear" w:color="000000" w:fill="FFFFFF"/>
            <w:noWrap/>
            <w:vAlign w:val="center"/>
            <w:hideMark/>
          </w:tcPr>
          <w:p w14:paraId="21F7FB47" w14:textId="17CA50EA" w:rsidR="00A20AF0" w:rsidRPr="00D618B7" w:rsidRDefault="00A20AF0" w:rsidP="00A20AF0">
            <w:pPr>
              <w:jc w:val="right"/>
              <w:rPr>
                <w:color w:val="000000"/>
                <w:sz w:val="22"/>
                <w:szCs w:val="22"/>
              </w:rPr>
            </w:pPr>
            <w:r w:rsidRPr="00D618B7">
              <w:rPr>
                <w:color w:val="000000"/>
                <w:sz w:val="20"/>
                <w:szCs w:val="20"/>
              </w:rPr>
              <w:t>836.46</w:t>
            </w:r>
          </w:p>
        </w:tc>
        <w:tc>
          <w:tcPr>
            <w:tcW w:w="1060" w:type="dxa"/>
            <w:tcBorders>
              <w:top w:val="nil"/>
              <w:left w:val="nil"/>
              <w:bottom w:val="nil"/>
              <w:right w:val="nil"/>
            </w:tcBorders>
            <w:shd w:val="clear" w:color="000000" w:fill="FFFFFF"/>
            <w:noWrap/>
            <w:vAlign w:val="center"/>
            <w:hideMark/>
          </w:tcPr>
          <w:p w14:paraId="416F8811" w14:textId="4CBCB341" w:rsidR="00A20AF0" w:rsidRPr="00D618B7" w:rsidRDefault="00A20AF0" w:rsidP="00A20AF0">
            <w:pPr>
              <w:jc w:val="right"/>
              <w:rPr>
                <w:color w:val="000000"/>
                <w:sz w:val="22"/>
                <w:szCs w:val="22"/>
              </w:rPr>
            </w:pPr>
            <w:r w:rsidRPr="00D618B7">
              <w:rPr>
                <w:color w:val="000000"/>
                <w:sz w:val="20"/>
                <w:szCs w:val="20"/>
              </w:rPr>
              <w:t>606.27</w:t>
            </w:r>
          </w:p>
        </w:tc>
        <w:tc>
          <w:tcPr>
            <w:tcW w:w="1575" w:type="dxa"/>
            <w:tcBorders>
              <w:top w:val="nil"/>
              <w:left w:val="nil"/>
              <w:bottom w:val="nil"/>
              <w:right w:val="nil"/>
            </w:tcBorders>
            <w:shd w:val="clear" w:color="000000" w:fill="FFFFFF"/>
            <w:noWrap/>
            <w:vAlign w:val="center"/>
            <w:hideMark/>
          </w:tcPr>
          <w:p w14:paraId="6EC3D3A2" w14:textId="6A7F94A3" w:rsidR="00A20AF0" w:rsidRPr="00D618B7" w:rsidRDefault="00A20AF0" w:rsidP="00A20AF0">
            <w:pPr>
              <w:jc w:val="right"/>
              <w:rPr>
                <w:color w:val="000000"/>
                <w:sz w:val="22"/>
                <w:szCs w:val="22"/>
              </w:rPr>
            </w:pPr>
            <w:r w:rsidRPr="00D618B7">
              <w:rPr>
                <w:color w:val="000000"/>
                <w:sz w:val="20"/>
                <w:szCs w:val="20"/>
              </w:rPr>
              <w:t>57873.13</w:t>
            </w:r>
          </w:p>
        </w:tc>
        <w:tc>
          <w:tcPr>
            <w:tcW w:w="1098" w:type="dxa"/>
            <w:tcBorders>
              <w:top w:val="nil"/>
              <w:left w:val="nil"/>
              <w:bottom w:val="nil"/>
              <w:right w:val="nil"/>
            </w:tcBorders>
            <w:shd w:val="clear" w:color="000000" w:fill="FFFFFF"/>
            <w:noWrap/>
            <w:vAlign w:val="center"/>
            <w:hideMark/>
          </w:tcPr>
          <w:p w14:paraId="699AD76C" w14:textId="3E923BB8" w:rsidR="00A20AF0" w:rsidRPr="00D618B7" w:rsidRDefault="00A20AF0" w:rsidP="00A20AF0">
            <w:pPr>
              <w:jc w:val="right"/>
              <w:rPr>
                <w:color w:val="000000"/>
                <w:sz w:val="22"/>
                <w:szCs w:val="22"/>
              </w:rPr>
            </w:pPr>
            <w:r w:rsidRPr="00D618B7">
              <w:rPr>
                <w:color w:val="000000"/>
                <w:sz w:val="20"/>
                <w:szCs w:val="20"/>
              </w:rPr>
              <w:t>36935.58</w:t>
            </w:r>
          </w:p>
        </w:tc>
      </w:tr>
      <w:tr w:rsidR="00A20AF0" w:rsidRPr="00D618B7" w14:paraId="3947730C" w14:textId="77777777" w:rsidTr="00A20AF0">
        <w:trPr>
          <w:trHeight w:val="242"/>
        </w:trPr>
        <w:tc>
          <w:tcPr>
            <w:tcW w:w="1305" w:type="dxa"/>
            <w:tcBorders>
              <w:top w:val="nil"/>
              <w:left w:val="nil"/>
              <w:bottom w:val="nil"/>
              <w:right w:val="nil"/>
            </w:tcBorders>
            <w:shd w:val="clear" w:color="000000" w:fill="FFFFFF"/>
            <w:vAlign w:val="center"/>
            <w:hideMark/>
          </w:tcPr>
          <w:p w14:paraId="6D9DC0C1" w14:textId="77777777" w:rsidR="00A20AF0" w:rsidRPr="00D618B7" w:rsidRDefault="00A20AF0" w:rsidP="00A20AF0">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57F89E87" w14:textId="12C7EB10" w:rsidR="00A20AF0" w:rsidRPr="00D618B7" w:rsidRDefault="00A20AF0" w:rsidP="00A20AF0">
            <w:pPr>
              <w:jc w:val="right"/>
              <w:rPr>
                <w:color w:val="000000"/>
                <w:sz w:val="22"/>
                <w:szCs w:val="22"/>
              </w:rPr>
            </w:pPr>
            <w:r w:rsidRPr="00D618B7">
              <w:rPr>
                <w:color w:val="000000"/>
                <w:sz w:val="20"/>
                <w:szCs w:val="20"/>
              </w:rPr>
              <w:t>1084.19</w:t>
            </w:r>
          </w:p>
        </w:tc>
        <w:tc>
          <w:tcPr>
            <w:tcW w:w="1071" w:type="dxa"/>
            <w:tcBorders>
              <w:top w:val="nil"/>
              <w:left w:val="nil"/>
              <w:bottom w:val="nil"/>
              <w:right w:val="nil"/>
            </w:tcBorders>
            <w:shd w:val="clear" w:color="000000" w:fill="FFFFFF"/>
            <w:noWrap/>
            <w:vAlign w:val="center"/>
            <w:hideMark/>
          </w:tcPr>
          <w:p w14:paraId="77E688F7" w14:textId="597B83A8" w:rsidR="00A20AF0" w:rsidRPr="00D618B7" w:rsidRDefault="00A20AF0" w:rsidP="00A20AF0">
            <w:pPr>
              <w:jc w:val="right"/>
              <w:rPr>
                <w:color w:val="000000"/>
                <w:sz w:val="22"/>
                <w:szCs w:val="22"/>
              </w:rPr>
            </w:pPr>
            <w:r w:rsidRPr="00D618B7">
              <w:rPr>
                <w:color w:val="000000"/>
                <w:sz w:val="20"/>
                <w:szCs w:val="20"/>
              </w:rPr>
              <w:t>298.25</w:t>
            </w:r>
          </w:p>
        </w:tc>
        <w:tc>
          <w:tcPr>
            <w:tcW w:w="1522" w:type="dxa"/>
            <w:tcBorders>
              <w:top w:val="nil"/>
              <w:left w:val="nil"/>
              <w:bottom w:val="nil"/>
              <w:right w:val="nil"/>
            </w:tcBorders>
            <w:shd w:val="clear" w:color="000000" w:fill="FFFFFF"/>
            <w:noWrap/>
            <w:vAlign w:val="center"/>
            <w:hideMark/>
          </w:tcPr>
          <w:p w14:paraId="62216975" w14:textId="4ED4E02E" w:rsidR="00A20AF0" w:rsidRPr="00D618B7" w:rsidRDefault="00A20AF0" w:rsidP="00A20AF0">
            <w:pPr>
              <w:jc w:val="right"/>
              <w:rPr>
                <w:color w:val="000000"/>
                <w:sz w:val="22"/>
                <w:szCs w:val="22"/>
              </w:rPr>
            </w:pPr>
            <w:r w:rsidRPr="00D618B7">
              <w:rPr>
                <w:color w:val="000000"/>
                <w:sz w:val="20"/>
                <w:szCs w:val="20"/>
              </w:rPr>
              <w:t>-83.87</w:t>
            </w:r>
          </w:p>
        </w:tc>
        <w:tc>
          <w:tcPr>
            <w:tcW w:w="1060" w:type="dxa"/>
            <w:tcBorders>
              <w:top w:val="nil"/>
              <w:left w:val="nil"/>
              <w:bottom w:val="nil"/>
              <w:right w:val="nil"/>
            </w:tcBorders>
            <w:shd w:val="clear" w:color="000000" w:fill="FFFFFF"/>
            <w:noWrap/>
            <w:vAlign w:val="center"/>
            <w:hideMark/>
          </w:tcPr>
          <w:p w14:paraId="36D7A5EA" w14:textId="0D1463C3" w:rsidR="00A20AF0" w:rsidRPr="00D618B7" w:rsidRDefault="00A20AF0" w:rsidP="00A20AF0">
            <w:pPr>
              <w:jc w:val="right"/>
              <w:rPr>
                <w:color w:val="000000"/>
                <w:sz w:val="22"/>
                <w:szCs w:val="22"/>
              </w:rPr>
            </w:pPr>
            <w:r w:rsidRPr="00D618B7">
              <w:rPr>
                <w:color w:val="000000"/>
                <w:sz w:val="20"/>
                <w:szCs w:val="20"/>
              </w:rPr>
              <w:t>553.93</w:t>
            </w:r>
          </w:p>
        </w:tc>
        <w:tc>
          <w:tcPr>
            <w:tcW w:w="1575" w:type="dxa"/>
            <w:tcBorders>
              <w:top w:val="nil"/>
              <w:left w:val="nil"/>
              <w:bottom w:val="nil"/>
              <w:right w:val="nil"/>
            </w:tcBorders>
            <w:shd w:val="clear" w:color="000000" w:fill="FFFFFF"/>
            <w:noWrap/>
            <w:vAlign w:val="center"/>
            <w:hideMark/>
          </w:tcPr>
          <w:p w14:paraId="0A04D7E1" w14:textId="6185AB52" w:rsidR="00A20AF0" w:rsidRPr="00D618B7" w:rsidRDefault="00A20AF0" w:rsidP="00A20AF0">
            <w:pPr>
              <w:jc w:val="right"/>
              <w:rPr>
                <w:color w:val="000000"/>
                <w:sz w:val="22"/>
                <w:szCs w:val="22"/>
              </w:rPr>
            </w:pPr>
            <w:r w:rsidRPr="00D618B7">
              <w:rPr>
                <w:color w:val="000000"/>
                <w:sz w:val="20"/>
                <w:szCs w:val="20"/>
              </w:rPr>
              <w:t>35618.59</w:t>
            </w:r>
          </w:p>
        </w:tc>
        <w:tc>
          <w:tcPr>
            <w:tcW w:w="1098" w:type="dxa"/>
            <w:tcBorders>
              <w:top w:val="nil"/>
              <w:left w:val="nil"/>
              <w:bottom w:val="nil"/>
              <w:right w:val="nil"/>
            </w:tcBorders>
            <w:shd w:val="clear" w:color="000000" w:fill="FFFFFF"/>
            <w:noWrap/>
            <w:vAlign w:val="center"/>
            <w:hideMark/>
          </w:tcPr>
          <w:p w14:paraId="76DA8C5B" w14:textId="06A4D567" w:rsidR="00A20AF0" w:rsidRPr="00D618B7" w:rsidRDefault="00A20AF0" w:rsidP="00A20AF0">
            <w:pPr>
              <w:jc w:val="right"/>
              <w:rPr>
                <w:color w:val="000000"/>
                <w:sz w:val="22"/>
                <w:szCs w:val="22"/>
              </w:rPr>
            </w:pPr>
            <w:r w:rsidRPr="00D618B7">
              <w:rPr>
                <w:color w:val="000000"/>
                <w:sz w:val="20"/>
                <w:szCs w:val="20"/>
              </w:rPr>
              <w:t>10420.49</w:t>
            </w:r>
          </w:p>
        </w:tc>
      </w:tr>
      <w:tr w:rsidR="00A20AF0" w:rsidRPr="00D618B7" w14:paraId="1F870498" w14:textId="77777777" w:rsidTr="00A20AF0">
        <w:trPr>
          <w:trHeight w:val="242"/>
        </w:trPr>
        <w:tc>
          <w:tcPr>
            <w:tcW w:w="1305" w:type="dxa"/>
            <w:tcBorders>
              <w:top w:val="nil"/>
              <w:left w:val="nil"/>
              <w:bottom w:val="nil"/>
              <w:right w:val="nil"/>
            </w:tcBorders>
            <w:shd w:val="clear" w:color="000000" w:fill="FFFFFF"/>
            <w:vAlign w:val="center"/>
            <w:hideMark/>
          </w:tcPr>
          <w:p w14:paraId="05157419" w14:textId="77777777" w:rsidR="00A20AF0" w:rsidRPr="00D618B7" w:rsidRDefault="00A20AF0" w:rsidP="00A20AF0">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2313834E" w14:textId="7598746E" w:rsidR="00A20AF0" w:rsidRPr="00D618B7" w:rsidRDefault="00A20AF0" w:rsidP="00A20AF0">
            <w:pPr>
              <w:jc w:val="right"/>
              <w:rPr>
                <w:color w:val="000000"/>
                <w:sz w:val="22"/>
                <w:szCs w:val="22"/>
              </w:rPr>
            </w:pPr>
            <w:r w:rsidRPr="00D618B7">
              <w:rPr>
                <w:color w:val="000000"/>
                <w:sz w:val="20"/>
                <w:szCs w:val="20"/>
              </w:rPr>
              <w:t>-18.93</w:t>
            </w:r>
          </w:p>
        </w:tc>
        <w:tc>
          <w:tcPr>
            <w:tcW w:w="1071" w:type="dxa"/>
            <w:tcBorders>
              <w:top w:val="nil"/>
              <w:left w:val="nil"/>
              <w:bottom w:val="nil"/>
              <w:right w:val="nil"/>
            </w:tcBorders>
            <w:shd w:val="clear" w:color="000000" w:fill="FFFFFF"/>
            <w:noWrap/>
            <w:vAlign w:val="center"/>
            <w:hideMark/>
          </w:tcPr>
          <w:p w14:paraId="3EA0FEDC" w14:textId="4085DFAA" w:rsidR="00A20AF0" w:rsidRPr="00D618B7" w:rsidRDefault="00A20AF0" w:rsidP="00A20AF0">
            <w:pPr>
              <w:jc w:val="right"/>
              <w:rPr>
                <w:color w:val="000000"/>
                <w:sz w:val="22"/>
                <w:szCs w:val="22"/>
              </w:rPr>
            </w:pPr>
            <w:r w:rsidRPr="00D618B7">
              <w:rPr>
                <w:color w:val="000000"/>
                <w:sz w:val="20"/>
                <w:szCs w:val="20"/>
              </w:rPr>
              <w:t>265.45</w:t>
            </w:r>
          </w:p>
        </w:tc>
        <w:tc>
          <w:tcPr>
            <w:tcW w:w="1522" w:type="dxa"/>
            <w:tcBorders>
              <w:top w:val="nil"/>
              <w:left w:val="nil"/>
              <w:bottom w:val="nil"/>
              <w:right w:val="nil"/>
            </w:tcBorders>
            <w:shd w:val="clear" w:color="000000" w:fill="FFFFFF"/>
            <w:noWrap/>
            <w:vAlign w:val="center"/>
            <w:hideMark/>
          </w:tcPr>
          <w:p w14:paraId="415E0840" w14:textId="07E77FD8" w:rsidR="00A20AF0" w:rsidRPr="00D618B7" w:rsidRDefault="00A20AF0" w:rsidP="00A20AF0">
            <w:pPr>
              <w:jc w:val="right"/>
              <w:rPr>
                <w:color w:val="000000"/>
                <w:sz w:val="22"/>
                <w:szCs w:val="22"/>
              </w:rPr>
            </w:pPr>
            <w:r w:rsidRPr="00D618B7">
              <w:rPr>
                <w:color w:val="000000"/>
                <w:sz w:val="20"/>
                <w:szCs w:val="20"/>
              </w:rPr>
              <w:t>-377.40</w:t>
            </w:r>
          </w:p>
        </w:tc>
        <w:tc>
          <w:tcPr>
            <w:tcW w:w="1060" w:type="dxa"/>
            <w:tcBorders>
              <w:top w:val="nil"/>
              <w:left w:val="nil"/>
              <w:bottom w:val="nil"/>
              <w:right w:val="nil"/>
            </w:tcBorders>
            <w:shd w:val="clear" w:color="000000" w:fill="FFFFFF"/>
            <w:noWrap/>
            <w:vAlign w:val="center"/>
            <w:hideMark/>
          </w:tcPr>
          <w:p w14:paraId="4F6F6048" w14:textId="0A6AF047" w:rsidR="00A20AF0" w:rsidRPr="00D618B7" w:rsidRDefault="00A20AF0" w:rsidP="00A20AF0">
            <w:pPr>
              <w:jc w:val="right"/>
              <w:rPr>
                <w:color w:val="000000"/>
                <w:sz w:val="22"/>
                <w:szCs w:val="22"/>
              </w:rPr>
            </w:pPr>
            <w:r w:rsidRPr="00D618B7">
              <w:rPr>
                <w:color w:val="000000"/>
                <w:sz w:val="20"/>
                <w:szCs w:val="20"/>
              </w:rPr>
              <w:t>313.09</w:t>
            </w:r>
          </w:p>
        </w:tc>
        <w:tc>
          <w:tcPr>
            <w:tcW w:w="1575" w:type="dxa"/>
            <w:tcBorders>
              <w:top w:val="nil"/>
              <w:left w:val="nil"/>
              <w:bottom w:val="nil"/>
              <w:right w:val="nil"/>
            </w:tcBorders>
            <w:shd w:val="clear" w:color="000000" w:fill="FFFFFF"/>
            <w:noWrap/>
            <w:vAlign w:val="center"/>
            <w:hideMark/>
          </w:tcPr>
          <w:p w14:paraId="7ECD8C9C" w14:textId="1C17E2EE" w:rsidR="00A20AF0" w:rsidRPr="00D618B7" w:rsidRDefault="00A20AF0" w:rsidP="00A20AF0">
            <w:pPr>
              <w:jc w:val="right"/>
              <w:rPr>
                <w:color w:val="000000"/>
                <w:sz w:val="22"/>
                <w:szCs w:val="22"/>
              </w:rPr>
            </w:pPr>
            <w:r w:rsidRPr="00D618B7">
              <w:rPr>
                <w:color w:val="000000"/>
                <w:sz w:val="20"/>
                <w:szCs w:val="20"/>
              </w:rPr>
              <w:t>23340.68</w:t>
            </w:r>
          </w:p>
        </w:tc>
        <w:tc>
          <w:tcPr>
            <w:tcW w:w="1098" w:type="dxa"/>
            <w:tcBorders>
              <w:top w:val="nil"/>
              <w:left w:val="nil"/>
              <w:bottom w:val="nil"/>
              <w:right w:val="nil"/>
            </w:tcBorders>
            <w:shd w:val="clear" w:color="000000" w:fill="FFFFFF"/>
            <w:noWrap/>
            <w:vAlign w:val="center"/>
            <w:hideMark/>
          </w:tcPr>
          <w:p w14:paraId="2E983070" w14:textId="784D824E" w:rsidR="00A20AF0" w:rsidRPr="00D618B7" w:rsidRDefault="00A20AF0" w:rsidP="00A20AF0">
            <w:pPr>
              <w:jc w:val="right"/>
              <w:rPr>
                <w:color w:val="000000"/>
                <w:sz w:val="22"/>
                <w:szCs w:val="22"/>
              </w:rPr>
            </w:pPr>
            <w:r w:rsidRPr="00D618B7">
              <w:rPr>
                <w:color w:val="000000"/>
                <w:sz w:val="20"/>
                <w:szCs w:val="20"/>
              </w:rPr>
              <w:t>3274.15</w:t>
            </w:r>
          </w:p>
        </w:tc>
      </w:tr>
      <w:tr w:rsidR="00A20AF0" w:rsidRPr="00D618B7" w14:paraId="500F5CEE" w14:textId="77777777" w:rsidTr="00A20AF0">
        <w:trPr>
          <w:trHeight w:val="242"/>
        </w:trPr>
        <w:tc>
          <w:tcPr>
            <w:tcW w:w="1305" w:type="dxa"/>
            <w:tcBorders>
              <w:top w:val="nil"/>
              <w:left w:val="nil"/>
              <w:right w:val="nil"/>
            </w:tcBorders>
            <w:shd w:val="clear" w:color="000000" w:fill="FFFFFF"/>
            <w:vAlign w:val="center"/>
            <w:hideMark/>
          </w:tcPr>
          <w:p w14:paraId="19C7EEC6" w14:textId="77777777" w:rsidR="00A20AF0" w:rsidRPr="00D618B7" w:rsidRDefault="00A20AF0" w:rsidP="00A20AF0">
            <w:pPr>
              <w:jc w:val="right"/>
              <w:rPr>
                <w:color w:val="000000"/>
                <w:sz w:val="22"/>
                <w:szCs w:val="22"/>
              </w:rPr>
            </w:pPr>
            <w:r w:rsidRPr="00D618B7">
              <w:rPr>
                <w:color w:val="000000"/>
                <w:sz w:val="22"/>
                <w:szCs w:val="22"/>
              </w:rPr>
              <w:t>4</w:t>
            </w:r>
          </w:p>
        </w:tc>
        <w:tc>
          <w:tcPr>
            <w:tcW w:w="1093" w:type="dxa"/>
            <w:tcBorders>
              <w:top w:val="nil"/>
              <w:left w:val="nil"/>
              <w:right w:val="nil"/>
            </w:tcBorders>
            <w:shd w:val="clear" w:color="000000" w:fill="FFFFFF"/>
            <w:noWrap/>
            <w:vAlign w:val="center"/>
            <w:hideMark/>
          </w:tcPr>
          <w:p w14:paraId="261FD435" w14:textId="4753D5CC" w:rsidR="00A20AF0" w:rsidRPr="00D618B7" w:rsidRDefault="00A20AF0" w:rsidP="00A20AF0">
            <w:pPr>
              <w:jc w:val="right"/>
              <w:rPr>
                <w:color w:val="000000"/>
                <w:sz w:val="22"/>
                <w:szCs w:val="22"/>
              </w:rPr>
            </w:pPr>
            <w:r w:rsidRPr="00D618B7">
              <w:rPr>
                <w:color w:val="000000"/>
                <w:sz w:val="20"/>
                <w:szCs w:val="20"/>
              </w:rPr>
              <w:t>2356.33</w:t>
            </w:r>
          </w:p>
        </w:tc>
        <w:tc>
          <w:tcPr>
            <w:tcW w:w="1071" w:type="dxa"/>
            <w:tcBorders>
              <w:top w:val="nil"/>
              <w:left w:val="nil"/>
              <w:right w:val="nil"/>
            </w:tcBorders>
            <w:shd w:val="clear" w:color="000000" w:fill="FFFFFF"/>
            <w:noWrap/>
            <w:vAlign w:val="center"/>
            <w:hideMark/>
          </w:tcPr>
          <w:p w14:paraId="2E1CCA86" w14:textId="3A45CAF6" w:rsidR="00A20AF0" w:rsidRPr="00D618B7" w:rsidRDefault="00A20AF0" w:rsidP="00A20AF0">
            <w:pPr>
              <w:jc w:val="right"/>
              <w:rPr>
                <w:color w:val="000000"/>
                <w:sz w:val="22"/>
                <w:szCs w:val="22"/>
              </w:rPr>
            </w:pPr>
            <w:r w:rsidRPr="00D618B7">
              <w:rPr>
                <w:color w:val="000000"/>
                <w:sz w:val="20"/>
                <w:szCs w:val="20"/>
              </w:rPr>
              <w:t>605.23</w:t>
            </w:r>
          </w:p>
        </w:tc>
        <w:tc>
          <w:tcPr>
            <w:tcW w:w="1522" w:type="dxa"/>
            <w:tcBorders>
              <w:top w:val="nil"/>
              <w:left w:val="nil"/>
              <w:right w:val="nil"/>
            </w:tcBorders>
            <w:shd w:val="clear" w:color="000000" w:fill="FFFFFF"/>
            <w:noWrap/>
            <w:vAlign w:val="center"/>
            <w:hideMark/>
          </w:tcPr>
          <w:p w14:paraId="21924548" w14:textId="58F9E669" w:rsidR="00A20AF0" w:rsidRPr="00D618B7" w:rsidRDefault="00A20AF0" w:rsidP="00A20AF0">
            <w:pPr>
              <w:jc w:val="right"/>
              <w:rPr>
                <w:color w:val="000000"/>
                <w:sz w:val="22"/>
                <w:szCs w:val="22"/>
              </w:rPr>
            </w:pPr>
            <w:r w:rsidRPr="00D618B7">
              <w:rPr>
                <w:color w:val="000000"/>
                <w:sz w:val="20"/>
                <w:szCs w:val="20"/>
              </w:rPr>
              <w:t>1684.04</w:t>
            </w:r>
          </w:p>
        </w:tc>
        <w:tc>
          <w:tcPr>
            <w:tcW w:w="1060" w:type="dxa"/>
            <w:tcBorders>
              <w:top w:val="nil"/>
              <w:left w:val="nil"/>
              <w:right w:val="nil"/>
            </w:tcBorders>
            <w:shd w:val="clear" w:color="000000" w:fill="FFFFFF"/>
            <w:noWrap/>
            <w:vAlign w:val="center"/>
            <w:hideMark/>
          </w:tcPr>
          <w:p w14:paraId="0378A364" w14:textId="27D30AED" w:rsidR="00A20AF0" w:rsidRPr="00D618B7" w:rsidRDefault="00A20AF0" w:rsidP="00A20AF0">
            <w:pPr>
              <w:jc w:val="right"/>
              <w:rPr>
                <w:color w:val="000000"/>
                <w:sz w:val="22"/>
                <w:szCs w:val="22"/>
              </w:rPr>
            </w:pPr>
            <w:r w:rsidRPr="00D618B7">
              <w:rPr>
                <w:color w:val="000000"/>
                <w:sz w:val="20"/>
                <w:szCs w:val="20"/>
              </w:rPr>
              <w:t>736.11</w:t>
            </w:r>
          </w:p>
        </w:tc>
        <w:tc>
          <w:tcPr>
            <w:tcW w:w="1575" w:type="dxa"/>
            <w:tcBorders>
              <w:top w:val="nil"/>
              <w:left w:val="nil"/>
              <w:right w:val="nil"/>
            </w:tcBorders>
            <w:shd w:val="clear" w:color="000000" w:fill="FFFFFF"/>
            <w:noWrap/>
            <w:vAlign w:val="center"/>
            <w:hideMark/>
          </w:tcPr>
          <w:p w14:paraId="4620EAB3" w14:textId="3226F18D" w:rsidR="00A20AF0" w:rsidRPr="00D618B7" w:rsidRDefault="00A20AF0" w:rsidP="00A20AF0">
            <w:pPr>
              <w:jc w:val="right"/>
              <w:rPr>
                <w:color w:val="000000"/>
                <w:sz w:val="22"/>
                <w:szCs w:val="22"/>
              </w:rPr>
            </w:pPr>
            <w:r w:rsidRPr="00D618B7">
              <w:rPr>
                <w:color w:val="000000"/>
                <w:sz w:val="20"/>
                <w:szCs w:val="20"/>
              </w:rPr>
              <w:t>62845.32</w:t>
            </w:r>
          </w:p>
        </w:tc>
        <w:tc>
          <w:tcPr>
            <w:tcW w:w="1098" w:type="dxa"/>
            <w:tcBorders>
              <w:top w:val="nil"/>
              <w:left w:val="nil"/>
              <w:right w:val="nil"/>
            </w:tcBorders>
            <w:shd w:val="clear" w:color="000000" w:fill="FFFFFF"/>
            <w:noWrap/>
            <w:vAlign w:val="center"/>
            <w:hideMark/>
          </w:tcPr>
          <w:p w14:paraId="77D8B7C8" w14:textId="6F85F25D" w:rsidR="00A20AF0" w:rsidRPr="00D618B7" w:rsidRDefault="00A20AF0" w:rsidP="00A20AF0">
            <w:pPr>
              <w:jc w:val="right"/>
              <w:rPr>
                <w:color w:val="000000"/>
                <w:sz w:val="22"/>
                <w:szCs w:val="22"/>
              </w:rPr>
            </w:pPr>
            <w:r w:rsidRPr="00D618B7">
              <w:rPr>
                <w:color w:val="000000"/>
                <w:sz w:val="20"/>
                <w:szCs w:val="20"/>
              </w:rPr>
              <w:t>6160.61</w:t>
            </w:r>
          </w:p>
        </w:tc>
      </w:tr>
      <w:tr w:rsidR="00A20AF0" w:rsidRPr="00D618B7" w14:paraId="69054092" w14:textId="77777777" w:rsidTr="00A20AF0">
        <w:trPr>
          <w:trHeight w:val="92"/>
        </w:trPr>
        <w:tc>
          <w:tcPr>
            <w:tcW w:w="1305" w:type="dxa"/>
            <w:tcBorders>
              <w:top w:val="nil"/>
              <w:left w:val="nil"/>
              <w:bottom w:val="single" w:sz="18" w:space="0" w:color="auto"/>
              <w:right w:val="nil"/>
            </w:tcBorders>
            <w:shd w:val="clear" w:color="000000" w:fill="FFFFFF"/>
            <w:vAlign w:val="center"/>
            <w:hideMark/>
          </w:tcPr>
          <w:p w14:paraId="786CF83D" w14:textId="77777777" w:rsidR="00A20AF0" w:rsidRPr="00D618B7" w:rsidRDefault="00A20AF0" w:rsidP="00A20AF0">
            <w:pPr>
              <w:jc w:val="right"/>
              <w:rPr>
                <w:color w:val="000000"/>
                <w:sz w:val="22"/>
                <w:szCs w:val="22"/>
              </w:rPr>
            </w:pPr>
            <w:r w:rsidRPr="00D618B7">
              <w:rPr>
                <w:color w:val="000000"/>
                <w:sz w:val="22"/>
                <w:szCs w:val="22"/>
              </w:rPr>
              <w:t>5</w:t>
            </w:r>
          </w:p>
        </w:tc>
        <w:tc>
          <w:tcPr>
            <w:tcW w:w="1093" w:type="dxa"/>
            <w:tcBorders>
              <w:top w:val="nil"/>
              <w:left w:val="nil"/>
              <w:bottom w:val="single" w:sz="18" w:space="0" w:color="auto"/>
              <w:right w:val="nil"/>
            </w:tcBorders>
            <w:shd w:val="clear" w:color="000000" w:fill="FFFFFF"/>
            <w:noWrap/>
            <w:vAlign w:val="center"/>
            <w:hideMark/>
          </w:tcPr>
          <w:p w14:paraId="077C3DF1" w14:textId="7367A661" w:rsidR="00A20AF0" w:rsidRPr="00D618B7" w:rsidRDefault="00A20AF0" w:rsidP="00A20AF0">
            <w:pPr>
              <w:jc w:val="right"/>
              <w:rPr>
                <w:color w:val="000000"/>
                <w:sz w:val="22"/>
                <w:szCs w:val="22"/>
              </w:rPr>
            </w:pPr>
            <w:r w:rsidRPr="00D618B7">
              <w:rPr>
                <w:color w:val="000000"/>
                <w:sz w:val="20"/>
                <w:szCs w:val="20"/>
              </w:rPr>
              <w:t>-280.85</w:t>
            </w:r>
          </w:p>
        </w:tc>
        <w:tc>
          <w:tcPr>
            <w:tcW w:w="1071" w:type="dxa"/>
            <w:tcBorders>
              <w:top w:val="nil"/>
              <w:left w:val="nil"/>
              <w:bottom w:val="single" w:sz="18" w:space="0" w:color="auto"/>
              <w:right w:val="nil"/>
            </w:tcBorders>
            <w:shd w:val="clear" w:color="000000" w:fill="FFFFFF"/>
            <w:noWrap/>
            <w:vAlign w:val="center"/>
            <w:hideMark/>
          </w:tcPr>
          <w:p w14:paraId="4460EABE" w14:textId="07A2F8E9" w:rsidR="00A20AF0" w:rsidRPr="00D618B7" w:rsidRDefault="00A20AF0" w:rsidP="00A20AF0">
            <w:pPr>
              <w:jc w:val="right"/>
              <w:rPr>
                <w:color w:val="000000"/>
                <w:sz w:val="22"/>
                <w:szCs w:val="22"/>
              </w:rPr>
            </w:pPr>
            <w:r w:rsidRPr="00D618B7">
              <w:rPr>
                <w:color w:val="000000"/>
                <w:sz w:val="20"/>
                <w:szCs w:val="20"/>
              </w:rPr>
              <w:t>474.80</w:t>
            </w:r>
          </w:p>
        </w:tc>
        <w:tc>
          <w:tcPr>
            <w:tcW w:w="1522" w:type="dxa"/>
            <w:tcBorders>
              <w:top w:val="nil"/>
              <w:left w:val="nil"/>
              <w:bottom w:val="single" w:sz="18" w:space="0" w:color="auto"/>
              <w:right w:val="nil"/>
            </w:tcBorders>
            <w:shd w:val="clear" w:color="000000" w:fill="FFFFFF"/>
            <w:noWrap/>
            <w:vAlign w:val="center"/>
            <w:hideMark/>
          </w:tcPr>
          <w:p w14:paraId="551A4A99" w14:textId="65153279" w:rsidR="00A20AF0" w:rsidRPr="00D618B7" w:rsidRDefault="00A20AF0" w:rsidP="00A20AF0">
            <w:pPr>
              <w:jc w:val="right"/>
              <w:rPr>
                <w:color w:val="000000"/>
                <w:sz w:val="22"/>
                <w:szCs w:val="22"/>
              </w:rPr>
            </w:pPr>
            <w:r w:rsidRPr="00D618B7">
              <w:rPr>
                <w:color w:val="000000"/>
                <w:sz w:val="20"/>
                <w:szCs w:val="20"/>
              </w:rPr>
              <w:t>-2968.50</w:t>
            </w:r>
          </w:p>
        </w:tc>
        <w:tc>
          <w:tcPr>
            <w:tcW w:w="1060" w:type="dxa"/>
            <w:tcBorders>
              <w:top w:val="nil"/>
              <w:left w:val="nil"/>
              <w:bottom w:val="single" w:sz="18" w:space="0" w:color="auto"/>
              <w:right w:val="nil"/>
            </w:tcBorders>
            <w:shd w:val="clear" w:color="000000" w:fill="FFFFFF"/>
            <w:noWrap/>
            <w:vAlign w:val="center"/>
            <w:hideMark/>
          </w:tcPr>
          <w:p w14:paraId="6CACA5AC" w14:textId="65AEF60E" w:rsidR="00A20AF0" w:rsidRPr="00D618B7" w:rsidRDefault="00A20AF0" w:rsidP="00A20AF0">
            <w:pPr>
              <w:jc w:val="right"/>
              <w:rPr>
                <w:color w:val="000000"/>
                <w:sz w:val="22"/>
                <w:szCs w:val="22"/>
              </w:rPr>
            </w:pPr>
            <w:r w:rsidRPr="00D618B7">
              <w:rPr>
                <w:color w:val="000000"/>
                <w:sz w:val="20"/>
                <w:szCs w:val="20"/>
              </w:rPr>
              <w:t>1825.39</w:t>
            </w:r>
          </w:p>
        </w:tc>
        <w:tc>
          <w:tcPr>
            <w:tcW w:w="1575" w:type="dxa"/>
            <w:tcBorders>
              <w:top w:val="nil"/>
              <w:left w:val="nil"/>
              <w:bottom w:val="single" w:sz="18" w:space="0" w:color="auto"/>
              <w:right w:val="nil"/>
            </w:tcBorders>
            <w:shd w:val="clear" w:color="000000" w:fill="FFFFFF"/>
            <w:noWrap/>
            <w:vAlign w:val="center"/>
            <w:hideMark/>
          </w:tcPr>
          <w:p w14:paraId="365CAC60" w14:textId="38A62ACC" w:rsidR="00A20AF0" w:rsidRPr="00D618B7" w:rsidRDefault="00A20AF0" w:rsidP="00A20AF0">
            <w:pPr>
              <w:jc w:val="right"/>
              <w:rPr>
                <w:color w:val="000000"/>
                <w:sz w:val="22"/>
                <w:szCs w:val="22"/>
              </w:rPr>
            </w:pPr>
            <w:r w:rsidRPr="00D618B7">
              <w:rPr>
                <w:color w:val="000000"/>
                <w:sz w:val="20"/>
                <w:szCs w:val="20"/>
              </w:rPr>
              <w:t>-2656.62</w:t>
            </w:r>
          </w:p>
        </w:tc>
        <w:tc>
          <w:tcPr>
            <w:tcW w:w="1098" w:type="dxa"/>
            <w:tcBorders>
              <w:top w:val="nil"/>
              <w:left w:val="nil"/>
              <w:bottom w:val="single" w:sz="18" w:space="0" w:color="auto"/>
              <w:right w:val="nil"/>
            </w:tcBorders>
            <w:shd w:val="clear" w:color="000000" w:fill="FFFFFF"/>
            <w:noWrap/>
            <w:vAlign w:val="center"/>
            <w:hideMark/>
          </w:tcPr>
          <w:p w14:paraId="1C4DA024" w14:textId="6957D4B0" w:rsidR="00A20AF0" w:rsidRPr="00D618B7" w:rsidRDefault="00A20AF0" w:rsidP="00A20AF0">
            <w:pPr>
              <w:jc w:val="right"/>
              <w:rPr>
                <w:color w:val="000000"/>
                <w:sz w:val="22"/>
                <w:szCs w:val="22"/>
              </w:rPr>
            </w:pPr>
            <w:r w:rsidRPr="00D618B7">
              <w:rPr>
                <w:color w:val="000000"/>
                <w:sz w:val="20"/>
                <w:szCs w:val="20"/>
              </w:rPr>
              <w:t>4762.90</w:t>
            </w:r>
          </w:p>
        </w:tc>
      </w:tr>
      <w:tr w:rsidR="00A20AF0" w:rsidRPr="00D618B7" w14:paraId="1D65CC12" w14:textId="77777777" w:rsidTr="004B11B7">
        <w:trPr>
          <w:trHeight w:val="242"/>
        </w:trPr>
        <w:tc>
          <w:tcPr>
            <w:tcW w:w="1305" w:type="dxa"/>
            <w:tcBorders>
              <w:top w:val="single" w:sz="18" w:space="0" w:color="auto"/>
              <w:left w:val="nil"/>
              <w:bottom w:val="nil"/>
              <w:right w:val="nil"/>
            </w:tcBorders>
            <w:shd w:val="clear" w:color="000000" w:fill="FFFFFF"/>
            <w:noWrap/>
            <w:vAlign w:val="bottom"/>
            <w:hideMark/>
          </w:tcPr>
          <w:p w14:paraId="098B036C" w14:textId="77777777" w:rsidR="00A20AF0" w:rsidRPr="00D618B7" w:rsidRDefault="00A20AF0" w:rsidP="004B11B7">
            <w:pPr>
              <w:rPr>
                <w:color w:val="000000"/>
                <w:sz w:val="22"/>
                <w:szCs w:val="22"/>
              </w:rPr>
            </w:pPr>
            <w:r w:rsidRPr="00D618B7">
              <w:rPr>
                <w:color w:val="000000"/>
                <w:sz w:val="22"/>
                <w:szCs w:val="22"/>
              </w:rPr>
              <w:t> </w:t>
            </w:r>
          </w:p>
        </w:tc>
        <w:tc>
          <w:tcPr>
            <w:tcW w:w="7419" w:type="dxa"/>
            <w:gridSpan w:val="6"/>
            <w:tcBorders>
              <w:top w:val="single" w:sz="18" w:space="0" w:color="auto"/>
              <w:left w:val="nil"/>
              <w:bottom w:val="nil"/>
              <w:right w:val="nil"/>
            </w:tcBorders>
            <w:shd w:val="clear" w:color="000000" w:fill="FFFFFF"/>
            <w:noWrap/>
            <w:vAlign w:val="center"/>
            <w:hideMark/>
          </w:tcPr>
          <w:p w14:paraId="350F0CAB" w14:textId="77777777" w:rsidR="00A20AF0" w:rsidRPr="00D618B7" w:rsidRDefault="00A20AF0" w:rsidP="004B11B7">
            <w:pPr>
              <w:jc w:val="center"/>
              <w:rPr>
                <w:color w:val="000000"/>
                <w:sz w:val="22"/>
                <w:szCs w:val="22"/>
              </w:rPr>
            </w:pPr>
            <w:r w:rsidRPr="00D618B7">
              <w:rPr>
                <w:color w:val="000000"/>
                <w:sz w:val="22"/>
                <w:szCs w:val="22"/>
              </w:rPr>
              <w:t>Toy-in-Reach</w:t>
            </w:r>
          </w:p>
        </w:tc>
      </w:tr>
      <w:tr w:rsidR="00A20AF0" w:rsidRPr="00D618B7" w14:paraId="50CD1A7A" w14:textId="77777777" w:rsidTr="00A20AF0">
        <w:trPr>
          <w:trHeight w:val="242"/>
        </w:trPr>
        <w:tc>
          <w:tcPr>
            <w:tcW w:w="1305" w:type="dxa"/>
            <w:tcBorders>
              <w:top w:val="nil"/>
              <w:left w:val="nil"/>
              <w:bottom w:val="nil"/>
              <w:right w:val="nil"/>
            </w:tcBorders>
            <w:shd w:val="clear" w:color="000000" w:fill="FFFFFF"/>
            <w:vAlign w:val="center"/>
            <w:hideMark/>
          </w:tcPr>
          <w:p w14:paraId="6552A11C" w14:textId="77777777" w:rsidR="00A20AF0" w:rsidRPr="00D618B7" w:rsidRDefault="00A20AF0" w:rsidP="00A20AF0">
            <w:pPr>
              <w:jc w:val="right"/>
              <w:rPr>
                <w:color w:val="000000"/>
                <w:sz w:val="22"/>
                <w:szCs w:val="22"/>
              </w:rPr>
            </w:pPr>
            <w:r w:rsidRPr="00D618B7">
              <w:rPr>
                <w:color w:val="000000"/>
                <w:sz w:val="22"/>
                <w:szCs w:val="22"/>
              </w:rPr>
              <w:t>-5</w:t>
            </w:r>
          </w:p>
        </w:tc>
        <w:tc>
          <w:tcPr>
            <w:tcW w:w="1093" w:type="dxa"/>
            <w:tcBorders>
              <w:top w:val="nil"/>
              <w:left w:val="nil"/>
              <w:bottom w:val="nil"/>
              <w:right w:val="nil"/>
            </w:tcBorders>
            <w:shd w:val="clear" w:color="000000" w:fill="FFFFFF"/>
            <w:noWrap/>
            <w:vAlign w:val="center"/>
            <w:hideMark/>
          </w:tcPr>
          <w:p w14:paraId="2DFB8F75" w14:textId="52431E05" w:rsidR="00A20AF0" w:rsidRPr="00D618B7" w:rsidRDefault="00A20AF0" w:rsidP="00A20AF0">
            <w:pPr>
              <w:jc w:val="right"/>
              <w:rPr>
                <w:color w:val="000000"/>
                <w:sz w:val="22"/>
                <w:szCs w:val="22"/>
              </w:rPr>
            </w:pPr>
            <w:r w:rsidRPr="00D618B7">
              <w:rPr>
                <w:color w:val="000000"/>
                <w:sz w:val="20"/>
                <w:szCs w:val="20"/>
              </w:rPr>
              <w:t>-71.79</w:t>
            </w:r>
          </w:p>
        </w:tc>
        <w:tc>
          <w:tcPr>
            <w:tcW w:w="1071" w:type="dxa"/>
            <w:tcBorders>
              <w:top w:val="nil"/>
              <w:left w:val="nil"/>
              <w:bottom w:val="nil"/>
              <w:right w:val="nil"/>
            </w:tcBorders>
            <w:shd w:val="clear" w:color="000000" w:fill="FFFFFF"/>
            <w:noWrap/>
            <w:vAlign w:val="center"/>
            <w:hideMark/>
          </w:tcPr>
          <w:p w14:paraId="26BB3EA4" w14:textId="78A54D36" w:rsidR="00A20AF0" w:rsidRPr="00D618B7" w:rsidRDefault="00A20AF0" w:rsidP="00A20AF0">
            <w:pPr>
              <w:jc w:val="right"/>
              <w:rPr>
                <w:color w:val="000000"/>
                <w:sz w:val="22"/>
                <w:szCs w:val="22"/>
              </w:rPr>
            </w:pPr>
            <w:r w:rsidRPr="00D618B7">
              <w:rPr>
                <w:color w:val="000000"/>
                <w:sz w:val="20"/>
                <w:szCs w:val="20"/>
              </w:rPr>
              <w:t>34.50</w:t>
            </w:r>
          </w:p>
        </w:tc>
        <w:tc>
          <w:tcPr>
            <w:tcW w:w="1522" w:type="dxa"/>
            <w:tcBorders>
              <w:top w:val="nil"/>
              <w:left w:val="nil"/>
              <w:bottom w:val="nil"/>
              <w:right w:val="nil"/>
            </w:tcBorders>
            <w:shd w:val="clear" w:color="000000" w:fill="FFFFFF"/>
            <w:noWrap/>
            <w:vAlign w:val="center"/>
            <w:hideMark/>
          </w:tcPr>
          <w:p w14:paraId="785EE9D3" w14:textId="474CF7C8" w:rsidR="00A20AF0" w:rsidRPr="00D618B7" w:rsidRDefault="00A20AF0" w:rsidP="00A20AF0">
            <w:pPr>
              <w:jc w:val="right"/>
              <w:rPr>
                <w:color w:val="000000"/>
                <w:sz w:val="22"/>
                <w:szCs w:val="22"/>
              </w:rPr>
            </w:pPr>
            <w:r w:rsidRPr="00D618B7">
              <w:rPr>
                <w:color w:val="000000"/>
                <w:sz w:val="20"/>
                <w:szCs w:val="20"/>
              </w:rPr>
              <w:t>162.90</w:t>
            </w:r>
          </w:p>
        </w:tc>
        <w:tc>
          <w:tcPr>
            <w:tcW w:w="1060" w:type="dxa"/>
            <w:tcBorders>
              <w:top w:val="nil"/>
              <w:left w:val="nil"/>
              <w:bottom w:val="nil"/>
              <w:right w:val="nil"/>
            </w:tcBorders>
            <w:shd w:val="clear" w:color="000000" w:fill="FFFFFF"/>
            <w:noWrap/>
            <w:vAlign w:val="center"/>
            <w:hideMark/>
          </w:tcPr>
          <w:p w14:paraId="6C3D3218" w14:textId="6AF0DAD3" w:rsidR="00A20AF0" w:rsidRPr="00D618B7" w:rsidRDefault="00A20AF0" w:rsidP="00A20AF0">
            <w:pPr>
              <w:jc w:val="right"/>
              <w:rPr>
                <w:color w:val="000000"/>
                <w:sz w:val="22"/>
                <w:szCs w:val="22"/>
              </w:rPr>
            </w:pPr>
            <w:r w:rsidRPr="00D618B7">
              <w:rPr>
                <w:color w:val="000000"/>
                <w:sz w:val="20"/>
                <w:szCs w:val="20"/>
              </w:rPr>
              <w:t>294.66</w:t>
            </w:r>
          </w:p>
        </w:tc>
        <w:tc>
          <w:tcPr>
            <w:tcW w:w="1575" w:type="dxa"/>
            <w:tcBorders>
              <w:top w:val="nil"/>
              <w:left w:val="nil"/>
              <w:bottom w:val="nil"/>
              <w:right w:val="nil"/>
            </w:tcBorders>
            <w:shd w:val="clear" w:color="000000" w:fill="FFFFFF"/>
            <w:noWrap/>
            <w:vAlign w:val="center"/>
            <w:hideMark/>
          </w:tcPr>
          <w:p w14:paraId="02B7B909" w14:textId="05DECA97" w:rsidR="00A20AF0" w:rsidRPr="00D618B7" w:rsidRDefault="00A20AF0" w:rsidP="00A20AF0">
            <w:pPr>
              <w:jc w:val="right"/>
              <w:rPr>
                <w:color w:val="000000"/>
                <w:sz w:val="22"/>
                <w:szCs w:val="22"/>
              </w:rPr>
            </w:pPr>
            <w:r w:rsidRPr="00D618B7">
              <w:rPr>
                <w:color w:val="000000"/>
                <w:sz w:val="20"/>
                <w:szCs w:val="20"/>
              </w:rPr>
              <w:t>1075.85</w:t>
            </w:r>
          </w:p>
        </w:tc>
        <w:tc>
          <w:tcPr>
            <w:tcW w:w="1098" w:type="dxa"/>
            <w:tcBorders>
              <w:top w:val="nil"/>
              <w:left w:val="nil"/>
              <w:bottom w:val="nil"/>
              <w:right w:val="nil"/>
            </w:tcBorders>
            <w:shd w:val="clear" w:color="000000" w:fill="FFFFFF"/>
            <w:noWrap/>
            <w:vAlign w:val="center"/>
            <w:hideMark/>
          </w:tcPr>
          <w:p w14:paraId="5D423A8D" w14:textId="7F9E6D44" w:rsidR="00A20AF0" w:rsidRPr="00D618B7" w:rsidRDefault="00A20AF0" w:rsidP="00A20AF0">
            <w:pPr>
              <w:jc w:val="right"/>
              <w:rPr>
                <w:color w:val="000000"/>
                <w:sz w:val="22"/>
                <w:szCs w:val="22"/>
              </w:rPr>
            </w:pPr>
            <w:r w:rsidRPr="00D618B7">
              <w:rPr>
                <w:color w:val="000000"/>
                <w:sz w:val="20"/>
                <w:szCs w:val="20"/>
              </w:rPr>
              <w:t>503.92</w:t>
            </w:r>
          </w:p>
        </w:tc>
      </w:tr>
      <w:tr w:rsidR="00A20AF0" w:rsidRPr="00D618B7" w14:paraId="495688B1" w14:textId="77777777" w:rsidTr="00A20AF0">
        <w:trPr>
          <w:trHeight w:val="242"/>
        </w:trPr>
        <w:tc>
          <w:tcPr>
            <w:tcW w:w="1305" w:type="dxa"/>
            <w:tcBorders>
              <w:top w:val="nil"/>
              <w:left w:val="nil"/>
              <w:bottom w:val="nil"/>
              <w:right w:val="nil"/>
            </w:tcBorders>
            <w:shd w:val="clear" w:color="000000" w:fill="FFFFFF"/>
            <w:vAlign w:val="center"/>
            <w:hideMark/>
          </w:tcPr>
          <w:p w14:paraId="677D9056" w14:textId="77777777" w:rsidR="00A20AF0" w:rsidRPr="00D618B7" w:rsidRDefault="00A20AF0" w:rsidP="00A20AF0">
            <w:pPr>
              <w:jc w:val="right"/>
              <w:rPr>
                <w:color w:val="000000"/>
                <w:sz w:val="22"/>
                <w:szCs w:val="22"/>
              </w:rPr>
            </w:pPr>
            <w:r w:rsidRPr="00D618B7">
              <w:rPr>
                <w:color w:val="000000"/>
                <w:sz w:val="22"/>
                <w:szCs w:val="22"/>
              </w:rPr>
              <w:t>-4</w:t>
            </w:r>
          </w:p>
        </w:tc>
        <w:tc>
          <w:tcPr>
            <w:tcW w:w="1093" w:type="dxa"/>
            <w:tcBorders>
              <w:top w:val="nil"/>
              <w:left w:val="nil"/>
              <w:bottom w:val="nil"/>
              <w:right w:val="nil"/>
            </w:tcBorders>
            <w:shd w:val="clear" w:color="000000" w:fill="FFFFFF"/>
            <w:noWrap/>
            <w:vAlign w:val="center"/>
            <w:hideMark/>
          </w:tcPr>
          <w:p w14:paraId="57172129" w14:textId="618CEFF5" w:rsidR="00A20AF0" w:rsidRPr="00D618B7" w:rsidRDefault="00A20AF0" w:rsidP="00A20AF0">
            <w:pPr>
              <w:jc w:val="right"/>
              <w:rPr>
                <w:color w:val="000000"/>
                <w:sz w:val="22"/>
                <w:szCs w:val="22"/>
              </w:rPr>
            </w:pPr>
            <w:r w:rsidRPr="00D618B7">
              <w:rPr>
                <w:color w:val="000000"/>
                <w:sz w:val="20"/>
                <w:szCs w:val="20"/>
              </w:rPr>
              <w:t>-8.01</w:t>
            </w:r>
          </w:p>
        </w:tc>
        <w:tc>
          <w:tcPr>
            <w:tcW w:w="1071" w:type="dxa"/>
            <w:tcBorders>
              <w:top w:val="nil"/>
              <w:left w:val="nil"/>
              <w:bottom w:val="nil"/>
              <w:right w:val="nil"/>
            </w:tcBorders>
            <w:shd w:val="clear" w:color="000000" w:fill="FFFFFF"/>
            <w:noWrap/>
            <w:vAlign w:val="center"/>
            <w:hideMark/>
          </w:tcPr>
          <w:p w14:paraId="2D600DA5" w14:textId="5199EE3D" w:rsidR="00A20AF0" w:rsidRPr="00D618B7" w:rsidRDefault="00A20AF0" w:rsidP="00A20AF0">
            <w:pPr>
              <w:jc w:val="right"/>
              <w:rPr>
                <w:color w:val="000000"/>
                <w:sz w:val="22"/>
                <w:szCs w:val="22"/>
              </w:rPr>
            </w:pPr>
            <w:r w:rsidRPr="00D618B7">
              <w:rPr>
                <w:color w:val="000000"/>
                <w:sz w:val="20"/>
                <w:szCs w:val="20"/>
              </w:rPr>
              <w:t>70.50</w:t>
            </w:r>
          </w:p>
        </w:tc>
        <w:tc>
          <w:tcPr>
            <w:tcW w:w="1522" w:type="dxa"/>
            <w:tcBorders>
              <w:top w:val="nil"/>
              <w:left w:val="nil"/>
              <w:bottom w:val="nil"/>
              <w:right w:val="nil"/>
            </w:tcBorders>
            <w:shd w:val="clear" w:color="000000" w:fill="FFFFFF"/>
            <w:noWrap/>
            <w:vAlign w:val="center"/>
            <w:hideMark/>
          </w:tcPr>
          <w:p w14:paraId="58F82E0F" w14:textId="7CBD87C6" w:rsidR="00A20AF0" w:rsidRPr="00D618B7" w:rsidRDefault="00A20AF0" w:rsidP="00A20AF0">
            <w:pPr>
              <w:jc w:val="right"/>
              <w:rPr>
                <w:color w:val="000000"/>
                <w:sz w:val="22"/>
                <w:szCs w:val="22"/>
              </w:rPr>
            </w:pPr>
            <w:r w:rsidRPr="00D618B7">
              <w:rPr>
                <w:color w:val="000000"/>
                <w:sz w:val="20"/>
                <w:szCs w:val="20"/>
              </w:rPr>
              <w:t>-68.46</w:t>
            </w:r>
          </w:p>
        </w:tc>
        <w:tc>
          <w:tcPr>
            <w:tcW w:w="1060" w:type="dxa"/>
            <w:tcBorders>
              <w:top w:val="nil"/>
              <w:left w:val="nil"/>
              <w:bottom w:val="nil"/>
              <w:right w:val="nil"/>
            </w:tcBorders>
            <w:shd w:val="clear" w:color="000000" w:fill="FFFFFF"/>
            <w:noWrap/>
            <w:vAlign w:val="center"/>
            <w:hideMark/>
          </w:tcPr>
          <w:p w14:paraId="440BDB5A" w14:textId="65BCA349" w:rsidR="00A20AF0" w:rsidRPr="00D618B7" w:rsidRDefault="00A20AF0" w:rsidP="00A20AF0">
            <w:pPr>
              <w:jc w:val="right"/>
              <w:rPr>
                <w:color w:val="000000"/>
                <w:sz w:val="22"/>
                <w:szCs w:val="22"/>
              </w:rPr>
            </w:pPr>
            <w:r w:rsidRPr="00D618B7">
              <w:rPr>
                <w:color w:val="000000"/>
                <w:sz w:val="20"/>
                <w:szCs w:val="20"/>
              </w:rPr>
              <w:t>525.91</w:t>
            </w:r>
          </w:p>
        </w:tc>
        <w:tc>
          <w:tcPr>
            <w:tcW w:w="1575" w:type="dxa"/>
            <w:tcBorders>
              <w:top w:val="nil"/>
              <w:left w:val="nil"/>
              <w:bottom w:val="nil"/>
              <w:right w:val="nil"/>
            </w:tcBorders>
            <w:shd w:val="clear" w:color="000000" w:fill="FFFFFF"/>
            <w:noWrap/>
            <w:vAlign w:val="center"/>
            <w:hideMark/>
          </w:tcPr>
          <w:p w14:paraId="15EAE6BC" w14:textId="41022BFE" w:rsidR="00A20AF0" w:rsidRPr="00D618B7" w:rsidRDefault="00A20AF0" w:rsidP="00A20AF0">
            <w:pPr>
              <w:jc w:val="right"/>
              <w:rPr>
                <w:color w:val="000000"/>
                <w:sz w:val="22"/>
                <w:szCs w:val="22"/>
              </w:rPr>
            </w:pPr>
            <w:r w:rsidRPr="00D618B7">
              <w:rPr>
                <w:color w:val="000000"/>
                <w:sz w:val="20"/>
                <w:szCs w:val="20"/>
              </w:rPr>
              <w:t>2102.36</w:t>
            </w:r>
          </w:p>
        </w:tc>
        <w:tc>
          <w:tcPr>
            <w:tcW w:w="1098" w:type="dxa"/>
            <w:tcBorders>
              <w:top w:val="nil"/>
              <w:left w:val="nil"/>
              <w:bottom w:val="nil"/>
              <w:right w:val="nil"/>
            </w:tcBorders>
            <w:shd w:val="clear" w:color="000000" w:fill="FFFFFF"/>
            <w:noWrap/>
            <w:vAlign w:val="center"/>
            <w:hideMark/>
          </w:tcPr>
          <w:p w14:paraId="6FA2885F" w14:textId="46CCF78A" w:rsidR="00A20AF0" w:rsidRPr="00D618B7" w:rsidRDefault="00A20AF0" w:rsidP="00A20AF0">
            <w:pPr>
              <w:jc w:val="right"/>
              <w:rPr>
                <w:color w:val="000000"/>
                <w:sz w:val="22"/>
                <w:szCs w:val="22"/>
              </w:rPr>
            </w:pPr>
            <w:r w:rsidRPr="00D618B7">
              <w:rPr>
                <w:color w:val="000000"/>
                <w:sz w:val="20"/>
                <w:szCs w:val="20"/>
              </w:rPr>
              <w:t>2579.77</w:t>
            </w:r>
          </w:p>
        </w:tc>
      </w:tr>
      <w:tr w:rsidR="00A20AF0" w:rsidRPr="00D618B7" w14:paraId="4879B80D" w14:textId="77777777" w:rsidTr="00A20AF0">
        <w:trPr>
          <w:trHeight w:val="242"/>
        </w:trPr>
        <w:tc>
          <w:tcPr>
            <w:tcW w:w="1305" w:type="dxa"/>
            <w:tcBorders>
              <w:top w:val="nil"/>
              <w:left w:val="nil"/>
              <w:bottom w:val="nil"/>
              <w:right w:val="nil"/>
            </w:tcBorders>
            <w:shd w:val="clear" w:color="000000" w:fill="FFFFFF"/>
            <w:vAlign w:val="center"/>
            <w:hideMark/>
          </w:tcPr>
          <w:p w14:paraId="17C6C299" w14:textId="77777777" w:rsidR="00A20AF0" w:rsidRPr="00D618B7" w:rsidRDefault="00A20AF0" w:rsidP="00A20AF0">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3F242852" w14:textId="2498E646" w:rsidR="00A20AF0" w:rsidRPr="00D618B7" w:rsidRDefault="00A20AF0" w:rsidP="00A20AF0">
            <w:pPr>
              <w:jc w:val="right"/>
              <w:rPr>
                <w:color w:val="000000"/>
                <w:sz w:val="22"/>
                <w:szCs w:val="22"/>
              </w:rPr>
            </w:pPr>
            <w:r w:rsidRPr="00D618B7">
              <w:rPr>
                <w:color w:val="000000"/>
                <w:sz w:val="20"/>
                <w:szCs w:val="20"/>
              </w:rPr>
              <w:t>11.12</w:t>
            </w:r>
          </w:p>
        </w:tc>
        <w:tc>
          <w:tcPr>
            <w:tcW w:w="1071" w:type="dxa"/>
            <w:tcBorders>
              <w:top w:val="nil"/>
              <w:left w:val="nil"/>
              <w:bottom w:val="nil"/>
              <w:right w:val="nil"/>
            </w:tcBorders>
            <w:shd w:val="clear" w:color="000000" w:fill="FFFFFF"/>
            <w:noWrap/>
            <w:vAlign w:val="center"/>
            <w:hideMark/>
          </w:tcPr>
          <w:p w14:paraId="692BA93A" w14:textId="206204BC" w:rsidR="00A20AF0" w:rsidRPr="00D618B7" w:rsidRDefault="00A20AF0" w:rsidP="00A20AF0">
            <w:pPr>
              <w:jc w:val="right"/>
              <w:rPr>
                <w:color w:val="000000"/>
                <w:sz w:val="22"/>
                <w:szCs w:val="22"/>
              </w:rPr>
            </w:pPr>
            <w:r w:rsidRPr="00D618B7">
              <w:rPr>
                <w:color w:val="000000"/>
                <w:sz w:val="20"/>
                <w:szCs w:val="20"/>
              </w:rPr>
              <w:t>49.42</w:t>
            </w:r>
          </w:p>
        </w:tc>
        <w:tc>
          <w:tcPr>
            <w:tcW w:w="1522" w:type="dxa"/>
            <w:tcBorders>
              <w:top w:val="nil"/>
              <w:left w:val="nil"/>
              <w:bottom w:val="nil"/>
              <w:right w:val="nil"/>
            </w:tcBorders>
            <w:shd w:val="clear" w:color="000000" w:fill="FFFFFF"/>
            <w:noWrap/>
            <w:vAlign w:val="center"/>
            <w:hideMark/>
          </w:tcPr>
          <w:p w14:paraId="4B08154C" w14:textId="50B5FCB6" w:rsidR="00A20AF0" w:rsidRPr="00D618B7" w:rsidRDefault="00A20AF0" w:rsidP="00A20AF0">
            <w:pPr>
              <w:jc w:val="right"/>
              <w:rPr>
                <w:color w:val="000000"/>
                <w:sz w:val="22"/>
                <w:szCs w:val="22"/>
              </w:rPr>
            </w:pPr>
            <w:r w:rsidRPr="00D618B7">
              <w:rPr>
                <w:color w:val="000000"/>
                <w:sz w:val="20"/>
                <w:szCs w:val="20"/>
              </w:rPr>
              <w:t>300.41</w:t>
            </w:r>
          </w:p>
        </w:tc>
        <w:tc>
          <w:tcPr>
            <w:tcW w:w="1060" w:type="dxa"/>
            <w:tcBorders>
              <w:top w:val="nil"/>
              <w:left w:val="nil"/>
              <w:bottom w:val="nil"/>
              <w:right w:val="nil"/>
            </w:tcBorders>
            <w:shd w:val="clear" w:color="000000" w:fill="FFFFFF"/>
            <w:noWrap/>
            <w:vAlign w:val="center"/>
            <w:hideMark/>
          </w:tcPr>
          <w:p w14:paraId="1025EEC9" w14:textId="2DD18AB5" w:rsidR="00A20AF0" w:rsidRPr="00D618B7" w:rsidRDefault="00A20AF0" w:rsidP="00A20AF0">
            <w:pPr>
              <w:jc w:val="right"/>
              <w:rPr>
                <w:color w:val="000000"/>
                <w:sz w:val="22"/>
                <w:szCs w:val="22"/>
              </w:rPr>
            </w:pPr>
            <w:r w:rsidRPr="00D618B7">
              <w:rPr>
                <w:color w:val="000000"/>
                <w:sz w:val="20"/>
                <w:szCs w:val="20"/>
              </w:rPr>
              <w:t>73.97</w:t>
            </w:r>
          </w:p>
        </w:tc>
        <w:tc>
          <w:tcPr>
            <w:tcW w:w="1575" w:type="dxa"/>
            <w:tcBorders>
              <w:top w:val="nil"/>
              <w:left w:val="nil"/>
              <w:bottom w:val="nil"/>
              <w:right w:val="nil"/>
            </w:tcBorders>
            <w:shd w:val="clear" w:color="000000" w:fill="FFFFFF"/>
            <w:noWrap/>
            <w:vAlign w:val="center"/>
            <w:hideMark/>
          </w:tcPr>
          <w:p w14:paraId="1A465742" w14:textId="099EEC8D" w:rsidR="00A20AF0" w:rsidRPr="00D618B7" w:rsidRDefault="00A20AF0" w:rsidP="00A20AF0">
            <w:pPr>
              <w:jc w:val="right"/>
              <w:rPr>
                <w:color w:val="000000"/>
                <w:sz w:val="22"/>
                <w:szCs w:val="22"/>
              </w:rPr>
            </w:pPr>
            <w:r w:rsidRPr="00D618B7">
              <w:rPr>
                <w:color w:val="000000"/>
                <w:sz w:val="20"/>
                <w:szCs w:val="20"/>
              </w:rPr>
              <w:t>-654.22</w:t>
            </w:r>
          </w:p>
        </w:tc>
        <w:tc>
          <w:tcPr>
            <w:tcW w:w="1098" w:type="dxa"/>
            <w:tcBorders>
              <w:top w:val="nil"/>
              <w:left w:val="nil"/>
              <w:bottom w:val="nil"/>
              <w:right w:val="nil"/>
            </w:tcBorders>
            <w:shd w:val="clear" w:color="000000" w:fill="FFFFFF"/>
            <w:noWrap/>
            <w:vAlign w:val="center"/>
            <w:hideMark/>
          </w:tcPr>
          <w:p w14:paraId="178E4856" w14:textId="71183E44" w:rsidR="00A20AF0" w:rsidRPr="00D618B7" w:rsidRDefault="00A20AF0" w:rsidP="00A20AF0">
            <w:pPr>
              <w:jc w:val="right"/>
              <w:rPr>
                <w:color w:val="000000"/>
                <w:sz w:val="22"/>
                <w:szCs w:val="22"/>
              </w:rPr>
            </w:pPr>
            <w:r w:rsidRPr="00D618B7">
              <w:rPr>
                <w:color w:val="000000"/>
                <w:sz w:val="20"/>
                <w:szCs w:val="20"/>
              </w:rPr>
              <w:t>1005.03</w:t>
            </w:r>
          </w:p>
        </w:tc>
      </w:tr>
      <w:tr w:rsidR="00A20AF0" w:rsidRPr="00D618B7" w14:paraId="780DD41C" w14:textId="77777777" w:rsidTr="00A20AF0">
        <w:trPr>
          <w:trHeight w:val="242"/>
        </w:trPr>
        <w:tc>
          <w:tcPr>
            <w:tcW w:w="1305" w:type="dxa"/>
            <w:tcBorders>
              <w:top w:val="nil"/>
              <w:left w:val="nil"/>
              <w:bottom w:val="nil"/>
              <w:right w:val="nil"/>
            </w:tcBorders>
            <w:shd w:val="clear" w:color="000000" w:fill="FFFFFF"/>
            <w:vAlign w:val="center"/>
            <w:hideMark/>
          </w:tcPr>
          <w:p w14:paraId="00969608" w14:textId="77777777" w:rsidR="00A20AF0" w:rsidRPr="00D618B7" w:rsidRDefault="00A20AF0" w:rsidP="00A20AF0">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2C065313" w14:textId="572EB82A" w:rsidR="00A20AF0" w:rsidRPr="00D618B7" w:rsidRDefault="00A20AF0" w:rsidP="00A20AF0">
            <w:pPr>
              <w:jc w:val="right"/>
              <w:rPr>
                <w:color w:val="000000"/>
                <w:sz w:val="22"/>
                <w:szCs w:val="22"/>
              </w:rPr>
            </w:pPr>
            <w:r w:rsidRPr="00D618B7">
              <w:rPr>
                <w:color w:val="000000"/>
                <w:sz w:val="20"/>
                <w:szCs w:val="20"/>
              </w:rPr>
              <w:t>-9.99</w:t>
            </w:r>
          </w:p>
        </w:tc>
        <w:tc>
          <w:tcPr>
            <w:tcW w:w="1071" w:type="dxa"/>
            <w:tcBorders>
              <w:top w:val="nil"/>
              <w:left w:val="nil"/>
              <w:bottom w:val="nil"/>
              <w:right w:val="nil"/>
            </w:tcBorders>
            <w:shd w:val="clear" w:color="000000" w:fill="FFFFFF"/>
            <w:noWrap/>
            <w:vAlign w:val="center"/>
            <w:hideMark/>
          </w:tcPr>
          <w:p w14:paraId="09ADD327" w14:textId="0587718A" w:rsidR="00A20AF0" w:rsidRPr="00D618B7" w:rsidRDefault="00A20AF0" w:rsidP="00A20AF0">
            <w:pPr>
              <w:jc w:val="right"/>
              <w:rPr>
                <w:color w:val="000000"/>
                <w:sz w:val="22"/>
                <w:szCs w:val="22"/>
              </w:rPr>
            </w:pPr>
            <w:r w:rsidRPr="00D618B7">
              <w:rPr>
                <w:color w:val="000000"/>
                <w:sz w:val="20"/>
                <w:szCs w:val="20"/>
              </w:rPr>
              <w:t>63.38</w:t>
            </w:r>
          </w:p>
        </w:tc>
        <w:tc>
          <w:tcPr>
            <w:tcW w:w="1522" w:type="dxa"/>
            <w:tcBorders>
              <w:top w:val="nil"/>
              <w:left w:val="nil"/>
              <w:bottom w:val="nil"/>
              <w:right w:val="nil"/>
            </w:tcBorders>
            <w:shd w:val="clear" w:color="000000" w:fill="FFFFFF"/>
            <w:noWrap/>
            <w:vAlign w:val="center"/>
            <w:hideMark/>
          </w:tcPr>
          <w:p w14:paraId="6C8A3693" w14:textId="0D052427" w:rsidR="00A20AF0" w:rsidRPr="00D618B7" w:rsidRDefault="00A20AF0" w:rsidP="00A20AF0">
            <w:pPr>
              <w:jc w:val="right"/>
              <w:rPr>
                <w:color w:val="000000"/>
                <w:sz w:val="22"/>
                <w:szCs w:val="22"/>
              </w:rPr>
            </w:pPr>
            <w:r w:rsidRPr="00D618B7">
              <w:rPr>
                <w:color w:val="000000"/>
                <w:sz w:val="20"/>
                <w:szCs w:val="20"/>
              </w:rPr>
              <w:t>-26.66</w:t>
            </w:r>
          </w:p>
        </w:tc>
        <w:tc>
          <w:tcPr>
            <w:tcW w:w="1060" w:type="dxa"/>
            <w:tcBorders>
              <w:top w:val="nil"/>
              <w:left w:val="nil"/>
              <w:bottom w:val="nil"/>
              <w:right w:val="nil"/>
            </w:tcBorders>
            <w:shd w:val="clear" w:color="000000" w:fill="FFFFFF"/>
            <w:noWrap/>
            <w:vAlign w:val="center"/>
            <w:hideMark/>
          </w:tcPr>
          <w:p w14:paraId="0D5C9ED4" w14:textId="129CE90E" w:rsidR="00A20AF0" w:rsidRPr="00D618B7" w:rsidRDefault="00A20AF0" w:rsidP="00A20AF0">
            <w:pPr>
              <w:jc w:val="right"/>
              <w:rPr>
                <w:color w:val="000000"/>
                <w:sz w:val="22"/>
                <w:szCs w:val="22"/>
              </w:rPr>
            </w:pPr>
            <w:r w:rsidRPr="00D618B7">
              <w:rPr>
                <w:color w:val="000000"/>
                <w:sz w:val="20"/>
                <w:szCs w:val="20"/>
              </w:rPr>
              <w:t>311.84</w:t>
            </w:r>
          </w:p>
        </w:tc>
        <w:tc>
          <w:tcPr>
            <w:tcW w:w="1575" w:type="dxa"/>
            <w:tcBorders>
              <w:top w:val="nil"/>
              <w:left w:val="nil"/>
              <w:bottom w:val="nil"/>
              <w:right w:val="nil"/>
            </w:tcBorders>
            <w:shd w:val="clear" w:color="000000" w:fill="FFFFFF"/>
            <w:noWrap/>
            <w:vAlign w:val="center"/>
            <w:hideMark/>
          </w:tcPr>
          <w:p w14:paraId="3545D8CC" w14:textId="7021BA8A" w:rsidR="00A20AF0" w:rsidRPr="00D618B7" w:rsidRDefault="00A20AF0" w:rsidP="00A20AF0">
            <w:pPr>
              <w:jc w:val="right"/>
              <w:rPr>
                <w:color w:val="000000"/>
                <w:sz w:val="22"/>
                <w:szCs w:val="22"/>
              </w:rPr>
            </w:pPr>
            <w:r w:rsidRPr="00D618B7">
              <w:rPr>
                <w:color w:val="000000"/>
                <w:sz w:val="20"/>
                <w:szCs w:val="20"/>
              </w:rPr>
              <w:t>581.08</w:t>
            </w:r>
          </w:p>
        </w:tc>
        <w:tc>
          <w:tcPr>
            <w:tcW w:w="1098" w:type="dxa"/>
            <w:tcBorders>
              <w:top w:val="nil"/>
              <w:left w:val="nil"/>
              <w:bottom w:val="nil"/>
              <w:right w:val="nil"/>
            </w:tcBorders>
            <w:shd w:val="clear" w:color="000000" w:fill="FFFFFF"/>
            <w:noWrap/>
            <w:vAlign w:val="center"/>
            <w:hideMark/>
          </w:tcPr>
          <w:p w14:paraId="539AE346" w14:textId="2B2829E3" w:rsidR="00A20AF0" w:rsidRPr="00D618B7" w:rsidRDefault="00A20AF0" w:rsidP="00A20AF0">
            <w:pPr>
              <w:jc w:val="right"/>
              <w:rPr>
                <w:color w:val="000000"/>
                <w:sz w:val="22"/>
                <w:szCs w:val="22"/>
              </w:rPr>
            </w:pPr>
            <w:r w:rsidRPr="00D618B7">
              <w:rPr>
                <w:color w:val="000000"/>
                <w:sz w:val="20"/>
                <w:szCs w:val="20"/>
              </w:rPr>
              <w:t>1245.97</w:t>
            </w:r>
          </w:p>
        </w:tc>
      </w:tr>
      <w:tr w:rsidR="00A20AF0" w:rsidRPr="00D618B7" w14:paraId="121199EC" w14:textId="77777777" w:rsidTr="00A20AF0">
        <w:trPr>
          <w:trHeight w:val="242"/>
        </w:trPr>
        <w:tc>
          <w:tcPr>
            <w:tcW w:w="1305" w:type="dxa"/>
            <w:tcBorders>
              <w:top w:val="nil"/>
              <w:left w:val="nil"/>
              <w:bottom w:val="nil"/>
              <w:right w:val="nil"/>
            </w:tcBorders>
            <w:shd w:val="clear" w:color="000000" w:fill="FFFFFF"/>
            <w:vAlign w:val="center"/>
            <w:hideMark/>
          </w:tcPr>
          <w:p w14:paraId="458F34A7" w14:textId="77777777" w:rsidR="00A20AF0" w:rsidRPr="00D618B7" w:rsidRDefault="00A20AF0" w:rsidP="00A20AF0">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21E3B586" w14:textId="0DD8106B" w:rsidR="00A20AF0" w:rsidRPr="00D618B7" w:rsidRDefault="00A20AF0" w:rsidP="00A20AF0">
            <w:pPr>
              <w:jc w:val="right"/>
              <w:rPr>
                <w:color w:val="000000"/>
                <w:sz w:val="22"/>
                <w:szCs w:val="22"/>
              </w:rPr>
            </w:pPr>
            <w:r w:rsidRPr="00D618B7">
              <w:rPr>
                <w:color w:val="000000"/>
                <w:sz w:val="20"/>
                <w:szCs w:val="20"/>
              </w:rPr>
              <w:t>117.10</w:t>
            </w:r>
          </w:p>
        </w:tc>
        <w:tc>
          <w:tcPr>
            <w:tcW w:w="1071" w:type="dxa"/>
            <w:tcBorders>
              <w:top w:val="nil"/>
              <w:left w:val="nil"/>
              <w:bottom w:val="nil"/>
              <w:right w:val="nil"/>
            </w:tcBorders>
            <w:shd w:val="clear" w:color="000000" w:fill="FFFFFF"/>
            <w:noWrap/>
            <w:vAlign w:val="center"/>
            <w:hideMark/>
          </w:tcPr>
          <w:p w14:paraId="37B79AC4" w14:textId="0D62476D" w:rsidR="00A20AF0" w:rsidRPr="00D618B7" w:rsidRDefault="00A20AF0" w:rsidP="00A20AF0">
            <w:pPr>
              <w:jc w:val="right"/>
              <w:rPr>
                <w:color w:val="000000"/>
                <w:sz w:val="22"/>
                <w:szCs w:val="22"/>
              </w:rPr>
            </w:pPr>
            <w:r w:rsidRPr="00D618B7">
              <w:rPr>
                <w:color w:val="000000"/>
                <w:sz w:val="20"/>
                <w:szCs w:val="20"/>
              </w:rPr>
              <w:t>51.27</w:t>
            </w:r>
          </w:p>
        </w:tc>
        <w:tc>
          <w:tcPr>
            <w:tcW w:w="1522" w:type="dxa"/>
            <w:tcBorders>
              <w:top w:val="nil"/>
              <w:left w:val="nil"/>
              <w:bottom w:val="nil"/>
              <w:right w:val="nil"/>
            </w:tcBorders>
            <w:shd w:val="clear" w:color="000000" w:fill="FFFFFF"/>
            <w:noWrap/>
            <w:vAlign w:val="center"/>
            <w:hideMark/>
          </w:tcPr>
          <w:p w14:paraId="19B916D0" w14:textId="4EF3BE26" w:rsidR="00A20AF0" w:rsidRPr="00D618B7" w:rsidRDefault="00A20AF0" w:rsidP="00A20AF0">
            <w:pPr>
              <w:jc w:val="right"/>
              <w:rPr>
                <w:color w:val="000000"/>
                <w:sz w:val="22"/>
                <w:szCs w:val="22"/>
              </w:rPr>
            </w:pPr>
            <w:r w:rsidRPr="00D618B7">
              <w:rPr>
                <w:color w:val="000000"/>
                <w:sz w:val="20"/>
                <w:szCs w:val="20"/>
              </w:rPr>
              <w:t>-254.96</w:t>
            </w:r>
          </w:p>
        </w:tc>
        <w:tc>
          <w:tcPr>
            <w:tcW w:w="1060" w:type="dxa"/>
            <w:tcBorders>
              <w:top w:val="nil"/>
              <w:left w:val="nil"/>
              <w:bottom w:val="nil"/>
              <w:right w:val="nil"/>
            </w:tcBorders>
            <w:shd w:val="clear" w:color="000000" w:fill="FFFFFF"/>
            <w:noWrap/>
            <w:vAlign w:val="center"/>
            <w:hideMark/>
          </w:tcPr>
          <w:p w14:paraId="6CACF995" w14:textId="662701B8" w:rsidR="00A20AF0" w:rsidRPr="00D618B7" w:rsidRDefault="00A20AF0" w:rsidP="00A20AF0">
            <w:pPr>
              <w:jc w:val="right"/>
              <w:rPr>
                <w:color w:val="000000"/>
                <w:sz w:val="22"/>
                <w:szCs w:val="22"/>
              </w:rPr>
            </w:pPr>
            <w:r w:rsidRPr="00D618B7">
              <w:rPr>
                <w:color w:val="000000"/>
                <w:sz w:val="20"/>
                <w:szCs w:val="20"/>
              </w:rPr>
              <w:t>92.43</w:t>
            </w:r>
          </w:p>
        </w:tc>
        <w:tc>
          <w:tcPr>
            <w:tcW w:w="1575" w:type="dxa"/>
            <w:tcBorders>
              <w:top w:val="nil"/>
              <w:left w:val="nil"/>
              <w:bottom w:val="nil"/>
              <w:right w:val="nil"/>
            </w:tcBorders>
            <w:shd w:val="clear" w:color="000000" w:fill="FFFFFF"/>
            <w:noWrap/>
            <w:vAlign w:val="center"/>
            <w:hideMark/>
          </w:tcPr>
          <w:p w14:paraId="42EFC908" w14:textId="3DD84F95" w:rsidR="00A20AF0" w:rsidRPr="00D618B7" w:rsidRDefault="00A20AF0" w:rsidP="00A20AF0">
            <w:pPr>
              <w:jc w:val="right"/>
              <w:rPr>
                <w:color w:val="000000"/>
                <w:sz w:val="22"/>
                <w:szCs w:val="22"/>
              </w:rPr>
            </w:pPr>
            <w:r w:rsidRPr="00D618B7">
              <w:rPr>
                <w:color w:val="000000"/>
                <w:sz w:val="20"/>
                <w:szCs w:val="20"/>
              </w:rPr>
              <w:t>3614.69</w:t>
            </w:r>
          </w:p>
        </w:tc>
        <w:tc>
          <w:tcPr>
            <w:tcW w:w="1098" w:type="dxa"/>
            <w:tcBorders>
              <w:top w:val="nil"/>
              <w:left w:val="nil"/>
              <w:bottom w:val="nil"/>
              <w:right w:val="nil"/>
            </w:tcBorders>
            <w:shd w:val="clear" w:color="000000" w:fill="FFFFFF"/>
            <w:noWrap/>
            <w:vAlign w:val="center"/>
            <w:hideMark/>
          </w:tcPr>
          <w:p w14:paraId="04001426" w14:textId="636894DD" w:rsidR="00A20AF0" w:rsidRPr="00D618B7" w:rsidRDefault="00A20AF0" w:rsidP="00A20AF0">
            <w:pPr>
              <w:jc w:val="right"/>
              <w:rPr>
                <w:color w:val="000000"/>
                <w:sz w:val="22"/>
                <w:szCs w:val="22"/>
              </w:rPr>
            </w:pPr>
            <w:r w:rsidRPr="00D618B7">
              <w:rPr>
                <w:color w:val="000000"/>
                <w:sz w:val="20"/>
                <w:szCs w:val="20"/>
              </w:rPr>
              <w:t>2216.69</w:t>
            </w:r>
          </w:p>
        </w:tc>
      </w:tr>
      <w:tr w:rsidR="00A20AF0" w:rsidRPr="00D618B7" w14:paraId="4842AD77" w14:textId="77777777" w:rsidTr="00A20AF0">
        <w:trPr>
          <w:trHeight w:val="242"/>
        </w:trPr>
        <w:tc>
          <w:tcPr>
            <w:tcW w:w="1305" w:type="dxa"/>
            <w:tcBorders>
              <w:top w:val="nil"/>
              <w:left w:val="nil"/>
              <w:bottom w:val="nil"/>
              <w:right w:val="nil"/>
            </w:tcBorders>
            <w:shd w:val="clear" w:color="000000" w:fill="FFFFFF"/>
            <w:vAlign w:val="center"/>
            <w:hideMark/>
          </w:tcPr>
          <w:p w14:paraId="484ABB57" w14:textId="77777777" w:rsidR="00A20AF0" w:rsidRPr="00D618B7" w:rsidRDefault="00A20AF0" w:rsidP="00A20AF0">
            <w:pPr>
              <w:jc w:val="right"/>
              <w:rPr>
                <w:color w:val="000000"/>
                <w:sz w:val="22"/>
                <w:szCs w:val="22"/>
              </w:rPr>
            </w:pPr>
            <w:r w:rsidRPr="00D618B7">
              <w:rPr>
                <w:color w:val="000000"/>
                <w:sz w:val="22"/>
                <w:szCs w:val="22"/>
              </w:rPr>
              <w:t>0</w:t>
            </w:r>
          </w:p>
        </w:tc>
        <w:tc>
          <w:tcPr>
            <w:tcW w:w="1093" w:type="dxa"/>
            <w:tcBorders>
              <w:top w:val="nil"/>
              <w:left w:val="nil"/>
              <w:bottom w:val="nil"/>
              <w:right w:val="nil"/>
            </w:tcBorders>
            <w:shd w:val="clear" w:color="000000" w:fill="FFFFFF"/>
            <w:noWrap/>
            <w:vAlign w:val="center"/>
            <w:hideMark/>
          </w:tcPr>
          <w:p w14:paraId="7601D2D1" w14:textId="7EFA2681" w:rsidR="00A20AF0" w:rsidRPr="00D618B7" w:rsidRDefault="00A20AF0" w:rsidP="00A20AF0">
            <w:pPr>
              <w:jc w:val="right"/>
              <w:rPr>
                <w:color w:val="000000"/>
                <w:sz w:val="22"/>
                <w:szCs w:val="22"/>
              </w:rPr>
            </w:pPr>
            <w:r w:rsidRPr="00D618B7">
              <w:rPr>
                <w:color w:val="000000"/>
                <w:sz w:val="20"/>
                <w:szCs w:val="20"/>
              </w:rPr>
              <w:t>112.97</w:t>
            </w:r>
          </w:p>
        </w:tc>
        <w:tc>
          <w:tcPr>
            <w:tcW w:w="1071" w:type="dxa"/>
            <w:tcBorders>
              <w:top w:val="nil"/>
              <w:left w:val="nil"/>
              <w:bottom w:val="nil"/>
              <w:right w:val="nil"/>
            </w:tcBorders>
            <w:shd w:val="clear" w:color="000000" w:fill="FFFFFF"/>
            <w:noWrap/>
            <w:vAlign w:val="center"/>
            <w:hideMark/>
          </w:tcPr>
          <w:p w14:paraId="3F019071" w14:textId="7D692EEA" w:rsidR="00A20AF0" w:rsidRPr="00D618B7" w:rsidRDefault="00A20AF0" w:rsidP="00A20AF0">
            <w:pPr>
              <w:jc w:val="right"/>
              <w:rPr>
                <w:color w:val="000000"/>
                <w:sz w:val="22"/>
                <w:szCs w:val="22"/>
              </w:rPr>
            </w:pPr>
            <w:r w:rsidRPr="00D618B7">
              <w:rPr>
                <w:color w:val="000000"/>
                <w:sz w:val="20"/>
                <w:szCs w:val="20"/>
              </w:rPr>
              <w:t>105.12</w:t>
            </w:r>
          </w:p>
        </w:tc>
        <w:tc>
          <w:tcPr>
            <w:tcW w:w="1522" w:type="dxa"/>
            <w:tcBorders>
              <w:top w:val="nil"/>
              <w:left w:val="nil"/>
              <w:bottom w:val="nil"/>
              <w:right w:val="nil"/>
            </w:tcBorders>
            <w:shd w:val="clear" w:color="000000" w:fill="FFFFFF"/>
            <w:noWrap/>
            <w:vAlign w:val="center"/>
            <w:hideMark/>
          </w:tcPr>
          <w:p w14:paraId="3A0F03E9" w14:textId="1059C066" w:rsidR="00A20AF0" w:rsidRPr="00D618B7" w:rsidRDefault="00A20AF0" w:rsidP="00A20AF0">
            <w:pPr>
              <w:jc w:val="right"/>
              <w:rPr>
                <w:color w:val="000000"/>
                <w:sz w:val="22"/>
                <w:szCs w:val="22"/>
              </w:rPr>
            </w:pPr>
            <w:r w:rsidRPr="00D618B7">
              <w:rPr>
                <w:color w:val="000000"/>
                <w:sz w:val="20"/>
                <w:szCs w:val="20"/>
              </w:rPr>
              <w:t>-94.46</w:t>
            </w:r>
          </w:p>
        </w:tc>
        <w:tc>
          <w:tcPr>
            <w:tcW w:w="1060" w:type="dxa"/>
            <w:tcBorders>
              <w:top w:val="nil"/>
              <w:left w:val="nil"/>
              <w:bottom w:val="nil"/>
              <w:right w:val="nil"/>
            </w:tcBorders>
            <w:shd w:val="clear" w:color="000000" w:fill="FFFFFF"/>
            <w:noWrap/>
            <w:vAlign w:val="center"/>
            <w:hideMark/>
          </w:tcPr>
          <w:p w14:paraId="6D15D8B5" w14:textId="7333B2DD" w:rsidR="00A20AF0" w:rsidRPr="00D618B7" w:rsidRDefault="00A20AF0" w:rsidP="00A20AF0">
            <w:pPr>
              <w:jc w:val="right"/>
              <w:rPr>
                <w:color w:val="000000"/>
                <w:sz w:val="22"/>
                <w:szCs w:val="22"/>
              </w:rPr>
            </w:pPr>
            <w:r w:rsidRPr="00D618B7">
              <w:rPr>
                <w:color w:val="000000"/>
                <w:sz w:val="20"/>
                <w:szCs w:val="20"/>
              </w:rPr>
              <w:t>116.56</w:t>
            </w:r>
          </w:p>
        </w:tc>
        <w:tc>
          <w:tcPr>
            <w:tcW w:w="1575" w:type="dxa"/>
            <w:tcBorders>
              <w:top w:val="nil"/>
              <w:left w:val="nil"/>
              <w:bottom w:val="nil"/>
              <w:right w:val="nil"/>
            </w:tcBorders>
            <w:shd w:val="clear" w:color="000000" w:fill="FFFFFF"/>
            <w:noWrap/>
            <w:vAlign w:val="center"/>
            <w:hideMark/>
          </w:tcPr>
          <w:p w14:paraId="7A279A80" w14:textId="3C053B3C" w:rsidR="00A20AF0" w:rsidRPr="00D618B7" w:rsidRDefault="00A20AF0" w:rsidP="00A20AF0">
            <w:pPr>
              <w:jc w:val="right"/>
              <w:rPr>
                <w:color w:val="000000"/>
                <w:sz w:val="22"/>
                <w:szCs w:val="22"/>
              </w:rPr>
            </w:pPr>
            <w:r w:rsidRPr="00D618B7">
              <w:rPr>
                <w:color w:val="000000"/>
                <w:sz w:val="20"/>
                <w:szCs w:val="20"/>
              </w:rPr>
              <w:t>2937.47</w:t>
            </w:r>
          </w:p>
        </w:tc>
        <w:tc>
          <w:tcPr>
            <w:tcW w:w="1098" w:type="dxa"/>
            <w:tcBorders>
              <w:top w:val="nil"/>
              <w:left w:val="nil"/>
              <w:bottom w:val="nil"/>
              <w:right w:val="nil"/>
            </w:tcBorders>
            <w:shd w:val="clear" w:color="000000" w:fill="FFFFFF"/>
            <w:noWrap/>
            <w:vAlign w:val="center"/>
            <w:hideMark/>
          </w:tcPr>
          <w:p w14:paraId="5C5F1F5A" w14:textId="2FCE623A" w:rsidR="00A20AF0" w:rsidRPr="00D618B7" w:rsidRDefault="00A20AF0" w:rsidP="00A20AF0">
            <w:pPr>
              <w:jc w:val="right"/>
              <w:rPr>
                <w:color w:val="000000"/>
                <w:sz w:val="22"/>
                <w:szCs w:val="22"/>
              </w:rPr>
            </w:pPr>
            <w:r w:rsidRPr="00D618B7">
              <w:rPr>
                <w:color w:val="000000"/>
                <w:sz w:val="20"/>
                <w:szCs w:val="20"/>
              </w:rPr>
              <w:t>2839.04</w:t>
            </w:r>
          </w:p>
        </w:tc>
      </w:tr>
      <w:tr w:rsidR="00A20AF0" w:rsidRPr="00D618B7" w14:paraId="59A0B1CE" w14:textId="77777777" w:rsidTr="00A20AF0">
        <w:trPr>
          <w:trHeight w:val="242"/>
        </w:trPr>
        <w:tc>
          <w:tcPr>
            <w:tcW w:w="1305" w:type="dxa"/>
            <w:tcBorders>
              <w:top w:val="nil"/>
              <w:left w:val="nil"/>
              <w:bottom w:val="nil"/>
              <w:right w:val="nil"/>
            </w:tcBorders>
            <w:shd w:val="clear" w:color="000000" w:fill="FFFFFF"/>
            <w:vAlign w:val="center"/>
            <w:hideMark/>
          </w:tcPr>
          <w:p w14:paraId="41058C0A" w14:textId="77777777" w:rsidR="00A20AF0" w:rsidRPr="00D618B7" w:rsidRDefault="00A20AF0" w:rsidP="00A20AF0">
            <w:pPr>
              <w:jc w:val="right"/>
              <w:rPr>
                <w:color w:val="000000"/>
                <w:sz w:val="22"/>
                <w:szCs w:val="22"/>
              </w:rPr>
            </w:pPr>
            <w:r w:rsidRPr="00D618B7">
              <w:rPr>
                <w:color w:val="000000"/>
                <w:sz w:val="22"/>
                <w:szCs w:val="22"/>
              </w:rPr>
              <w:t>1</w:t>
            </w:r>
          </w:p>
        </w:tc>
        <w:tc>
          <w:tcPr>
            <w:tcW w:w="1093" w:type="dxa"/>
            <w:tcBorders>
              <w:top w:val="nil"/>
              <w:left w:val="nil"/>
              <w:bottom w:val="nil"/>
              <w:right w:val="nil"/>
            </w:tcBorders>
            <w:shd w:val="clear" w:color="000000" w:fill="FFFFFF"/>
            <w:noWrap/>
            <w:vAlign w:val="center"/>
            <w:hideMark/>
          </w:tcPr>
          <w:p w14:paraId="0CDA455C" w14:textId="283D4354" w:rsidR="00A20AF0" w:rsidRPr="00D618B7" w:rsidRDefault="00A20AF0" w:rsidP="00A20AF0">
            <w:pPr>
              <w:jc w:val="right"/>
              <w:rPr>
                <w:color w:val="000000"/>
                <w:sz w:val="22"/>
                <w:szCs w:val="22"/>
              </w:rPr>
            </w:pPr>
            <w:r w:rsidRPr="00D618B7">
              <w:rPr>
                <w:color w:val="000000"/>
                <w:sz w:val="20"/>
                <w:szCs w:val="20"/>
              </w:rPr>
              <w:t>-28.27</w:t>
            </w:r>
          </w:p>
        </w:tc>
        <w:tc>
          <w:tcPr>
            <w:tcW w:w="1071" w:type="dxa"/>
            <w:tcBorders>
              <w:top w:val="nil"/>
              <w:left w:val="nil"/>
              <w:bottom w:val="nil"/>
              <w:right w:val="nil"/>
            </w:tcBorders>
            <w:shd w:val="clear" w:color="000000" w:fill="FFFFFF"/>
            <w:noWrap/>
            <w:vAlign w:val="center"/>
            <w:hideMark/>
          </w:tcPr>
          <w:p w14:paraId="2CA39937" w14:textId="0843EE59" w:rsidR="00A20AF0" w:rsidRPr="00D618B7" w:rsidRDefault="00A20AF0" w:rsidP="00A20AF0">
            <w:pPr>
              <w:jc w:val="right"/>
              <w:rPr>
                <w:color w:val="000000"/>
                <w:sz w:val="22"/>
                <w:szCs w:val="22"/>
              </w:rPr>
            </w:pPr>
            <w:r w:rsidRPr="00D618B7">
              <w:rPr>
                <w:color w:val="000000"/>
                <w:sz w:val="20"/>
                <w:szCs w:val="20"/>
              </w:rPr>
              <w:t>36.09</w:t>
            </w:r>
          </w:p>
        </w:tc>
        <w:tc>
          <w:tcPr>
            <w:tcW w:w="1522" w:type="dxa"/>
            <w:tcBorders>
              <w:top w:val="nil"/>
              <w:left w:val="nil"/>
              <w:bottom w:val="nil"/>
              <w:right w:val="nil"/>
            </w:tcBorders>
            <w:shd w:val="clear" w:color="000000" w:fill="FFFFFF"/>
            <w:noWrap/>
            <w:vAlign w:val="center"/>
            <w:hideMark/>
          </w:tcPr>
          <w:p w14:paraId="1B398EB3" w14:textId="07BDD178" w:rsidR="00A20AF0" w:rsidRPr="00D618B7" w:rsidRDefault="00A20AF0" w:rsidP="00A20AF0">
            <w:pPr>
              <w:jc w:val="right"/>
              <w:rPr>
                <w:color w:val="000000"/>
                <w:sz w:val="22"/>
                <w:szCs w:val="22"/>
              </w:rPr>
            </w:pPr>
            <w:r w:rsidRPr="00D618B7">
              <w:rPr>
                <w:color w:val="000000"/>
                <w:sz w:val="20"/>
                <w:szCs w:val="20"/>
              </w:rPr>
              <w:t>149.05</w:t>
            </w:r>
          </w:p>
        </w:tc>
        <w:tc>
          <w:tcPr>
            <w:tcW w:w="1060" w:type="dxa"/>
            <w:tcBorders>
              <w:top w:val="nil"/>
              <w:left w:val="nil"/>
              <w:bottom w:val="nil"/>
              <w:right w:val="nil"/>
            </w:tcBorders>
            <w:shd w:val="clear" w:color="000000" w:fill="FFFFFF"/>
            <w:noWrap/>
            <w:vAlign w:val="center"/>
            <w:hideMark/>
          </w:tcPr>
          <w:p w14:paraId="0A2439F4" w14:textId="298DCFD3" w:rsidR="00A20AF0" w:rsidRPr="00D618B7" w:rsidRDefault="00A20AF0" w:rsidP="00A20AF0">
            <w:pPr>
              <w:jc w:val="right"/>
              <w:rPr>
                <w:color w:val="000000"/>
                <w:sz w:val="22"/>
                <w:szCs w:val="22"/>
              </w:rPr>
            </w:pPr>
            <w:r w:rsidRPr="00D618B7">
              <w:rPr>
                <w:color w:val="000000"/>
                <w:sz w:val="20"/>
                <w:szCs w:val="20"/>
              </w:rPr>
              <w:t>55.99</w:t>
            </w:r>
          </w:p>
        </w:tc>
        <w:tc>
          <w:tcPr>
            <w:tcW w:w="1575" w:type="dxa"/>
            <w:tcBorders>
              <w:top w:val="nil"/>
              <w:left w:val="nil"/>
              <w:bottom w:val="nil"/>
              <w:right w:val="nil"/>
            </w:tcBorders>
            <w:shd w:val="clear" w:color="000000" w:fill="FFFFFF"/>
            <w:noWrap/>
            <w:vAlign w:val="center"/>
            <w:hideMark/>
          </w:tcPr>
          <w:p w14:paraId="2ACFFFB6" w14:textId="5556488F" w:rsidR="00A20AF0" w:rsidRPr="00D618B7" w:rsidRDefault="00A20AF0" w:rsidP="00A20AF0">
            <w:pPr>
              <w:jc w:val="right"/>
              <w:rPr>
                <w:color w:val="000000"/>
                <w:sz w:val="22"/>
                <w:szCs w:val="22"/>
              </w:rPr>
            </w:pPr>
            <w:r w:rsidRPr="00D618B7">
              <w:rPr>
                <w:color w:val="000000"/>
                <w:sz w:val="20"/>
                <w:szCs w:val="20"/>
              </w:rPr>
              <w:t>1483.10</w:t>
            </w:r>
          </w:p>
        </w:tc>
        <w:tc>
          <w:tcPr>
            <w:tcW w:w="1098" w:type="dxa"/>
            <w:tcBorders>
              <w:top w:val="nil"/>
              <w:left w:val="nil"/>
              <w:bottom w:val="nil"/>
              <w:right w:val="nil"/>
            </w:tcBorders>
            <w:shd w:val="clear" w:color="000000" w:fill="FFFFFF"/>
            <w:noWrap/>
            <w:vAlign w:val="center"/>
            <w:hideMark/>
          </w:tcPr>
          <w:p w14:paraId="0891BA31" w14:textId="7B1D7262" w:rsidR="00A20AF0" w:rsidRPr="00D618B7" w:rsidRDefault="00A20AF0" w:rsidP="00A20AF0">
            <w:pPr>
              <w:jc w:val="right"/>
              <w:rPr>
                <w:color w:val="000000"/>
                <w:sz w:val="22"/>
                <w:szCs w:val="22"/>
              </w:rPr>
            </w:pPr>
            <w:r w:rsidRPr="00D618B7">
              <w:rPr>
                <w:color w:val="000000"/>
                <w:sz w:val="20"/>
                <w:szCs w:val="20"/>
              </w:rPr>
              <w:t>500.44</w:t>
            </w:r>
          </w:p>
        </w:tc>
      </w:tr>
      <w:tr w:rsidR="00A20AF0" w:rsidRPr="00D618B7" w14:paraId="2ADE8AD5" w14:textId="77777777" w:rsidTr="00A20AF0">
        <w:trPr>
          <w:trHeight w:val="242"/>
        </w:trPr>
        <w:tc>
          <w:tcPr>
            <w:tcW w:w="1305" w:type="dxa"/>
            <w:tcBorders>
              <w:top w:val="nil"/>
              <w:left w:val="nil"/>
              <w:bottom w:val="nil"/>
              <w:right w:val="nil"/>
            </w:tcBorders>
            <w:shd w:val="clear" w:color="000000" w:fill="FFFFFF"/>
            <w:vAlign w:val="center"/>
            <w:hideMark/>
          </w:tcPr>
          <w:p w14:paraId="04D21B09" w14:textId="77777777" w:rsidR="00A20AF0" w:rsidRPr="00D618B7" w:rsidRDefault="00A20AF0" w:rsidP="00A20AF0">
            <w:pPr>
              <w:jc w:val="right"/>
              <w:rPr>
                <w:color w:val="000000"/>
                <w:sz w:val="22"/>
                <w:szCs w:val="22"/>
              </w:rPr>
            </w:pPr>
            <w:r w:rsidRPr="00D618B7">
              <w:rPr>
                <w:color w:val="000000"/>
                <w:sz w:val="22"/>
                <w:szCs w:val="22"/>
              </w:rPr>
              <w:t>2</w:t>
            </w:r>
          </w:p>
        </w:tc>
        <w:tc>
          <w:tcPr>
            <w:tcW w:w="1093" w:type="dxa"/>
            <w:tcBorders>
              <w:top w:val="nil"/>
              <w:left w:val="nil"/>
              <w:bottom w:val="nil"/>
              <w:right w:val="nil"/>
            </w:tcBorders>
            <w:shd w:val="clear" w:color="000000" w:fill="FFFFFF"/>
            <w:noWrap/>
            <w:vAlign w:val="center"/>
            <w:hideMark/>
          </w:tcPr>
          <w:p w14:paraId="0B63CAAA" w14:textId="07628FA8" w:rsidR="00A20AF0" w:rsidRPr="00D618B7" w:rsidRDefault="00A20AF0" w:rsidP="00A20AF0">
            <w:pPr>
              <w:jc w:val="right"/>
              <w:rPr>
                <w:color w:val="000000"/>
                <w:sz w:val="22"/>
                <w:szCs w:val="22"/>
              </w:rPr>
            </w:pPr>
            <w:r w:rsidRPr="00D618B7">
              <w:rPr>
                <w:color w:val="000000"/>
                <w:sz w:val="20"/>
                <w:szCs w:val="20"/>
              </w:rPr>
              <w:t>83.14</w:t>
            </w:r>
          </w:p>
        </w:tc>
        <w:tc>
          <w:tcPr>
            <w:tcW w:w="1071" w:type="dxa"/>
            <w:tcBorders>
              <w:top w:val="nil"/>
              <w:left w:val="nil"/>
              <w:bottom w:val="nil"/>
              <w:right w:val="nil"/>
            </w:tcBorders>
            <w:shd w:val="clear" w:color="000000" w:fill="FFFFFF"/>
            <w:noWrap/>
            <w:vAlign w:val="center"/>
            <w:hideMark/>
          </w:tcPr>
          <w:p w14:paraId="0E629D8C" w14:textId="57239EE4" w:rsidR="00A20AF0" w:rsidRPr="00D618B7" w:rsidRDefault="00A20AF0" w:rsidP="00A20AF0">
            <w:pPr>
              <w:jc w:val="right"/>
              <w:rPr>
                <w:color w:val="000000"/>
                <w:sz w:val="22"/>
                <w:szCs w:val="22"/>
              </w:rPr>
            </w:pPr>
            <w:r w:rsidRPr="00D618B7">
              <w:rPr>
                <w:color w:val="000000"/>
                <w:sz w:val="20"/>
                <w:szCs w:val="20"/>
              </w:rPr>
              <w:t>39.84</w:t>
            </w:r>
          </w:p>
        </w:tc>
        <w:tc>
          <w:tcPr>
            <w:tcW w:w="1522" w:type="dxa"/>
            <w:tcBorders>
              <w:top w:val="nil"/>
              <w:left w:val="nil"/>
              <w:bottom w:val="nil"/>
              <w:right w:val="nil"/>
            </w:tcBorders>
            <w:shd w:val="clear" w:color="000000" w:fill="FFFFFF"/>
            <w:noWrap/>
            <w:vAlign w:val="center"/>
            <w:hideMark/>
          </w:tcPr>
          <w:p w14:paraId="7842C9C4" w14:textId="0F222BC7" w:rsidR="00A20AF0" w:rsidRPr="00D618B7" w:rsidRDefault="00A20AF0" w:rsidP="00A20AF0">
            <w:pPr>
              <w:jc w:val="right"/>
              <w:rPr>
                <w:color w:val="000000"/>
                <w:sz w:val="22"/>
                <w:szCs w:val="22"/>
              </w:rPr>
            </w:pPr>
            <w:r w:rsidRPr="00D618B7">
              <w:rPr>
                <w:color w:val="000000"/>
                <w:sz w:val="20"/>
                <w:szCs w:val="20"/>
              </w:rPr>
              <w:t>-341.02</w:t>
            </w:r>
          </w:p>
        </w:tc>
        <w:tc>
          <w:tcPr>
            <w:tcW w:w="1060" w:type="dxa"/>
            <w:tcBorders>
              <w:top w:val="nil"/>
              <w:left w:val="nil"/>
              <w:bottom w:val="nil"/>
              <w:right w:val="nil"/>
            </w:tcBorders>
            <w:shd w:val="clear" w:color="000000" w:fill="FFFFFF"/>
            <w:noWrap/>
            <w:vAlign w:val="center"/>
            <w:hideMark/>
          </w:tcPr>
          <w:p w14:paraId="3543501A" w14:textId="7BD05582" w:rsidR="00A20AF0" w:rsidRPr="00D618B7" w:rsidRDefault="00A20AF0" w:rsidP="00A20AF0">
            <w:pPr>
              <w:jc w:val="right"/>
              <w:rPr>
                <w:color w:val="000000"/>
                <w:sz w:val="22"/>
                <w:szCs w:val="22"/>
              </w:rPr>
            </w:pPr>
            <w:r w:rsidRPr="00D618B7">
              <w:rPr>
                <w:color w:val="000000"/>
                <w:sz w:val="20"/>
                <w:szCs w:val="20"/>
              </w:rPr>
              <w:t>110.55</w:t>
            </w:r>
          </w:p>
        </w:tc>
        <w:tc>
          <w:tcPr>
            <w:tcW w:w="1575" w:type="dxa"/>
            <w:tcBorders>
              <w:top w:val="nil"/>
              <w:left w:val="nil"/>
              <w:bottom w:val="nil"/>
              <w:right w:val="nil"/>
            </w:tcBorders>
            <w:shd w:val="clear" w:color="000000" w:fill="FFFFFF"/>
            <w:noWrap/>
            <w:vAlign w:val="center"/>
            <w:hideMark/>
          </w:tcPr>
          <w:p w14:paraId="7264BE7F" w14:textId="38297D97" w:rsidR="00A20AF0" w:rsidRPr="00D618B7" w:rsidRDefault="00A20AF0" w:rsidP="00A20AF0">
            <w:pPr>
              <w:jc w:val="right"/>
              <w:rPr>
                <w:color w:val="000000"/>
                <w:sz w:val="22"/>
                <w:szCs w:val="22"/>
              </w:rPr>
            </w:pPr>
            <w:r w:rsidRPr="00D618B7">
              <w:rPr>
                <w:color w:val="000000"/>
                <w:sz w:val="20"/>
                <w:szCs w:val="20"/>
              </w:rPr>
              <w:t>319.49</w:t>
            </w:r>
          </w:p>
        </w:tc>
        <w:tc>
          <w:tcPr>
            <w:tcW w:w="1098" w:type="dxa"/>
            <w:tcBorders>
              <w:top w:val="nil"/>
              <w:left w:val="nil"/>
              <w:bottom w:val="nil"/>
              <w:right w:val="nil"/>
            </w:tcBorders>
            <w:shd w:val="clear" w:color="000000" w:fill="FFFFFF"/>
            <w:noWrap/>
            <w:vAlign w:val="center"/>
            <w:hideMark/>
          </w:tcPr>
          <w:p w14:paraId="1DED122A" w14:textId="3485148F" w:rsidR="00A20AF0" w:rsidRPr="00D618B7" w:rsidRDefault="00A20AF0" w:rsidP="00A20AF0">
            <w:pPr>
              <w:jc w:val="right"/>
              <w:rPr>
                <w:color w:val="000000"/>
                <w:sz w:val="22"/>
                <w:szCs w:val="22"/>
              </w:rPr>
            </w:pPr>
            <w:r w:rsidRPr="00D618B7">
              <w:rPr>
                <w:color w:val="000000"/>
                <w:sz w:val="20"/>
                <w:szCs w:val="20"/>
              </w:rPr>
              <w:t>305.40</w:t>
            </w:r>
          </w:p>
        </w:tc>
      </w:tr>
      <w:tr w:rsidR="00A20AF0" w:rsidRPr="00D618B7" w14:paraId="7B6F58ED" w14:textId="77777777" w:rsidTr="00A20AF0">
        <w:trPr>
          <w:trHeight w:val="242"/>
        </w:trPr>
        <w:tc>
          <w:tcPr>
            <w:tcW w:w="1305" w:type="dxa"/>
            <w:tcBorders>
              <w:top w:val="nil"/>
              <w:left w:val="nil"/>
              <w:bottom w:val="nil"/>
              <w:right w:val="nil"/>
            </w:tcBorders>
            <w:shd w:val="clear" w:color="000000" w:fill="FFFFFF"/>
            <w:vAlign w:val="center"/>
            <w:hideMark/>
          </w:tcPr>
          <w:p w14:paraId="3680E259" w14:textId="77777777" w:rsidR="00A20AF0" w:rsidRPr="00D618B7" w:rsidRDefault="00A20AF0" w:rsidP="00A20AF0">
            <w:pPr>
              <w:jc w:val="right"/>
              <w:rPr>
                <w:color w:val="000000"/>
                <w:sz w:val="22"/>
                <w:szCs w:val="22"/>
              </w:rPr>
            </w:pPr>
            <w:r w:rsidRPr="00D618B7">
              <w:rPr>
                <w:color w:val="000000"/>
                <w:sz w:val="22"/>
                <w:szCs w:val="22"/>
              </w:rPr>
              <w:t>3</w:t>
            </w:r>
          </w:p>
        </w:tc>
        <w:tc>
          <w:tcPr>
            <w:tcW w:w="1093" w:type="dxa"/>
            <w:tcBorders>
              <w:top w:val="nil"/>
              <w:left w:val="nil"/>
              <w:bottom w:val="nil"/>
              <w:right w:val="nil"/>
            </w:tcBorders>
            <w:shd w:val="clear" w:color="000000" w:fill="FFFFFF"/>
            <w:noWrap/>
            <w:vAlign w:val="center"/>
            <w:hideMark/>
          </w:tcPr>
          <w:p w14:paraId="0978496D" w14:textId="76554B72" w:rsidR="00A20AF0" w:rsidRPr="00D618B7" w:rsidRDefault="00A20AF0" w:rsidP="00A20AF0">
            <w:pPr>
              <w:jc w:val="right"/>
              <w:rPr>
                <w:color w:val="000000"/>
                <w:sz w:val="22"/>
                <w:szCs w:val="22"/>
              </w:rPr>
            </w:pPr>
            <w:r w:rsidRPr="00D618B7">
              <w:rPr>
                <w:color w:val="000000"/>
                <w:sz w:val="20"/>
                <w:szCs w:val="20"/>
              </w:rPr>
              <w:t>-102.12</w:t>
            </w:r>
          </w:p>
        </w:tc>
        <w:tc>
          <w:tcPr>
            <w:tcW w:w="1071" w:type="dxa"/>
            <w:tcBorders>
              <w:top w:val="nil"/>
              <w:left w:val="nil"/>
              <w:bottom w:val="nil"/>
              <w:right w:val="nil"/>
            </w:tcBorders>
            <w:shd w:val="clear" w:color="000000" w:fill="FFFFFF"/>
            <w:noWrap/>
            <w:vAlign w:val="center"/>
            <w:hideMark/>
          </w:tcPr>
          <w:p w14:paraId="66A58CF3" w14:textId="438F773F" w:rsidR="00A20AF0" w:rsidRPr="00D618B7" w:rsidRDefault="00A20AF0" w:rsidP="00A20AF0">
            <w:pPr>
              <w:jc w:val="right"/>
              <w:rPr>
                <w:color w:val="000000"/>
                <w:sz w:val="22"/>
                <w:szCs w:val="22"/>
              </w:rPr>
            </w:pPr>
            <w:r w:rsidRPr="00D618B7">
              <w:rPr>
                <w:color w:val="000000"/>
                <w:sz w:val="20"/>
                <w:szCs w:val="20"/>
              </w:rPr>
              <w:t>30.01</w:t>
            </w:r>
          </w:p>
        </w:tc>
        <w:tc>
          <w:tcPr>
            <w:tcW w:w="1522" w:type="dxa"/>
            <w:tcBorders>
              <w:top w:val="nil"/>
              <w:left w:val="nil"/>
              <w:bottom w:val="nil"/>
              <w:right w:val="nil"/>
            </w:tcBorders>
            <w:shd w:val="clear" w:color="000000" w:fill="FFFFFF"/>
            <w:noWrap/>
            <w:vAlign w:val="center"/>
            <w:hideMark/>
          </w:tcPr>
          <w:p w14:paraId="781D2283" w14:textId="02638F3C" w:rsidR="00A20AF0" w:rsidRPr="00D618B7" w:rsidRDefault="00A20AF0" w:rsidP="00A20AF0">
            <w:pPr>
              <w:jc w:val="right"/>
              <w:rPr>
                <w:color w:val="000000"/>
                <w:sz w:val="22"/>
                <w:szCs w:val="22"/>
              </w:rPr>
            </w:pPr>
            <w:r w:rsidRPr="00D618B7">
              <w:rPr>
                <w:color w:val="000000"/>
                <w:sz w:val="20"/>
                <w:szCs w:val="20"/>
              </w:rPr>
              <w:t>487.29</w:t>
            </w:r>
          </w:p>
        </w:tc>
        <w:tc>
          <w:tcPr>
            <w:tcW w:w="1060" w:type="dxa"/>
            <w:tcBorders>
              <w:top w:val="nil"/>
              <w:left w:val="nil"/>
              <w:bottom w:val="nil"/>
              <w:right w:val="nil"/>
            </w:tcBorders>
            <w:shd w:val="clear" w:color="000000" w:fill="FFFFFF"/>
            <w:noWrap/>
            <w:vAlign w:val="center"/>
            <w:hideMark/>
          </w:tcPr>
          <w:p w14:paraId="10C1EC6F" w14:textId="3D2215EA" w:rsidR="00A20AF0" w:rsidRPr="00D618B7" w:rsidRDefault="00A20AF0" w:rsidP="00A20AF0">
            <w:pPr>
              <w:jc w:val="right"/>
              <w:rPr>
                <w:color w:val="000000"/>
                <w:sz w:val="22"/>
                <w:szCs w:val="22"/>
              </w:rPr>
            </w:pPr>
            <w:r w:rsidRPr="00D618B7">
              <w:rPr>
                <w:color w:val="000000"/>
                <w:sz w:val="20"/>
                <w:szCs w:val="20"/>
              </w:rPr>
              <w:t>74.21</w:t>
            </w:r>
          </w:p>
        </w:tc>
        <w:tc>
          <w:tcPr>
            <w:tcW w:w="1575" w:type="dxa"/>
            <w:tcBorders>
              <w:top w:val="nil"/>
              <w:left w:val="nil"/>
              <w:bottom w:val="nil"/>
              <w:right w:val="nil"/>
            </w:tcBorders>
            <w:shd w:val="clear" w:color="000000" w:fill="FFFFFF"/>
            <w:noWrap/>
            <w:vAlign w:val="center"/>
            <w:hideMark/>
          </w:tcPr>
          <w:p w14:paraId="7A982714" w14:textId="6A758DF2" w:rsidR="00A20AF0" w:rsidRPr="00D618B7" w:rsidRDefault="00A20AF0" w:rsidP="00A20AF0">
            <w:pPr>
              <w:jc w:val="right"/>
              <w:rPr>
                <w:color w:val="000000"/>
                <w:sz w:val="22"/>
                <w:szCs w:val="22"/>
              </w:rPr>
            </w:pPr>
            <w:r w:rsidRPr="00D618B7">
              <w:rPr>
                <w:color w:val="000000"/>
                <w:sz w:val="20"/>
                <w:szCs w:val="20"/>
              </w:rPr>
              <w:t>-1051.99</w:t>
            </w:r>
          </w:p>
        </w:tc>
        <w:tc>
          <w:tcPr>
            <w:tcW w:w="1098" w:type="dxa"/>
            <w:tcBorders>
              <w:top w:val="nil"/>
              <w:left w:val="nil"/>
              <w:bottom w:val="nil"/>
              <w:right w:val="nil"/>
            </w:tcBorders>
            <w:shd w:val="clear" w:color="000000" w:fill="FFFFFF"/>
            <w:noWrap/>
            <w:vAlign w:val="center"/>
            <w:hideMark/>
          </w:tcPr>
          <w:p w14:paraId="3A20126B" w14:textId="5A604884" w:rsidR="00A20AF0" w:rsidRPr="00D618B7" w:rsidRDefault="00A20AF0" w:rsidP="00A20AF0">
            <w:pPr>
              <w:jc w:val="right"/>
              <w:rPr>
                <w:color w:val="000000"/>
                <w:sz w:val="22"/>
                <w:szCs w:val="22"/>
              </w:rPr>
            </w:pPr>
            <w:r w:rsidRPr="00D618B7">
              <w:rPr>
                <w:color w:val="000000"/>
                <w:sz w:val="20"/>
                <w:szCs w:val="20"/>
              </w:rPr>
              <w:t>1471.94</w:t>
            </w:r>
          </w:p>
        </w:tc>
      </w:tr>
      <w:tr w:rsidR="00A20AF0" w:rsidRPr="00D618B7" w14:paraId="0D8152D9" w14:textId="77777777" w:rsidTr="00A20AF0">
        <w:trPr>
          <w:trHeight w:val="242"/>
        </w:trPr>
        <w:tc>
          <w:tcPr>
            <w:tcW w:w="1305" w:type="dxa"/>
            <w:tcBorders>
              <w:top w:val="nil"/>
              <w:left w:val="nil"/>
              <w:right w:val="nil"/>
            </w:tcBorders>
            <w:shd w:val="clear" w:color="000000" w:fill="FFFFFF"/>
            <w:vAlign w:val="center"/>
            <w:hideMark/>
          </w:tcPr>
          <w:p w14:paraId="79B375EE" w14:textId="77777777" w:rsidR="00A20AF0" w:rsidRPr="00D618B7" w:rsidRDefault="00A20AF0" w:rsidP="00A20AF0">
            <w:pPr>
              <w:jc w:val="right"/>
              <w:rPr>
                <w:color w:val="000000"/>
                <w:sz w:val="22"/>
                <w:szCs w:val="22"/>
              </w:rPr>
            </w:pPr>
            <w:r w:rsidRPr="00D618B7">
              <w:rPr>
                <w:color w:val="000000"/>
                <w:sz w:val="22"/>
                <w:szCs w:val="22"/>
              </w:rPr>
              <w:t>4</w:t>
            </w:r>
          </w:p>
        </w:tc>
        <w:tc>
          <w:tcPr>
            <w:tcW w:w="1093" w:type="dxa"/>
            <w:tcBorders>
              <w:top w:val="nil"/>
              <w:left w:val="nil"/>
              <w:right w:val="nil"/>
            </w:tcBorders>
            <w:shd w:val="clear" w:color="000000" w:fill="FFFFFF"/>
            <w:noWrap/>
            <w:vAlign w:val="center"/>
            <w:hideMark/>
          </w:tcPr>
          <w:p w14:paraId="74C012C9" w14:textId="10926396" w:rsidR="00A20AF0" w:rsidRPr="00D618B7" w:rsidRDefault="00A20AF0" w:rsidP="00A20AF0">
            <w:pPr>
              <w:jc w:val="right"/>
              <w:rPr>
                <w:color w:val="000000"/>
                <w:sz w:val="22"/>
                <w:szCs w:val="22"/>
              </w:rPr>
            </w:pPr>
            <w:r w:rsidRPr="00D618B7">
              <w:rPr>
                <w:color w:val="000000"/>
                <w:sz w:val="20"/>
                <w:szCs w:val="20"/>
              </w:rPr>
              <w:t>201.50</w:t>
            </w:r>
          </w:p>
        </w:tc>
        <w:tc>
          <w:tcPr>
            <w:tcW w:w="1071" w:type="dxa"/>
            <w:tcBorders>
              <w:top w:val="nil"/>
              <w:left w:val="nil"/>
              <w:right w:val="nil"/>
            </w:tcBorders>
            <w:shd w:val="clear" w:color="000000" w:fill="FFFFFF"/>
            <w:noWrap/>
            <w:vAlign w:val="center"/>
            <w:hideMark/>
          </w:tcPr>
          <w:p w14:paraId="079D9572" w14:textId="226BF2BE" w:rsidR="00A20AF0" w:rsidRPr="00D618B7" w:rsidRDefault="00A20AF0" w:rsidP="00A20AF0">
            <w:pPr>
              <w:jc w:val="right"/>
              <w:rPr>
                <w:color w:val="000000"/>
                <w:sz w:val="22"/>
                <w:szCs w:val="22"/>
              </w:rPr>
            </w:pPr>
            <w:r w:rsidRPr="00D618B7">
              <w:rPr>
                <w:color w:val="000000"/>
                <w:sz w:val="20"/>
                <w:szCs w:val="20"/>
              </w:rPr>
              <w:t>87.48</w:t>
            </w:r>
          </w:p>
        </w:tc>
        <w:tc>
          <w:tcPr>
            <w:tcW w:w="1522" w:type="dxa"/>
            <w:tcBorders>
              <w:top w:val="nil"/>
              <w:left w:val="nil"/>
              <w:right w:val="nil"/>
            </w:tcBorders>
            <w:shd w:val="clear" w:color="000000" w:fill="FFFFFF"/>
            <w:noWrap/>
            <w:vAlign w:val="center"/>
            <w:hideMark/>
          </w:tcPr>
          <w:p w14:paraId="437AE399" w14:textId="5EAB7FC7" w:rsidR="00A20AF0" w:rsidRPr="00D618B7" w:rsidRDefault="00A20AF0" w:rsidP="00A20AF0">
            <w:pPr>
              <w:jc w:val="right"/>
              <w:rPr>
                <w:color w:val="000000"/>
                <w:sz w:val="22"/>
                <w:szCs w:val="22"/>
              </w:rPr>
            </w:pPr>
            <w:r w:rsidRPr="00D618B7">
              <w:rPr>
                <w:color w:val="000000"/>
                <w:sz w:val="20"/>
                <w:szCs w:val="20"/>
              </w:rPr>
              <w:t>-776.00</w:t>
            </w:r>
          </w:p>
        </w:tc>
        <w:tc>
          <w:tcPr>
            <w:tcW w:w="1060" w:type="dxa"/>
            <w:tcBorders>
              <w:top w:val="nil"/>
              <w:left w:val="nil"/>
              <w:right w:val="nil"/>
            </w:tcBorders>
            <w:shd w:val="clear" w:color="000000" w:fill="FFFFFF"/>
            <w:noWrap/>
            <w:vAlign w:val="center"/>
            <w:hideMark/>
          </w:tcPr>
          <w:p w14:paraId="5C7A2C5D" w14:textId="05CB4BC1" w:rsidR="00A20AF0" w:rsidRPr="00D618B7" w:rsidRDefault="00A20AF0" w:rsidP="00A20AF0">
            <w:pPr>
              <w:jc w:val="right"/>
              <w:rPr>
                <w:color w:val="000000"/>
                <w:sz w:val="22"/>
                <w:szCs w:val="22"/>
              </w:rPr>
            </w:pPr>
            <w:r w:rsidRPr="00D618B7">
              <w:rPr>
                <w:color w:val="000000"/>
                <w:sz w:val="20"/>
                <w:szCs w:val="20"/>
              </w:rPr>
              <w:t>76.40</w:t>
            </w:r>
          </w:p>
        </w:tc>
        <w:tc>
          <w:tcPr>
            <w:tcW w:w="1575" w:type="dxa"/>
            <w:tcBorders>
              <w:top w:val="nil"/>
              <w:left w:val="nil"/>
              <w:right w:val="nil"/>
            </w:tcBorders>
            <w:shd w:val="clear" w:color="000000" w:fill="FFFFFF"/>
            <w:noWrap/>
            <w:vAlign w:val="center"/>
            <w:hideMark/>
          </w:tcPr>
          <w:p w14:paraId="5604C613" w14:textId="3F351464" w:rsidR="00A20AF0" w:rsidRPr="00D618B7" w:rsidRDefault="00A20AF0" w:rsidP="00A20AF0">
            <w:pPr>
              <w:jc w:val="right"/>
              <w:rPr>
                <w:color w:val="000000"/>
                <w:sz w:val="22"/>
                <w:szCs w:val="22"/>
              </w:rPr>
            </w:pPr>
            <w:r w:rsidRPr="00D618B7">
              <w:rPr>
                <w:color w:val="000000"/>
                <w:sz w:val="20"/>
                <w:szCs w:val="20"/>
              </w:rPr>
              <w:t>8930.24</w:t>
            </w:r>
          </w:p>
        </w:tc>
        <w:tc>
          <w:tcPr>
            <w:tcW w:w="1098" w:type="dxa"/>
            <w:tcBorders>
              <w:top w:val="nil"/>
              <w:left w:val="nil"/>
              <w:right w:val="nil"/>
            </w:tcBorders>
            <w:shd w:val="clear" w:color="000000" w:fill="FFFFFF"/>
            <w:noWrap/>
            <w:vAlign w:val="center"/>
            <w:hideMark/>
          </w:tcPr>
          <w:p w14:paraId="102F9C06" w14:textId="4FCF930A" w:rsidR="00A20AF0" w:rsidRPr="00D618B7" w:rsidRDefault="00A20AF0" w:rsidP="00A20AF0">
            <w:pPr>
              <w:jc w:val="right"/>
              <w:rPr>
                <w:color w:val="000000"/>
                <w:sz w:val="22"/>
                <w:szCs w:val="22"/>
              </w:rPr>
            </w:pPr>
            <w:r w:rsidRPr="00D618B7">
              <w:rPr>
                <w:color w:val="000000"/>
                <w:sz w:val="20"/>
                <w:szCs w:val="20"/>
              </w:rPr>
              <w:t>4286.45</w:t>
            </w:r>
          </w:p>
        </w:tc>
      </w:tr>
      <w:tr w:rsidR="00A20AF0" w:rsidRPr="00D618B7" w14:paraId="501C8BA5" w14:textId="77777777" w:rsidTr="00A20AF0">
        <w:trPr>
          <w:trHeight w:val="253"/>
        </w:trPr>
        <w:tc>
          <w:tcPr>
            <w:tcW w:w="1305" w:type="dxa"/>
            <w:tcBorders>
              <w:top w:val="nil"/>
              <w:left w:val="nil"/>
              <w:bottom w:val="single" w:sz="18" w:space="0" w:color="auto"/>
              <w:right w:val="nil"/>
            </w:tcBorders>
            <w:shd w:val="clear" w:color="000000" w:fill="FFFFFF"/>
            <w:vAlign w:val="center"/>
            <w:hideMark/>
          </w:tcPr>
          <w:p w14:paraId="3553F8F1" w14:textId="77777777" w:rsidR="00A20AF0" w:rsidRPr="00D618B7" w:rsidRDefault="00A20AF0" w:rsidP="00A20AF0">
            <w:pPr>
              <w:jc w:val="right"/>
              <w:rPr>
                <w:color w:val="000000"/>
                <w:sz w:val="22"/>
                <w:szCs w:val="22"/>
              </w:rPr>
            </w:pPr>
            <w:r w:rsidRPr="00D618B7">
              <w:rPr>
                <w:color w:val="000000"/>
                <w:sz w:val="22"/>
                <w:szCs w:val="22"/>
              </w:rPr>
              <w:t>5</w:t>
            </w:r>
          </w:p>
        </w:tc>
        <w:tc>
          <w:tcPr>
            <w:tcW w:w="1093" w:type="dxa"/>
            <w:tcBorders>
              <w:top w:val="nil"/>
              <w:left w:val="nil"/>
              <w:bottom w:val="single" w:sz="18" w:space="0" w:color="auto"/>
              <w:right w:val="nil"/>
            </w:tcBorders>
            <w:shd w:val="clear" w:color="000000" w:fill="FFFFFF"/>
            <w:noWrap/>
            <w:vAlign w:val="center"/>
            <w:hideMark/>
          </w:tcPr>
          <w:p w14:paraId="71821289" w14:textId="254C47CE" w:rsidR="00A20AF0" w:rsidRPr="00D618B7" w:rsidRDefault="00A20AF0" w:rsidP="00A20AF0">
            <w:pPr>
              <w:jc w:val="right"/>
              <w:rPr>
                <w:color w:val="000000"/>
                <w:sz w:val="22"/>
                <w:szCs w:val="22"/>
              </w:rPr>
            </w:pPr>
            <w:r w:rsidRPr="00D618B7">
              <w:rPr>
                <w:color w:val="000000"/>
                <w:sz w:val="20"/>
                <w:szCs w:val="20"/>
              </w:rPr>
              <w:t>-250.72</w:t>
            </w:r>
          </w:p>
        </w:tc>
        <w:tc>
          <w:tcPr>
            <w:tcW w:w="1071" w:type="dxa"/>
            <w:tcBorders>
              <w:top w:val="nil"/>
              <w:left w:val="nil"/>
              <w:bottom w:val="single" w:sz="18" w:space="0" w:color="auto"/>
              <w:right w:val="nil"/>
            </w:tcBorders>
            <w:shd w:val="clear" w:color="000000" w:fill="FFFFFF"/>
            <w:noWrap/>
            <w:vAlign w:val="center"/>
            <w:hideMark/>
          </w:tcPr>
          <w:p w14:paraId="260DFB92" w14:textId="0831A656" w:rsidR="00A20AF0" w:rsidRPr="00D618B7" w:rsidRDefault="00A20AF0" w:rsidP="00A20AF0">
            <w:pPr>
              <w:jc w:val="right"/>
              <w:rPr>
                <w:color w:val="000000"/>
                <w:sz w:val="22"/>
                <w:szCs w:val="22"/>
              </w:rPr>
            </w:pPr>
            <w:r w:rsidRPr="00D618B7">
              <w:rPr>
                <w:color w:val="000000"/>
                <w:sz w:val="20"/>
                <w:szCs w:val="20"/>
              </w:rPr>
              <w:t>232.84</w:t>
            </w:r>
          </w:p>
        </w:tc>
        <w:tc>
          <w:tcPr>
            <w:tcW w:w="1522" w:type="dxa"/>
            <w:tcBorders>
              <w:top w:val="nil"/>
              <w:left w:val="nil"/>
              <w:bottom w:val="single" w:sz="18" w:space="0" w:color="auto"/>
              <w:right w:val="nil"/>
            </w:tcBorders>
            <w:shd w:val="clear" w:color="000000" w:fill="FFFFFF"/>
            <w:noWrap/>
            <w:vAlign w:val="center"/>
            <w:hideMark/>
          </w:tcPr>
          <w:p w14:paraId="0178D5CD" w14:textId="2FFC3B9F" w:rsidR="00A20AF0" w:rsidRPr="00D618B7" w:rsidRDefault="00A20AF0" w:rsidP="00A20AF0">
            <w:pPr>
              <w:jc w:val="right"/>
              <w:rPr>
                <w:color w:val="000000"/>
                <w:sz w:val="22"/>
                <w:szCs w:val="22"/>
              </w:rPr>
            </w:pPr>
            <w:r w:rsidRPr="00D618B7">
              <w:rPr>
                <w:color w:val="000000"/>
                <w:sz w:val="20"/>
                <w:szCs w:val="20"/>
              </w:rPr>
              <w:t>338.36</w:t>
            </w:r>
          </w:p>
        </w:tc>
        <w:tc>
          <w:tcPr>
            <w:tcW w:w="1060" w:type="dxa"/>
            <w:tcBorders>
              <w:top w:val="nil"/>
              <w:left w:val="nil"/>
              <w:bottom w:val="single" w:sz="18" w:space="0" w:color="auto"/>
              <w:right w:val="nil"/>
            </w:tcBorders>
            <w:shd w:val="clear" w:color="000000" w:fill="FFFFFF"/>
            <w:noWrap/>
            <w:vAlign w:val="center"/>
            <w:hideMark/>
          </w:tcPr>
          <w:p w14:paraId="13AED113" w14:textId="5045AE11" w:rsidR="00A20AF0" w:rsidRPr="00D618B7" w:rsidRDefault="00A20AF0" w:rsidP="00A20AF0">
            <w:pPr>
              <w:jc w:val="right"/>
              <w:rPr>
                <w:color w:val="000000"/>
                <w:sz w:val="22"/>
                <w:szCs w:val="22"/>
              </w:rPr>
            </w:pPr>
            <w:r w:rsidRPr="00D618B7">
              <w:rPr>
                <w:color w:val="000000"/>
                <w:sz w:val="20"/>
                <w:szCs w:val="20"/>
              </w:rPr>
              <w:t>419.30</w:t>
            </w:r>
          </w:p>
        </w:tc>
        <w:tc>
          <w:tcPr>
            <w:tcW w:w="1575" w:type="dxa"/>
            <w:tcBorders>
              <w:top w:val="nil"/>
              <w:left w:val="nil"/>
              <w:bottom w:val="single" w:sz="18" w:space="0" w:color="auto"/>
              <w:right w:val="nil"/>
            </w:tcBorders>
            <w:shd w:val="clear" w:color="000000" w:fill="FFFFFF"/>
            <w:noWrap/>
            <w:vAlign w:val="center"/>
            <w:hideMark/>
          </w:tcPr>
          <w:p w14:paraId="349770D7" w14:textId="068CEDBF" w:rsidR="00A20AF0" w:rsidRPr="00D618B7" w:rsidRDefault="00A20AF0" w:rsidP="00A20AF0">
            <w:pPr>
              <w:jc w:val="right"/>
              <w:rPr>
                <w:color w:val="000000"/>
                <w:sz w:val="22"/>
                <w:szCs w:val="22"/>
              </w:rPr>
            </w:pPr>
            <w:r w:rsidRPr="00D618B7">
              <w:rPr>
                <w:color w:val="000000"/>
                <w:sz w:val="20"/>
                <w:szCs w:val="20"/>
              </w:rPr>
              <w:t>-1208.71</w:t>
            </w:r>
          </w:p>
        </w:tc>
        <w:tc>
          <w:tcPr>
            <w:tcW w:w="1098" w:type="dxa"/>
            <w:tcBorders>
              <w:top w:val="nil"/>
              <w:left w:val="nil"/>
              <w:bottom w:val="single" w:sz="18" w:space="0" w:color="auto"/>
              <w:right w:val="nil"/>
            </w:tcBorders>
            <w:shd w:val="clear" w:color="000000" w:fill="FFFFFF"/>
            <w:noWrap/>
            <w:vAlign w:val="center"/>
            <w:hideMark/>
          </w:tcPr>
          <w:p w14:paraId="30D0AA28" w14:textId="1BC2A891" w:rsidR="00A20AF0" w:rsidRPr="00D618B7" w:rsidRDefault="00A20AF0" w:rsidP="00A20AF0">
            <w:pPr>
              <w:jc w:val="right"/>
              <w:rPr>
                <w:color w:val="000000"/>
                <w:sz w:val="22"/>
                <w:szCs w:val="22"/>
              </w:rPr>
            </w:pPr>
            <w:r w:rsidRPr="00D618B7">
              <w:rPr>
                <w:color w:val="000000"/>
                <w:sz w:val="20"/>
                <w:szCs w:val="20"/>
              </w:rPr>
              <w:t>1083.08</w:t>
            </w:r>
          </w:p>
        </w:tc>
      </w:tr>
    </w:tbl>
    <w:p w14:paraId="72262998" w14:textId="10AA740C" w:rsidR="00A20AF0" w:rsidRPr="00D618B7" w:rsidRDefault="00A20AF0" w:rsidP="00A20AF0">
      <w:r w:rsidRPr="00D618B7">
        <w:rPr>
          <w:i/>
          <w:iCs/>
        </w:rPr>
        <w:t>Note</w:t>
      </w:r>
      <w:r w:rsidRPr="00D618B7">
        <w:t xml:space="preserve">: This table lists the estimated mean summed duration and standard error in milliseconds for face, hand, and mouth events for toy-out-of-reach, toy-moving-into-reach, and toy-in-reach for each week of observation around reach-onset for the </w:t>
      </w:r>
      <w:r w:rsidR="006226F5" w:rsidRPr="00D618B7">
        <w:t>late</w:t>
      </w:r>
      <w:r w:rsidRPr="00D618B7">
        <w:t xml:space="preserve"> reach group.</w:t>
      </w:r>
    </w:p>
    <w:p w14:paraId="1112EF70" w14:textId="77777777" w:rsidR="00632508" w:rsidRPr="00D618B7" w:rsidRDefault="00632508" w:rsidP="00632508">
      <w:pPr>
        <w:rPr>
          <w:i/>
          <w:iCs/>
        </w:rPr>
      </w:pPr>
      <w:r w:rsidRPr="00D618B7">
        <w:rPr>
          <w:noProof/>
        </w:rPr>
        <w:lastRenderedPageBreak/>
        <w:drawing>
          <wp:inline distT="0" distB="0" distL="0" distR="0" wp14:anchorId="1E53AB33" wp14:editId="4ED8A028">
            <wp:extent cx="5943600" cy="2994660"/>
            <wp:effectExtent l="0" t="0" r="0" b="0"/>
            <wp:docPr id="810945369" name="Chart 1">
              <a:extLst xmlns:a="http://schemas.openxmlformats.org/drawingml/2006/main">
                <a:ext uri="{FF2B5EF4-FFF2-40B4-BE49-F238E27FC236}">
                  <a16:creationId xmlns:a16="http://schemas.microsoft.com/office/drawing/2014/main" id="{24ACC581-1188-46DD-9D1C-E632A64AA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D618B7">
        <w:rPr>
          <w:noProof/>
        </w:rPr>
        <w:drawing>
          <wp:inline distT="0" distB="0" distL="0" distR="0" wp14:anchorId="22A1B9D2" wp14:editId="7241F14E">
            <wp:extent cx="5943600" cy="3268980"/>
            <wp:effectExtent l="0" t="0" r="0" b="7620"/>
            <wp:docPr id="255800550" name="Chart 2">
              <a:extLst xmlns:a="http://schemas.openxmlformats.org/drawingml/2006/main">
                <a:ext uri="{FF2B5EF4-FFF2-40B4-BE49-F238E27FC236}">
                  <a16:creationId xmlns:a16="http://schemas.microsoft.com/office/drawing/2014/main" id="{C8E731C3-5DAB-4474-995D-19C79F14F8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4D53BBF" w14:textId="77777777" w:rsidR="00990BE1" w:rsidRPr="00D618B7" w:rsidRDefault="00990BE1" w:rsidP="00990BE1">
      <w:pPr>
        <w:pStyle w:val="Caption"/>
      </w:pPr>
      <w:bookmarkStart w:id="215" w:name="_Toc172716967"/>
      <w:r w:rsidRPr="00D618B7">
        <w:t xml:space="preserve">Figure </w:t>
      </w:r>
      <w:r>
        <w:fldChar w:fldCharType="begin"/>
      </w:r>
      <w:r>
        <w:instrText xml:space="preserve"> SEQ Figure \* ARABIC </w:instrText>
      </w:r>
      <w:r>
        <w:fldChar w:fldCharType="separate"/>
      </w:r>
      <w:r>
        <w:rPr>
          <w:noProof/>
        </w:rPr>
        <w:t>27</w:t>
      </w:r>
      <w:r>
        <w:rPr>
          <w:noProof/>
        </w:rPr>
        <w:fldChar w:fldCharType="end"/>
      </w:r>
      <w:r>
        <w:rPr>
          <w:noProof/>
        </w:rPr>
        <w:t>:</w:t>
      </w:r>
      <w:r w:rsidRPr="00AC6256">
        <w:t xml:space="preserve"> </w:t>
      </w:r>
      <w:r>
        <w:t>Event average duration</w:t>
      </w:r>
      <w:r w:rsidRPr="00BA36EF">
        <w:t xml:space="preserve"> by </w:t>
      </w:r>
      <w:r>
        <w:t>type and week by group</w:t>
      </w:r>
      <w:bookmarkEnd w:id="215"/>
    </w:p>
    <w:p w14:paraId="1000A09F" w14:textId="77777777" w:rsidR="00990BE1" w:rsidRDefault="00990BE1" w:rsidP="00990BE1"/>
    <w:p w14:paraId="1361EC33" w14:textId="031EAF7C" w:rsidR="00990BE1" w:rsidRPr="00D618B7" w:rsidRDefault="00990BE1" w:rsidP="00990BE1">
      <w:r w:rsidRPr="00D618B7">
        <w:t>Estimated Mean Average Durations of Events by Type and Week by Group</w:t>
      </w:r>
      <w:r>
        <w:t>.</w:t>
      </w:r>
    </w:p>
    <w:p w14:paraId="1E785469" w14:textId="096720CD" w:rsidR="00632508" w:rsidRPr="00D618B7" w:rsidRDefault="00632508" w:rsidP="00632508">
      <w:r w:rsidRPr="00D618B7">
        <w:rPr>
          <w:i/>
          <w:iCs/>
        </w:rPr>
        <w:t>Note</w:t>
      </w:r>
      <w:r w:rsidRPr="00D618B7">
        <w:t>. This figure illustrates the estimated mean average duration in milliseconds of face, hand, and mouth events by group for each week of observation around reach-onset. Error bars show standard error.</w:t>
      </w:r>
    </w:p>
    <w:p w14:paraId="4D61A5A7" w14:textId="094B06E1" w:rsidR="006226F5" w:rsidRPr="00D618B7" w:rsidRDefault="00632508" w:rsidP="00632508">
      <w:pPr>
        <w:rPr>
          <w:b/>
          <w:bCs/>
        </w:rPr>
      </w:pPr>
      <w:r w:rsidRPr="00D618B7">
        <w:br w:type="page"/>
      </w:r>
    </w:p>
    <w:p w14:paraId="361CDB66" w14:textId="156E22F6" w:rsidR="006226F5" w:rsidRPr="00D618B7" w:rsidRDefault="006226F5" w:rsidP="007C5074">
      <w:pPr>
        <w:pStyle w:val="Caption"/>
      </w:pPr>
      <w:bookmarkStart w:id="216" w:name="_Toc172716898"/>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70</w:t>
      </w:r>
      <w:r w:rsidR="00000000">
        <w:rPr>
          <w:noProof/>
        </w:rPr>
        <w:fldChar w:fldCharType="end"/>
      </w:r>
      <w:r w:rsidR="00AE3927">
        <w:rPr>
          <w:noProof/>
        </w:rPr>
        <w:t>:</w:t>
      </w:r>
      <w:r w:rsidR="00AC6256" w:rsidRPr="00AC6256">
        <w:t xml:space="preserve"> </w:t>
      </w:r>
      <w:r w:rsidR="00AC6256">
        <w:t>Event average duration</w:t>
      </w:r>
      <w:r w:rsidR="00AC6256" w:rsidRPr="00BA36EF">
        <w:t xml:space="preserve"> </w:t>
      </w:r>
      <w:r w:rsidR="00AC6256">
        <w:t>by group</w:t>
      </w:r>
      <w:bookmarkEnd w:id="216"/>
    </w:p>
    <w:p w14:paraId="4F3D9F38" w14:textId="77777777" w:rsidR="00BC3B22" w:rsidRPr="00D618B7" w:rsidRDefault="00BC3B22" w:rsidP="00BC3B22">
      <w:r w:rsidRPr="00D618B7">
        <w:t>Estimated Mean Average Duration of Events by Group</w:t>
      </w:r>
    </w:p>
    <w:tbl>
      <w:tblPr>
        <w:tblW w:w="5000" w:type="pct"/>
        <w:tblLook w:val="04A0" w:firstRow="1" w:lastRow="0" w:firstColumn="1" w:lastColumn="0" w:noHBand="0" w:noVBand="1"/>
      </w:tblPr>
      <w:tblGrid>
        <w:gridCol w:w="4922"/>
        <w:gridCol w:w="1859"/>
        <w:gridCol w:w="1859"/>
      </w:tblGrid>
      <w:tr w:rsidR="00BC3B22" w:rsidRPr="00D618B7" w14:paraId="2D03BB33" w14:textId="77777777" w:rsidTr="004B11B7">
        <w:trPr>
          <w:trHeight w:val="346"/>
        </w:trPr>
        <w:tc>
          <w:tcPr>
            <w:tcW w:w="2848" w:type="pct"/>
            <w:tcBorders>
              <w:top w:val="nil"/>
              <w:left w:val="nil"/>
              <w:bottom w:val="single" w:sz="8" w:space="0" w:color="auto"/>
              <w:right w:val="nil"/>
            </w:tcBorders>
            <w:shd w:val="clear" w:color="auto" w:fill="auto"/>
            <w:noWrap/>
            <w:vAlign w:val="bottom"/>
            <w:hideMark/>
          </w:tcPr>
          <w:p w14:paraId="0A11F3DA" w14:textId="77777777" w:rsidR="00BC3B22" w:rsidRPr="00D618B7" w:rsidRDefault="00BC3B22"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6DC49EA0" w14:textId="77777777" w:rsidR="00BC3B22" w:rsidRPr="00D618B7" w:rsidRDefault="00BC3B22"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2B065550" w14:textId="77777777" w:rsidR="00BC3B22" w:rsidRPr="00D618B7" w:rsidRDefault="00BC3B22" w:rsidP="004B11B7">
            <w:pPr>
              <w:rPr>
                <w:color w:val="000000"/>
              </w:rPr>
            </w:pPr>
            <w:r w:rsidRPr="00D618B7">
              <w:rPr>
                <w:color w:val="000000"/>
              </w:rPr>
              <w:t> </w:t>
            </w:r>
          </w:p>
        </w:tc>
      </w:tr>
      <w:tr w:rsidR="00BC3B22" w:rsidRPr="00D618B7" w14:paraId="1B607E87" w14:textId="77777777" w:rsidTr="004B11B7">
        <w:trPr>
          <w:trHeight w:val="346"/>
        </w:trPr>
        <w:tc>
          <w:tcPr>
            <w:tcW w:w="2848" w:type="pct"/>
            <w:tcBorders>
              <w:top w:val="nil"/>
              <w:left w:val="nil"/>
              <w:bottom w:val="single" w:sz="8" w:space="0" w:color="auto"/>
              <w:right w:val="nil"/>
            </w:tcBorders>
            <w:shd w:val="clear" w:color="000000" w:fill="FFFFFF"/>
            <w:vAlign w:val="center"/>
            <w:hideMark/>
          </w:tcPr>
          <w:p w14:paraId="033164E7" w14:textId="77777777" w:rsidR="00BC3B22" w:rsidRPr="00D618B7" w:rsidRDefault="00BC3B22" w:rsidP="004B11B7">
            <w:pPr>
              <w:rPr>
                <w:color w:val="000000"/>
              </w:rPr>
            </w:pPr>
            <w:r w:rsidRPr="00D618B7">
              <w:rPr>
                <w:color w:val="000000"/>
              </w:rPr>
              <w:t>Week</w:t>
            </w:r>
          </w:p>
        </w:tc>
        <w:tc>
          <w:tcPr>
            <w:tcW w:w="1076" w:type="pct"/>
            <w:tcBorders>
              <w:top w:val="nil"/>
              <w:left w:val="nil"/>
              <w:bottom w:val="single" w:sz="8" w:space="0" w:color="auto"/>
              <w:right w:val="nil"/>
            </w:tcBorders>
            <w:shd w:val="clear" w:color="000000" w:fill="FFFFFF"/>
            <w:noWrap/>
            <w:vAlign w:val="center"/>
            <w:hideMark/>
          </w:tcPr>
          <w:p w14:paraId="18F8AF70" w14:textId="77777777" w:rsidR="00BC3B22" w:rsidRPr="00D618B7" w:rsidRDefault="00BC3B22" w:rsidP="004B11B7">
            <w:pPr>
              <w:jc w:val="right"/>
              <w:rPr>
                <w:color w:val="000000"/>
              </w:rPr>
            </w:pPr>
            <w:r w:rsidRPr="00D618B7">
              <w:rPr>
                <w:color w:val="000000"/>
              </w:rPr>
              <w:t>Mean</w:t>
            </w:r>
          </w:p>
        </w:tc>
        <w:tc>
          <w:tcPr>
            <w:tcW w:w="1076" w:type="pct"/>
            <w:tcBorders>
              <w:top w:val="nil"/>
              <w:left w:val="nil"/>
              <w:bottom w:val="single" w:sz="8" w:space="0" w:color="auto"/>
              <w:right w:val="nil"/>
            </w:tcBorders>
            <w:shd w:val="clear" w:color="000000" w:fill="FFFFFF"/>
            <w:noWrap/>
            <w:vAlign w:val="center"/>
            <w:hideMark/>
          </w:tcPr>
          <w:p w14:paraId="176F140A" w14:textId="77777777" w:rsidR="00BC3B22" w:rsidRPr="00D618B7" w:rsidRDefault="00BC3B22" w:rsidP="004B11B7">
            <w:pPr>
              <w:jc w:val="right"/>
              <w:rPr>
                <w:color w:val="000000"/>
              </w:rPr>
            </w:pPr>
            <w:r w:rsidRPr="00D618B7">
              <w:rPr>
                <w:color w:val="000000"/>
              </w:rPr>
              <w:t>Std. Error</w:t>
            </w:r>
          </w:p>
        </w:tc>
      </w:tr>
      <w:tr w:rsidR="00BC3B22" w:rsidRPr="00D618B7" w14:paraId="6BB51A16" w14:textId="77777777" w:rsidTr="004B11B7">
        <w:trPr>
          <w:trHeight w:val="346"/>
        </w:trPr>
        <w:tc>
          <w:tcPr>
            <w:tcW w:w="2848" w:type="pct"/>
            <w:tcBorders>
              <w:top w:val="nil"/>
              <w:left w:val="nil"/>
              <w:bottom w:val="nil"/>
              <w:right w:val="nil"/>
            </w:tcBorders>
            <w:shd w:val="clear" w:color="000000" w:fill="FFFFFF"/>
            <w:vAlign w:val="center"/>
            <w:hideMark/>
          </w:tcPr>
          <w:p w14:paraId="5FE2D20A" w14:textId="77777777" w:rsidR="00BC3B22" w:rsidRPr="00D618B7" w:rsidRDefault="00BC3B22" w:rsidP="004B11B7">
            <w:pPr>
              <w:rPr>
                <w:color w:val="000000"/>
              </w:rPr>
            </w:pPr>
            <w:r w:rsidRPr="00D618B7">
              <w:rPr>
                <w:color w:val="000000"/>
              </w:rPr>
              <w:t>Early Reach Group</w:t>
            </w:r>
          </w:p>
        </w:tc>
        <w:tc>
          <w:tcPr>
            <w:tcW w:w="1076" w:type="pct"/>
            <w:tcBorders>
              <w:top w:val="nil"/>
              <w:left w:val="nil"/>
              <w:bottom w:val="nil"/>
              <w:right w:val="nil"/>
            </w:tcBorders>
            <w:shd w:val="clear" w:color="000000" w:fill="FFFFFF"/>
            <w:noWrap/>
            <w:vAlign w:val="center"/>
            <w:hideMark/>
          </w:tcPr>
          <w:p w14:paraId="1BA0B109" w14:textId="77777777" w:rsidR="00BC3B22" w:rsidRPr="00D618B7" w:rsidRDefault="00BC3B22" w:rsidP="004B11B7">
            <w:pPr>
              <w:jc w:val="right"/>
              <w:rPr>
                <w:color w:val="000000"/>
              </w:rPr>
            </w:pPr>
            <w:r w:rsidRPr="00D618B7">
              <w:rPr>
                <w:color w:val="000000"/>
              </w:rPr>
              <w:t>345.83</w:t>
            </w:r>
          </w:p>
        </w:tc>
        <w:tc>
          <w:tcPr>
            <w:tcW w:w="1076" w:type="pct"/>
            <w:tcBorders>
              <w:top w:val="nil"/>
              <w:left w:val="nil"/>
              <w:bottom w:val="nil"/>
              <w:right w:val="nil"/>
            </w:tcBorders>
            <w:shd w:val="clear" w:color="000000" w:fill="FFFFFF"/>
            <w:noWrap/>
            <w:vAlign w:val="center"/>
            <w:hideMark/>
          </w:tcPr>
          <w:p w14:paraId="7EB47338" w14:textId="77777777" w:rsidR="00BC3B22" w:rsidRPr="00D618B7" w:rsidRDefault="00BC3B22" w:rsidP="004B11B7">
            <w:pPr>
              <w:jc w:val="right"/>
              <w:rPr>
                <w:color w:val="000000"/>
              </w:rPr>
            </w:pPr>
            <w:r w:rsidRPr="00D618B7">
              <w:rPr>
                <w:color w:val="000000"/>
              </w:rPr>
              <w:t>40.05</w:t>
            </w:r>
          </w:p>
        </w:tc>
      </w:tr>
      <w:tr w:rsidR="00BC3B22" w:rsidRPr="00D618B7" w14:paraId="37BD3551" w14:textId="77777777" w:rsidTr="004B11B7">
        <w:trPr>
          <w:trHeight w:val="346"/>
        </w:trPr>
        <w:tc>
          <w:tcPr>
            <w:tcW w:w="2848" w:type="pct"/>
            <w:tcBorders>
              <w:top w:val="nil"/>
              <w:left w:val="nil"/>
              <w:bottom w:val="single" w:sz="8" w:space="0" w:color="auto"/>
              <w:right w:val="nil"/>
            </w:tcBorders>
            <w:shd w:val="clear" w:color="000000" w:fill="FFFFFF"/>
            <w:vAlign w:val="center"/>
            <w:hideMark/>
          </w:tcPr>
          <w:p w14:paraId="1DB6A9D1" w14:textId="77777777" w:rsidR="00BC3B22" w:rsidRPr="00D618B7" w:rsidRDefault="00BC3B22" w:rsidP="004B11B7">
            <w:pPr>
              <w:rPr>
                <w:color w:val="000000"/>
              </w:rPr>
            </w:pPr>
            <w:r w:rsidRPr="00D618B7">
              <w:rPr>
                <w:color w:val="000000"/>
              </w:rPr>
              <w:t>Late Reach Group</w:t>
            </w:r>
          </w:p>
        </w:tc>
        <w:tc>
          <w:tcPr>
            <w:tcW w:w="1076" w:type="pct"/>
            <w:tcBorders>
              <w:top w:val="nil"/>
              <w:left w:val="nil"/>
              <w:bottom w:val="single" w:sz="8" w:space="0" w:color="auto"/>
              <w:right w:val="nil"/>
            </w:tcBorders>
            <w:shd w:val="clear" w:color="000000" w:fill="FFFFFF"/>
            <w:noWrap/>
            <w:vAlign w:val="center"/>
            <w:hideMark/>
          </w:tcPr>
          <w:p w14:paraId="039D7917" w14:textId="77777777" w:rsidR="00BC3B22" w:rsidRPr="00D618B7" w:rsidRDefault="00BC3B22" w:rsidP="004B11B7">
            <w:pPr>
              <w:jc w:val="right"/>
              <w:rPr>
                <w:color w:val="000000"/>
              </w:rPr>
            </w:pPr>
            <w:r w:rsidRPr="00D618B7">
              <w:rPr>
                <w:color w:val="000000"/>
              </w:rPr>
              <w:t>129.09</w:t>
            </w:r>
          </w:p>
        </w:tc>
        <w:tc>
          <w:tcPr>
            <w:tcW w:w="1076" w:type="pct"/>
            <w:tcBorders>
              <w:top w:val="nil"/>
              <w:left w:val="nil"/>
              <w:bottom w:val="single" w:sz="8" w:space="0" w:color="auto"/>
              <w:right w:val="nil"/>
            </w:tcBorders>
            <w:shd w:val="clear" w:color="000000" w:fill="FFFFFF"/>
            <w:noWrap/>
            <w:vAlign w:val="center"/>
            <w:hideMark/>
          </w:tcPr>
          <w:p w14:paraId="4B3B29BE" w14:textId="77777777" w:rsidR="00BC3B22" w:rsidRPr="00D618B7" w:rsidRDefault="00BC3B22" w:rsidP="004B11B7">
            <w:pPr>
              <w:jc w:val="right"/>
              <w:rPr>
                <w:color w:val="000000"/>
              </w:rPr>
            </w:pPr>
            <w:r w:rsidRPr="00D618B7">
              <w:rPr>
                <w:color w:val="000000"/>
              </w:rPr>
              <w:t>31.22</w:t>
            </w:r>
          </w:p>
        </w:tc>
      </w:tr>
    </w:tbl>
    <w:p w14:paraId="70B32F5A" w14:textId="77777777" w:rsidR="00BC3B22" w:rsidRPr="00D618B7" w:rsidRDefault="00BC3B22" w:rsidP="00BC3B22">
      <w:pPr>
        <w:rPr>
          <w:i/>
          <w:iCs/>
        </w:rPr>
      </w:pPr>
    </w:p>
    <w:p w14:paraId="252C821D" w14:textId="77777777" w:rsidR="00BC3B22" w:rsidRPr="00D618B7" w:rsidRDefault="00BC3B22" w:rsidP="00BC3B22">
      <w:r w:rsidRPr="00D618B7">
        <w:rPr>
          <w:i/>
          <w:iCs/>
        </w:rPr>
        <w:t>Note</w:t>
      </w:r>
      <w:r w:rsidRPr="00D618B7">
        <w:t>: This table lists the estimated mean Average Duration and standard errors for the early and late groups.</w:t>
      </w:r>
    </w:p>
    <w:p w14:paraId="767FB519" w14:textId="77777777" w:rsidR="00990BE1" w:rsidRDefault="00990BE1" w:rsidP="007C5074">
      <w:pPr>
        <w:pStyle w:val="Caption"/>
      </w:pPr>
      <w:bookmarkStart w:id="217" w:name="_Toc172716899"/>
    </w:p>
    <w:p w14:paraId="4FA4D7C0" w14:textId="442264BE" w:rsidR="006226F5" w:rsidRPr="00D618B7" w:rsidRDefault="006226F5" w:rsidP="007C5074">
      <w:pPr>
        <w:pStyle w:val="Caption"/>
      </w:pPr>
      <w:r w:rsidRPr="00D618B7">
        <w:t xml:space="preserve">Table </w:t>
      </w:r>
      <w:r w:rsidR="00000000">
        <w:fldChar w:fldCharType="begin"/>
      </w:r>
      <w:r w:rsidR="00000000">
        <w:instrText xml:space="preserve"> SEQ Table \* ARABIC </w:instrText>
      </w:r>
      <w:r w:rsidR="00000000">
        <w:fldChar w:fldCharType="separate"/>
      </w:r>
      <w:r w:rsidR="000C6E43">
        <w:rPr>
          <w:noProof/>
        </w:rPr>
        <w:t>71</w:t>
      </w:r>
      <w:r w:rsidR="00000000">
        <w:rPr>
          <w:noProof/>
        </w:rPr>
        <w:fldChar w:fldCharType="end"/>
      </w:r>
      <w:r w:rsidR="00483A43">
        <w:rPr>
          <w:noProof/>
        </w:rPr>
        <w:t>:</w:t>
      </w:r>
      <w:r w:rsidR="00483A43" w:rsidRPr="00483A43">
        <w:t xml:space="preserve"> </w:t>
      </w:r>
      <w:r w:rsidR="00483A43">
        <w:t>Event average duration per week</w:t>
      </w:r>
      <w:r w:rsidR="00483A43" w:rsidRPr="00BA36EF">
        <w:t xml:space="preserve"> </w:t>
      </w:r>
      <w:r w:rsidR="00483A43">
        <w:t>by group</w:t>
      </w:r>
      <w:bookmarkEnd w:id="217"/>
    </w:p>
    <w:p w14:paraId="5E07BEB8" w14:textId="77777777" w:rsidR="00CE1BEC" w:rsidRPr="00D618B7" w:rsidRDefault="00CE1BEC" w:rsidP="00CE1BEC">
      <w:r w:rsidRPr="00D618B7">
        <w:t>Estimated Mean Average Duration of Events by Week and Group</w:t>
      </w:r>
    </w:p>
    <w:tbl>
      <w:tblPr>
        <w:tblW w:w="5000" w:type="pct"/>
        <w:tblLook w:val="04A0" w:firstRow="1" w:lastRow="0" w:firstColumn="1" w:lastColumn="0" w:noHBand="0" w:noVBand="1"/>
      </w:tblPr>
      <w:tblGrid>
        <w:gridCol w:w="3440"/>
        <w:gridCol w:w="1300"/>
        <w:gridCol w:w="1302"/>
        <w:gridCol w:w="1299"/>
        <w:gridCol w:w="1299"/>
      </w:tblGrid>
      <w:tr w:rsidR="00CE1BEC" w:rsidRPr="00D618B7" w14:paraId="6BC25016" w14:textId="77777777" w:rsidTr="004B11B7">
        <w:trPr>
          <w:trHeight w:val="284"/>
        </w:trPr>
        <w:tc>
          <w:tcPr>
            <w:tcW w:w="1990" w:type="pct"/>
            <w:tcBorders>
              <w:top w:val="nil"/>
              <w:left w:val="nil"/>
              <w:bottom w:val="single" w:sz="8" w:space="0" w:color="auto"/>
              <w:right w:val="nil"/>
            </w:tcBorders>
            <w:shd w:val="clear" w:color="auto" w:fill="auto"/>
            <w:noWrap/>
            <w:vAlign w:val="bottom"/>
            <w:hideMark/>
          </w:tcPr>
          <w:p w14:paraId="6A2C82A4" w14:textId="77777777" w:rsidR="00CE1BEC" w:rsidRPr="00D618B7" w:rsidRDefault="00CE1BEC" w:rsidP="004B11B7">
            <w:pPr>
              <w:rPr>
                <w:color w:val="000000"/>
              </w:rPr>
            </w:pPr>
            <w:r w:rsidRPr="00D618B7">
              <w:rPr>
                <w:color w:val="000000"/>
              </w:rPr>
              <w:t> </w:t>
            </w:r>
          </w:p>
        </w:tc>
        <w:tc>
          <w:tcPr>
            <w:tcW w:w="752" w:type="pct"/>
            <w:tcBorders>
              <w:top w:val="nil"/>
              <w:left w:val="nil"/>
              <w:bottom w:val="single" w:sz="8" w:space="0" w:color="auto"/>
              <w:right w:val="nil"/>
            </w:tcBorders>
            <w:shd w:val="clear" w:color="auto" w:fill="auto"/>
            <w:noWrap/>
            <w:vAlign w:val="bottom"/>
            <w:hideMark/>
          </w:tcPr>
          <w:p w14:paraId="489CB9B3" w14:textId="77777777" w:rsidR="00CE1BEC" w:rsidRPr="00D618B7" w:rsidRDefault="00CE1BEC" w:rsidP="004B11B7">
            <w:pPr>
              <w:rPr>
                <w:color w:val="000000"/>
              </w:rPr>
            </w:pPr>
            <w:r w:rsidRPr="00D618B7">
              <w:rPr>
                <w:color w:val="000000"/>
              </w:rPr>
              <w:t> </w:t>
            </w:r>
          </w:p>
        </w:tc>
        <w:tc>
          <w:tcPr>
            <w:tcW w:w="753" w:type="pct"/>
            <w:tcBorders>
              <w:top w:val="nil"/>
              <w:left w:val="nil"/>
              <w:bottom w:val="single" w:sz="8" w:space="0" w:color="auto"/>
              <w:right w:val="nil"/>
            </w:tcBorders>
            <w:shd w:val="clear" w:color="auto" w:fill="auto"/>
            <w:noWrap/>
            <w:vAlign w:val="bottom"/>
            <w:hideMark/>
          </w:tcPr>
          <w:p w14:paraId="3F8CE5FD" w14:textId="77777777" w:rsidR="00CE1BEC" w:rsidRPr="00D618B7" w:rsidRDefault="00CE1BEC" w:rsidP="004B11B7">
            <w:pPr>
              <w:rPr>
                <w:color w:val="000000"/>
              </w:rPr>
            </w:pPr>
            <w:r w:rsidRPr="00D618B7">
              <w:rPr>
                <w:color w:val="000000"/>
              </w:rPr>
              <w:t> </w:t>
            </w:r>
          </w:p>
        </w:tc>
        <w:tc>
          <w:tcPr>
            <w:tcW w:w="752" w:type="pct"/>
            <w:tcBorders>
              <w:top w:val="nil"/>
              <w:left w:val="nil"/>
              <w:bottom w:val="single" w:sz="8" w:space="0" w:color="auto"/>
              <w:right w:val="nil"/>
            </w:tcBorders>
            <w:shd w:val="clear" w:color="auto" w:fill="auto"/>
            <w:noWrap/>
            <w:vAlign w:val="bottom"/>
            <w:hideMark/>
          </w:tcPr>
          <w:p w14:paraId="1B5FEC36" w14:textId="77777777" w:rsidR="00CE1BEC" w:rsidRPr="00D618B7" w:rsidRDefault="00CE1BEC" w:rsidP="004B11B7">
            <w:pPr>
              <w:rPr>
                <w:color w:val="000000"/>
              </w:rPr>
            </w:pPr>
            <w:r w:rsidRPr="00D618B7">
              <w:rPr>
                <w:color w:val="000000"/>
              </w:rPr>
              <w:t> </w:t>
            </w:r>
          </w:p>
        </w:tc>
        <w:tc>
          <w:tcPr>
            <w:tcW w:w="752" w:type="pct"/>
            <w:tcBorders>
              <w:top w:val="nil"/>
              <w:left w:val="nil"/>
              <w:bottom w:val="single" w:sz="8" w:space="0" w:color="auto"/>
              <w:right w:val="nil"/>
            </w:tcBorders>
            <w:shd w:val="clear" w:color="auto" w:fill="auto"/>
            <w:noWrap/>
            <w:vAlign w:val="bottom"/>
            <w:hideMark/>
          </w:tcPr>
          <w:p w14:paraId="49F58A2A" w14:textId="77777777" w:rsidR="00CE1BEC" w:rsidRPr="00D618B7" w:rsidRDefault="00CE1BEC" w:rsidP="004B11B7">
            <w:pPr>
              <w:rPr>
                <w:color w:val="000000"/>
              </w:rPr>
            </w:pPr>
            <w:r w:rsidRPr="00D618B7">
              <w:rPr>
                <w:color w:val="000000"/>
              </w:rPr>
              <w:t> </w:t>
            </w:r>
          </w:p>
        </w:tc>
      </w:tr>
      <w:tr w:rsidR="00CE1BEC" w:rsidRPr="00D618B7" w14:paraId="041D312C" w14:textId="77777777" w:rsidTr="004B11B7">
        <w:trPr>
          <w:trHeight w:val="284"/>
        </w:trPr>
        <w:tc>
          <w:tcPr>
            <w:tcW w:w="1990" w:type="pct"/>
            <w:tcBorders>
              <w:top w:val="nil"/>
              <w:left w:val="nil"/>
              <w:bottom w:val="nil"/>
              <w:right w:val="nil"/>
            </w:tcBorders>
            <w:shd w:val="clear" w:color="000000" w:fill="FFFFFF"/>
            <w:vAlign w:val="center"/>
            <w:hideMark/>
          </w:tcPr>
          <w:p w14:paraId="18874C3D" w14:textId="77777777" w:rsidR="00CE1BEC" w:rsidRPr="00D618B7" w:rsidRDefault="00CE1BEC" w:rsidP="004B11B7">
            <w:pPr>
              <w:rPr>
                <w:color w:val="000000"/>
              </w:rPr>
            </w:pPr>
            <w:r w:rsidRPr="00D618B7">
              <w:rPr>
                <w:color w:val="000000"/>
              </w:rPr>
              <w:t>Week</w:t>
            </w:r>
          </w:p>
        </w:tc>
        <w:tc>
          <w:tcPr>
            <w:tcW w:w="1505" w:type="pct"/>
            <w:gridSpan w:val="2"/>
            <w:tcBorders>
              <w:top w:val="nil"/>
              <w:left w:val="nil"/>
              <w:bottom w:val="single" w:sz="8" w:space="0" w:color="auto"/>
              <w:right w:val="nil"/>
            </w:tcBorders>
            <w:shd w:val="clear" w:color="000000" w:fill="FFFFFF"/>
            <w:vAlign w:val="center"/>
            <w:hideMark/>
          </w:tcPr>
          <w:p w14:paraId="19847789" w14:textId="77777777" w:rsidR="00CE1BEC" w:rsidRPr="00D618B7" w:rsidRDefault="00CE1BEC" w:rsidP="004B11B7">
            <w:pPr>
              <w:jc w:val="center"/>
              <w:rPr>
                <w:color w:val="000000"/>
              </w:rPr>
            </w:pPr>
            <w:r w:rsidRPr="00D618B7">
              <w:rPr>
                <w:color w:val="000000"/>
              </w:rPr>
              <w:t>Early Reach Group</w:t>
            </w:r>
          </w:p>
        </w:tc>
        <w:tc>
          <w:tcPr>
            <w:tcW w:w="1504" w:type="pct"/>
            <w:gridSpan w:val="2"/>
            <w:tcBorders>
              <w:top w:val="nil"/>
              <w:left w:val="nil"/>
              <w:bottom w:val="single" w:sz="8" w:space="0" w:color="auto"/>
              <w:right w:val="nil"/>
            </w:tcBorders>
            <w:shd w:val="clear" w:color="000000" w:fill="FFFFFF"/>
            <w:vAlign w:val="center"/>
            <w:hideMark/>
          </w:tcPr>
          <w:p w14:paraId="09EA7F2A" w14:textId="77777777" w:rsidR="00CE1BEC" w:rsidRPr="00D618B7" w:rsidRDefault="00CE1BEC" w:rsidP="004B11B7">
            <w:pPr>
              <w:jc w:val="center"/>
              <w:rPr>
                <w:color w:val="000000"/>
              </w:rPr>
            </w:pPr>
            <w:r w:rsidRPr="00D618B7">
              <w:rPr>
                <w:color w:val="000000"/>
              </w:rPr>
              <w:t>Late Reach Group</w:t>
            </w:r>
          </w:p>
        </w:tc>
      </w:tr>
      <w:tr w:rsidR="00CE1BEC" w:rsidRPr="00D618B7" w14:paraId="22C4C35F" w14:textId="77777777" w:rsidTr="004B11B7">
        <w:trPr>
          <w:trHeight w:val="284"/>
        </w:trPr>
        <w:tc>
          <w:tcPr>
            <w:tcW w:w="1990" w:type="pct"/>
            <w:tcBorders>
              <w:top w:val="nil"/>
              <w:left w:val="nil"/>
              <w:bottom w:val="single" w:sz="8" w:space="0" w:color="auto"/>
              <w:right w:val="nil"/>
            </w:tcBorders>
            <w:shd w:val="clear" w:color="000000" w:fill="FFFFFF"/>
            <w:noWrap/>
            <w:vAlign w:val="bottom"/>
            <w:hideMark/>
          </w:tcPr>
          <w:p w14:paraId="6EF42053" w14:textId="77777777" w:rsidR="00CE1BEC" w:rsidRPr="00D618B7" w:rsidRDefault="00CE1BEC" w:rsidP="004B11B7">
            <w:pPr>
              <w:rPr>
                <w:color w:val="000000"/>
              </w:rPr>
            </w:pPr>
            <w:r w:rsidRPr="00D618B7">
              <w:rPr>
                <w:color w:val="000000"/>
              </w:rPr>
              <w:t> </w:t>
            </w:r>
          </w:p>
        </w:tc>
        <w:tc>
          <w:tcPr>
            <w:tcW w:w="752" w:type="pct"/>
            <w:tcBorders>
              <w:top w:val="nil"/>
              <w:left w:val="nil"/>
              <w:bottom w:val="single" w:sz="8" w:space="0" w:color="auto"/>
              <w:right w:val="nil"/>
            </w:tcBorders>
            <w:shd w:val="clear" w:color="000000" w:fill="FFFFFF"/>
            <w:noWrap/>
            <w:vAlign w:val="center"/>
            <w:hideMark/>
          </w:tcPr>
          <w:p w14:paraId="26890AF6" w14:textId="77777777" w:rsidR="00CE1BEC" w:rsidRPr="00D618B7" w:rsidRDefault="00CE1BEC" w:rsidP="004B11B7">
            <w:pPr>
              <w:jc w:val="right"/>
              <w:rPr>
                <w:color w:val="000000"/>
              </w:rPr>
            </w:pPr>
            <w:r w:rsidRPr="00D618B7">
              <w:rPr>
                <w:color w:val="000000"/>
              </w:rPr>
              <w:t>Mean</w:t>
            </w:r>
          </w:p>
        </w:tc>
        <w:tc>
          <w:tcPr>
            <w:tcW w:w="753" w:type="pct"/>
            <w:tcBorders>
              <w:top w:val="nil"/>
              <w:left w:val="nil"/>
              <w:bottom w:val="single" w:sz="8" w:space="0" w:color="auto"/>
              <w:right w:val="nil"/>
            </w:tcBorders>
            <w:shd w:val="clear" w:color="000000" w:fill="FFFFFF"/>
            <w:noWrap/>
            <w:vAlign w:val="center"/>
            <w:hideMark/>
          </w:tcPr>
          <w:p w14:paraId="72764E1D" w14:textId="77777777" w:rsidR="00CE1BEC" w:rsidRPr="00D618B7" w:rsidRDefault="00CE1BEC" w:rsidP="004B11B7">
            <w:pPr>
              <w:jc w:val="right"/>
              <w:rPr>
                <w:color w:val="000000"/>
              </w:rPr>
            </w:pPr>
            <w:r w:rsidRPr="00D618B7">
              <w:rPr>
                <w:color w:val="000000"/>
              </w:rPr>
              <w:t>Std. Error</w:t>
            </w:r>
          </w:p>
        </w:tc>
        <w:tc>
          <w:tcPr>
            <w:tcW w:w="752" w:type="pct"/>
            <w:tcBorders>
              <w:top w:val="nil"/>
              <w:left w:val="nil"/>
              <w:bottom w:val="single" w:sz="8" w:space="0" w:color="auto"/>
              <w:right w:val="nil"/>
            </w:tcBorders>
            <w:shd w:val="clear" w:color="000000" w:fill="FFFFFF"/>
            <w:noWrap/>
            <w:vAlign w:val="center"/>
            <w:hideMark/>
          </w:tcPr>
          <w:p w14:paraId="3F9FAB11" w14:textId="77777777" w:rsidR="00CE1BEC" w:rsidRPr="00D618B7" w:rsidRDefault="00CE1BEC" w:rsidP="004B11B7">
            <w:pPr>
              <w:jc w:val="right"/>
              <w:rPr>
                <w:color w:val="000000"/>
              </w:rPr>
            </w:pPr>
            <w:r w:rsidRPr="00D618B7">
              <w:rPr>
                <w:color w:val="000000"/>
              </w:rPr>
              <w:t>Mean</w:t>
            </w:r>
          </w:p>
        </w:tc>
        <w:tc>
          <w:tcPr>
            <w:tcW w:w="752" w:type="pct"/>
            <w:tcBorders>
              <w:top w:val="nil"/>
              <w:left w:val="nil"/>
              <w:bottom w:val="single" w:sz="8" w:space="0" w:color="auto"/>
              <w:right w:val="nil"/>
            </w:tcBorders>
            <w:shd w:val="clear" w:color="000000" w:fill="FFFFFF"/>
            <w:noWrap/>
            <w:vAlign w:val="center"/>
            <w:hideMark/>
          </w:tcPr>
          <w:p w14:paraId="6B7280D1" w14:textId="77777777" w:rsidR="00CE1BEC" w:rsidRPr="00D618B7" w:rsidRDefault="00CE1BEC" w:rsidP="004B11B7">
            <w:pPr>
              <w:jc w:val="right"/>
              <w:rPr>
                <w:color w:val="000000"/>
              </w:rPr>
            </w:pPr>
            <w:r w:rsidRPr="00D618B7">
              <w:rPr>
                <w:color w:val="000000"/>
              </w:rPr>
              <w:t>Std. Error</w:t>
            </w:r>
          </w:p>
        </w:tc>
      </w:tr>
      <w:tr w:rsidR="00CE1BEC" w:rsidRPr="00D618B7" w14:paraId="55107179" w14:textId="77777777" w:rsidTr="004B11B7">
        <w:trPr>
          <w:trHeight w:val="284"/>
        </w:trPr>
        <w:tc>
          <w:tcPr>
            <w:tcW w:w="1990" w:type="pct"/>
            <w:tcBorders>
              <w:top w:val="nil"/>
              <w:left w:val="nil"/>
              <w:bottom w:val="nil"/>
              <w:right w:val="nil"/>
            </w:tcBorders>
            <w:shd w:val="clear" w:color="000000" w:fill="FFFFFF"/>
            <w:vAlign w:val="center"/>
            <w:hideMark/>
          </w:tcPr>
          <w:p w14:paraId="7187C749" w14:textId="77777777" w:rsidR="00CE1BEC" w:rsidRPr="00D618B7" w:rsidRDefault="00CE1BEC" w:rsidP="004B11B7">
            <w:pPr>
              <w:jc w:val="center"/>
              <w:rPr>
                <w:color w:val="000000"/>
              </w:rPr>
            </w:pPr>
            <w:r w:rsidRPr="00D618B7">
              <w:rPr>
                <w:color w:val="000000"/>
              </w:rPr>
              <w:t>-5</w:t>
            </w:r>
          </w:p>
        </w:tc>
        <w:tc>
          <w:tcPr>
            <w:tcW w:w="752" w:type="pct"/>
            <w:tcBorders>
              <w:top w:val="nil"/>
              <w:left w:val="nil"/>
              <w:bottom w:val="nil"/>
              <w:right w:val="nil"/>
            </w:tcBorders>
            <w:shd w:val="clear" w:color="000000" w:fill="FFFFFF"/>
            <w:noWrap/>
            <w:vAlign w:val="center"/>
            <w:hideMark/>
          </w:tcPr>
          <w:p w14:paraId="00F52912" w14:textId="77777777" w:rsidR="00CE1BEC" w:rsidRPr="00D618B7" w:rsidRDefault="00CE1BEC" w:rsidP="004B11B7">
            <w:pPr>
              <w:jc w:val="right"/>
              <w:rPr>
                <w:color w:val="000000"/>
              </w:rPr>
            </w:pPr>
            <w:r w:rsidRPr="00D618B7">
              <w:rPr>
                <w:color w:val="000000"/>
              </w:rPr>
              <w:t>537.89</w:t>
            </w:r>
          </w:p>
        </w:tc>
        <w:tc>
          <w:tcPr>
            <w:tcW w:w="753" w:type="pct"/>
            <w:tcBorders>
              <w:top w:val="nil"/>
              <w:left w:val="nil"/>
              <w:bottom w:val="nil"/>
              <w:right w:val="nil"/>
            </w:tcBorders>
            <w:shd w:val="clear" w:color="000000" w:fill="FFFFFF"/>
            <w:noWrap/>
            <w:vAlign w:val="center"/>
            <w:hideMark/>
          </w:tcPr>
          <w:p w14:paraId="58353A3B" w14:textId="77777777" w:rsidR="00CE1BEC" w:rsidRPr="00D618B7" w:rsidRDefault="00CE1BEC" w:rsidP="004B11B7">
            <w:pPr>
              <w:jc w:val="right"/>
              <w:rPr>
                <w:color w:val="000000"/>
              </w:rPr>
            </w:pPr>
            <w:r w:rsidRPr="00D618B7">
              <w:rPr>
                <w:color w:val="000000"/>
              </w:rPr>
              <w:t>14.67</w:t>
            </w:r>
          </w:p>
        </w:tc>
        <w:tc>
          <w:tcPr>
            <w:tcW w:w="752" w:type="pct"/>
            <w:tcBorders>
              <w:top w:val="nil"/>
              <w:left w:val="nil"/>
              <w:bottom w:val="nil"/>
              <w:right w:val="nil"/>
            </w:tcBorders>
            <w:shd w:val="clear" w:color="000000" w:fill="FFFFFF"/>
            <w:noWrap/>
            <w:vAlign w:val="center"/>
            <w:hideMark/>
          </w:tcPr>
          <w:p w14:paraId="0D07C719" w14:textId="77777777" w:rsidR="00CE1BEC" w:rsidRPr="00D618B7" w:rsidRDefault="00CE1BEC" w:rsidP="004B11B7">
            <w:pPr>
              <w:jc w:val="right"/>
              <w:rPr>
                <w:color w:val="000000"/>
              </w:rPr>
            </w:pPr>
            <w:r w:rsidRPr="00D618B7">
              <w:rPr>
                <w:color w:val="000000"/>
              </w:rPr>
              <w:t>45.02</w:t>
            </w:r>
          </w:p>
        </w:tc>
        <w:tc>
          <w:tcPr>
            <w:tcW w:w="752" w:type="pct"/>
            <w:tcBorders>
              <w:top w:val="nil"/>
              <w:left w:val="nil"/>
              <w:bottom w:val="nil"/>
              <w:right w:val="nil"/>
            </w:tcBorders>
            <w:shd w:val="clear" w:color="000000" w:fill="FFFFFF"/>
            <w:noWrap/>
            <w:vAlign w:val="center"/>
            <w:hideMark/>
          </w:tcPr>
          <w:p w14:paraId="7E6DCAF7" w14:textId="77777777" w:rsidR="00CE1BEC" w:rsidRPr="00D618B7" w:rsidRDefault="00CE1BEC" w:rsidP="004B11B7">
            <w:pPr>
              <w:jc w:val="right"/>
              <w:rPr>
                <w:color w:val="000000"/>
              </w:rPr>
            </w:pPr>
            <w:r w:rsidRPr="00D618B7">
              <w:rPr>
                <w:color w:val="000000"/>
              </w:rPr>
              <w:t>25.11</w:t>
            </w:r>
          </w:p>
        </w:tc>
      </w:tr>
      <w:tr w:rsidR="00CE1BEC" w:rsidRPr="00D618B7" w14:paraId="0951C706" w14:textId="77777777" w:rsidTr="004B11B7">
        <w:trPr>
          <w:trHeight w:val="284"/>
        </w:trPr>
        <w:tc>
          <w:tcPr>
            <w:tcW w:w="1990" w:type="pct"/>
            <w:tcBorders>
              <w:top w:val="nil"/>
              <w:left w:val="nil"/>
              <w:bottom w:val="nil"/>
              <w:right w:val="nil"/>
            </w:tcBorders>
            <w:shd w:val="clear" w:color="000000" w:fill="FFFFFF"/>
            <w:vAlign w:val="center"/>
            <w:hideMark/>
          </w:tcPr>
          <w:p w14:paraId="72DDFFA7" w14:textId="77777777" w:rsidR="00CE1BEC" w:rsidRPr="00D618B7" w:rsidRDefault="00CE1BEC" w:rsidP="004B11B7">
            <w:pPr>
              <w:jc w:val="center"/>
              <w:rPr>
                <w:color w:val="000000"/>
              </w:rPr>
            </w:pPr>
            <w:r w:rsidRPr="00D618B7">
              <w:rPr>
                <w:color w:val="000000"/>
              </w:rPr>
              <w:t>-4</w:t>
            </w:r>
          </w:p>
        </w:tc>
        <w:tc>
          <w:tcPr>
            <w:tcW w:w="752" w:type="pct"/>
            <w:tcBorders>
              <w:top w:val="nil"/>
              <w:left w:val="nil"/>
              <w:bottom w:val="nil"/>
              <w:right w:val="nil"/>
            </w:tcBorders>
            <w:shd w:val="clear" w:color="000000" w:fill="FFFFFF"/>
            <w:noWrap/>
            <w:vAlign w:val="center"/>
            <w:hideMark/>
          </w:tcPr>
          <w:p w14:paraId="49A59B8F" w14:textId="77777777" w:rsidR="00CE1BEC" w:rsidRPr="00D618B7" w:rsidRDefault="00CE1BEC" w:rsidP="004B11B7">
            <w:pPr>
              <w:jc w:val="right"/>
              <w:rPr>
                <w:color w:val="000000"/>
              </w:rPr>
            </w:pPr>
            <w:r w:rsidRPr="00D618B7">
              <w:rPr>
                <w:color w:val="000000"/>
              </w:rPr>
              <w:t>-50.66</w:t>
            </w:r>
          </w:p>
        </w:tc>
        <w:tc>
          <w:tcPr>
            <w:tcW w:w="753" w:type="pct"/>
            <w:tcBorders>
              <w:top w:val="nil"/>
              <w:left w:val="nil"/>
              <w:bottom w:val="nil"/>
              <w:right w:val="nil"/>
            </w:tcBorders>
            <w:shd w:val="clear" w:color="000000" w:fill="FFFFFF"/>
            <w:noWrap/>
            <w:vAlign w:val="center"/>
            <w:hideMark/>
          </w:tcPr>
          <w:p w14:paraId="714D9A62" w14:textId="77777777" w:rsidR="00CE1BEC" w:rsidRPr="00D618B7" w:rsidRDefault="00CE1BEC" w:rsidP="004B11B7">
            <w:pPr>
              <w:jc w:val="right"/>
              <w:rPr>
                <w:color w:val="000000"/>
              </w:rPr>
            </w:pPr>
            <w:r w:rsidRPr="00D618B7">
              <w:rPr>
                <w:color w:val="000000"/>
              </w:rPr>
              <w:t>23.04</w:t>
            </w:r>
          </w:p>
        </w:tc>
        <w:tc>
          <w:tcPr>
            <w:tcW w:w="752" w:type="pct"/>
            <w:tcBorders>
              <w:top w:val="nil"/>
              <w:left w:val="nil"/>
              <w:bottom w:val="nil"/>
              <w:right w:val="nil"/>
            </w:tcBorders>
            <w:shd w:val="clear" w:color="000000" w:fill="FFFFFF"/>
            <w:noWrap/>
            <w:vAlign w:val="center"/>
            <w:hideMark/>
          </w:tcPr>
          <w:p w14:paraId="49288ED9" w14:textId="77777777" w:rsidR="00CE1BEC" w:rsidRPr="00D618B7" w:rsidRDefault="00CE1BEC" w:rsidP="004B11B7">
            <w:pPr>
              <w:jc w:val="right"/>
              <w:rPr>
                <w:color w:val="000000"/>
              </w:rPr>
            </w:pPr>
            <w:r w:rsidRPr="00D618B7">
              <w:rPr>
                <w:color w:val="000000"/>
              </w:rPr>
              <w:t>38.46</w:t>
            </w:r>
          </w:p>
        </w:tc>
        <w:tc>
          <w:tcPr>
            <w:tcW w:w="752" w:type="pct"/>
            <w:tcBorders>
              <w:top w:val="nil"/>
              <w:left w:val="nil"/>
              <w:bottom w:val="nil"/>
              <w:right w:val="nil"/>
            </w:tcBorders>
            <w:shd w:val="clear" w:color="000000" w:fill="FFFFFF"/>
            <w:noWrap/>
            <w:vAlign w:val="center"/>
            <w:hideMark/>
          </w:tcPr>
          <w:p w14:paraId="33FCEE61" w14:textId="77777777" w:rsidR="00CE1BEC" w:rsidRPr="00D618B7" w:rsidRDefault="00CE1BEC" w:rsidP="004B11B7">
            <w:pPr>
              <w:jc w:val="right"/>
              <w:rPr>
                <w:color w:val="000000"/>
              </w:rPr>
            </w:pPr>
            <w:r w:rsidRPr="00D618B7">
              <w:rPr>
                <w:color w:val="000000"/>
              </w:rPr>
              <w:t>47.64</w:t>
            </w:r>
          </w:p>
        </w:tc>
      </w:tr>
      <w:tr w:rsidR="00CE1BEC" w:rsidRPr="00D618B7" w14:paraId="6E0C960C" w14:textId="77777777" w:rsidTr="004B11B7">
        <w:trPr>
          <w:trHeight w:val="284"/>
        </w:trPr>
        <w:tc>
          <w:tcPr>
            <w:tcW w:w="1990" w:type="pct"/>
            <w:tcBorders>
              <w:top w:val="nil"/>
              <w:left w:val="nil"/>
              <w:bottom w:val="nil"/>
              <w:right w:val="nil"/>
            </w:tcBorders>
            <w:shd w:val="clear" w:color="000000" w:fill="FFFFFF"/>
            <w:vAlign w:val="center"/>
            <w:hideMark/>
          </w:tcPr>
          <w:p w14:paraId="214CE51B" w14:textId="77777777" w:rsidR="00CE1BEC" w:rsidRPr="00D618B7" w:rsidRDefault="00CE1BEC" w:rsidP="004B11B7">
            <w:pPr>
              <w:jc w:val="center"/>
              <w:rPr>
                <w:color w:val="000000"/>
              </w:rPr>
            </w:pPr>
            <w:r w:rsidRPr="00D618B7">
              <w:rPr>
                <w:color w:val="000000"/>
              </w:rPr>
              <w:t>-3</w:t>
            </w:r>
          </w:p>
        </w:tc>
        <w:tc>
          <w:tcPr>
            <w:tcW w:w="752" w:type="pct"/>
            <w:tcBorders>
              <w:top w:val="nil"/>
              <w:left w:val="nil"/>
              <w:bottom w:val="nil"/>
              <w:right w:val="nil"/>
            </w:tcBorders>
            <w:shd w:val="clear" w:color="000000" w:fill="FFFFFF"/>
            <w:noWrap/>
            <w:vAlign w:val="center"/>
            <w:hideMark/>
          </w:tcPr>
          <w:p w14:paraId="1DFE11EE" w14:textId="77777777" w:rsidR="00CE1BEC" w:rsidRPr="00D618B7" w:rsidRDefault="00CE1BEC" w:rsidP="004B11B7">
            <w:pPr>
              <w:jc w:val="right"/>
              <w:rPr>
                <w:color w:val="000000"/>
              </w:rPr>
            </w:pPr>
            <w:r w:rsidRPr="00D618B7">
              <w:rPr>
                <w:color w:val="000000"/>
              </w:rPr>
              <w:t>725.11</w:t>
            </w:r>
          </w:p>
        </w:tc>
        <w:tc>
          <w:tcPr>
            <w:tcW w:w="753" w:type="pct"/>
            <w:tcBorders>
              <w:top w:val="nil"/>
              <w:left w:val="nil"/>
              <w:bottom w:val="nil"/>
              <w:right w:val="nil"/>
            </w:tcBorders>
            <w:shd w:val="clear" w:color="000000" w:fill="FFFFFF"/>
            <w:noWrap/>
            <w:vAlign w:val="center"/>
            <w:hideMark/>
          </w:tcPr>
          <w:p w14:paraId="37029820" w14:textId="77777777" w:rsidR="00CE1BEC" w:rsidRPr="00D618B7" w:rsidRDefault="00CE1BEC" w:rsidP="004B11B7">
            <w:pPr>
              <w:jc w:val="right"/>
              <w:rPr>
                <w:color w:val="000000"/>
              </w:rPr>
            </w:pPr>
            <w:r w:rsidRPr="00D618B7">
              <w:rPr>
                <w:color w:val="000000"/>
              </w:rPr>
              <w:t>79.06</w:t>
            </w:r>
          </w:p>
        </w:tc>
        <w:tc>
          <w:tcPr>
            <w:tcW w:w="752" w:type="pct"/>
            <w:tcBorders>
              <w:top w:val="nil"/>
              <w:left w:val="nil"/>
              <w:bottom w:val="nil"/>
              <w:right w:val="nil"/>
            </w:tcBorders>
            <w:shd w:val="clear" w:color="000000" w:fill="FFFFFF"/>
            <w:noWrap/>
            <w:vAlign w:val="center"/>
            <w:hideMark/>
          </w:tcPr>
          <w:p w14:paraId="7992D418" w14:textId="77777777" w:rsidR="00CE1BEC" w:rsidRPr="00D618B7" w:rsidRDefault="00CE1BEC" w:rsidP="004B11B7">
            <w:pPr>
              <w:jc w:val="right"/>
              <w:rPr>
                <w:color w:val="000000"/>
              </w:rPr>
            </w:pPr>
            <w:r w:rsidRPr="00D618B7">
              <w:rPr>
                <w:color w:val="000000"/>
              </w:rPr>
              <w:t>36.35</w:t>
            </w:r>
          </w:p>
        </w:tc>
        <w:tc>
          <w:tcPr>
            <w:tcW w:w="752" w:type="pct"/>
            <w:tcBorders>
              <w:top w:val="nil"/>
              <w:left w:val="nil"/>
              <w:bottom w:val="nil"/>
              <w:right w:val="nil"/>
            </w:tcBorders>
            <w:shd w:val="clear" w:color="000000" w:fill="FFFFFF"/>
            <w:noWrap/>
            <w:vAlign w:val="center"/>
            <w:hideMark/>
          </w:tcPr>
          <w:p w14:paraId="10DFA012" w14:textId="77777777" w:rsidR="00CE1BEC" w:rsidRPr="00D618B7" w:rsidRDefault="00CE1BEC" w:rsidP="004B11B7">
            <w:pPr>
              <w:jc w:val="right"/>
              <w:rPr>
                <w:color w:val="000000"/>
              </w:rPr>
            </w:pPr>
            <w:r w:rsidRPr="00D618B7">
              <w:rPr>
                <w:color w:val="000000"/>
              </w:rPr>
              <w:t>10.04</w:t>
            </w:r>
          </w:p>
        </w:tc>
      </w:tr>
      <w:tr w:rsidR="00CE1BEC" w:rsidRPr="00D618B7" w14:paraId="4EA84FE4" w14:textId="77777777" w:rsidTr="004B11B7">
        <w:trPr>
          <w:trHeight w:val="284"/>
        </w:trPr>
        <w:tc>
          <w:tcPr>
            <w:tcW w:w="1990" w:type="pct"/>
            <w:tcBorders>
              <w:top w:val="nil"/>
              <w:left w:val="nil"/>
              <w:bottom w:val="nil"/>
              <w:right w:val="nil"/>
            </w:tcBorders>
            <w:shd w:val="clear" w:color="000000" w:fill="FFFFFF"/>
            <w:vAlign w:val="center"/>
            <w:hideMark/>
          </w:tcPr>
          <w:p w14:paraId="73E53D72" w14:textId="77777777" w:rsidR="00CE1BEC" w:rsidRPr="00D618B7" w:rsidRDefault="00CE1BEC" w:rsidP="004B11B7">
            <w:pPr>
              <w:jc w:val="center"/>
              <w:rPr>
                <w:color w:val="000000"/>
              </w:rPr>
            </w:pPr>
            <w:r w:rsidRPr="00D618B7">
              <w:rPr>
                <w:color w:val="000000"/>
              </w:rPr>
              <w:t>-2</w:t>
            </w:r>
          </w:p>
        </w:tc>
        <w:tc>
          <w:tcPr>
            <w:tcW w:w="752" w:type="pct"/>
            <w:tcBorders>
              <w:top w:val="nil"/>
              <w:left w:val="nil"/>
              <w:bottom w:val="nil"/>
              <w:right w:val="nil"/>
            </w:tcBorders>
            <w:shd w:val="clear" w:color="000000" w:fill="FFFFFF"/>
            <w:noWrap/>
            <w:vAlign w:val="center"/>
            <w:hideMark/>
          </w:tcPr>
          <w:p w14:paraId="3C733E9E" w14:textId="77777777" w:rsidR="00CE1BEC" w:rsidRPr="00D618B7" w:rsidRDefault="00CE1BEC" w:rsidP="004B11B7">
            <w:pPr>
              <w:jc w:val="right"/>
              <w:rPr>
                <w:color w:val="000000"/>
              </w:rPr>
            </w:pPr>
            <w:r w:rsidRPr="00D618B7">
              <w:rPr>
                <w:color w:val="000000"/>
              </w:rPr>
              <w:t>363.04</w:t>
            </w:r>
          </w:p>
        </w:tc>
        <w:tc>
          <w:tcPr>
            <w:tcW w:w="753" w:type="pct"/>
            <w:tcBorders>
              <w:top w:val="nil"/>
              <w:left w:val="nil"/>
              <w:bottom w:val="nil"/>
              <w:right w:val="nil"/>
            </w:tcBorders>
            <w:shd w:val="clear" w:color="000000" w:fill="FFFFFF"/>
            <w:noWrap/>
            <w:vAlign w:val="center"/>
            <w:hideMark/>
          </w:tcPr>
          <w:p w14:paraId="2C360526" w14:textId="77777777" w:rsidR="00CE1BEC" w:rsidRPr="00D618B7" w:rsidRDefault="00CE1BEC" w:rsidP="004B11B7">
            <w:pPr>
              <w:jc w:val="right"/>
              <w:rPr>
                <w:color w:val="000000"/>
              </w:rPr>
            </w:pPr>
            <w:r w:rsidRPr="00D618B7">
              <w:rPr>
                <w:color w:val="000000"/>
              </w:rPr>
              <w:t>87.33</w:t>
            </w:r>
          </w:p>
        </w:tc>
        <w:tc>
          <w:tcPr>
            <w:tcW w:w="752" w:type="pct"/>
            <w:tcBorders>
              <w:top w:val="nil"/>
              <w:left w:val="nil"/>
              <w:bottom w:val="nil"/>
              <w:right w:val="nil"/>
            </w:tcBorders>
            <w:shd w:val="clear" w:color="000000" w:fill="FFFFFF"/>
            <w:noWrap/>
            <w:vAlign w:val="center"/>
            <w:hideMark/>
          </w:tcPr>
          <w:p w14:paraId="2F703CCD" w14:textId="77777777" w:rsidR="00CE1BEC" w:rsidRPr="00D618B7" w:rsidRDefault="00CE1BEC" w:rsidP="004B11B7">
            <w:pPr>
              <w:jc w:val="right"/>
              <w:rPr>
                <w:color w:val="000000"/>
              </w:rPr>
            </w:pPr>
            <w:r w:rsidRPr="00D618B7">
              <w:rPr>
                <w:color w:val="000000"/>
              </w:rPr>
              <w:t>-44.01</w:t>
            </w:r>
          </w:p>
        </w:tc>
        <w:tc>
          <w:tcPr>
            <w:tcW w:w="752" w:type="pct"/>
            <w:tcBorders>
              <w:top w:val="nil"/>
              <w:left w:val="nil"/>
              <w:bottom w:val="nil"/>
              <w:right w:val="nil"/>
            </w:tcBorders>
            <w:shd w:val="clear" w:color="000000" w:fill="FFFFFF"/>
            <w:noWrap/>
            <w:vAlign w:val="center"/>
            <w:hideMark/>
          </w:tcPr>
          <w:p w14:paraId="7FD94E93" w14:textId="77777777" w:rsidR="00CE1BEC" w:rsidRPr="00D618B7" w:rsidRDefault="00CE1BEC" w:rsidP="004B11B7">
            <w:pPr>
              <w:jc w:val="right"/>
              <w:rPr>
                <w:color w:val="000000"/>
              </w:rPr>
            </w:pPr>
            <w:r w:rsidRPr="00D618B7">
              <w:rPr>
                <w:color w:val="000000"/>
              </w:rPr>
              <w:t>22.56</w:t>
            </w:r>
          </w:p>
        </w:tc>
      </w:tr>
      <w:tr w:rsidR="00CE1BEC" w:rsidRPr="00D618B7" w14:paraId="3E4D09E1" w14:textId="77777777" w:rsidTr="004B11B7">
        <w:trPr>
          <w:trHeight w:val="284"/>
        </w:trPr>
        <w:tc>
          <w:tcPr>
            <w:tcW w:w="1990" w:type="pct"/>
            <w:tcBorders>
              <w:top w:val="nil"/>
              <w:left w:val="nil"/>
              <w:bottom w:val="nil"/>
              <w:right w:val="nil"/>
            </w:tcBorders>
            <w:shd w:val="clear" w:color="000000" w:fill="FFFFFF"/>
            <w:vAlign w:val="center"/>
            <w:hideMark/>
          </w:tcPr>
          <w:p w14:paraId="2A0DCCA6" w14:textId="77777777" w:rsidR="00CE1BEC" w:rsidRPr="00D618B7" w:rsidRDefault="00CE1BEC" w:rsidP="004B11B7">
            <w:pPr>
              <w:jc w:val="center"/>
              <w:rPr>
                <w:color w:val="000000"/>
              </w:rPr>
            </w:pPr>
            <w:r w:rsidRPr="00D618B7">
              <w:rPr>
                <w:color w:val="000000"/>
              </w:rPr>
              <w:t>-1</w:t>
            </w:r>
          </w:p>
        </w:tc>
        <w:tc>
          <w:tcPr>
            <w:tcW w:w="752" w:type="pct"/>
            <w:tcBorders>
              <w:top w:val="nil"/>
              <w:left w:val="nil"/>
              <w:bottom w:val="nil"/>
              <w:right w:val="nil"/>
            </w:tcBorders>
            <w:shd w:val="clear" w:color="000000" w:fill="FFFFFF"/>
            <w:noWrap/>
            <w:vAlign w:val="center"/>
            <w:hideMark/>
          </w:tcPr>
          <w:p w14:paraId="6E70C894" w14:textId="77777777" w:rsidR="00CE1BEC" w:rsidRPr="00D618B7" w:rsidRDefault="00CE1BEC" w:rsidP="004B11B7">
            <w:pPr>
              <w:jc w:val="right"/>
              <w:rPr>
                <w:color w:val="000000"/>
              </w:rPr>
            </w:pPr>
            <w:r w:rsidRPr="00D618B7">
              <w:rPr>
                <w:color w:val="000000"/>
              </w:rPr>
              <w:t>1370.67</w:t>
            </w:r>
          </w:p>
        </w:tc>
        <w:tc>
          <w:tcPr>
            <w:tcW w:w="753" w:type="pct"/>
            <w:tcBorders>
              <w:top w:val="nil"/>
              <w:left w:val="nil"/>
              <w:bottom w:val="nil"/>
              <w:right w:val="nil"/>
            </w:tcBorders>
            <w:shd w:val="clear" w:color="000000" w:fill="FFFFFF"/>
            <w:noWrap/>
            <w:vAlign w:val="center"/>
            <w:hideMark/>
          </w:tcPr>
          <w:p w14:paraId="77CBD285" w14:textId="77777777" w:rsidR="00CE1BEC" w:rsidRPr="00D618B7" w:rsidRDefault="00CE1BEC" w:rsidP="004B11B7">
            <w:pPr>
              <w:jc w:val="right"/>
              <w:rPr>
                <w:color w:val="000000"/>
              </w:rPr>
            </w:pPr>
            <w:r w:rsidRPr="00D618B7">
              <w:rPr>
                <w:color w:val="000000"/>
              </w:rPr>
              <w:t>386.82</w:t>
            </w:r>
          </w:p>
        </w:tc>
        <w:tc>
          <w:tcPr>
            <w:tcW w:w="752" w:type="pct"/>
            <w:tcBorders>
              <w:top w:val="nil"/>
              <w:left w:val="nil"/>
              <w:bottom w:val="nil"/>
              <w:right w:val="nil"/>
            </w:tcBorders>
            <w:shd w:val="clear" w:color="000000" w:fill="FFFFFF"/>
            <w:noWrap/>
            <w:vAlign w:val="center"/>
            <w:hideMark/>
          </w:tcPr>
          <w:p w14:paraId="615822CA" w14:textId="77777777" w:rsidR="00CE1BEC" w:rsidRPr="00D618B7" w:rsidRDefault="00CE1BEC" w:rsidP="004B11B7">
            <w:pPr>
              <w:jc w:val="right"/>
              <w:rPr>
                <w:color w:val="000000"/>
              </w:rPr>
            </w:pPr>
            <w:r w:rsidRPr="00D618B7">
              <w:rPr>
                <w:color w:val="000000"/>
              </w:rPr>
              <w:t>180.31</w:t>
            </w:r>
          </w:p>
        </w:tc>
        <w:tc>
          <w:tcPr>
            <w:tcW w:w="752" w:type="pct"/>
            <w:tcBorders>
              <w:top w:val="nil"/>
              <w:left w:val="nil"/>
              <w:bottom w:val="nil"/>
              <w:right w:val="nil"/>
            </w:tcBorders>
            <w:shd w:val="clear" w:color="000000" w:fill="FFFFFF"/>
            <w:noWrap/>
            <w:vAlign w:val="center"/>
            <w:hideMark/>
          </w:tcPr>
          <w:p w14:paraId="0D3B7D92" w14:textId="77777777" w:rsidR="00CE1BEC" w:rsidRPr="00D618B7" w:rsidRDefault="00CE1BEC" w:rsidP="004B11B7">
            <w:pPr>
              <w:jc w:val="right"/>
              <w:rPr>
                <w:color w:val="000000"/>
              </w:rPr>
            </w:pPr>
            <w:r w:rsidRPr="00D618B7">
              <w:rPr>
                <w:color w:val="000000"/>
              </w:rPr>
              <w:t>78.03</w:t>
            </w:r>
          </w:p>
        </w:tc>
      </w:tr>
      <w:tr w:rsidR="00CE1BEC" w:rsidRPr="00D618B7" w14:paraId="0946E3A0" w14:textId="77777777" w:rsidTr="004B11B7">
        <w:trPr>
          <w:trHeight w:val="284"/>
        </w:trPr>
        <w:tc>
          <w:tcPr>
            <w:tcW w:w="1990" w:type="pct"/>
            <w:tcBorders>
              <w:top w:val="nil"/>
              <w:left w:val="nil"/>
              <w:bottom w:val="nil"/>
              <w:right w:val="nil"/>
            </w:tcBorders>
            <w:shd w:val="clear" w:color="000000" w:fill="FFFFFF"/>
            <w:vAlign w:val="center"/>
            <w:hideMark/>
          </w:tcPr>
          <w:p w14:paraId="2C80CD4A" w14:textId="77777777" w:rsidR="00CE1BEC" w:rsidRPr="00D618B7" w:rsidRDefault="00CE1BEC" w:rsidP="004B11B7">
            <w:pPr>
              <w:jc w:val="center"/>
              <w:rPr>
                <w:color w:val="000000"/>
              </w:rPr>
            </w:pPr>
            <w:r w:rsidRPr="00D618B7">
              <w:rPr>
                <w:color w:val="000000"/>
              </w:rPr>
              <w:t>0</w:t>
            </w:r>
          </w:p>
        </w:tc>
        <w:tc>
          <w:tcPr>
            <w:tcW w:w="752" w:type="pct"/>
            <w:tcBorders>
              <w:top w:val="nil"/>
              <w:left w:val="nil"/>
              <w:bottom w:val="nil"/>
              <w:right w:val="nil"/>
            </w:tcBorders>
            <w:shd w:val="clear" w:color="000000" w:fill="FFFFFF"/>
            <w:noWrap/>
            <w:vAlign w:val="center"/>
            <w:hideMark/>
          </w:tcPr>
          <w:p w14:paraId="64504D79" w14:textId="77777777" w:rsidR="00CE1BEC" w:rsidRPr="00D618B7" w:rsidRDefault="00CE1BEC" w:rsidP="004B11B7">
            <w:pPr>
              <w:jc w:val="right"/>
              <w:rPr>
                <w:color w:val="000000"/>
              </w:rPr>
            </w:pPr>
            <w:r w:rsidRPr="00D618B7">
              <w:rPr>
                <w:color w:val="000000"/>
              </w:rPr>
              <w:t>369.31</w:t>
            </w:r>
          </w:p>
        </w:tc>
        <w:tc>
          <w:tcPr>
            <w:tcW w:w="753" w:type="pct"/>
            <w:tcBorders>
              <w:top w:val="nil"/>
              <w:left w:val="nil"/>
              <w:bottom w:val="nil"/>
              <w:right w:val="nil"/>
            </w:tcBorders>
            <w:shd w:val="clear" w:color="000000" w:fill="FFFFFF"/>
            <w:noWrap/>
            <w:vAlign w:val="center"/>
            <w:hideMark/>
          </w:tcPr>
          <w:p w14:paraId="77B900A2" w14:textId="77777777" w:rsidR="00CE1BEC" w:rsidRPr="00D618B7" w:rsidRDefault="00CE1BEC" w:rsidP="004B11B7">
            <w:pPr>
              <w:jc w:val="right"/>
              <w:rPr>
                <w:color w:val="000000"/>
              </w:rPr>
            </w:pPr>
            <w:r w:rsidRPr="00D618B7">
              <w:rPr>
                <w:color w:val="000000"/>
              </w:rPr>
              <w:t>226.87</w:t>
            </w:r>
          </w:p>
        </w:tc>
        <w:tc>
          <w:tcPr>
            <w:tcW w:w="752" w:type="pct"/>
            <w:tcBorders>
              <w:top w:val="nil"/>
              <w:left w:val="nil"/>
              <w:bottom w:val="nil"/>
              <w:right w:val="nil"/>
            </w:tcBorders>
            <w:shd w:val="clear" w:color="000000" w:fill="FFFFFF"/>
            <w:noWrap/>
            <w:vAlign w:val="center"/>
            <w:hideMark/>
          </w:tcPr>
          <w:p w14:paraId="0F5A335A" w14:textId="77777777" w:rsidR="00CE1BEC" w:rsidRPr="00D618B7" w:rsidRDefault="00CE1BEC" w:rsidP="004B11B7">
            <w:pPr>
              <w:jc w:val="right"/>
              <w:rPr>
                <w:color w:val="000000"/>
              </w:rPr>
            </w:pPr>
            <w:r w:rsidRPr="00D618B7">
              <w:rPr>
                <w:color w:val="000000"/>
              </w:rPr>
              <w:t>90.63</w:t>
            </w:r>
          </w:p>
        </w:tc>
        <w:tc>
          <w:tcPr>
            <w:tcW w:w="752" w:type="pct"/>
            <w:tcBorders>
              <w:top w:val="nil"/>
              <w:left w:val="nil"/>
              <w:bottom w:val="nil"/>
              <w:right w:val="nil"/>
            </w:tcBorders>
            <w:shd w:val="clear" w:color="000000" w:fill="FFFFFF"/>
            <w:noWrap/>
            <w:vAlign w:val="center"/>
            <w:hideMark/>
          </w:tcPr>
          <w:p w14:paraId="1270B7C6" w14:textId="77777777" w:rsidR="00CE1BEC" w:rsidRPr="00D618B7" w:rsidRDefault="00CE1BEC" w:rsidP="004B11B7">
            <w:pPr>
              <w:jc w:val="right"/>
              <w:rPr>
                <w:color w:val="000000"/>
              </w:rPr>
            </w:pPr>
            <w:r w:rsidRPr="00D618B7">
              <w:rPr>
                <w:color w:val="000000"/>
              </w:rPr>
              <w:t>58.61</w:t>
            </w:r>
          </w:p>
        </w:tc>
      </w:tr>
      <w:tr w:rsidR="00CE1BEC" w:rsidRPr="00D618B7" w14:paraId="20332F67" w14:textId="77777777" w:rsidTr="004B11B7">
        <w:trPr>
          <w:trHeight w:val="284"/>
        </w:trPr>
        <w:tc>
          <w:tcPr>
            <w:tcW w:w="1990" w:type="pct"/>
            <w:tcBorders>
              <w:top w:val="nil"/>
              <w:left w:val="nil"/>
              <w:bottom w:val="nil"/>
              <w:right w:val="nil"/>
            </w:tcBorders>
            <w:shd w:val="clear" w:color="000000" w:fill="FFFFFF"/>
            <w:vAlign w:val="center"/>
            <w:hideMark/>
          </w:tcPr>
          <w:p w14:paraId="7F97298B" w14:textId="77777777" w:rsidR="00CE1BEC" w:rsidRPr="00D618B7" w:rsidRDefault="00CE1BEC" w:rsidP="004B11B7">
            <w:pPr>
              <w:jc w:val="center"/>
              <w:rPr>
                <w:color w:val="000000"/>
              </w:rPr>
            </w:pPr>
            <w:r w:rsidRPr="00D618B7">
              <w:rPr>
                <w:color w:val="000000"/>
              </w:rPr>
              <w:t>1</w:t>
            </w:r>
          </w:p>
        </w:tc>
        <w:tc>
          <w:tcPr>
            <w:tcW w:w="752" w:type="pct"/>
            <w:tcBorders>
              <w:top w:val="nil"/>
              <w:left w:val="nil"/>
              <w:bottom w:val="nil"/>
              <w:right w:val="nil"/>
            </w:tcBorders>
            <w:shd w:val="clear" w:color="000000" w:fill="FFFFFF"/>
            <w:noWrap/>
            <w:vAlign w:val="center"/>
            <w:hideMark/>
          </w:tcPr>
          <w:p w14:paraId="6521B114" w14:textId="77777777" w:rsidR="00CE1BEC" w:rsidRPr="00D618B7" w:rsidRDefault="00CE1BEC" w:rsidP="004B11B7">
            <w:pPr>
              <w:jc w:val="right"/>
              <w:rPr>
                <w:color w:val="000000"/>
              </w:rPr>
            </w:pPr>
            <w:r w:rsidRPr="00D618B7">
              <w:rPr>
                <w:color w:val="000000"/>
              </w:rPr>
              <w:t>364.16</w:t>
            </w:r>
          </w:p>
        </w:tc>
        <w:tc>
          <w:tcPr>
            <w:tcW w:w="753" w:type="pct"/>
            <w:tcBorders>
              <w:top w:val="nil"/>
              <w:left w:val="nil"/>
              <w:bottom w:val="nil"/>
              <w:right w:val="nil"/>
            </w:tcBorders>
            <w:shd w:val="clear" w:color="000000" w:fill="FFFFFF"/>
            <w:noWrap/>
            <w:vAlign w:val="center"/>
            <w:hideMark/>
          </w:tcPr>
          <w:p w14:paraId="58934892" w14:textId="77777777" w:rsidR="00CE1BEC" w:rsidRPr="00D618B7" w:rsidRDefault="00CE1BEC" w:rsidP="004B11B7">
            <w:pPr>
              <w:jc w:val="right"/>
              <w:rPr>
                <w:color w:val="000000"/>
              </w:rPr>
            </w:pPr>
            <w:r w:rsidRPr="00D618B7">
              <w:rPr>
                <w:color w:val="000000"/>
              </w:rPr>
              <w:t>65.12</w:t>
            </w:r>
          </w:p>
        </w:tc>
        <w:tc>
          <w:tcPr>
            <w:tcW w:w="752" w:type="pct"/>
            <w:tcBorders>
              <w:top w:val="nil"/>
              <w:left w:val="nil"/>
              <w:bottom w:val="nil"/>
              <w:right w:val="nil"/>
            </w:tcBorders>
            <w:shd w:val="clear" w:color="000000" w:fill="FFFFFF"/>
            <w:noWrap/>
            <w:vAlign w:val="center"/>
            <w:hideMark/>
          </w:tcPr>
          <w:p w14:paraId="2553EFFE" w14:textId="77777777" w:rsidR="00CE1BEC" w:rsidRPr="00D618B7" w:rsidRDefault="00CE1BEC" w:rsidP="004B11B7">
            <w:pPr>
              <w:jc w:val="right"/>
              <w:rPr>
                <w:color w:val="000000"/>
              </w:rPr>
            </w:pPr>
            <w:r w:rsidRPr="00D618B7">
              <w:rPr>
                <w:color w:val="000000"/>
              </w:rPr>
              <w:t>374.45</w:t>
            </w:r>
          </w:p>
        </w:tc>
        <w:tc>
          <w:tcPr>
            <w:tcW w:w="752" w:type="pct"/>
            <w:tcBorders>
              <w:top w:val="nil"/>
              <w:left w:val="nil"/>
              <w:bottom w:val="nil"/>
              <w:right w:val="nil"/>
            </w:tcBorders>
            <w:shd w:val="clear" w:color="000000" w:fill="FFFFFF"/>
            <w:noWrap/>
            <w:vAlign w:val="center"/>
            <w:hideMark/>
          </w:tcPr>
          <w:p w14:paraId="202AACC8" w14:textId="77777777" w:rsidR="00CE1BEC" w:rsidRPr="00D618B7" w:rsidRDefault="00CE1BEC" w:rsidP="004B11B7">
            <w:pPr>
              <w:jc w:val="right"/>
              <w:rPr>
                <w:color w:val="000000"/>
              </w:rPr>
            </w:pPr>
            <w:r w:rsidRPr="00D618B7">
              <w:rPr>
                <w:color w:val="000000"/>
              </w:rPr>
              <w:t>244.10</w:t>
            </w:r>
          </w:p>
        </w:tc>
      </w:tr>
      <w:tr w:rsidR="00CE1BEC" w:rsidRPr="00D618B7" w14:paraId="75F4628C" w14:textId="77777777" w:rsidTr="004B11B7">
        <w:trPr>
          <w:trHeight w:val="284"/>
        </w:trPr>
        <w:tc>
          <w:tcPr>
            <w:tcW w:w="1990" w:type="pct"/>
            <w:tcBorders>
              <w:top w:val="nil"/>
              <w:left w:val="nil"/>
              <w:bottom w:val="nil"/>
              <w:right w:val="nil"/>
            </w:tcBorders>
            <w:shd w:val="clear" w:color="000000" w:fill="FFFFFF"/>
            <w:vAlign w:val="center"/>
            <w:hideMark/>
          </w:tcPr>
          <w:p w14:paraId="66AE457A" w14:textId="77777777" w:rsidR="00CE1BEC" w:rsidRPr="00D618B7" w:rsidRDefault="00CE1BEC" w:rsidP="004B11B7">
            <w:pPr>
              <w:jc w:val="center"/>
              <w:rPr>
                <w:color w:val="000000"/>
              </w:rPr>
            </w:pPr>
            <w:r w:rsidRPr="00D618B7">
              <w:rPr>
                <w:color w:val="000000"/>
              </w:rPr>
              <w:t>2</w:t>
            </w:r>
          </w:p>
        </w:tc>
        <w:tc>
          <w:tcPr>
            <w:tcW w:w="752" w:type="pct"/>
            <w:tcBorders>
              <w:top w:val="nil"/>
              <w:left w:val="nil"/>
              <w:bottom w:val="nil"/>
              <w:right w:val="nil"/>
            </w:tcBorders>
            <w:shd w:val="clear" w:color="000000" w:fill="FFFFFF"/>
            <w:noWrap/>
            <w:vAlign w:val="center"/>
            <w:hideMark/>
          </w:tcPr>
          <w:p w14:paraId="46AC48F7" w14:textId="77777777" w:rsidR="00CE1BEC" w:rsidRPr="00D618B7" w:rsidRDefault="00CE1BEC" w:rsidP="004B11B7">
            <w:pPr>
              <w:jc w:val="right"/>
              <w:rPr>
                <w:color w:val="000000"/>
              </w:rPr>
            </w:pPr>
            <w:r w:rsidRPr="00D618B7">
              <w:rPr>
                <w:color w:val="000000"/>
              </w:rPr>
              <w:t>-146.91</w:t>
            </w:r>
          </w:p>
        </w:tc>
        <w:tc>
          <w:tcPr>
            <w:tcW w:w="753" w:type="pct"/>
            <w:tcBorders>
              <w:top w:val="nil"/>
              <w:left w:val="nil"/>
              <w:bottom w:val="nil"/>
              <w:right w:val="nil"/>
            </w:tcBorders>
            <w:shd w:val="clear" w:color="000000" w:fill="FFFFFF"/>
            <w:noWrap/>
            <w:vAlign w:val="center"/>
            <w:hideMark/>
          </w:tcPr>
          <w:p w14:paraId="5A77F7EE" w14:textId="77777777" w:rsidR="00CE1BEC" w:rsidRPr="00D618B7" w:rsidRDefault="00CE1BEC" w:rsidP="004B11B7">
            <w:pPr>
              <w:jc w:val="right"/>
              <w:rPr>
                <w:color w:val="000000"/>
              </w:rPr>
            </w:pPr>
            <w:r w:rsidRPr="00D618B7">
              <w:rPr>
                <w:color w:val="000000"/>
              </w:rPr>
              <w:t>73.96</w:t>
            </w:r>
          </w:p>
        </w:tc>
        <w:tc>
          <w:tcPr>
            <w:tcW w:w="752" w:type="pct"/>
            <w:tcBorders>
              <w:top w:val="nil"/>
              <w:left w:val="nil"/>
              <w:bottom w:val="nil"/>
              <w:right w:val="nil"/>
            </w:tcBorders>
            <w:shd w:val="clear" w:color="000000" w:fill="FFFFFF"/>
            <w:noWrap/>
            <w:vAlign w:val="center"/>
            <w:hideMark/>
          </w:tcPr>
          <w:p w14:paraId="476F5B40" w14:textId="77777777" w:rsidR="00CE1BEC" w:rsidRPr="00D618B7" w:rsidRDefault="00CE1BEC" w:rsidP="004B11B7">
            <w:pPr>
              <w:jc w:val="right"/>
              <w:rPr>
                <w:color w:val="000000"/>
              </w:rPr>
            </w:pPr>
            <w:r w:rsidRPr="00D618B7">
              <w:rPr>
                <w:color w:val="000000"/>
              </w:rPr>
              <w:t>243.06</w:t>
            </w:r>
          </w:p>
        </w:tc>
        <w:tc>
          <w:tcPr>
            <w:tcW w:w="752" w:type="pct"/>
            <w:tcBorders>
              <w:top w:val="nil"/>
              <w:left w:val="nil"/>
              <w:bottom w:val="nil"/>
              <w:right w:val="nil"/>
            </w:tcBorders>
            <w:shd w:val="clear" w:color="000000" w:fill="FFFFFF"/>
            <w:noWrap/>
            <w:vAlign w:val="center"/>
            <w:hideMark/>
          </w:tcPr>
          <w:p w14:paraId="160C6E69" w14:textId="77777777" w:rsidR="00CE1BEC" w:rsidRPr="00D618B7" w:rsidRDefault="00CE1BEC" w:rsidP="004B11B7">
            <w:pPr>
              <w:jc w:val="right"/>
              <w:rPr>
                <w:color w:val="000000"/>
              </w:rPr>
            </w:pPr>
            <w:r w:rsidRPr="00D618B7">
              <w:rPr>
                <w:color w:val="000000"/>
              </w:rPr>
              <w:t>72.96</w:t>
            </w:r>
          </w:p>
        </w:tc>
      </w:tr>
      <w:tr w:rsidR="00CE1BEC" w:rsidRPr="00D618B7" w14:paraId="132B35D0" w14:textId="77777777" w:rsidTr="004B11B7">
        <w:trPr>
          <w:trHeight w:val="284"/>
        </w:trPr>
        <w:tc>
          <w:tcPr>
            <w:tcW w:w="1990" w:type="pct"/>
            <w:tcBorders>
              <w:top w:val="nil"/>
              <w:left w:val="nil"/>
              <w:bottom w:val="nil"/>
              <w:right w:val="nil"/>
            </w:tcBorders>
            <w:shd w:val="clear" w:color="000000" w:fill="FFFFFF"/>
            <w:vAlign w:val="center"/>
            <w:hideMark/>
          </w:tcPr>
          <w:p w14:paraId="3B757BBD" w14:textId="77777777" w:rsidR="00CE1BEC" w:rsidRPr="00D618B7" w:rsidRDefault="00CE1BEC" w:rsidP="004B11B7">
            <w:pPr>
              <w:jc w:val="center"/>
              <w:rPr>
                <w:color w:val="000000"/>
              </w:rPr>
            </w:pPr>
            <w:r w:rsidRPr="00D618B7">
              <w:rPr>
                <w:color w:val="000000"/>
              </w:rPr>
              <w:t>3</w:t>
            </w:r>
          </w:p>
        </w:tc>
        <w:tc>
          <w:tcPr>
            <w:tcW w:w="752" w:type="pct"/>
            <w:tcBorders>
              <w:top w:val="nil"/>
              <w:left w:val="nil"/>
              <w:bottom w:val="nil"/>
              <w:right w:val="nil"/>
            </w:tcBorders>
            <w:shd w:val="clear" w:color="000000" w:fill="FFFFFF"/>
            <w:noWrap/>
            <w:vAlign w:val="center"/>
            <w:hideMark/>
          </w:tcPr>
          <w:p w14:paraId="2518C446" w14:textId="77777777" w:rsidR="00CE1BEC" w:rsidRPr="00D618B7" w:rsidRDefault="00CE1BEC" w:rsidP="004B11B7">
            <w:pPr>
              <w:jc w:val="right"/>
              <w:rPr>
                <w:color w:val="000000"/>
              </w:rPr>
            </w:pPr>
            <w:r w:rsidRPr="00D618B7">
              <w:rPr>
                <w:color w:val="000000"/>
              </w:rPr>
              <w:t>189.61</w:t>
            </w:r>
          </w:p>
        </w:tc>
        <w:tc>
          <w:tcPr>
            <w:tcW w:w="753" w:type="pct"/>
            <w:tcBorders>
              <w:top w:val="nil"/>
              <w:left w:val="nil"/>
              <w:bottom w:val="nil"/>
              <w:right w:val="nil"/>
            </w:tcBorders>
            <w:shd w:val="clear" w:color="000000" w:fill="FFFFFF"/>
            <w:noWrap/>
            <w:vAlign w:val="center"/>
            <w:hideMark/>
          </w:tcPr>
          <w:p w14:paraId="422E7743" w14:textId="77777777" w:rsidR="00CE1BEC" w:rsidRPr="00D618B7" w:rsidRDefault="00CE1BEC" w:rsidP="004B11B7">
            <w:pPr>
              <w:jc w:val="right"/>
              <w:rPr>
                <w:color w:val="000000"/>
              </w:rPr>
            </w:pPr>
            <w:r w:rsidRPr="00D618B7">
              <w:rPr>
                <w:color w:val="000000"/>
              </w:rPr>
              <w:t>19.31</w:t>
            </w:r>
          </w:p>
        </w:tc>
        <w:tc>
          <w:tcPr>
            <w:tcW w:w="752" w:type="pct"/>
            <w:tcBorders>
              <w:top w:val="nil"/>
              <w:left w:val="nil"/>
              <w:bottom w:val="nil"/>
              <w:right w:val="nil"/>
            </w:tcBorders>
            <w:shd w:val="clear" w:color="000000" w:fill="FFFFFF"/>
            <w:noWrap/>
            <w:vAlign w:val="center"/>
            <w:hideMark/>
          </w:tcPr>
          <w:p w14:paraId="0BA22A46" w14:textId="77777777" w:rsidR="00CE1BEC" w:rsidRPr="00D618B7" w:rsidRDefault="00CE1BEC" w:rsidP="004B11B7">
            <w:pPr>
              <w:jc w:val="right"/>
              <w:rPr>
                <w:color w:val="000000"/>
              </w:rPr>
            </w:pPr>
            <w:r w:rsidRPr="00D618B7">
              <w:rPr>
                <w:color w:val="000000"/>
              </w:rPr>
              <w:t>117.47</w:t>
            </w:r>
          </w:p>
        </w:tc>
        <w:tc>
          <w:tcPr>
            <w:tcW w:w="752" w:type="pct"/>
            <w:tcBorders>
              <w:top w:val="nil"/>
              <w:left w:val="nil"/>
              <w:bottom w:val="nil"/>
              <w:right w:val="nil"/>
            </w:tcBorders>
            <w:shd w:val="clear" w:color="000000" w:fill="FFFFFF"/>
            <w:noWrap/>
            <w:vAlign w:val="center"/>
            <w:hideMark/>
          </w:tcPr>
          <w:p w14:paraId="673C663E" w14:textId="77777777" w:rsidR="00CE1BEC" w:rsidRPr="00D618B7" w:rsidRDefault="00CE1BEC" w:rsidP="004B11B7">
            <w:pPr>
              <w:jc w:val="right"/>
              <w:rPr>
                <w:color w:val="000000"/>
              </w:rPr>
            </w:pPr>
            <w:r w:rsidRPr="00D618B7">
              <w:rPr>
                <w:color w:val="000000"/>
              </w:rPr>
              <w:t>7.37</w:t>
            </w:r>
          </w:p>
        </w:tc>
      </w:tr>
      <w:tr w:rsidR="00CE1BEC" w:rsidRPr="00D618B7" w14:paraId="7997A465" w14:textId="77777777" w:rsidTr="004B11B7">
        <w:trPr>
          <w:trHeight w:val="284"/>
        </w:trPr>
        <w:tc>
          <w:tcPr>
            <w:tcW w:w="1990" w:type="pct"/>
            <w:tcBorders>
              <w:top w:val="nil"/>
              <w:left w:val="nil"/>
              <w:bottom w:val="nil"/>
              <w:right w:val="nil"/>
            </w:tcBorders>
            <w:shd w:val="clear" w:color="000000" w:fill="FFFFFF"/>
            <w:vAlign w:val="center"/>
            <w:hideMark/>
          </w:tcPr>
          <w:p w14:paraId="7BBC2581" w14:textId="77777777" w:rsidR="00CE1BEC" w:rsidRPr="00D618B7" w:rsidRDefault="00CE1BEC" w:rsidP="004B11B7">
            <w:pPr>
              <w:jc w:val="center"/>
              <w:rPr>
                <w:color w:val="000000"/>
              </w:rPr>
            </w:pPr>
            <w:r w:rsidRPr="00D618B7">
              <w:rPr>
                <w:color w:val="000000"/>
              </w:rPr>
              <w:t>4</w:t>
            </w:r>
          </w:p>
        </w:tc>
        <w:tc>
          <w:tcPr>
            <w:tcW w:w="752" w:type="pct"/>
            <w:tcBorders>
              <w:top w:val="nil"/>
              <w:left w:val="nil"/>
              <w:bottom w:val="nil"/>
              <w:right w:val="nil"/>
            </w:tcBorders>
            <w:shd w:val="clear" w:color="000000" w:fill="FFFFFF"/>
            <w:noWrap/>
            <w:vAlign w:val="center"/>
            <w:hideMark/>
          </w:tcPr>
          <w:p w14:paraId="7BF7C7DC" w14:textId="77777777" w:rsidR="00CE1BEC" w:rsidRPr="00D618B7" w:rsidRDefault="00CE1BEC" w:rsidP="004B11B7">
            <w:pPr>
              <w:jc w:val="right"/>
              <w:rPr>
                <w:color w:val="000000"/>
              </w:rPr>
            </w:pPr>
            <w:r w:rsidRPr="00D618B7">
              <w:rPr>
                <w:color w:val="000000"/>
              </w:rPr>
              <w:t>36.24</w:t>
            </w:r>
          </w:p>
        </w:tc>
        <w:tc>
          <w:tcPr>
            <w:tcW w:w="753" w:type="pct"/>
            <w:tcBorders>
              <w:top w:val="nil"/>
              <w:left w:val="nil"/>
              <w:bottom w:val="nil"/>
              <w:right w:val="nil"/>
            </w:tcBorders>
            <w:shd w:val="clear" w:color="000000" w:fill="FFFFFF"/>
            <w:noWrap/>
            <w:vAlign w:val="center"/>
            <w:hideMark/>
          </w:tcPr>
          <w:p w14:paraId="6BBB48D1" w14:textId="77777777" w:rsidR="00CE1BEC" w:rsidRPr="00D618B7" w:rsidRDefault="00CE1BEC" w:rsidP="004B11B7">
            <w:pPr>
              <w:jc w:val="right"/>
              <w:rPr>
                <w:color w:val="000000"/>
              </w:rPr>
            </w:pPr>
            <w:r w:rsidRPr="00D618B7">
              <w:rPr>
                <w:color w:val="000000"/>
              </w:rPr>
              <w:t>98.97</w:t>
            </w:r>
          </w:p>
        </w:tc>
        <w:tc>
          <w:tcPr>
            <w:tcW w:w="752" w:type="pct"/>
            <w:tcBorders>
              <w:top w:val="nil"/>
              <w:left w:val="nil"/>
              <w:bottom w:val="nil"/>
              <w:right w:val="nil"/>
            </w:tcBorders>
            <w:shd w:val="clear" w:color="000000" w:fill="FFFFFF"/>
            <w:noWrap/>
            <w:vAlign w:val="center"/>
            <w:hideMark/>
          </w:tcPr>
          <w:p w14:paraId="0AE56A8C" w14:textId="77777777" w:rsidR="00CE1BEC" w:rsidRPr="00D618B7" w:rsidRDefault="00CE1BEC" w:rsidP="004B11B7">
            <w:pPr>
              <w:jc w:val="right"/>
              <w:rPr>
                <w:color w:val="000000"/>
              </w:rPr>
            </w:pPr>
            <w:r w:rsidRPr="00D618B7">
              <w:rPr>
                <w:color w:val="000000"/>
              </w:rPr>
              <w:t>398.34</w:t>
            </w:r>
          </w:p>
        </w:tc>
        <w:tc>
          <w:tcPr>
            <w:tcW w:w="752" w:type="pct"/>
            <w:tcBorders>
              <w:top w:val="nil"/>
              <w:left w:val="nil"/>
              <w:bottom w:val="nil"/>
              <w:right w:val="nil"/>
            </w:tcBorders>
            <w:shd w:val="clear" w:color="000000" w:fill="FFFFFF"/>
            <w:noWrap/>
            <w:vAlign w:val="center"/>
            <w:hideMark/>
          </w:tcPr>
          <w:p w14:paraId="1E3530A3" w14:textId="77777777" w:rsidR="00CE1BEC" w:rsidRPr="00D618B7" w:rsidRDefault="00CE1BEC" w:rsidP="004B11B7">
            <w:pPr>
              <w:jc w:val="right"/>
              <w:rPr>
                <w:color w:val="000000"/>
              </w:rPr>
            </w:pPr>
            <w:r w:rsidRPr="00D618B7">
              <w:rPr>
                <w:color w:val="000000"/>
              </w:rPr>
              <w:t>74.59</w:t>
            </w:r>
          </w:p>
        </w:tc>
      </w:tr>
      <w:tr w:rsidR="00CE1BEC" w:rsidRPr="00D618B7" w14:paraId="62173985" w14:textId="77777777" w:rsidTr="004B11B7">
        <w:trPr>
          <w:trHeight w:val="284"/>
        </w:trPr>
        <w:tc>
          <w:tcPr>
            <w:tcW w:w="1990" w:type="pct"/>
            <w:tcBorders>
              <w:top w:val="nil"/>
              <w:left w:val="nil"/>
              <w:bottom w:val="single" w:sz="8" w:space="0" w:color="auto"/>
              <w:right w:val="nil"/>
            </w:tcBorders>
            <w:shd w:val="clear" w:color="000000" w:fill="FFFFFF"/>
            <w:vAlign w:val="center"/>
            <w:hideMark/>
          </w:tcPr>
          <w:p w14:paraId="498AA5F6" w14:textId="77777777" w:rsidR="00CE1BEC" w:rsidRPr="00D618B7" w:rsidRDefault="00CE1BEC" w:rsidP="004B11B7">
            <w:pPr>
              <w:jc w:val="center"/>
              <w:rPr>
                <w:color w:val="000000"/>
              </w:rPr>
            </w:pPr>
            <w:r w:rsidRPr="00D618B7">
              <w:rPr>
                <w:color w:val="000000"/>
              </w:rPr>
              <w:t>5</w:t>
            </w:r>
          </w:p>
        </w:tc>
        <w:tc>
          <w:tcPr>
            <w:tcW w:w="752" w:type="pct"/>
            <w:tcBorders>
              <w:top w:val="nil"/>
              <w:left w:val="nil"/>
              <w:bottom w:val="single" w:sz="8" w:space="0" w:color="auto"/>
              <w:right w:val="nil"/>
            </w:tcBorders>
            <w:shd w:val="clear" w:color="000000" w:fill="FFFFFF"/>
            <w:noWrap/>
            <w:vAlign w:val="center"/>
            <w:hideMark/>
          </w:tcPr>
          <w:p w14:paraId="670D9E2A" w14:textId="77777777" w:rsidR="00CE1BEC" w:rsidRPr="00D618B7" w:rsidRDefault="00CE1BEC" w:rsidP="004B11B7">
            <w:pPr>
              <w:jc w:val="right"/>
              <w:rPr>
                <w:color w:val="000000"/>
              </w:rPr>
            </w:pPr>
            <w:r w:rsidRPr="00D618B7">
              <w:rPr>
                <w:color w:val="000000"/>
              </w:rPr>
              <w:t>45.65</w:t>
            </w:r>
          </w:p>
        </w:tc>
        <w:tc>
          <w:tcPr>
            <w:tcW w:w="753" w:type="pct"/>
            <w:tcBorders>
              <w:top w:val="nil"/>
              <w:left w:val="nil"/>
              <w:bottom w:val="single" w:sz="8" w:space="0" w:color="auto"/>
              <w:right w:val="nil"/>
            </w:tcBorders>
            <w:shd w:val="clear" w:color="000000" w:fill="FFFFFF"/>
            <w:noWrap/>
            <w:vAlign w:val="center"/>
            <w:hideMark/>
          </w:tcPr>
          <w:p w14:paraId="10799C42" w14:textId="77777777" w:rsidR="00CE1BEC" w:rsidRPr="00D618B7" w:rsidRDefault="00CE1BEC" w:rsidP="004B11B7">
            <w:pPr>
              <w:jc w:val="right"/>
              <w:rPr>
                <w:color w:val="000000"/>
              </w:rPr>
            </w:pPr>
            <w:r w:rsidRPr="00D618B7">
              <w:rPr>
                <w:color w:val="000000"/>
              </w:rPr>
              <w:t>26.99</w:t>
            </w:r>
          </w:p>
        </w:tc>
        <w:tc>
          <w:tcPr>
            <w:tcW w:w="752" w:type="pct"/>
            <w:tcBorders>
              <w:top w:val="nil"/>
              <w:left w:val="nil"/>
              <w:bottom w:val="single" w:sz="8" w:space="0" w:color="auto"/>
              <w:right w:val="nil"/>
            </w:tcBorders>
            <w:shd w:val="clear" w:color="000000" w:fill="FFFFFF"/>
            <w:noWrap/>
            <w:vAlign w:val="center"/>
            <w:hideMark/>
          </w:tcPr>
          <w:p w14:paraId="246C5224" w14:textId="77777777" w:rsidR="00CE1BEC" w:rsidRPr="00D618B7" w:rsidRDefault="00CE1BEC" w:rsidP="004B11B7">
            <w:pPr>
              <w:jc w:val="right"/>
              <w:rPr>
                <w:color w:val="000000"/>
              </w:rPr>
            </w:pPr>
            <w:r w:rsidRPr="00D618B7">
              <w:rPr>
                <w:color w:val="000000"/>
              </w:rPr>
              <w:t>-60.08</w:t>
            </w:r>
          </w:p>
        </w:tc>
        <w:tc>
          <w:tcPr>
            <w:tcW w:w="752" w:type="pct"/>
            <w:tcBorders>
              <w:top w:val="nil"/>
              <w:left w:val="nil"/>
              <w:bottom w:val="single" w:sz="8" w:space="0" w:color="auto"/>
              <w:right w:val="nil"/>
            </w:tcBorders>
            <w:shd w:val="clear" w:color="000000" w:fill="FFFFFF"/>
            <w:noWrap/>
            <w:vAlign w:val="center"/>
            <w:hideMark/>
          </w:tcPr>
          <w:p w14:paraId="6A97F176" w14:textId="77777777" w:rsidR="00CE1BEC" w:rsidRPr="00D618B7" w:rsidRDefault="00CE1BEC" w:rsidP="004B11B7">
            <w:pPr>
              <w:jc w:val="right"/>
              <w:rPr>
                <w:color w:val="000000"/>
              </w:rPr>
            </w:pPr>
            <w:r w:rsidRPr="00D618B7">
              <w:rPr>
                <w:color w:val="000000"/>
              </w:rPr>
              <w:t>28.84</w:t>
            </w:r>
          </w:p>
        </w:tc>
      </w:tr>
    </w:tbl>
    <w:p w14:paraId="3006949C" w14:textId="77777777" w:rsidR="00CE1BEC" w:rsidRPr="00D618B7" w:rsidRDefault="00CE1BEC" w:rsidP="00CE1BEC">
      <w:pPr>
        <w:rPr>
          <w:b/>
          <w:bCs/>
        </w:rPr>
      </w:pPr>
    </w:p>
    <w:p w14:paraId="077FF0BA" w14:textId="77777777" w:rsidR="00CE1BEC" w:rsidRPr="00D618B7" w:rsidRDefault="00CE1BEC" w:rsidP="00CE1BEC">
      <w:r w:rsidRPr="00D618B7">
        <w:rPr>
          <w:i/>
          <w:iCs/>
        </w:rPr>
        <w:t>Note</w:t>
      </w:r>
      <w:r w:rsidRPr="00D618B7">
        <w:t>: This table lists the estimated mean Average Duration and standard errors for each week of observation around reach-onset for each group.</w:t>
      </w:r>
    </w:p>
    <w:p w14:paraId="5AD06A65" w14:textId="1C536563" w:rsidR="006226F5" w:rsidRPr="00990BE1" w:rsidRDefault="006226F5" w:rsidP="006226F5">
      <w:r w:rsidRPr="00D618B7">
        <w:br w:type="page"/>
      </w:r>
    </w:p>
    <w:p w14:paraId="088E9071" w14:textId="4D42A049" w:rsidR="006226F5" w:rsidRPr="00D618B7" w:rsidRDefault="006226F5" w:rsidP="007C5074">
      <w:pPr>
        <w:pStyle w:val="Caption"/>
      </w:pPr>
      <w:bookmarkStart w:id="218" w:name="_Toc172716900"/>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72</w:t>
      </w:r>
      <w:r w:rsidR="00000000">
        <w:rPr>
          <w:noProof/>
        </w:rPr>
        <w:fldChar w:fldCharType="end"/>
      </w:r>
      <w:r w:rsidR="00AE3927">
        <w:rPr>
          <w:noProof/>
        </w:rPr>
        <w:t>:</w:t>
      </w:r>
      <w:r w:rsidR="00AC6256" w:rsidRPr="00AC6256">
        <w:t xml:space="preserve"> </w:t>
      </w:r>
      <w:r w:rsidR="00AC6256">
        <w:t>Event average duration</w:t>
      </w:r>
      <w:r w:rsidR="00AC6256" w:rsidRPr="00BA36EF">
        <w:t xml:space="preserve"> by </w:t>
      </w:r>
      <w:r w:rsidR="00AC6256">
        <w:t>type by group</w:t>
      </w:r>
      <w:bookmarkEnd w:id="218"/>
    </w:p>
    <w:p w14:paraId="09F80F34" w14:textId="77777777" w:rsidR="00343999" w:rsidRPr="00D618B7" w:rsidRDefault="00343999" w:rsidP="00343999">
      <w:r w:rsidRPr="00D618B7">
        <w:t>Estimated Mean Average Duration of Events by Type and Group</w:t>
      </w:r>
    </w:p>
    <w:tbl>
      <w:tblPr>
        <w:tblW w:w="5000" w:type="pct"/>
        <w:tblLook w:val="04A0" w:firstRow="1" w:lastRow="0" w:firstColumn="1" w:lastColumn="0" w:noHBand="0" w:noVBand="1"/>
      </w:tblPr>
      <w:tblGrid>
        <w:gridCol w:w="3000"/>
        <w:gridCol w:w="1379"/>
        <w:gridCol w:w="1237"/>
        <w:gridCol w:w="276"/>
        <w:gridCol w:w="96"/>
        <w:gridCol w:w="1078"/>
        <w:gridCol w:w="1574"/>
      </w:tblGrid>
      <w:tr w:rsidR="00343999" w:rsidRPr="00D618B7" w14:paraId="608228A8" w14:textId="77777777" w:rsidTr="004B11B7">
        <w:trPr>
          <w:trHeight w:val="343"/>
        </w:trPr>
        <w:tc>
          <w:tcPr>
            <w:tcW w:w="1739" w:type="pct"/>
            <w:tcBorders>
              <w:top w:val="nil"/>
              <w:left w:val="nil"/>
              <w:bottom w:val="single" w:sz="8" w:space="0" w:color="auto"/>
              <w:right w:val="nil"/>
            </w:tcBorders>
            <w:shd w:val="clear" w:color="auto" w:fill="auto"/>
            <w:noWrap/>
            <w:vAlign w:val="bottom"/>
            <w:hideMark/>
          </w:tcPr>
          <w:p w14:paraId="0C6BE741" w14:textId="77777777" w:rsidR="00343999" w:rsidRPr="00D618B7" w:rsidRDefault="00343999" w:rsidP="004B11B7">
            <w:pPr>
              <w:rPr>
                <w:color w:val="000000"/>
              </w:rPr>
            </w:pPr>
          </w:p>
        </w:tc>
        <w:tc>
          <w:tcPr>
            <w:tcW w:w="1519" w:type="pct"/>
            <w:gridSpan w:val="2"/>
            <w:tcBorders>
              <w:top w:val="nil"/>
              <w:left w:val="nil"/>
              <w:bottom w:val="single" w:sz="8" w:space="0" w:color="auto"/>
              <w:right w:val="nil"/>
            </w:tcBorders>
            <w:shd w:val="clear" w:color="auto" w:fill="auto"/>
            <w:noWrap/>
            <w:vAlign w:val="bottom"/>
            <w:hideMark/>
          </w:tcPr>
          <w:p w14:paraId="22936648" w14:textId="77777777" w:rsidR="00343999" w:rsidRPr="00D618B7" w:rsidRDefault="00343999" w:rsidP="004B11B7">
            <w:pPr>
              <w:rPr>
                <w:color w:val="000000"/>
              </w:rPr>
            </w:pPr>
            <w:r w:rsidRPr="00D618B7">
              <w:rPr>
                <w:color w:val="000000"/>
              </w:rPr>
              <w:t> </w:t>
            </w:r>
          </w:p>
        </w:tc>
        <w:tc>
          <w:tcPr>
            <w:tcW w:w="145" w:type="pct"/>
            <w:tcBorders>
              <w:top w:val="nil"/>
              <w:left w:val="nil"/>
              <w:bottom w:val="single" w:sz="8" w:space="0" w:color="auto"/>
              <w:right w:val="nil"/>
            </w:tcBorders>
            <w:shd w:val="clear" w:color="auto" w:fill="auto"/>
            <w:noWrap/>
            <w:vAlign w:val="bottom"/>
            <w:hideMark/>
          </w:tcPr>
          <w:p w14:paraId="0BC79E71" w14:textId="77777777" w:rsidR="00343999" w:rsidRPr="00D618B7" w:rsidRDefault="00343999" w:rsidP="004B11B7">
            <w:pPr>
              <w:rPr>
                <w:color w:val="000000"/>
              </w:rPr>
            </w:pPr>
            <w:r w:rsidRPr="00D618B7">
              <w:rPr>
                <w:color w:val="000000"/>
              </w:rPr>
              <w:t> </w:t>
            </w:r>
          </w:p>
        </w:tc>
        <w:tc>
          <w:tcPr>
            <w:tcW w:w="684" w:type="pct"/>
            <w:gridSpan w:val="2"/>
            <w:tcBorders>
              <w:top w:val="nil"/>
              <w:left w:val="nil"/>
              <w:bottom w:val="single" w:sz="8" w:space="0" w:color="auto"/>
              <w:right w:val="nil"/>
            </w:tcBorders>
            <w:shd w:val="clear" w:color="auto" w:fill="auto"/>
            <w:noWrap/>
            <w:vAlign w:val="bottom"/>
            <w:hideMark/>
          </w:tcPr>
          <w:p w14:paraId="04161711" w14:textId="77777777" w:rsidR="00343999" w:rsidRPr="00D618B7" w:rsidRDefault="00343999" w:rsidP="004B11B7">
            <w:pPr>
              <w:rPr>
                <w:color w:val="000000"/>
              </w:rPr>
            </w:pPr>
            <w:r w:rsidRPr="00D618B7">
              <w:rPr>
                <w:color w:val="000000"/>
              </w:rPr>
              <w:t> </w:t>
            </w:r>
          </w:p>
        </w:tc>
        <w:tc>
          <w:tcPr>
            <w:tcW w:w="913" w:type="pct"/>
            <w:tcBorders>
              <w:top w:val="nil"/>
              <w:left w:val="nil"/>
              <w:bottom w:val="single" w:sz="8" w:space="0" w:color="auto"/>
              <w:right w:val="nil"/>
            </w:tcBorders>
            <w:shd w:val="clear" w:color="auto" w:fill="auto"/>
            <w:noWrap/>
            <w:vAlign w:val="bottom"/>
            <w:hideMark/>
          </w:tcPr>
          <w:p w14:paraId="5E7F9BA0" w14:textId="77777777" w:rsidR="00343999" w:rsidRPr="00D618B7" w:rsidRDefault="00343999" w:rsidP="004B11B7">
            <w:pPr>
              <w:rPr>
                <w:color w:val="000000"/>
              </w:rPr>
            </w:pPr>
            <w:r w:rsidRPr="00D618B7">
              <w:rPr>
                <w:color w:val="000000"/>
              </w:rPr>
              <w:t> </w:t>
            </w:r>
          </w:p>
        </w:tc>
      </w:tr>
      <w:tr w:rsidR="00343999" w:rsidRPr="00D618B7" w14:paraId="40C70B44" w14:textId="77777777" w:rsidTr="004B11B7">
        <w:trPr>
          <w:trHeight w:val="343"/>
        </w:trPr>
        <w:tc>
          <w:tcPr>
            <w:tcW w:w="1739" w:type="pct"/>
            <w:tcBorders>
              <w:top w:val="nil"/>
              <w:left w:val="nil"/>
              <w:bottom w:val="nil"/>
              <w:right w:val="nil"/>
            </w:tcBorders>
            <w:shd w:val="clear" w:color="000000" w:fill="FFFFFF"/>
            <w:vAlign w:val="center"/>
            <w:hideMark/>
          </w:tcPr>
          <w:p w14:paraId="7C5EA592" w14:textId="77777777" w:rsidR="00343999" w:rsidRPr="00D618B7" w:rsidRDefault="00343999" w:rsidP="004B11B7">
            <w:pPr>
              <w:rPr>
                <w:color w:val="000000"/>
              </w:rPr>
            </w:pPr>
            <w:r w:rsidRPr="00D618B7">
              <w:rPr>
                <w:color w:val="000000"/>
              </w:rPr>
              <w:t>Week</w:t>
            </w:r>
          </w:p>
        </w:tc>
        <w:tc>
          <w:tcPr>
            <w:tcW w:w="1722" w:type="pct"/>
            <w:gridSpan w:val="4"/>
            <w:tcBorders>
              <w:top w:val="nil"/>
              <w:left w:val="nil"/>
              <w:bottom w:val="single" w:sz="8" w:space="0" w:color="auto"/>
              <w:right w:val="nil"/>
            </w:tcBorders>
            <w:shd w:val="clear" w:color="000000" w:fill="FFFFFF"/>
            <w:vAlign w:val="center"/>
            <w:hideMark/>
          </w:tcPr>
          <w:p w14:paraId="5602CB7F" w14:textId="77777777" w:rsidR="00343999" w:rsidRPr="00D618B7" w:rsidRDefault="00343999" w:rsidP="004B11B7">
            <w:pPr>
              <w:jc w:val="center"/>
              <w:rPr>
                <w:color w:val="000000"/>
              </w:rPr>
            </w:pPr>
            <w:r w:rsidRPr="00D618B7">
              <w:rPr>
                <w:color w:val="000000"/>
              </w:rPr>
              <w:t>Early Reach Group</w:t>
            </w:r>
          </w:p>
        </w:tc>
        <w:tc>
          <w:tcPr>
            <w:tcW w:w="1539" w:type="pct"/>
            <w:gridSpan w:val="2"/>
            <w:tcBorders>
              <w:top w:val="nil"/>
              <w:left w:val="nil"/>
              <w:bottom w:val="single" w:sz="8" w:space="0" w:color="auto"/>
              <w:right w:val="nil"/>
            </w:tcBorders>
            <w:shd w:val="clear" w:color="000000" w:fill="FFFFFF"/>
            <w:vAlign w:val="center"/>
            <w:hideMark/>
          </w:tcPr>
          <w:p w14:paraId="4445B1E9" w14:textId="77777777" w:rsidR="00343999" w:rsidRPr="00D618B7" w:rsidRDefault="00343999" w:rsidP="004B11B7">
            <w:pPr>
              <w:jc w:val="center"/>
              <w:rPr>
                <w:color w:val="000000"/>
              </w:rPr>
            </w:pPr>
            <w:r w:rsidRPr="00D618B7">
              <w:rPr>
                <w:color w:val="000000"/>
              </w:rPr>
              <w:t>Late Reach Group</w:t>
            </w:r>
          </w:p>
        </w:tc>
      </w:tr>
      <w:tr w:rsidR="00343999" w:rsidRPr="00D618B7" w14:paraId="3B2A308A" w14:textId="77777777" w:rsidTr="004B11B7">
        <w:trPr>
          <w:trHeight w:val="343"/>
        </w:trPr>
        <w:tc>
          <w:tcPr>
            <w:tcW w:w="1739" w:type="pct"/>
            <w:tcBorders>
              <w:top w:val="nil"/>
              <w:left w:val="nil"/>
              <w:bottom w:val="single" w:sz="8" w:space="0" w:color="auto"/>
              <w:right w:val="nil"/>
            </w:tcBorders>
            <w:shd w:val="clear" w:color="000000" w:fill="FFFFFF"/>
            <w:noWrap/>
            <w:vAlign w:val="bottom"/>
            <w:hideMark/>
          </w:tcPr>
          <w:p w14:paraId="2F07FE74" w14:textId="77777777" w:rsidR="00343999" w:rsidRPr="00D618B7" w:rsidRDefault="00343999" w:rsidP="004B11B7">
            <w:pPr>
              <w:rPr>
                <w:color w:val="000000"/>
              </w:rPr>
            </w:pPr>
            <w:r w:rsidRPr="00D618B7">
              <w:rPr>
                <w:color w:val="000000"/>
              </w:rPr>
              <w:t> </w:t>
            </w:r>
          </w:p>
        </w:tc>
        <w:tc>
          <w:tcPr>
            <w:tcW w:w="801" w:type="pct"/>
            <w:tcBorders>
              <w:top w:val="nil"/>
              <w:left w:val="nil"/>
              <w:bottom w:val="single" w:sz="8" w:space="0" w:color="auto"/>
              <w:right w:val="nil"/>
            </w:tcBorders>
            <w:shd w:val="clear" w:color="000000" w:fill="FFFFFF"/>
            <w:noWrap/>
            <w:vAlign w:val="center"/>
            <w:hideMark/>
          </w:tcPr>
          <w:p w14:paraId="60B97E4E" w14:textId="77777777" w:rsidR="00343999" w:rsidRPr="00D618B7" w:rsidRDefault="00343999" w:rsidP="004B11B7">
            <w:pPr>
              <w:jc w:val="right"/>
              <w:rPr>
                <w:color w:val="000000"/>
              </w:rPr>
            </w:pPr>
            <w:r w:rsidRPr="00D618B7">
              <w:rPr>
                <w:color w:val="000000"/>
              </w:rPr>
              <w:t>Mean</w:t>
            </w:r>
          </w:p>
        </w:tc>
        <w:tc>
          <w:tcPr>
            <w:tcW w:w="921" w:type="pct"/>
            <w:gridSpan w:val="3"/>
            <w:tcBorders>
              <w:top w:val="nil"/>
              <w:left w:val="nil"/>
              <w:bottom w:val="single" w:sz="8" w:space="0" w:color="auto"/>
              <w:right w:val="nil"/>
            </w:tcBorders>
            <w:shd w:val="clear" w:color="000000" w:fill="FFFFFF"/>
            <w:noWrap/>
            <w:vAlign w:val="center"/>
            <w:hideMark/>
          </w:tcPr>
          <w:p w14:paraId="472F7231" w14:textId="77777777" w:rsidR="00343999" w:rsidRPr="00D618B7" w:rsidRDefault="00343999" w:rsidP="004B11B7">
            <w:pPr>
              <w:jc w:val="right"/>
              <w:rPr>
                <w:color w:val="000000"/>
              </w:rPr>
            </w:pPr>
            <w:r w:rsidRPr="00D618B7">
              <w:rPr>
                <w:color w:val="000000"/>
              </w:rPr>
              <w:t>Std. Error</w:t>
            </w:r>
          </w:p>
        </w:tc>
        <w:tc>
          <w:tcPr>
            <w:tcW w:w="626" w:type="pct"/>
            <w:tcBorders>
              <w:top w:val="nil"/>
              <w:left w:val="nil"/>
              <w:bottom w:val="single" w:sz="8" w:space="0" w:color="auto"/>
              <w:right w:val="nil"/>
            </w:tcBorders>
            <w:shd w:val="clear" w:color="000000" w:fill="FFFFFF"/>
            <w:noWrap/>
            <w:vAlign w:val="center"/>
            <w:hideMark/>
          </w:tcPr>
          <w:p w14:paraId="023CA54F" w14:textId="77777777" w:rsidR="00343999" w:rsidRPr="00D618B7" w:rsidRDefault="00343999" w:rsidP="004B11B7">
            <w:pPr>
              <w:jc w:val="right"/>
              <w:rPr>
                <w:color w:val="000000"/>
              </w:rPr>
            </w:pPr>
            <w:r w:rsidRPr="00D618B7">
              <w:rPr>
                <w:color w:val="000000"/>
              </w:rPr>
              <w:t>Mean</w:t>
            </w:r>
          </w:p>
        </w:tc>
        <w:tc>
          <w:tcPr>
            <w:tcW w:w="913" w:type="pct"/>
            <w:tcBorders>
              <w:top w:val="nil"/>
              <w:left w:val="nil"/>
              <w:bottom w:val="single" w:sz="8" w:space="0" w:color="auto"/>
              <w:right w:val="nil"/>
            </w:tcBorders>
            <w:shd w:val="clear" w:color="000000" w:fill="FFFFFF"/>
            <w:noWrap/>
            <w:vAlign w:val="center"/>
            <w:hideMark/>
          </w:tcPr>
          <w:p w14:paraId="6B9E8391" w14:textId="77777777" w:rsidR="00343999" w:rsidRPr="00D618B7" w:rsidRDefault="00343999" w:rsidP="004B11B7">
            <w:pPr>
              <w:jc w:val="right"/>
              <w:rPr>
                <w:color w:val="000000"/>
              </w:rPr>
            </w:pPr>
            <w:r w:rsidRPr="00D618B7">
              <w:rPr>
                <w:color w:val="000000"/>
              </w:rPr>
              <w:t>Std. Error</w:t>
            </w:r>
          </w:p>
        </w:tc>
      </w:tr>
      <w:tr w:rsidR="00343999" w:rsidRPr="00D618B7" w14:paraId="535751AB" w14:textId="77777777" w:rsidTr="004B11B7">
        <w:trPr>
          <w:trHeight w:val="343"/>
        </w:trPr>
        <w:tc>
          <w:tcPr>
            <w:tcW w:w="1739" w:type="pct"/>
            <w:tcBorders>
              <w:top w:val="nil"/>
              <w:left w:val="nil"/>
              <w:bottom w:val="nil"/>
              <w:right w:val="nil"/>
            </w:tcBorders>
            <w:shd w:val="clear" w:color="000000" w:fill="FFFFFF"/>
            <w:vAlign w:val="center"/>
            <w:hideMark/>
          </w:tcPr>
          <w:p w14:paraId="5C94E709" w14:textId="77777777" w:rsidR="00343999" w:rsidRPr="00D618B7" w:rsidRDefault="00343999" w:rsidP="004B11B7">
            <w:pPr>
              <w:rPr>
                <w:color w:val="000000"/>
              </w:rPr>
            </w:pPr>
            <w:r w:rsidRPr="00D618B7">
              <w:rPr>
                <w:color w:val="000000"/>
              </w:rPr>
              <w:t>Face</w:t>
            </w:r>
          </w:p>
        </w:tc>
        <w:tc>
          <w:tcPr>
            <w:tcW w:w="801" w:type="pct"/>
            <w:tcBorders>
              <w:top w:val="nil"/>
              <w:left w:val="nil"/>
              <w:bottom w:val="nil"/>
              <w:right w:val="nil"/>
            </w:tcBorders>
            <w:shd w:val="clear" w:color="000000" w:fill="FFFFFF"/>
            <w:noWrap/>
            <w:vAlign w:val="center"/>
            <w:hideMark/>
          </w:tcPr>
          <w:p w14:paraId="57703A5B" w14:textId="77777777" w:rsidR="00343999" w:rsidRPr="00D618B7" w:rsidRDefault="00343999" w:rsidP="004B11B7">
            <w:pPr>
              <w:jc w:val="right"/>
              <w:rPr>
                <w:color w:val="000000"/>
              </w:rPr>
            </w:pPr>
            <w:r w:rsidRPr="00D618B7">
              <w:rPr>
                <w:color w:val="000000"/>
              </w:rPr>
              <w:t>186.53</w:t>
            </w:r>
          </w:p>
        </w:tc>
        <w:tc>
          <w:tcPr>
            <w:tcW w:w="921" w:type="pct"/>
            <w:gridSpan w:val="3"/>
            <w:tcBorders>
              <w:top w:val="nil"/>
              <w:left w:val="nil"/>
              <w:bottom w:val="nil"/>
              <w:right w:val="nil"/>
            </w:tcBorders>
            <w:shd w:val="clear" w:color="000000" w:fill="FFFFFF"/>
            <w:noWrap/>
            <w:vAlign w:val="center"/>
            <w:hideMark/>
          </w:tcPr>
          <w:p w14:paraId="077B9917" w14:textId="77777777" w:rsidR="00343999" w:rsidRPr="00D618B7" w:rsidRDefault="00343999" w:rsidP="004B11B7">
            <w:pPr>
              <w:jc w:val="right"/>
              <w:rPr>
                <w:color w:val="000000"/>
              </w:rPr>
            </w:pPr>
            <w:r w:rsidRPr="00D618B7">
              <w:rPr>
                <w:color w:val="000000"/>
              </w:rPr>
              <w:t>47.61</w:t>
            </w:r>
          </w:p>
        </w:tc>
        <w:tc>
          <w:tcPr>
            <w:tcW w:w="626" w:type="pct"/>
            <w:tcBorders>
              <w:top w:val="nil"/>
              <w:left w:val="nil"/>
              <w:bottom w:val="nil"/>
              <w:right w:val="nil"/>
            </w:tcBorders>
            <w:shd w:val="clear" w:color="000000" w:fill="FFFFFF"/>
            <w:noWrap/>
            <w:vAlign w:val="center"/>
            <w:hideMark/>
          </w:tcPr>
          <w:p w14:paraId="2BACCDA4" w14:textId="77777777" w:rsidR="00343999" w:rsidRPr="00D618B7" w:rsidRDefault="00343999" w:rsidP="004B11B7">
            <w:pPr>
              <w:jc w:val="right"/>
              <w:rPr>
                <w:color w:val="000000"/>
              </w:rPr>
            </w:pPr>
            <w:r w:rsidRPr="00D618B7">
              <w:rPr>
                <w:color w:val="000000"/>
              </w:rPr>
              <w:t>7.25</w:t>
            </w:r>
          </w:p>
        </w:tc>
        <w:tc>
          <w:tcPr>
            <w:tcW w:w="913" w:type="pct"/>
            <w:tcBorders>
              <w:top w:val="nil"/>
              <w:left w:val="nil"/>
              <w:bottom w:val="nil"/>
              <w:right w:val="nil"/>
            </w:tcBorders>
            <w:shd w:val="clear" w:color="000000" w:fill="FFFFFF"/>
            <w:noWrap/>
            <w:vAlign w:val="center"/>
            <w:hideMark/>
          </w:tcPr>
          <w:p w14:paraId="1F59CE98" w14:textId="77777777" w:rsidR="00343999" w:rsidRPr="00D618B7" w:rsidRDefault="00343999" w:rsidP="004B11B7">
            <w:pPr>
              <w:jc w:val="right"/>
              <w:rPr>
                <w:color w:val="000000"/>
              </w:rPr>
            </w:pPr>
            <w:r w:rsidRPr="00D618B7">
              <w:rPr>
                <w:color w:val="000000"/>
              </w:rPr>
              <w:t>1.96</w:t>
            </w:r>
          </w:p>
        </w:tc>
      </w:tr>
      <w:tr w:rsidR="00343999" w:rsidRPr="00D618B7" w14:paraId="45724BA3" w14:textId="77777777" w:rsidTr="004B11B7">
        <w:trPr>
          <w:trHeight w:val="343"/>
        </w:trPr>
        <w:tc>
          <w:tcPr>
            <w:tcW w:w="1739" w:type="pct"/>
            <w:tcBorders>
              <w:top w:val="nil"/>
              <w:left w:val="nil"/>
              <w:bottom w:val="nil"/>
              <w:right w:val="nil"/>
            </w:tcBorders>
            <w:shd w:val="clear" w:color="000000" w:fill="FFFFFF"/>
            <w:vAlign w:val="center"/>
            <w:hideMark/>
          </w:tcPr>
          <w:p w14:paraId="57E4ECA7" w14:textId="77777777" w:rsidR="00343999" w:rsidRPr="00D618B7" w:rsidRDefault="00343999" w:rsidP="004B11B7">
            <w:pPr>
              <w:rPr>
                <w:color w:val="000000"/>
              </w:rPr>
            </w:pPr>
            <w:r w:rsidRPr="00D618B7">
              <w:rPr>
                <w:color w:val="000000"/>
              </w:rPr>
              <w:t>Hand</w:t>
            </w:r>
          </w:p>
        </w:tc>
        <w:tc>
          <w:tcPr>
            <w:tcW w:w="801" w:type="pct"/>
            <w:tcBorders>
              <w:top w:val="nil"/>
              <w:left w:val="nil"/>
              <w:bottom w:val="nil"/>
              <w:right w:val="nil"/>
            </w:tcBorders>
            <w:shd w:val="clear" w:color="000000" w:fill="FFFFFF"/>
            <w:noWrap/>
            <w:vAlign w:val="center"/>
            <w:hideMark/>
          </w:tcPr>
          <w:p w14:paraId="0457B337" w14:textId="77777777" w:rsidR="00343999" w:rsidRPr="00D618B7" w:rsidRDefault="00343999" w:rsidP="004B11B7">
            <w:pPr>
              <w:jc w:val="right"/>
              <w:rPr>
                <w:color w:val="000000"/>
              </w:rPr>
            </w:pPr>
            <w:r w:rsidRPr="00D618B7">
              <w:rPr>
                <w:color w:val="000000"/>
              </w:rPr>
              <w:t>-2.13</w:t>
            </w:r>
          </w:p>
        </w:tc>
        <w:tc>
          <w:tcPr>
            <w:tcW w:w="921" w:type="pct"/>
            <w:gridSpan w:val="3"/>
            <w:tcBorders>
              <w:top w:val="nil"/>
              <w:left w:val="nil"/>
              <w:bottom w:val="nil"/>
              <w:right w:val="nil"/>
            </w:tcBorders>
            <w:shd w:val="clear" w:color="000000" w:fill="FFFFFF"/>
            <w:noWrap/>
            <w:vAlign w:val="center"/>
            <w:hideMark/>
          </w:tcPr>
          <w:p w14:paraId="3382F1B7" w14:textId="77777777" w:rsidR="00343999" w:rsidRPr="00D618B7" w:rsidRDefault="00343999" w:rsidP="004B11B7">
            <w:pPr>
              <w:jc w:val="right"/>
              <w:rPr>
                <w:color w:val="000000"/>
              </w:rPr>
            </w:pPr>
            <w:r w:rsidRPr="00D618B7">
              <w:rPr>
                <w:color w:val="000000"/>
              </w:rPr>
              <w:t>31.70</w:t>
            </w:r>
          </w:p>
        </w:tc>
        <w:tc>
          <w:tcPr>
            <w:tcW w:w="626" w:type="pct"/>
            <w:tcBorders>
              <w:top w:val="nil"/>
              <w:left w:val="nil"/>
              <w:bottom w:val="nil"/>
              <w:right w:val="nil"/>
            </w:tcBorders>
            <w:shd w:val="clear" w:color="000000" w:fill="FFFFFF"/>
            <w:noWrap/>
            <w:vAlign w:val="center"/>
            <w:hideMark/>
          </w:tcPr>
          <w:p w14:paraId="417FBDD1" w14:textId="77777777" w:rsidR="00343999" w:rsidRPr="00D618B7" w:rsidRDefault="00343999" w:rsidP="004B11B7">
            <w:pPr>
              <w:jc w:val="right"/>
              <w:rPr>
                <w:color w:val="000000"/>
              </w:rPr>
            </w:pPr>
            <w:r w:rsidRPr="00D618B7">
              <w:rPr>
                <w:color w:val="000000"/>
              </w:rPr>
              <w:t>-3.25</w:t>
            </w:r>
          </w:p>
        </w:tc>
        <w:tc>
          <w:tcPr>
            <w:tcW w:w="913" w:type="pct"/>
            <w:tcBorders>
              <w:top w:val="nil"/>
              <w:left w:val="nil"/>
              <w:bottom w:val="nil"/>
              <w:right w:val="nil"/>
            </w:tcBorders>
            <w:shd w:val="clear" w:color="000000" w:fill="FFFFFF"/>
            <w:noWrap/>
            <w:vAlign w:val="center"/>
            <w:hideMark/>
          </w:tcPr>
          <w:p w14:paraId="5CA1C793" w14:textId="77777777" w:rsidR="00343999" w:rsidRPr="00D618B7" w:rsidRDefault="00343999" w:rsidP="004B11B7">
            <w:pPr>
              <w:jc w:val="right"/>
              <w:rPr>
                <w:color w:val="000000"/>
              </w:rPr>
            </w:pPr>
            <w:r w:rsidRPr="00D618B7">
              <w:rPr>
                <w:color w:val="000000"/>
              </w:rPr>
              <w:t>2.49</w:t>
            </w:r>
          </w:p>
        </w:tc>
      </w:tr>
      <w:tr w:rsidR="00343999" w:rsidRPr="00D618B7" w14:paraId="0F183B05" w14:textId="77777777" w:rsidTr="004B11B7">
        <w:trPr>
          <w:trHeight w:val="343"/>
        </w:trPr>
        <w:tc>
          <w:tcPr>
            <w:tcW w:w="1739" w:type="pct"/>
            <w:tcBorders>
              <w:top w:val="nil"/>
              <w:left w:val="nil"/>
              <w:bottom w:val="single" w:sz="8" w:space="0" w:color="auto"/>
              <w:right w:val="nil"/>
            </w:tcBorders>
            <w:shd w:val="clear" w:color="000000" w:fill="FFFFFF"/>
            <w:vAlign w:val="center"/>
            <w:hideMark/>
          </w:tcPr>
          <w:p w14:paraId="4CCC8202" w14:textId="77777777" w:rsidR="00343999" w:rsidRPr="00D618B7" w:rsidRDefault="00343999" w:rsidP="004B11B7">
            <w:pPr>
              <w:rPr>
                <w:color w:val="000000"/>
              </w:rPr>
            </w:pPr>
            <w:r w:rsidRPr="00D618B7">
              <w:rPr>
                <w:color w:val="000000"/>
              </w:rPr>
              <w:t>Mouth</w:t>
            </w:r>
          </w:p>
        </w:tc>
        <w:tc>
          <w:tcPr>
            <w:tcW w:w="801" w:type="pct"/>
            <w:tcBorders>
              <w:top w:val="nil"/>
              <w:left w:val="nil"/>
              <w:bottom w:val="single" w:sz="8" w:space="0" w:color="auto"/>
              <w:right w:val="nil"/>
            </w:tcBorders>
            <w:shd w:val="clear" w:color="000000" w:fill="FFFFFF"/>
            <w:noWrap/>
            <w:vAlign w:val="center"/>
            <w:hideMark/>
          </w:tcPr>
          <w:p w14:paraId="5CA45FBD" w14:textId="77777777" w:rsidR="00343999" w:rsidRPr="00D618B7" w:rsidRDefault="00343999" w:rsidP="004B11B7">
            <w:pPr>
              <w:jc w:val="right"/>
              <w:rPr>
                <w:color w:val="000000"/>
              </w:rPr>
            </w:pPr>
            <w:r w:rsidRPr="00D618B7">
              <w:rPr>
                <w:color w:val="000000"/>
              </w:rPr>
              <w:t>853.09</w:t>
            </w:r>
          </w:p>
        </w:tc>
        <w:tc>
          <w:tcPr>
            <w:tcW w:w="921" w:type="pct"/>
            <w:gridSpan w:val="3"/>
            <w:tcBorders>
              <w:top w:val="nil"/>
              <w:left w:val="nil"/>
              <w:bottom w:val="single" w:sz="8" w:space="0" w:color="auto"/>
              <w:right w:val="nil"/>
            </w:tcBorders>
            <w:shd w:val="clear" w:color="000000" w:fill="FFFFFF"/>
            <w:noWrap/>
            <w:vAlign w:val="center"/>
            <w:hideMark/>
          </w:tcPr>
          <w:p w14:paraId="28F9CDC6" w14:textId="77777777" w:rsidR="00343999" w:rsidRPr="00D618B7" w:rsidRDefault="00343999" w:rsidP="004B11B7">
            <w:pPr>
              <w:jc w:val="right"/>
              <w:rPr>
                <w:color w:val="000000"/>
              </w:rPr>
            </w:pPr>
            <w:r w:rsidRPr="00D618B7">
              <w:rPr>
                <w:color w:val="000000"/>
              </w:rPr>
              <w:t>124.72</w:t>
            </w:r>
          </w:p>
        </w:tc>
        <w:tc>
          <w:tcPr>
            <w:tcW w:w="626" w:type="pct"/>
            <w:tcBorders>
              <w:top w:val="nil"/>
              <w:left w:val="nil"/>
              <w:bottom w:val="single" w:sz="8" w:space="0" w:color="auto"/>
              <w:right w:val="nil"/>
            </w:tcBorders>
            <w:shd w:val="clear" w:color="000000" w:fill="FFFFFF"/>
            <w:noWrap/>
            <w:vAlign w:val="center"/>
            <w:hideMark/>
          </w:tcPr>
          <w:p w14:paraId="1257DEED" w14:textId="77777777" w:rsidR="00343999" w:rsidRPr="00D618B7" w:rsidRDefault="00343999" w:rsidP="004B11B7">
            <w:pPr>
              <w:jc w:val="right"/>
              <w:rPr>
                <w:color w:val="000000"/>
              </w:rPr>
            </w:pPr>
            <w:r w:rsidRPr="00D618B7">
              <w:rPr>
                <w:color w:val="000000"/>
              </w:rPr>
              <w:t>383.28</w:t>
            </w:r>
          </w:p>
        </w:tc>
        <w:tc>
          <w:tcPr>
            <w:tcW w:w="913" w:type="pct"/>
            <w:tcBorders>
              <w:top w:val="nil"/>
              <w:left w:val="nil"/>
              <w:bottom w:val="single" w:sz="8" w:space="0" w:color="auto"/>
              <w:right w:val="nil"/>
            </w:tcBorders>
            <w:shd w:val="clear" w:color="000000" w:fill="FFFFFF"/>
            <w:noWrap/>
            <w:vAlign w:val="center"/>
            <w:hideMark/>
          </w:tcPr>
          <w:p w14:paraId="500FF433" w14:textId="77777777" w:rsidR="00343999" w:rsidRPr="00D618B7" w:rsidRDefault="00343999" w:rsidP="004B11B7">
            <w:pPr>
              <w:jc w:val="right"/>
              <w:rPr>
                <w:color w:val="000000"/>
              </w:rPr>
            </w:pPr>
            <w:r w:rsidRPr="00D618B7">
              <w:rPr>
                <w:color w:val="000000"/>
              </w:rPr>
              <w:t>93.47</w:t>
            </w:r>
          </w:p>
        </w:tc>
      </w:tr>
    </w:tbl>
    <w:p w14:paraId="2F9CF746" w14:textId="77777777" w:rsidR="00343999" w:rsidRPr="00D618B7" w:rsidRDefault="00343999" w:rsidP="00343999">
      <w:pPr>
        <w:rPr>
          <w:i/>
          <w:iCs/>
        </w:rPr>
      </w:pPr>
    </w:p>
    <w:p w14:paraId="33C704B5" w14:textId="77777777" w:rsidR="00343999" w:rsidRPr="00D618B7" w:rsidRDefault="00343999" w:rsidP="00343999">
      <w:r w:rsidRPr="00D618B7">
        <w:rPr>
          <w:i/>
          <w:iCs/>
        </w:rPr>
        <w:t>Note</w:t>
      </w:r>
      <w:r w:rsidRPr="00D618B7">
        <w:t>: This table lists the estimated mean Average Duration and standard errors for face, hand, and mouth events by group.</w:t>
      </w:r>
    </w:p>
    <w:p w14:paraId="16689433" w14:textId="77777777" w:rsidR="006226F5" w:rsidRPr="00D618B7" w:rsidRDefault="006226F5" w:rsidP="006226F5">
      <w:pPr>
        <w:rPr>
          <w:b/>
          <w:bCs/>
        </w:rPr>
      </w:pPr>
    </w:p>
    <w:p w14:paraId="450A21C6" w14:textId="6D8659D8" w:rsidR="006226F5" w:rsidRPr="00D618B7" w:rsidRDefault="006226F5" w:rsidP="007C5074">
      <w:pPr>
        <w:pStyle w:val="Caption"/>
      </w:pPr>
      <w:bookmarkStart w:id="219" w:name="_Toc172716901"/>
      <w:r w:rsidRPr="00D618B7">
        <w:t xml:space="preserve">Table </w:t>
      </w:r>
      <w:r w:rsidR="00000000">
        <w:fldChar w:fldCharType="begin"/>
      </w:r>
      <w:r w:rsidR="00000000">
        <w:instrText xml:space="preserve"> SEQ Table \* ARABIC </w:instrText>
      </w:r>
      <w:r w:rsidR="00000000">
        <w:fldChar w:fldCharType="separate"/>
      </w:r>
      <w:r w:rsidR="000C6E43">
        <w:rPr>
          <w:noProof/>
        </w:rPr>
        <w:t>73</w:t>
      </w:r>
      <w:r w:rsidR="00000000">
        <w:rPr>
          <w:noProof/>
        </w:rPr>
        <w:fldChar w:fldCharType="end"/>
      </w:r>
      <w:r w:rsidR="00AE3927">
        <w:rPr>
          <w:noProof/>
        </w:rPr>
        <w:t>:</w:t>
      </w:r>
      <w:r w:rsidR="00C953D6" w:rsidRPr="00C953D6">
        <w:t xml:space="preserve"> </w:t>
      </w:r>
      <w:r w:rsidR="00C953D6">
        <w:t>Event average duration</w:t>
      </w:r>
      <w:r w:rsidR="00C953D6" w:rsidRPr="00BA36EF">
        <w:t xml:space="preserve"> by </w:t>
      </w:r>
      <w:r w:rsidR="00C953D6">
        <w:t>proximity by group</w:t>
      </w:r>
      <w:bookmarkEnd w:id="219"/>
    </w:p>
    <w:p w14:paraId="156D7FD7" w14:textId="77777777" w:rsidR="00114CA4" w:rsidRPr="00D618B7" w:rsidRDefault="00114CA4" w:rsidP="00114CA4">
      <w:r w:rsidRPr="00D618B7">
        <w:t>Estimated Mean Average Duration of Events by Proximity and Group</w:t>
      </w:r>
    </w:p>
    <w:tbl>
      <w:tblPr>
        <w:tblW w:w="5000" w:type="pct"/>
        <w:tblLook w:val="04A0" w:firstRow="1" w:lastRow="0" w:firstColumn="1" w:lastColumn="0" w:noHBand="0" w:noVBand="1"/>
      </w:tblPr>
      <w:tblGrid>
        <w:gridCol w:w="3011"/>
        <w:gridCol w:w="1474"/>
        <w:gridCol w:w="1495"/>
        <w:gridCol w:w="1082"/>
        <w:gridCol w:w="1578"/>
      </w:tblGrid>
      <w:tr w:rsidR="00114CA4" w:rsidRPr="00D618B7" w14:paraId="5BC56ED6" w14:textId="77777777" w:rsidTr="004B11B7">
        <w:trPr>
          <w:trHeight w:val="322"/>
        </w:trPr>
        <w:tc>
          <w:tcPr>
            <w:tcW w:w="1743" w:type="pct"/>
            <w:tcBorders>
              <w:top w:val="nil"/>
              <w:left w:val="nil"/>
              <w:bottom w:val="single" w:sz="8" w:space="0" w:color="auto"/>
              <w:right w:val="nil"/>
            </w:tcBorders>
            <w:shd w:val="clear" w:color="auto" w:fill="auto"/>
            <w:noWrap/>
            <w:vAlign w:val="bottom"/>
            <w:hideMark/>
          </w:tcPr>
          <w:p w14:paraId="24CE2117" w14:textId="77777777" w:rsidR="00114CA4" w:rsidRPr="00D618B7" w:rsidRDefault="00114CA4" w:rsidP="004B11B7">
            <w:pPr>
              <w:rPr>
                <w:color w:val="000000"/>
              </w:rPr>
            </w:pPr>
            <w:r w:rsidRPr="00D618B7">
              <w:rPr>
                <w:color w:val="000000"/>
              </w:rPr>
              <w:t> </w:t>
            </w:r>
          </w:p>
        </w:tc>
        <w:tc>
          <w:tcPr>
            <w:tcW w:w="853" w:type="pct"/>
            <w:tcBorders>
              <w:top w:val="nil"/>
              <w:left w:val="nil"/>
              <w:bottom w:val="single" w:sz="8" w:space="0" w:color="auto"/>
              <w:right w:val="nil"/>
            </w:tcBorders>
            <w:shd w:val="clear" w:color="auto" w:fill="auto"/>
            <w:noWrap/>
            <w:vAlign w:val="bottom"/>
            <w:hideMark/>
          </w:tcPr>
          <w:p w14:paraId="12D83BDC" w14:textId="77777777" w:rsidR="00114CA4" w:rsidRPr="00D618B7" w:rsidRDefault="00114CA4" w:rsidP="004B11B7">
            <w:pPr>
              <w:rPr>
                <w:color w:val="000000"/>
              </w:rPr>
            </w:pPr>
            <w:r w:rsidRPr="00D618B7">
              <w:rPr>
                <w:color w:val="000000"/>
              </w:rPr>
              <w:t> </w:t>
            </w:r>
          </w:p>
        </w:tc>
        <w:tc>
          <w:tcPr>
            <w:tcW w:w="865" w:type="pct"/>
            <w:tcBorders>
              <w:top w:val="nil"/>
              <w:left w:val="nil"/>
              <w:bottom w:val="single" w:sz="8" w:space="0" w:color="auto"/>
              <w:right w:val="nil"/>
            </w:tcBorders>
            <w:shd w:val="clear" w:color="auto" w:fill="auto"/>
            <w:noWrap/>
            <w:vAlign w:val="bottom"/>
            <w:hideMark/>
          </w:tcPr>
          <w:p w14:paraId="0C7D2BDC" w14:textId="77777777" w:rsidR="00114CA4" w:rsidRPr="00D618B7" w:rsidRDefault="00114CA4" w:rsidP="004B11B7">
            <w:pPr>
              <w:rPr>
                <w:color w:val="000000"/>
              </w:rPr>
            </w:pPr>
            <w:r w:rsidRPr="00D618B7">
              <w:rPr>
                <w:color w:val="000000"/>
              </w:rPr>
              <w:t> </w:t>
            </w:r>
          </w:p>
        </w:tc>
        <w:tc>
          <w:tcPr>
            <w:tcW w:w="626" w:type="pct"/>
            <w:tcBorders>
              <w:top w:val="nil"/>
              <w:left w:val="nil"/>
              <w:bottom w:val="single" w:sz="8" w:space="0" w:color="auto"/>
              <w:right w:val="nil"/>
            </w:tcBorders>
            <w:shd w:val="clear" w:color="auto" w:fill="auto"/>
            <w:noWrap/>
            <w:vAlign w:val="bottom"/>
            <w:hideMark/>
          </w:tcPr>
          <w:p w14:paraId="39084E98" w14:textId="77777777" w:rsidR="00114CA4" w:rsidRPr="00D618B7" w:rsidRDefault="00114CA4" w:rsidP="004B11B7">
            <w:pPr>
              <w:rPr>
                <w:color w:val="000000"/>
              </w:rPr>
            </w:pPr>
            <w:r w:rsidRPr="00D618B7">
              <w:rPr>
                <w:color w:val="000000"/>
              </w:rPr>
              <w:t> </w:t>
            </w:r>
          </w:p>
        </w:tc>
        <w:tc>
          <w:tcPr>
            <w:tcW w:w="913" w:type="pct"/>
            <w:tcBorders>
              <w:top w:val="nil"/>
              <w:left w:val="nil"/>
              <w:bottom w:val="single" w:sz="8" w:space="0" w:color="auto"/>
              <w:right w:val="nil"/>
            </w:tcBorders>
            <w:shd w:val="clear" w:color="auto" w:fill="auto"/>
            <w:noWrap/>
            <w:vAlign w:val="bottom"/>
            <w:hideMark/>
          </w:tcPr>
          <w:p w14:paraId="0EBBF57D" w14:textId="77777777" w:rsidR="00114CA4" w:rsidRPr="00D618B7" w:rsidRDefault="00114CA4" w:rsidP="004B11B7">
            <w:pPr>
              <w:rPr>
                <w:color w:val="000000"/>
              </w:rPr>
            </w:pPr>
            <w:r w:rsidRPr="00D618B7">
              <w:rPr>
                <w:color w:val="000000"/>
              </w:rPr>
              <w:t> </w:t>
            </w:r>
          </w:p>
        </w:tc>
      </w:tr>
      <w:tr w:rsidR="00114CA4" w:rsidRPr="00D618B7" w14:paraId="559D34DB" w14:textId="77777777" w:rsidTr="004B11B7">
        <w:trPr>
          <w:trHeight w:val="322"/>
        </w:trPr>
        <w:tc>
          <w:tcPr>
            <w:tcW w:w="1743" w:type="pct"/>
            <w:tcBorders>
              <w:top w:val="nil"/>
              <w:left w:val="nil"/>
              <w:bottom w:val="nil"/>
              <w:right w:val="nil"/>
            </w:tcBorders>
            <w:shd w:val="clear" w:color="000000" w:fill="FFFFFF"/>
            <w:vAlign w:val="center"/>
            <w:hideMark/>
          </w:tcPr>
          <w:p w14:paraId="4039EAF3" w14:textId="77777777" w:rsidR="00114CA4" w:rsidRPr="00D618B7" w:rsidRDefault="00114CA4" w:rsidP="004B11B7">
            <w:pPr>
              <w:rPr>
                <w:color w:val="000000"/>
              </w:rPr>
            </w:pPr>
            <w:r w:rsidRPr="00D618B7">
              <w:rPr>
                <w:color w:val="000000"/>
              </w:rPr>
              <w:t>Week</w:t>
            </w:r>
          </w:p>
        </w:tc>
        <w:tc>
          <w:tcPr>
            <w:tcW w:w="1718" w:type="pct"/>
            <w:gridSpan w:val="2"/>
            <w:tcBorders>
              <w:top w:val="nil"/>
              <w:left w:val="nil"/>
              <w:bottom w:val="single" w:sz="8" w:space="0" w:color="auto"/>
              <w:right w:val="nil"/>
            </w:tcBorders>
            <w:shd w:val="clear" w:color="000000" w:fill="FFFFFF"/>
            <w:vAlign w:val="center"/>
            <w:hideMark/>
          </w:tcPr>
          <w:p w14:paraId="08F732A4" w14:textId="77777777" w:rsidR="00114CA4" w:rsidRPr="00D618B7" w:rsidRDefault="00114CA4" w:rsidP="004B11B7">
            <w:pPr>
              <w:jc w:val="center"/>
              <w:rPr>
                <w:color w:val="000000"/>
              </w:rPr>
            </w:pPr>
            <w:r w:rsidRPr="00D618B7">
              <w:rPr>
                <w:color w:val="000000"/>
              </w:rPr>
              <w:t>Early Reach Group</w:t>
            </w:r>
          </w:p>
        </w:tc>
        <w:tc>
          <w:tcPr>
            <w:tcW w:w="1539" w:type="pct"/>
            <w:gridSpan w:val="2"/>
            <w:tcBorders>
              <w:top w:val="nil"/>
              <w:left w:val="nil"/>
              <w:bottom w:val="single" w:sz="8" w:space="0" w:color="auto"/>
              <w:right w:val="nil"/>
            </w:tcBorders>
            <w:shd w:val="clear" w:color="000000" w:fill="FFFFFF"/>
            <w:vAlign w:val="center"/>
            <w:hideMark/>
          </w:tcPr>
          <w:p w14:paraId="0E5E6033" w14:textId="77777777" w:rsidR="00114CA4" w:rsidRPr="00D618B7" w:rsidRDefault="00114CA4" w:rsidP="004B11B7">
            <w:pPr>
              <w:jc w:val="center"/>
              <w:rPr>
                <w:color w:val="000000"/>
              </w:rPr>
            </w:pPr>
            <w:r w:rsidRPr="00D618B7">
              <w:rPr>
                <w:color w:val="000000"/>
              </w:rPr>
              <w:t>Late Reach Group</w:t>
            </w:r>
          </w:p>
        </w:tc>
      </w:tr>
      <w:tr w:rsidR="00114CA4" w:rsidRPr="00D618B7" w14:paraId="78CBD83D" w14:textId="77777777" w:rsidTr="004B11B7">
        <w:trPr>
          <w:trHeight w:val="322"/>
        </w:trPr>
        <w:tc>
          <w:tcPr>
            <w:tcW w:w="1743" w:type="pct"/>
            <w:tcBorders>
              <w:top w:val="nil"/>
              <w:left w:val="nil"/>
              <w:bottom w:val="single" w:sz="8" w:space="0" w:color="auto"/>
              <w:right w:val="nil"/>
            </w:tcBorders>
            <w:shd w:val="clear" w:color="000000" w:fill="FFFFFF"/>
            <w:noWrap/>
            <w:vAlign w:val="bottom"/>
            <w:hideMark/>
          </w:tcPr>
          <w:p w14:paraId="0B019578" w14:textId="77777777" w:rsidR="00114CA4" w:rsidRPr="00D618B7" w:rsidRDefault="00114CA4" w:rsidP="004B11B7">
            <w:pPr>
              <w:rPr>
                <w:color w:val="000000"/>
              </w:rPr>
            </w:pPr>
            <w:r w:rsidRPr="00D618B7">
              <w:rPr>
                <w:color w:val="000000"/>
              </w:rPr>
              <w:t> </w:t>
            </w:r>
          </w:p>
        </w:tc>
        <w:tc>
          <w:tcPr>
            <w:tcW w:w="853" w:type="pct"/>
            <w:tcBorders>
              <w:top w:val="nil"/>
              <w:left w:val="nil"/>
              <w:bottom w:val="single" w:sz="8" w:space="0" w:color="auto"/>
              <w:right w:val="nil"/>
            </w:tcBorders>
            <w:shd w:val="clear" w:color="000000" w:fill="FFFFFF"/>
            <w:noWrap/>
            <w:vAlign w:val="center"/>
            <w:hideMark/>
          </w:tcPr>
          <w:p w14:paraId="56CFE340" w14:textId="77777777" w:rsidR="00114CA4" w:rsidRPr="00D618B7" w:rsidRDefault="00114CA4" w:rsidP="004B11B7">
            <w:pPr>
              <w:jc w:val="right"/>
              <w:rPr>
                <w:color w:val="000000"/>
              </w:rPr>
            </w:pPr>
            <w:r w:rsidRPr="00D618B7">
              <w:rPr>
                <w:color w:val="000000"/>
              </w:rPr>
              <w:t>Mean</w:t>
            </w:r>
          </w:p>
        </w:tc>
        <w:tc>
          <w:tcPr>
            <w:tcW w:w="865" w:type="pct"/>
            <w:tcBorders>
              <w:top w:val="nil"/>
              <w:left w:val="nil"/>
              <w:bottom w:val="single" w:sz="8" w:space="0" w:color="auto"/>
              <w:right w:val="nil"/>
            </w:tcBorders>
            <w:shd w:val="clear" w:color="000000" w:fill="FFFFFF"/>
            <w:noWrap/>
            <w:vAlign w:val="center"/>
            <w:hideMark/>
          </w:tcPr>
          <w:p w14:paraId="004DF31C" w14:textId="77777777" w:rsidR="00114CA4" w:rsidRPr="00D618B7" w:rsidRDefault="00114CA4" w:rsidP="004B11B7">
            <w:pPr>
              <w:jc w:val="right"/>
              <w:rPr>
                <w:color w:val="000000"/>
              </w:rPr>
            </w:pPr>
            <w:r w:rsidRPr="00D618B7">
              <w:rPr>
                <w:color w:val="000000"/>
              </w:rPr>
              <w:t>Std. Error</w:t>
            </w:r>
          </w:p>
        </w:tc>
        <w:tc>
          <w:tcPr>
            <w:tcW w:w="626" w:type="pct"/>
            <w:tcBorders>
              <w:top w:val="nil"/>
              <w:left w:val="nil"/>
              <w:bottom w:val="single" w:sz="8" w:space="0" w:color="auto"/>
              <w:right w:val="nil"/>
            </w:tcBorders>
            <w:shd w:val="clear" w:color="000000" w:fill="FFFFFF"/>
            <w:noWrap/>
            <w:vAlign w:val="center"/>
            <w:hideMark/>
          </w:tcPr>
          <w:p w14:paraId="49741904" w14:textId="77777777" w:rsidR="00114CA4" w:rsidRPr="00D618B7" w:rsidRDefault="00114CA4" w:rsidP="004B11B7">
            <w:pPr>
              <w:jc w:val="right"/>
              <w:rPr>
                <w:color w:val="000000"/>
              </w:rPr>
            </w:pPr>
            <w:r w:rsidRPr="00D618B7">
              <w:rPr>
                <w:color w:val="000000"/>
              </w:rPr>
              <w:t>Mean</w:t>
            </w:r>
          </w:p>
        </w:tc>
        <w:tc>
          <w:tcPr>
            <w:tcW w:w="913" w:type="pct"/>
            <w:tcBorders>
              <w:top w:val="nil"/>
              <w:left w:val="nil"/>
              <w:bottom w:val="single" w:sz="8" w:space="0" w:color="auto"/>
              <w:right w:val="nil"/>
            </w:tcBorders>
            <w:shd w:val="clear" w:color="000000" w:fill="FFFFFF"/>
            <w:noWrap/>
            <w:vAlign w:val="center"/>
            <w:hideMark/>
          </w:tcPr>
          <w:p w14:paraId="05F08FDE" w14:textId="77777777" w:rsidR="00114CA4" w:rsidRPr="00D618B7" w:rsidRDefault="00114CA4" w:rsidP="004B11B7">
            <w:pPr>
              <w:jc w:val="right"/>
              <w:rPr>
                <w:color w:val="000000"/>
              </w:rPr>
            </w:pPr>
            <w:r w:rsidRPr="00D618B7">
              <w:rPr>
                <w:color w:val="000000"/>
              </w:rPr>
              <w:t>Std. Error</w:t>
            </w:r>
          </w:p>
        </w:tc>
      </w:tr>
      <w:tr w:rsidR="00114CA4" w:rsidRPr="00D618B7" w14:paraId="333B8630" w14:textId="77777777" w:rsidTr="004B11B7">
        <w:trPr>
          <w:trHeight w:val="322"/>
        </w:trPr>
        <w:tc>
          <w:tcPr>
            <w:tcW w:w="1743" w:type="pct"/>
            <w:tcBorders>
              <w:top w:val="nil"/>
              <w:left w:val="nil"/>
              <w:bottom w:val="nil"/>
              <w:right w:val="nil"/>
            </w:tcBorders>
            <w:shd w:val="clear" w:color="000000" w:fill="FFFFFF"/>
            <w:hideMark/>
          </w:tcPr>
          <w:p w14:paraId="3F339CE3" w14:textId="77777777" w:rsidR="00114CA4" w:rsidRPr="00D618B7" w:rsidRDefault="00114CA4" w:rsidP="004B11B7">
            <w:pPr>
              <w:rPr>
                <w:color w:val="000000"/>
              </w:rPr>
            </w:pPr>
            <w:r w:rsidRPr="00D618B7">
              <w:t>Toy-out-of-Reach</w:t>
            </w:r>
          </w:p>
        </w:tc>
        <w:tc>
          <w:tcPr>
            <w:tcW w:w="853" w:type="pct"/>
            <w:tcBorders>
              <w:top w:val="nil"/>
              <w:left w:val="nil"/>
              <w:bottom w:val="nil"/>
              <w:right w:val="nil"/>
            </w:tcBorders>
            <w:shd w:val="clear" w:color="000000" w:fill="FFFFFF"/>
            <w:noWrap/>
            <w:vAlign w:val="center"/>
            <w:hideMark/>
          </w:tcPr>
          <w:p w14:paraId="3A168CB4" w14:textId="77777777" w:rsidR="00114CA4" w:rsidRPr="00D618B7" w:rsidRDefault="00114CA4" w:rsidP="004B11B7">
            <w:pPr>
              <w:jc w:val="right"/>
              <w:rPr>
                <w:color w:val="000000"/>
              </w:rPr>
            </w:pPr>
            <w:r w:rsidRPr="00D618B7">
              <w:rPr>
                <w:color w:val="000000"/>
              </w:rPr>
              <w:t>603.84</w:t>
            </w:r>
          </w:p>
        </w:tc>
        <w:tc>
          <w:tcPr>
            <w:tcW w:w="865" w:type="pct"/>
            <w:tcBorders>
              <w:top w:val="nil"/>
              <w:left w:val="nil"/>
              <w:bottom w:val="nil"/>
              <w:right w:val="nil"/>
            </w:tcBorders>
            <w:shd w:val="clear" w:color="000000" w:fill="FFFFFF"/>
            <w:noWrap/>
            <w:vAlign w:val="center"/>
            <w:hideMark/>
          </w:tcPr>
          <w:p w14:paraId="0E209FDF" w14:textId="77777777" w:rsidR="00114CA4" w:rsidRPr="00D618B7" w:rsidRDefault="00114CA4" w:rsidP="004B11B7">
            <w:pPr>
              <w:jc w:val="right"/>
              <w:rPr>
                <w:color w:val="000000"/>
              </w:rPr>
            </w:pPr>
            <w:r w:rsidRPr="00D618B7">
              <w:rPr>
                <w:color w:val="000000"/>
              </w:rPr>
              <w:t>23.40</w:t>
            </w:r>
          </w:p>
        </w:tc>
        <w:tc>
          <w:tcPr>
            <w:tcW w:w="626" w:type="pct"/>
            <w:tcBorders>
              <w:top w:val="nil"/>
              <w:left w:val="nil"/>
              <w:bottom w:val="nil"/>
              <w:right w:val="nil"/>
            </w:tcBorders>
            <w:shd w:val="clear" w:color="000000" w:fill="FFFFFF"/>
            <w:noWrap/>
            <w:vAlign w:val="center"/>
            <w:hideMark/>
          </w:tcPr>
          <w:p w14:paraId="14A1F69F" w14:textId="77777777" w:rsidR="00114CA4" w:rsidRPr="00D618B7" w:rsidRDefault="00114CA4" w:rsidP="004B11B7">
            <w:pPr>
              <w:jc w:val="right"/>
              <w:rPr>
                <w:color w:val="000000"/>
              </w:rPr>
            </w:pPr>
            <w:r w:rsidRPr="00D618B7">
              <w:rPr>
                <w:color w:val="000000"/>
              </w:rPr>
              <w:t>324.75</w:t>
            </w:r>
          </w:p>
        </w:tc>
        <w:tc>
          <w:tcPr>
            <w:tcW w:w="913" w:type="pct"/>
            <w:tcBorders>
              <w:top w:val="nil"/>
              <w:left w:val="nil"/>
              <w:bottom w:val="nil"/>
              <w:right w:val="nil"/>
            </w:tcBorders>
            <w:shd w:val="clear" w:color="000000" w:fill="FFFFFF"/>
            <w:noWrap/>
            <w:vAlign w:val="center"/>
            <w:hideMark/>
          </w:tcPr>
          <w:p w14:paraId="247EE59D" w14:textId="77777777" w:rsidR="00114CA4" w:rsidRPr="00D618B7" w:rsidRDefault="00114CA4" w:rsidP="004B11B7">
            <w:pPr>
              <w:jc w:val="right"/>
              <w:rPr>
                <w:color w:val="000000"/>
              </w:rPr>
            </w:pPr>
            <w:r w:rsidRPr="00D618B7">
              <w:rPr>
                <w:color w:val="000000"/>
              </w:rPr>
              <w:t>78.12</w:t>
            </w:r>
          </w:p>
        </w:tc>
      </w:tr>
      <w:tr w:rsidR="00114CA4" w:rsidRPr="00D618B7" w14:paraId="5BE52F06" w14:textId="77777777" w:rsidTr="004B11B7">
        <w:trPr>
          <w:trHeight w:val="322"/>
        </w:trPr>
        <w:tc>
          <w:tcPr>
            <w:tcW w:w="1743" w:type="pct"/>
            <w:tcBorders>
              <w:top w:val="nil"/>
              <w:left w:val="nil"/>
              <w:bottom w:val="nil"/>
              <w:right w:val="nil"/>
            </w:tcBorders>
            <w:shd w:val="clear" w:color="000000" w:fill="FFFFFF"/>
            <w:hideMark/>
          </w:tcPr>
          <w:p w14:paraId="0D97A43A" w14:textId="77777777" w:rsidR="00114CA4" w:rsidRPr="00D618B7" w:rsidRDefault="00114CA4" w:rsidP="004B11B7">
            <w:pPr>
              <w:rPr>
                <w:color w:val="000000"/>
              </w:rPr>
            </w:pPr>
            <w:r w:rsidRPr="00D618B7">
              <w:t>Toy-Moving-into-Reach</w:t>
            </w:r>
          </w:p>
        </w:tc>
        <w:tc>
          <w:tcPr>
            <w:tcW w:w="853" w:type="pct"/>
            <w:tcBorders>
              <w:top w:val="nil"/>
              <w:left w:val="nil"/>
              <w:bottom w:val="nil"/>
              <w:right w:val="nil"/>
            </w:tcBorders>
            <w:shd w:val="clear" w:color="000000" w:fill="FFFFFF"/>
            <w:noWrap/>
            <w:vAlign w:val="center"/>
            <w:hideMark/>
          </w:tcPr>
          <w:p w14:paraId="0D83EECF" w14:textId="77777777" w:rsidR="00114CA4" w:rsidRPr="00D618B7" w:rsidRDefault="00114CA4" w:rsidP="004B11B7">
            <w:pPr>
              <w:jc w:val="right"/>
              <w:rPr>
                <w:color w:val="000000"/>
              </w:rPr>
            </w:pPr>
            <w:r w:rsidRPr="00D618B7">
              <w:rPr>
                <w:color w:val="000000"/>
              </w:rPr>
              <w:t>109.01</w:t>
            </w:r>
          </w:p>
        </w:tc>
        <w:tc>
          <w:tcPr>
            <w:tcW w:w="865" w:type="pct"/>
            <w:tcBorders>
              <w:top w:val="nil"/>
              <w:left w:val="nil"/>
              <w:bottom w:val="nil"/>
              <w:right w:val="nil"/>
            </w:tcBorders>
            <w:shd w:val="clear" w:color="000000" w:fill="FFFFFF"/>
            <w:noWrap/>
            <w:vAlign w:val="center"/>
            <w:hideMark/>
          </w:tcPr>
          <w:p w14:paraId="196D3559" w14:textId="77777777" w:rsidR="00114CA4" w:rsidRPr="00D618B7" w:rsidRDefault="00114CA4" w:rsidP="004B11B7">
            <w:pPr>
              <w:jc w:val="right"/>
              <w:rPr>
                <w:color w:val="000000"/>
              </w:rPr>
            </w:pPr>
            <w:r w:rsidRPr="00D618B7">
              <w:rPr>
                <w:color w:val="000000"/>
              </w:rPr>
              <w:t>50.60</w:t>
            </w:r>
          </w:p>
        </w:tc>
        <w:tc>
          <w:tcPr>
            <w:tcW w:w="626" w:type="pct"/>
            <w:tcBorders>
              <w:top w:val="nil"/>
              <w:left w:val="nil"/>
              <w:bottom w:val="nil"/>
              <w:right w:val="nil"/>
            </w:tcBorders>
            <w:shd w:val="clear" w:color="000000" w:fill="FFFFFF"/>
            <w:noWrap/>
            <w:vAlign w:val="center"/>
            <w:hideMark/>
          </w:tcPr>
          <w:p w14:paraId="0DA44903" w14:textId="77777777" w:rsidR="00114CA4" w:rsidRPr="00D618B7" w:rsidRDefault="00114CA4" w:rsidP="004B11B7">
            <w:pPr>
              <w:jc w:val="right"/>
              <w:rPr>
                <w:color w:val="000000"/>
              </w:rPr>
            </w:pPr>
            <w:r w:rsidRPr="00D618B7">
              <w:rPr>
                <w:color w:val="000000"/>
              </w:rPr>
              <w:t>34.90</w:t>
            </w:r>
          </w:p>
        </w:tc>
        <w:tc>
          <w:tcPr>
            <w:tcW w:w="913" w:type="pct"/>
            <w:tcBorders>
              <w:top w:val="nil"/>
              <w:left w:val="nil"/>
              <w:bottom w:val="nil"/>
              <w:right w:val="nil"/>
            </w:tcBorders>
            <w:shd w:val="clear" w:color="000000" w:fill="FFFFFF"/>
            <w:noWrap/>
            <w:vAlign w:val="center"/>
            <w:hideMark/>
          </w:tcPr>
          <w:p w14:paraId="7291BBF9" w14:textId="77777777" w:rsidR="00114CA4" w:rsidRPr="00D618B7" w:rsidRDefault="00114CA4" w:rsidP="004B11B7">
            <w:pPr>
              <w:jc w:val="right"/>
              <w:rPr>
                <w:color w:val="000000"/>
              </w:rPr>
            </w:pPr>
            <w:r w:rsidRPr="00D618B7">
              <w:rPr>
                <w:color w:val="000000"/>
              </w:rPr>
              <w:t>6.40</w:t>
            </w:r>
          </w:p>
        </w:tc>
      </w:tr>
      <w:tr w:rsidR="00114CA4" w:rsidRPr="00D618B7" w14:paraId="72952CCC" w14:textId="77777777" w:rsidTr="004B11B7">
        <w:trPr>
          <w:trHeight w:val="322"/>
        </w:trPr>
        <w:tc>
          <w:tcPr>
            <w:tcW w:w="1743" w:type="pct"/>
            <w:tcBorders>
              <w:top w:val="nil"/>
              <w:left w:val="nil"/>
              <w:bottom w:val="single" w:sz="8" w:space="0" w:color="auto"/>
              <w:right w:val="nil"/>
            </w:tcBorders>
            <w:shd w:val="clear" w:color="000000" w:fill="FFFFFF"/>
            <w:hideMark/>
          </w:tcPr>
          <w:p w14:paraId="0249E4DB" w14:textId="77777777" w:rsidR="00114CA4" w:rsidRPr="00D618B7" w:rsidRDefault="00114CA4" w:rsidP="004B11B7">
            <w:pPr>
              <w:rPr>
                <w:color w:val="000000"/>
              </w:rPr>
            </w:pPr>
            <w:r w:rsidRPr="00D618B7">
              <w:t>Toy-in-Reach</w:t>
            </w:r>
          </w:p>
        </w:tc>
        <w:tc>
          <w:tcPr>
            <w:tcW w:w="853" w:type="pct"/>
            <w:tcBorders>
              <w:top w:val="nil"/>
              <w:left w:val="nil"/>
              <w:bottom w:val="single" w:sz="8" w:space="0" w:color="auto"/>
              <w:right w:val="nil"/>
            </w:tcBorders>
            <w:shd w:val="clear" w:color="000000" w:fill="FFFFFF"/>
            <w:noWrap/>
            <w:vAlign w:val="center"/>
            <w:hideMark/>
          </w:tcPr>
          <w:p w14:paraId="67DD59B5" w14:textId="77777777" w:rsidR="00114CA4" w:rsidRPr="00D618B7" w:rsidRDefault="00114CA4" w:rsidP="004B11B7">
            <w:pPr>
              <w:jc w:val="right"/>
              <w:rPr>
                <w:color w:val="000000"/>
              </w:rPr>
            </w:pPr>
            <w:r w:rsidRPr="00D618B7">
              <w:rPr>
                <w:color w:val="000000"/>
              </w:rPr>
              <w:t>324.64</w:t>
            </w:r>
          </w:p>
        </w:tc>
        <w:tc>
          <w:tcPr>
            <w:tcW w:w="865" w:type="pct"/>
            <w:tcBorders>
              <w:top w:val="nil"/>
              <w:left w:val="nil"/>
              <w:bottom w:val="single" w:sz="8" w:space="0" w:color="auto"/>
              <w:right w:val="nil"/>
            </w:tcBorders>
            <w:shd w:val="clear" w:color="000000" w:fill="FFFFFF"/>
            <w:noWrap/>
            <w:vAlign w:val="center"/>
            <w:hideMark/>
          </w:tcPr>
          <w:p w14:paraId="31C75EC8" w14:textId="77777777" w:rsidR="00114CA4" w:rsidRPr="00D618B7" w:rsidRDefault="00114CA4" w:rsidP="004B11B7">
            <w:pPr>
              <w:jc w:val="right"/>
              <w:rPr>
                <w:color w:val="000000"/>
              </w:rPr>
            </w:pPr>
            <w:r w:rsidRPr="00D618B7">
              <w:rPr>
                <w:color w:val="000000"/>
              </w:rPr>
              <w:t>73.65</w:t>
            </w:r>
          </w:p>
        </w:tc>
        <w:tc>
          <w:tcPr>
            <w:tcW w:w="626" w:type="pct"/>
            <w:tcBorders>
              <w:top w:val="nil"/>
              <w:left w:val="nil"/>
              <w:bottom w:val="single" w:sz="8" w:space="0" w:color="auto"/>
              <w:right w:val="nil"/>
            </w:tcBorders>
            <w:shd w:val="clear" w:color="000000" w:fill="FFFFFF"/>
            <w:noWrap/>
            <w:vAlign w:val="center"/>
            <w:hideMark/>
          </w:tcPr>
          <w:p w14:paraId="488BE9F6" w14:textId="77777777" w:rsidR="00114CA4" w:rsidRPr="00D618B7" w:rsidRDefault="00114CA4" w:rsidP="004B11B7">
            <w:pPr>
              <w:jc w:val="right"/>
              <w:rPr>
                <w:color w:val="000000"/>
              </w:rPr>
            </w:pPr>
            <w:r w:rsidRPr="00D618B7">
              <w:rPr>
                <w:color w:val="000000"/>
              </w:rPr>
              <w:t>27.63</w:t>
            </w:r>
          </w:p>
        </w:tc>
        <w:tc>
          <w:tcPr>
            <w:tcW w:w="913" w:type="pct"/>
            <w:tcBorders>
              <w:top w:val="nil"/>
              <w:left w:val="nil"/>
              <w:bottom w:val="single" w:sz="8" w:space="0" w:color="auto"/>
              <w:right w:val="nil"/>
            </w:tcBorders>
            <w:shd w:val="clear" w:color="000000" w:fill="FFFFFF"/>
            <w:noWrap/>
            <w:vAlign w:val="center"/>
            <w:hideMark/>
          </w:tcPr>
          <w:p w14:paraId="3A9B4AE6" w14:textId="77777777" w:rsidR="00114CA4" w:rsidRPr="00D618B7" w:rsidRDefault="00114CA4" w:rsidP="004B11B7">
            <w:pPr>
              <w:jc w:val="right"/>
              <w:rPr>
                <w:color w:val="000000"/>
              </w:rPr>
            </w:pPr>
            <w:r w:rsidRPr="00D618B7">
              <w:rPr>
                <w:color w:val="000000"/>
              </w:rPr>
              <w:t>10.32</w:t>
            </w:r>
          </w:p>
        </w:tc>
      </w:tr>
    </w:tbl>
    <w:p w14:paraId="5FE486BE" w14:textId="77777777" w:rsidR="00114CA4" w:rsidRPr="00D618B7" w:rsidRDefault="00114CA4" w:rsidP="00114CA4">
      <w:pPr>
        <w:rPr>
          <w:i/>
          <w:iCs/>
        </w:rPr>
      </w:pPr>
    </w:p>
    <w:p w14:paraId="5D1211F2" w14:textId="77777777" w:rsidR="00114CA4" w:rsidRPr="00D618B7" w:rsidRDefault="00114CA4" w:rsidP="00114CA4">
      <w:r w:rsidRPr="00D618B7">
        <w:rPr>
          <w:i/>
          <w:iCs/>
        </w:rPr>
        <w:t>Note</w:t>
      </w:r>
      <w:r w:rsidRPr="00D618B7">
        <w:t>: This table lists the estimated mean Average Duration and standard errors for toy-out-of-reach, toy-moving-into-reach, and toy-in-reach events by group.</w:t>
      </w:r>
    </w:p>
    <w:p w14:paraId="072667F5" w14:textId="77777777" w:rsidR="006226F5" w:rsidRPr="00D618B7" w:rsidRDefault="006226F5" w:rsidP="006226F5">
      <w:r w:rsidRPr="00D618B7">
        <w:br w:type="page"/>
      </w:r>
    </w:p>
    <w:p w14:paraId="676EDCBF" w14:textId="0799EE1B" w:rsidR="006226F5" w:rsidRPr="00D618B7" w:rsidRDefault="006226F5" w:rsidP="007C5074">
      <w:pPr>
        <w:pStyle w:val="Caption"/>
      </w:pPr>
      <w:bookmarkStart w:id="220" w:name="_Toc172716902"/>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74</w:t>
      </w:r>
      <w:r w:rsidR="00000000">
        <w:rPr>
          <w:noProof/>
        </w:rPr>
        <w:fldChar w:fldCharType="end"/>
      </w:r>
      <w:r w:rsidR="00AE3927">
        <w:rPr>
          <w:noProof/>
        </w:rPr>
        <w:t>:</w:t>
      </w:r>
      <w:r w:rsidR="00C953D6" w:rsidRPr="00C953D6">
        <w:t xml:space="preserve"> </w:t>
      </w:r>
      <w:r w:rsidR="00C953D6">
        <w:t>Event average duration</w:t>
      </w:r>
      <w:r w:rsidR="00C953D6" w:rsidRPr="00BA36EF">
        <w:t xml:space="preserve"> by </w:t>
      </w:r>
      <w:r w:rsidR="00C953D6">
        <w:t>type and week by group</w:t>
      </w:r>
      <w:bookmarkEnd w:id="220"/>
    </w:p>
    <w:p w14:paraId="6732B175" w14:textId="77777777" w:rsidR="00F15F4F" w:rsidRPr="00D618B7" w:rsidRDefault="00F15F4F" w:rsidP="00F15F4F">
      <w:r w:rsidRPr="00D618B7">
        <w:t>Estimated Mean Average Duration of Events by Type and Week by Group</w:t>
      </w:r>
    </w:p>
    <w:tbl>
      <w:tblPr>
        <w:tblW w:w="8788" w:type="dxa"/>
        <w:tblLook w:val="04A0" w:firstRow="1" w:lastRow="0" w:firstColumn="1" w:lastColumn="0" w:noHBand="0" w:noVBand="1"/>
      </w:tblPr>
      <w:tblGrid>
        <w:gridCol w:w="1248"/>
        <w:gridCol w:w="1080"/>
        <w:gridCol w:w="1418"/>
        <w:gridCol w:w="1138"/>
        <w:gridCol w:w="1358"/>
        <w:gridCol w:w="1225"/>
        <w:gridCol w:w="1321"/>
      </w:tblGrid>
      <w:tr w:rsidR="00F15F4F" w:rsidRPr="00D618B7" w14:paraId="318FCA1F" w14:textId="77777777" w:rsidTr="004B11B7">
        <w:trPr>
          <w:trHeight w:val="318"/>
        </w:trPr>
        <w:tc>
          <w:tcPr>
            <w:tcW w:w="1248" w:type="dxa"/>
            <w:tcBorders>
              <w:top w:val="nil"/>
              <w:left w:val="nil"/>
              <w:bottom w:val="nil"/>
              <w:right w:val="nil"/>
            </w:tcBorders>
            <w:shd w:val="clear" w:color="000000" w:fill="FFFFFF"/>
            <w:vAlign w:val="center"/>
            <w:hideMark/>
          </w:tcPr>
          <w:p w14:paraId="1ECEB93C" w14:textId="77777777" w:rsidR="00F15F4F" w:rsidRPr="00D618B7" w:rsidRDefault="00F15F4F" w:rsidP="004B11B7">
            <w:pPr>
              <w:rPr>
                <w:color w:val="000000"/>
              </w:rPr>
            </w:pPr>
            <w:r w:rsidRPr="00D618B7">
              <w:rPr>
                <w:color w:val="000000"/>
              </w:rPr>
              <w:t>Week</w:t>
            </w:r>
          </w:p>
        </w:tc>
        <w:tc>
          <w:tcPr>
            <w:tcW w:w="2498" w:type="dxa"/>
            <w:gridSpan w:val="2"/>
            <w:tcBorders>
              <w:top w:val="nil"/>
              <w:left w:val="nil"/>
              <w:bottom w:val="single" w:sz="8" w:space="0" w:color="auto"/>
              <w:right w:val="nil"/>
            </w:tcBorders>
            <w:shd w:val="clear" w:color="000000" w:fill="FFFFFF"/>
            <w:vAlign w:val="center"/>
            <w:hideMark/>
          </w:tcPr>
          <w:p w14:paraId="7BA50391" w14:textId="77777777" w:rsidR="00F15F4F" w:rsidRPr="00D618B7" w:rsidRDefault="00F15F4F" w:rsidP="004B11B7">
            <w:pPr>
              <w:jc w:val="center"/>
              <w:rPr>
                <w:color w:val="000000"/>
              </w:rPr>
            </w:pPr>
            <w:r w:rsidRPr="00D618B7">
              <w:rPr>
                <w:color w:val="000000"/>
              </w:rPr>
              <w:t>Face</w:t>
            </w:r>
          </w:p>
        </w:tc>
        <w:tc>
          <w:tcPr>
            <w:tcW w:w="2496" w:type="dxa"/>
            <w:gridSpan w:val="2"/>
            <w:tcBorders>
              <w:top w:val="nil"/>
              <w:left w:val="nil"/>
              <w:bottom w:val="single" w:sz="8" w:space="0" w:color="auto"/>
              <w:right w:val="nil"/>
            </w:tcBorders>
            <w:shd w:val="clear" w:color="000000" w:fill="FFFFFF"/>
            <w:vAlign w:val="center"/>
            <w:hideMark/>
          </w:tcPr>
          <w:p w14:paraId="0486CA8A" w14:textId="77777777" w:rsidR="00F15F4F" w:rsidRPr="00D618B7" w:rsidRDefault="00F15F4F" w:rsidP="004B11B7">
            <w:pPr>
              <w:jc w:val="center"/>
              <w:rPr>
                <w:color w:val="000000"/>
              </w:rPr>
            </w:pPr>
            <w:r w:rsidRPr="00D618B7">
              <w:rPr>
                <w:color w:val="000000"/>
              </w:rPr>
              <w:t>Hand</w:t>
            </w:r>
          </w:p>
        </w:tc>
        <w:tc>
          <w:tcPr>
            <w:tcW w:w="2545" w:type="dxa"/>
            <w:gridSpan w:val="2"/>
            <w:tcBorders>
              <w:top w:val="nil"/>
              <w:left w:val="nil"/>
              <w:bottom w:val="single" w:sz="8" w:space="0" w:color="auto"/>
              <w:right w:val="nil"/>
            </w:tcBorders>
            <w:shd w:val="clear" w:color="000000" w:fill="FFFFFF"/>
            <w:vAlign w:val="center"/>
            <w:hideMark/>
          </w:tcPr>
          <w:p w14:paraId="4214C329" w14:textId="77777777" w:rsidR="00F15F4F" w:rsidRPr="00D618B7" w:rsidRDefault="00F15F4F" w:rsidP="004B11B7">
            <w:pPr>
              <w:jc w:val="center"/>
              <w:rPr>
                <w:color w:val="000000"/>
              </w:rPr>
            </w:pPr>
            <w:r w:rsidRPr="00D618B7">
              <w:rPr>
                <w:color w:val="000000"/>
              </w:rPr>
              <w:t>Mouth</w:t>
            </w:r>
          </w:p>
        </w:tc>
      </w:tr>
      <w:tr w:rsidR="00F15F4F" w:rsidRPr="00D618B7" w14:paraId="58C032CF" w14:textId="77777777" w:rsidTr="004B11B7">
        <w:trPr>
          <w:trHeight w:val="318"/>
        </w:trPr>
        <w:tc>
          <w:tcPr>
            <w:tcW w:w="1248" w:type="dxa"/>
            <w:tcBorders>
              <w:top w:val="nil"/>
              <w:left w:val="nil"/>
              <w:bottom w:val="single" w:sz="8" w:space="0" w:color="auto"/>
              <w:right w:val="nil"/>
            </w:tcBorders>
            <w:shd w:val="clear" w:color="000000" w:fill="FFFFFF"/>
            <w:noWrap/>
            <w:vAlign w:val="bottom"/>
            <w:hideMark/>
          </w:tcPr>
          <w:p w14:paraId="7449D303" w14:textId="77777777" w:rsidR="00F15F4F" w:rsidRPr="00D618B7" w:rsidRDefault="00F15F4F" w:rsidP="004B11B7">
            <w:pPr>
              <w:rPr>
                <w:color w:val="000000"/>
              </w:rPr>
            </w:pPr>
            <w:r w:rsidRPr="00D618B7">
              <w:rPr>
                <w:color w:val="000000"/>
              </w:rPr>
              <w:t> </w:t>
            </w:r>
          </w:p>
        </w:tc>
        <w:tc>
          <w:tcPr>
            <w:tcW w:w="1080" w:type="dxa"/>
            <w:tcBorders>
              <w:top w:val="nil"/>
              <w:left w:val="nil"/>
              <w:bottom w:val="single" w:sz="8" w:space="0" w:color="auto"/>
              <w:right w:val="nil"/>
            </w:tcBorders>
            <w:shd w:val="clear" w:color="000000" w:fill="FFFFFF"/>
            <w:noWrap/>
            <w:vAlign w:val="center"/>
            <w:hideMark/>
          </w:tcPr>
          <w:p w14:paraId="4F310C6E" w14:textId="77777777" w:rsidR="00F15F4F" w:rsidRPr="00D618B7" w:rsidRDefault="00F15F4F" w:rsidP="004B11B7">
            <w:pPr>
              <w:jc w:val="right"/>
              <w:rPr>
                <w:color w:val="000000"/>
              </w:rPr>
            </w:pPr>
            <w:r w:rsidRPr="00D618B7">
              <w:rPr>
                <w:color w:val="000000"/>
              </w:rPr>
              <w:t>Mean</w:t>
            </w:r>
          </w:p>
        </w:tc>
        <w:tc>
          <w:tcPr>
            <w:tcW w:w="1418" w:type="dxa"/>
            <w:tcBorders>
              <w:top w:val="nil"/>
              <w:left w:val="nil"/>
              <w:bottom w:val="single" w:sz="8" w:space="0" w:color="auto"/>
              <w:right w:val="nil"/>
            </w:tcBorders>
            <w:shd w:val="clear" w:color="000000" w:fill="FFFFFF"/>
            <w:noWrap/>
            <w:vAlign w:val="center"/>
            <w:hideMark/>
          </w:tcPr>
          <w:p w14:paraId="27B6B8FF" w14:textId="77777777" w:rsidR="00F15F4F" w:rsidRPr="00D618B7" w:rsidRDefault="00F15F4F" w:rsidP="004B11B7">
            <w:pPr>
              <w:jc w:val="right"/>
              <w:rPr>
                <w:color w:val="000000"/>
              </w:rPr>
            </w:pPr>
            <w:r w:rsidRPr="00D618B7">
              <w:rPr>
                <w:color w:val="000000"/>
              </w:rPr>
              <w:t>Std. Error</w:t>
            </w:r>
          </w:p>
        </w:tc>
        <w:tc>
          <w:tcPr>
            <w:tcW w:w="1138" w:type="dxa"/>
            <w:tcBorders>
              <w:top w:val="nil"/>
              <w:left w:val="nil"/>
              <w:bottom w:val="single" w:sz="8" w:space="0" w:color="auto"/>
              <w:right w:val="nil"/>
            </w:tcBorders>
            <w:shd w:val="clear" w:color="000000" w:fill="FFFFFF"/>
            <w:noWrap/>
            <w:vAlign w:val="center"/>
            <w:hideMark/>
          </w:tcPr>
          <w:p w14:paraId="27E3CABB" w14:textId="77777777" w:rsidR="00F15F4F" w:rsidRPr="00D618B7" w:rsidRDefault="00F15F4F" w:rsidP="004B11B7">
            <w:pPr>
              <w:jc w:val="right"/>
              <w:rPr>
                <w:color w:val="000000"/>
              </w:rPr>
            </w:pPr>
            <w:r w:rsidRPr="00D618B7">
              <w:rPr>
                <w:color w:val="000000"/>
              </w:rPr>
              <w:t>Mean</w:t>
            </w:r>
          </w:p>
        </w:tc>
        <w:tc>
          <w:tcPr>
            <w:tcW w:w="1357" w:type="dxa"/>
            <w:tcBorders>
              <w:top w:val="nil"/>
              <w:left w:val="nil"/>
              <w:bottom w:val="single" w:sz="8" w:space="0" w:color="auto"/>
              <w:right w:val="nil"/>
            </w:tcBorders>
            <w:shd w:val="clear" w:color="000000" w:fill="FFFFFF"/>
            <w:noWrap/>
            <w:vAlign w:val="center"/>
            <w:hideMark/>
          </w:tcPr>
          <w:p w14:paraId="68E53555" w14:textId="77777777" w:rsidR="00F15F4F" w:rsidRPr="00D618B7" w:rsidRDefault="00F15F4F" w:rsidP="004B11B7">
            <w:pPr>
              <w:jc w:val="right"/>
              <w:rPr>
                <w:color w:val="000000"/>
              </w:rPr>
            </w:pPr>
            <w:r w:rsidRPr="00D618B7">
              <w:rPr>
                <w:color w:val="000000"/>
              </w:rPr>
              <w:t>Std. Error</w:t>
            </w:r>
          </w:p>
        </w:tc>
        <w:tc>
          <w:tcPr>
            <w:tcW w:w="1225" w:type="dxa"/>
            <w:tcBorders>
              <w:top w:val="nil"/>
              <w:left w:val="nil"/>
              <w:bottom w:val="single" w:sz="8" w:space="0" w:color="auto"/>
              <w:right w:val="nil"/>
            </w:tcBorders>
            <w:shd w:val="clear" w:color="000000" w:fill="FFFFFF"/>
            <w:noWrap/>
            <w:vAlign w:val="center"/>
            <w:hideMark/>
          </w:tcPr>
          <w:p w14:paraId="3C3BF012" w14:textId="77777777" w:rsidR="00F15F4F" w:rsidRPr="00D618B7" w:rsidRDefault="00F15F4F" w:rsidP="004B11B7">
            <w:pPr>
              <w:jc w:val="right"/>
              <w:rPr>
                <w:color w:val="000000"/>
              </w:rPr>
            </w:pPr>
            <w:r w:rsidRPr="00D618B7">
              <w:rPr>
                <w:color w:val="000000"/>
              </w:rPr>
              <w:t>Mean</w:t>
            </w:r>
          </w:p>
        </w:tc>
        <w:tc>
          <w:tcPr>
            <w:tcW w:w="1319" w:type="dxa"/>
            <w:tcBorders>
              <w:top w:val="nil"/>
              <w:left w:val="nil"/>
              <w:bottom w:val="single" w:sz="8" w:space="0" w:color="auto"/>
              <w:right w:val="nil"/>
            </w:tcBorders>
            <w:shd w:val="clear" w:color="000000" w:fill="FFFFFF"/>
            <w:noWrap/>
            <w:vAlign w:val="center"/>
            <w:hideMark/>
          </w:tcPr>
          <w:p w14:paraId="6275B57C" w14:textId="77777777" w:rsidR="00F15F4F" w:rsidRPr="00D618B7" w:rsidRDefault="00F15F4F" w:rsidP="004B11B7">
            <w:pPr>
              <w:jc w:val="right"/>
              <w:rPr>
                <w:color w:val="000000"/>
              </w:rPr>
            </w:pPr>
            <w:r w:rsidRPr="00D618B7">
              <w:rPr>
                <w:color w:val="000000"/>
              </w:rPr>
              <w:t>Std. Error</w:t>
            </w:r>
          </w:p>
        </w:tc>
      </w:tr>
      <w:tr w:rsidR="00F15F4F" w:rsidRPr="00D618B7" w14:paraId="5410BAF1" w14:textId="77777777" w:rsidTr="004B11B7">
        <w:trPr>
          <w:trHeight w:val="303"/>
        </w:trPr>
        <w:tc>
          <w:tcPr>
            <w:tcW w:w="1248" w:type="dxa"/>
            <w:tcBorders>
              <w:top w:val="nil"/>
              <w:left w:val="nil"/>
              <w:bottom w:val="nil"/>
              <w:right w:val="nil"/>
            </w:tcBorders>
            <w:shd w:val="clear" w:color="000000" w:fill="FFFFFF"/>
            <w:noWrap/>
            <w:vAlign w:val="bottom"/>
            <w:hideMark/>
          </w:tcPr>
          <w:p w14:paraId="606A0417" w14:textId="77777777" w:rsidR="00F15F4F" w:rsidRPr="00D618B7" w:rsidRDefault="00F15F4F" w:rsidP="004B11B7">
            <w:pPr>
              <w:rPr>
                <w:color w:val="000000"/>
              </w:rPr>
            </w:pPr>
            <w:r w:rsidRPr="00D618B7">
              <w:rPr>
                <w:color w:val="000000"/>
              </w:rPr>
              <w:t> </w:t>
            </w:r>
          </w:p>
        </w:tc>
        <w:tc>
          <w:tcPr>
            <w:tcW w:w="7540" w:type="dxa"/>
            <w:gridSpan w:val="6"/>
            <w:tcBorders>
              <w:top w:val="single" w:sz="8" w:space="0" w:color="auto"/>
              <w:left w:val="nil"/>
              <w:bottom w:val="nil"/>
              <w:right w:val="nil"/>
            </w:tcBorders>
            <w:shd w:val="clear" w:color="000000" w:fill="FFFFFF"/>
            <w:noWrap/>
            <w:vAlign w:val="center"/>
            <w:hideMark/>
          </w:tcPr>
          <w:p w14:paraId="5E2BDED7" w14:textId="77777777" w:rsidR="00F15F4F" w:rsidRPr="00D618B7" w:rsidRDefault="00F15F4F" w:rsidP="004B11B7">
            <w:pPr>
              <w:jc w:val="center"/>
              <w:rPr>
                <w:color w:val="000000"/>
              </w:rPr>
            </w:pPr>
            <w:r w:rsidRPr="00D618B7">
              <w:rPr>
                <w:color w:val="000000"/>
              </w:rPr>
              <w:t>Early Reach Group</w:t>
            </w:r>
          </w:p>
        </w:tc>
      </w:tr>
      <w:tr w:rsidR="00F15F4F" w:rsidRPr="00D618B7" w14:paraId="35D987F8" w14:textId="77777777" w:rsidTr="004B11B7">
        <w:trPr>
          <w:trHeight w:val="303"/>
        </w:trPr>
        <w:tc>
          <w:tcPr>
            <w:tcW w:w="1248" w:type="dxa"/>
            <w:tcBorders>
              <w:top w:val="nil"/>
              <w:left w:val="nil"/>
              <w:bottom w:val="nil"/>
              <w:right w:val="nil"/>
            </w:tcBorders>
            <w:shd w:val="clear" w:color="000000" w:fill="FFFFFF"/>
            <w:vAlign w:val="center"/>
            <w:hideMark/>
          </w:tcPr>
          <w:p w14:paraId="20E08B6A" w14:textId="77777777" w:rsidR="00F15F4F" w:rsidRPr="00D618B7" w:rsidRDefault="00F15F4F" w:rsidP="004B11B7">
            <w:pPr>
              <w:jc w:val="right"/>
              <w:rPr>
                <w:color w:val="000000"/>
              </w:rPr>
            </w:pPr>
            <w:r w:rsidRPr="00D618B7">
              <w:rPr>
                <w:color w:val="000000"/>
              </w:rPr>
              <w:t>-5</w:t>
            </w:r>
          </w:p>
        </w:tc>
        <w:tc>
          <w:tcPr>
            <w:tcW w:w="1080" w:type="dxa"/>
            <w:tcBorders>
              <w:top w:val="nil"/>
              <w:left w:val="nil"/>
              <w:bottom w:val="nil"/>
              <w:right w:val="nil"/>
            </w:tcBorders>
            <w:shd w:val="clear" w:color="000000" w:fill="FFFFFF"/>
            <w:noWrap/>
            <w:vAlign w:val="center"/>
            <w:hideMark/>
          </w:tcPr>
          <w:p w14:paraId="61512F82" w14:textId="77777777" w:rsidR="00F15F4F" w:rsidRPr="00D618B7" w:rsidRDefault="00F15F4F" w:rsidP="004B11B7">
            <w:pPr>
              <w:jc w:val="right"/>
              <w:rPr>
                <w:color w:val="000000"/>
              </w:rPr>
            </w:pPr>
            <w:r w:rsidRPr="00D618B7">
              <w:rPr>
                <w:color w:val="000000"/>
              </w:rPr>
              <w:t>927.70</w:t>
            </w:r>
          </w:p>
        </w:tc>
        <w:tc>
          <w:tcPr>
            <w:tcW w:w="1418" w:type="dxa"/>
            <w:tcBorders>
              <w:top w:val="nil"/>
              <w:left w:val="nil"/>
              <w:bottom w:val="nil"/>
              <w:right w:val="nil"/>
            </w:tcBorders>
            <w:shd w:val="clear" w:color="000000" w:fill="FFFFFF"/>
            <w:noWrap/>
            <w:vAlign w:val="center"/>
            <w:hideMark/>
          </w:tcPr>
          <w:p w14:paraId="02986B71" w14:textId="77777777" w:rsidR="00F15F4F" w:rsidRPr="00D618B7" w:rsidRDefault="00F15F4F" w:rsidP="004B11B7">
            <w:pPr>
              <w:jc w:val="right"/>
              <w:rPr>
                <w:color w:val="000000"/>
              </w:rPr>
            </w:pPr>
            <w:r w:rsidRPr="00D618B7">
              <w:rPr>
                <w:color w:val="000000"/>
              </w:rPr>
              <w:t>132.27</w:t>
            </w:r>
          </w:p>
        </w:tc>
        <w:tc>
          <w:tcPr>
            <w:tcW w:w="1138" w:type="dxa"/>
            <w:tcBorders>
              <w:top w:val="nil"/>
              <w:left w:val="nil"/>
              <w:bottom w:val="nil"/>
              <w:right w:val="nil"/>
            </w:tcBorders>
            <w:shd w:val="clear" w:color="000000" w:fill="FFFFFF"/>
            <w:noWrap/>
            <w:vAlign w:val="center"/>
            <w:hideMark/>
          </w:tcPr>
          <w:p w14:paraId="2C5E8008" w14:textId="77777777" w:rsidR="00F15F4F" w:rsidRPr="00D618B7" w:rsidRDefault="00F15F4F" w:rsidP="004B11B7">
            <w:pPr>
              <w:jc w:val="right"/>
              <w:rPr>
                <w:color w:val="000000"/>
              </w:rPr>
            </w:pPr>
            <w:r w:rsidRPr="00D618B7">
              <w:rPr>
                <w:color w:val="000000"/>
              </w:rPr>
              <w:t>-118.42</w:t>
            </w:r>
          </w:p>
        </w:tc>
        <w:tc>
          <w:tcPr>
            <w:tcW w:w="1357" w:type="dxa"/>
            <w:tcBorders>
              <w:top w:val="nil"/>
              <w:left w:val="nil"/>
              <w:bottom w:val="nil"/>
              <w:right w:val="nil"/>
            </w:tcBorders>
            <w:shd w:val="clear" w:color="000000" w:fill="FFFFFF"/>
            <w:noWrap/>
            <w:vAlign w:val="center"/>
            <w:hideMark/>
          </w:tcPr>
          <w:p w14:paraId="40626C4E" w14:textId="77777777" w:rsidR="00F15F4F" w:rsidRPr="00D618B7" w:rsidRDefault="00F15F4F" w:rsidP="004B11B7">
            <w:pPr>
              <w:jc w:val="right"/>
              <w:rPr>
                <w:color w:val="000000"/>
              </w:rPr>
            </w:pPr>
            <w:r w:rsidRPr="00D618B7">
              <w:rPr>
                <w:color w:val="000000"/>
              </w:rPr>
              <w:t>160.25</w:t>
            </w:r>
          </w:p>
        </w:tc>
        <w:tc>
          <w:tcPr>
            <w:tcW w:w="1225" w:type="dxa"/>
            <w:tcBorders>
              <w:top w:val="nil"/>
              <w:left w:val="nil"/>
              <w:bottom w:val="nil"/>
              <w:right w:val="nil"/>
            </w:tcBorders>
            <w:shd w:val="clear" w:color="000000" w:fill="FFFFFF"/>
            <w:noWrap/>
            <w:vAlign w:val="center"/>
            <w:hideMark/>
          </w:tcPr>
          <w:p w14:paraId="1AE1BC10" w14:textId="77777777" w:rsidR="00F15F4F" w:rsidRPr="00D618B7" w:rsidRDefault="00F15F4F" w:rsidP="004B11B7">
            <w:pPr>
              <w:jc w:val="right"/>
              <w:rPr>
                <w:color w:val="000000"/>
              </w:rPr>
            </w:pPr>
            <w:r w:rsidRPr="00D618B7">
              <w:rPr>
                <w:color w:val="000000"/>
              </w:rPr>
              <w:t>804.38</w:t>
            </w:r>
          </w:p>
        </w:tc>
        <w:tc>
          <w:tcPr>
            <w:tcW w:w="1319" w:type="dxa"/>
            <w:tcBorders>
              <w:top w:val="nil"/>
              <w:left w:val="nil"/>
              <w:bottom w:val="nil"/>
              <w:right w:val="nil"/>
            </w:tcBorders>
            <w:shd w:val="clear" w:color="000000" w:fill="FFFFFF"/>
            <w:noWrap/>
            <w:vAlign w:val="center"/>
            <w:hideMark/>
          </w:tcPr>
          <w:p w14:paraId="60F86F7A" w14:textId="77777777" w:rsidR="00F15F4F" w:rsidRPr="00D618B7" w:rsidRDefault="00F15F4F" w:rsidP="004B11B7">
            <w:pPr>
              <w:jc w:val="right"/>
              <w:rPr>
                <w:color w:val="000000"/>
              </w:rPr>
            </w:pPr>
            <w:r w:rsidRPr="00D618B7">
              <w:rPr>
                <w:color w:val="000000"/>
              </w:rPr>
              <w:t>203.54</w:t>
            </w:r>
          </w:p>
        </w:tc>
      </w:tr>
      <w:tr w:rsidR="00F15F4F" w:rsidRPr="00D618B7" w14:paraId="65F141C7" w14:textId="77777777" w:rsidTr="004B11B7">
        <w:trPr>
          <w:trHeight w:val="303"/>
        </w:trPr>
        <w:tc>
          <w:tcPr>
            <w:tcW w:w="1248" w:type="dxa"/>
            <w:tcBorders>
              <w:top w:val="nil"/>
              <w:left w:val="nil"/>
              <w:bottom w:val="nil"/>
              <w:right w:val="nil"/>
            </w:tcBorders>
            <w:shd w:val="clear" w:color="000000" w:fill="FFFFFF"/>
            <w:vAlign w:val="center"/>
            <w:hideMark/>
          </w:tcPr>
          <w:p w14:paraId="7541F71A" w14:textId="77777777" w:rsidR="00F15F4F" w:rsidRPr="00D618B7" w:rsidRDefault="00F15F4F"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center"/>
            <w:hideMark/>
          </w:tcPr>
          <w:p w14:paraId="7EB1A19E" w14:textId="77777777" w:rsidR="00F15F4F" w:rsidRPr="00D618B7" w:rsidRDefault="00F15F4F" w:rsidP="004B11B7">
            <w:pPr>
              <w:jc w:val="right"/>
              <w:rPr>
                <w:color w:val="000000"/>
              </w:rPr>
            </w:pPr>
            <w:r w:rsidRPr="00D618B7">
              <w:rPr>
                <w:color w:val="000000"/>
              </w:rPr>
              <w:t>-48.87</w:t>
            </w:r>
          </w:p>
        </w:tc>
        <w:tc>
          <w:tcPr>
            <w:tcW w:w="1418" w:type="dxa"/>
            <w:tcBorders>
              <w:top w:val="nil"/>
              <w:left w:val="nil"/>
              <w:bottom w:val="nil"/>
              <w:right w:val="nil"/>
            </w:tcBorders>
            <w:shd w:val="clear" w:color="000000" w:fill="FFFFFF"/>
            <w:noWrap/>
            <w:vAlign w:val="center"/>
            <w:hideMark/>
          </w:tcPr>
          <w:p w14:paraId="7F92304B" w14:textId="77777777" w:rsidR="00F15F4F" w:rsidRPr="00D618B7" w:rsidRDefault="00F15F4F" w:rsidP="004B11B7">
            <w:pPr>
              <w:jc w:val="right"/>
              <w:rPr>
                <w:color w:val="000000"/>
              </w:rPr>
            </w:pPr>
            <w:r w:rsidRPr="00D618B7">
              <w:rPr>
                <w:color w:val="000000"/>
              </w:rPr>
              <w:t>48.02</w:t>
            </w:r>
          </w:p>
        </w:tc>
        <w:tc>
          <w:tcPr>
            <w:tcW w:w="1138" w:type="dxa"/>
            <w:tcBorders>
              <w:top w:val="nil"/>
              <w:left w:val="nil"/>
              <w:bottom w:val="nil"/>
              <w:right w:val="nil"/>
            </w:tcBorders>
            <w:shd w:val="clear" w:color="000000" w:fill="FFFFFF"/>
            <w:noWrap/>
            <w:vAlign w:val="center"/>
            <w:hideMark/>
          </w:tcPr>
          <w:p w14:paraId="26539DDD" w14:textId="77777777" w:rsidR="00F15F4F" w:rsidRPr="00D618B7" w:rsidRDefault="00F15F4F" w:rsidP="004B11B7">
            <w:pPr>
              <w:jc w:val="right"/>
              <w:rPr>
                <w:color w:val="000000"/>
              </w:rPr>
            </w:pPr>
            <w:r w:rsidRPr="00D618B7">
              <w:rPr>
                <w:color w:val="000000"/>
              </w:rPr>
              <w:t>104.26</w:t>
            </w:r>
          </w:p>
        </w:tc>
        <w:tc>
          <w:tcPr>
            <w:tcW w:w="1357" w:type="dxa"/>
            <w:tcBorders>
              <w:top w:val="nil"/>
              <w:left w:val="nil"/>
              <w:bottom w:val="nil"/>
              <w:right w:val="nil"/>
            </w:tcBorders>
            <w:shd w:val="clear" w:color="000000" w:fill="FFFFFF"/>
            <w:noWrap/>
            <w:vAlign w:val="center"/>
            <w:hideMark/>
          </w:tcPr>
          <w:p w14:paraId="70DC016C" w14:textId="77777777" w:rsidR="00F15F4F" w:rsidRPr="00D618B7" w:rsidRDefault="00F15F4F" w:rsidP="004B11B7">
            <w:pPr>
              <w:jc w:val="right"/>
              <w:rPr>
                <w:color w:val="000000"/>
              </w:rPr>
            </w:pPr>
            <w:r w:rsidRPr="00D618B7">
              <w:rPr>
                <w:color w:val="000000"/>
              </w:rPr>
              <w:t>39.89</w:t>
            </w:r>
          </w:p>
        </w:tc>
        <w:tc>
          <w:tcPr>
            <w:tcW w:w="1225" w:type="dxa"/>
            <w:tcBorders>
              <w:top w:val="nil"/>
              <w:left w:val="nil"/>
              <w:bottom w:val="nil"/>
              <w:right w:val="nil"/>
            </w:tcBorders>
            <w:shd w:val="clear" w:color="000000" w:fill="FFFFFF"/>
            <w:noWrap/>
            <w:vAlign w:val="center"/>
            <w:hideMark/>
          </w:tcPr>
          <w:p w14:paraId="432F79C8" w14:textId="77777777" w:rsidR="00F15F4F" w:rsidRPr="00D618B7" w:rsidRDefault="00F15F4F" w:rsidP="004B11B7">
            <w:pPr>
              <w:jc w:val="right"/>
              <w:rPr>
                <w:color w:val="000000"/>
              </w:rPr>
            </w:pPr>
            <w:r w:rsidRPr="00D618B7">
              <w:rPr>
                <w:color w:val="000000"/>
              </w:rPr>
              <w:t>-207.36</w:t>
            </w:r>
          </w:p>
        </w:tc>
        <w:tc>
          <w:tcPr>
            <w:tcW w:w="1319" w:type="dxa"/>
            <w:tcBorders>
              <w:top w:val="nil"/>
              <w:left w:val="nil"/>
              <w:bottom w:val="nil"/>
              <w:right w:val="nil"/>
            </w:tcBorders>
            <w:shd w:val="clear" w:color="000000" w:fill="FFFFFF"/>
            <w:noWrap/>
            <w:vAlign w:val="center"/>
            <w:hideMark/>
          </w:tcPr>
          <w:p w14:paraId="0F5FB6B7" w14:textId="77777777" w:rsidR="00F15F4F" w:rsidRPr="00D618B7" w:rsidRDefault="00F15F4F" w:rsidP="004B11B7">
            <w:pPr>
              <w:jc w:val="right"/>
              <w:rPr>
                <w:color w:val="000000"/>
              </w:rPr>
            </w:pPr>
            <w:r w:rsidRPr="00D618B7">
              <w:rPr>
                <w:color w:val="000000"/>
              </w:rPr>
              <w:t>154.88</w:t>
            </w:r>
          </w:p>
        </w:tc>
      </w:tr>
      <w:tr w:rsidR="00F15F4F" w:rsidRPr="00D618B7" w14:paraId="03B4C5BC" w14:textId="77777777" w:rsidTr="004B11B7">
        <w:trPr>
          <w:trHeight w:val="303"/>
        </w:trPr>
        <w:tc>
          <w:tcPr>
            <w:tcW w:w="1248" w:type="dxa"/>
            <w:tcBorders>
              <w:top w:val="nil"/>
              <w:left w:val="nil"/>
              <w:bottom w:val="nil"/>
              <w:right w:val="nil"/>
            </w:tcBorders>
            <w:shd w:val="clear" w:color="000000" w:fill="FFFFFF"/>
            <w:vAlign w:val="center"/>
            <w:hideMark/>
          </w:tcPr>
          <w:p w14:paraId="73754B14" w14:textId="77777777" w:rsidR="00F15F4F" w:rsidRPr="00D618B7" w:rsidRDefault="00F15F4F"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center"/>
            <w:hideMark/>
          </w:tcPr>
          <w:p w14:paraId="75CE2BA8" w14:textId="77777777" w:rsidR="00F15F4F" w:rsidRPr="00D618B7" w:rsidRDefault="00F15F4F" w:rsidP="004B11B7">
            <w:pPr>
              <w:jc w:val="right"/>
              <w:rPr>
                <w:color w:val="000000"/>
              </w:rPr>
            </w:pPr>
            <w:r w:rsidRPr="00D618B7">
              <w:rPr>
                <w:color w:val="000000"/>
              </w:rPr>
              <w:t>525.10</w:t>
            </w:r>
          </w:p>
        </w:tc>
        <w:tc>
          <w:tcPr>
            <w:tcW w:w="1418" w:type="dxa"/>
            <w:tcBorders>
              <w:top w:val="nil"/>
              <w:left w:val="nil"/>
              <w:bottom w:val="nil"/>
              <w:right w:val="nil"/>
            </w:tcBorders>
            <w:shd w:val="clear" w:color="000000" w:fill="FFFFFF"/>
            <w:noWrap/>
            <w:vAlign w:val="center"/>
            <w:hideMark/>
          </w:tcPr>
          <w:p w14:paraId="016DD3BB" w14:textId="77777777" w:rsidR="00F15F4F" w:rsidRPr="00D618B7" w:rsidRDefault="00F15F4F" w:rsidP="004B11B7">
            <w:pPr>
              <w:jc w:val="right"/>
              <w:rPr>
                <w:color w:val="000000"/>
              </w:rPr>
            </w:pPr>
            <w:r w:rsidRPr="00D618B7">
              <w:rPr>
                <w:color w:val="000000"/>
              </w:rPr>
              <w:t>241.90</w:t>
            </w:r>
          </w:p>
        </w:tc>
        <w:tc>
          <w:tcPr>
            <w:tcW w:w="1138" w:type="dxa"/>
            <w:tcBorders>
              <w:top w:val="nil"/>
              <w:left w:val="nil"/>
              <w:bottom w:val="nil"/>
              <w:right w:val="nil"/>
            </w:tcBorders>
            <w:shd w:val="clear" w:color="000000" w:fill="FFFFFF"/>
            <w:noWrap/>
            <w:vAlign w:val="center"/>
            <w:hideMark/>
          </w:tcPr>
          <w:p w14:paraId="6D605E9C" w14:textId="77777777" w:rsidR="00F15F4F" w:rsidRPr="00D618B7" w:rsidRDefault="00F15F4F" w:rsidP="004B11B7">
            <w:pPr>
              <w:jc w:val="right"/>
              <w:rPr>
                <w:color w:val="000000"/>
              </w:rPr>
            </w:pPr>
            <w:r w:rsidRPr="00D618B7">
              <w:rPr>
                <w:color w:val="000000"/>
              </w:rPr>
              <w:t>18.93</w:t>
            </w:r>
          </w:p>
        </w:tc>
        <w:tc>
          <w:tcPr>
            <w:tcW w:w="1357" w:type="dxa"/>
            <w:tcBorders>
              <w:top w:val="nil"/>
              <w:left w:val="nil"/>
              <w:bottom w:val="nil"/>
              <w:right w:val="nil"/>
            </w:tcBorders>
            <w:shd w:val="clear" w:color="000000" w:fill="FFFFFF"/>
            <w:noWrap/>
            <w:vAlign w:val="center"/>
            <w:hideMark/>
          </w:tcPr>
          <w:p w14:paraId="251A70EC" w14:textId="77777777" w:rsidR="00F15F4F" w:rsidRPr="00D618B7" w:rsidRDefault="00F15F4F" w:rsidP="004B11B7">
            <w:pPr>
              <w:jc w:val="right"/>
              <w:rPr>
                <w:color w:val="000000"/>
              </w:rPr>
            </w:pPr>
            <w:r w:rsidRPr="00D618B7">
              <w:rPr>
                <w:color w:val="000000"/>
              </w:rPr>
              <w:t>19.37</w:t>
            </w:r>
          </w:p>
        </w:tc>
        <w:tc>
          <w:tcPr>
            <w:tcW w:w="1225" w:type="dxa"/>
            <w:tcBorders>
              <w:top w:val="nil"/>
              <w:left w:val="nil"/>
              <w:bottom w:val="nil"/>
              <w:right w:val="nil"/>
            </w:tcBorders>
            <w:shd w:val="clear" w:color="000000" w:fill="FFFFFF"/>
            <w:noWrap/>
            <w:vAlign w:val="center"/>
            <w:hideMark/>
          </w:tcPr>
          <w:p w14:paraId="026AE27B" w14:textId="77777777" w:rsidR="00F15F4F" w:rsidRPr="00D618B7" w:rsidRDefault="00F15F4F" w:rsidP="004B11B7">
            <w:pPr>
              <w:jc w:val="right"/>
              <w:rPr>
                <w:color w:val="000000"/>
              </w:rPr>
            </w:pPr>
            <w:r w:rsidRPr="00D618B7">
              <w:rPr>
                <w:color w:val="000000"/>
              </w:rPr>
              <w:t>1631.31</w:t>
            </w:r>
          </w:p>
        </w:tc>
        <w:tc>
          <w:tcPr>
            <w:tcW w:w="1319" w:type="dxa"/>
            <w:tcBorders>
              <w:top w:val="nil"/>
              <w:left w:val="nil"/>
              <w:bottom w:val="nil"/>
              <w:right w:val="nil"/>
            </w:tcBorders>
            <w:shd w:val="clear" w:color="000000" w:fill="FFFFFF"/>
            <w:noWrap/>
            <w:vAlign w:val="center"/>
            <w:hideMark/>
          </w:tcPr>
          <w:p w14:paraId="597F4CDE" w14:textId="77777777" w:rsidR="00F15F4F" w:rsidRPr="00D618B7" w:rsidRDefault="00F15F4F" w:rsidP="004B11B7">
            <w:pPr>
              <w:jc w:val="right"/>
              <w:rPr>
                <w:color w:val="000000"/>
              </w:rPr>
            </w:pPr>
            <w:r w:rsidRPr="00D618B7">
              <w:rPr>
                <w:color w:val="000000"/>
              </w:rPr>
              <w:t>402.33</w:t>
            </w:r>
          </w:p>
        </w:tc>
      </w:tr>
      <w:tr w:rsidR="00F15F4F" w:rsidRPr="00D618B7" w14:paraId="7103F3FE" w14:textId="77777777" w:rsidTr="004B11B7">
        <w:trPr>
          <w:trHeight w:val="303"/>
        </w:trPr>
        <w:tc>
          <w:tcPr>
            <w:tcW w:w="1248" w:type="dxa"/>
            <w:tcBorders>
              <w:top w:val="nil"/>
              <w:left w:val="nil"/>
              <w:bottom w:val="nil"/>
              <w:right w:val="nil"/>
            </w:tcBorders>
            <w:shd w:val="clear" w:color="000000" w:fill="FFFFFF"/>
            <w:vAlign w:val="center"/>
            <w:hideMark/>
          </w:tcPr>
          <w:p w14:paraId="491262B0" w14:textId="77777777" w:rsidR="00F15F4F" w:rsidRPr="00D618B7" w:rsidRDefault="00F15F4F"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center"/>
            <w:hideMark/>
          </w:tcPr>
          <w:p w14:paraId="6160C5EA" w14:textId="77777777" w:rsidR="00F15F4F" w:rsidRPr="00D618B7" w:rsidRDefault="00F15F4F" w:rsidP="004B11B7">
            <w:pPr>
              <w:jc w:val="right"/>
              <w:rPr>
                <w:color w:val="000000"/>
              </w:rPr>
            </w:pPr>
            <w:r w:rsidRPr="00D618B7">
              <w:rPr>
                <w:color w:val="000000"/>
              </w:rPr>
              <w:t>468.05</w:t>
            </w:r>
          </w:p>
        </w:tc>
        <w:tc>
          <w:tcPr>
            <w:tcW w:w="1418" w:type="dxa"/>
            <w:tcBorders>
              <w:top w:val="nil"/>
              <w:left w:val="nil"/>
              <w:bottom w:val="nil"/>
              <w:right w:val="nil"/>
            </w:tcBorders>
            <w:shd w:val="clear" w:color="000000" w:fill="FFFFFF"/>
            <w:noWrap/>
            <w:vAlign w:val="center"/>
            <w:hideMark/>
          </w:tcPr>
          <w:p w14:paraId="589582E4" w14:textId="77777777" w:rsidR="00F15F4F" w:rsidRPr="00D618B7" w:rsidRDefault="00F15F4F" w:rsidP="004B11B7">
            <w:pPr>
              <w:jc w:val="right"/>
              <w:rPr>
                <w:color w:val="000000"/>
              </w:rPr>
            </w:pPr>
            <w:r w:rsidRPr="00D618B7">
              <w:rPr>
                <w:color w:val="000000"/>
              </w:rPr>
              <w:t>344.23</w:t>
            </w:r>
          </w:p>
        </w:tc>
        <w:tc>
          <w:tcPr>
            <w:tcW w:w="1138" w:type="dxa"/>
            <w:tcBorders>
              <w:top w:val="nil"/>
              <w:left w:val="nil"/>
              <w:bottom w:val="nil"/>
              <w:right w:val="nil"/>
            </w:tcBorders>
            <w:shd w:val="clear" w:color="000000" w:fill="FFFFFF"/>
            <w:noWrap/>
            <w:vAlign w:val="center"/>
            <w:hideMark/>
          </w:tcPr>
          <w:p w14:paraId="7ACB3958" w14:textId="77777777" w:rsidR="00F15F4F" w:rsidRPr="00D618B7" w:rsidRDefault="00F15F4F" w:rsidP="004B11B7">
            <w:pPr>
              <w:jc w:val="right"/>
              <w:rPr>
                <w:color w:val="000000"/>
              </w:rPr>
            </w:pPr>
            <w:r w:rsidRPr="00D618B7">
              <w:rPr>
                <w:color w:val="000000"/>
              </w:rPr>
              <w:t>-29.45</w:t>
            </w:r>
          </w:p>
        </w:tc>
        <w:tc>
          <w:tcPr>
            <w:tcW w:w="1357" w:type="dxa"/>
            <w:tcBorders>
              <w:top w:val="nil"/>
              <w:left w:val="nil"/>
              <w:bottom w:val="nil"/>
              <w:right w:val="nil"/>
            </w:tcBorders>
            <w:shd w:val="clear" w:color="000000" w:fill="FFFFFF"/>
            <w:noWrap/>
            <w:vAlign w:val="center"/>
            <w:hideMark/>
          </w:tcPr>
          <w:p w14:paraId="6163E0F9" w14:textId="77777777" w:rsidR="00F15F4F" w:rsidRPr="00D618B7" w:rsidRDefault="00F15F4F" w:rsidP="004B11B7">
            <w:pPr>
              <w:jc w:val="right"/>
              <w:rPr>
                <w:color w:val="000000"/>
              </w:rPr>
            </w:pPr>
            <w:r w:rsidRPr="00D618B7">
              <w:rPr>
                <w:color w:val="000000"/>
              </w:rPr>
              <w:t>29.72</w:t>
            </w:r>
          </w:p>
        </w:tc>
        <w:tc>
          <w:tcPr>
            <w:tcW w:w="1225" w:type="dxa"/>
            <w:tcBorders>
              <w:top w:val="nil"/>
              <w:left w:val="nil"/>
              <w:bottom w:val="nil"/>
              <w:right w:val="nil"/>
            </w:tcBorders>
            <w:shd w:val="clear" w:color="000000" w:fill="FFFFFF"/>
            <w:noWrap/>
            <w:vAlign w:val="center"/>
            <w:hideMark/>
          </w:tcPr>
          <w:p w14:paraId="4FBAA1F9" w14:textId="77777777" w:rsidR="00F15F4F" w:rsidRPr="00D618B7" w:rsidRDefault="00F15F4F" w:rsidP="004B11B7">
            <w:pPr>
              <w:jc w:val="right"/>
              <w:rPr>
                <w:color w:val="000000"/>
              </w:rPr>
            </w:pPr>
            <w:r w:rsidRPr="00D618B7">
              <w:rPr>
                <w:color w:val="000000"/>
              </w:rPr>
              <w:t>650.52</w:t>
            </w:r>
          </w:p>
        </w:tc>
        <w:tc>
          <w:tcPr>
            <w:tcW w:w="1319" w:type="dxa"/>
            <w:tcBorders>
              <w:top w:val="nil"/>
              <w:left w:val="nil"/>
              <w:bottom w:val="nil"/>
              <w:right w:val="nil"/>
            </w:tcBorders>
            <w:shd w:val="clear" w:color="000000" w:fill="FFFFFF"/>
            <w:noWrap/>
            <w:vAlign w:val="center"/>
            <w:hideMark/>
          </w:tcPr>
          <w:p w14:paraId="45E4AE6A" w14:textId="77777777" w:rsidR="00F15F4F" w:rsidRPr="00D618B7" w:rsidRDefault="00F15F4F" w:rsidP="004B11B7">
            <w:pPr>
              <w:jc w:val="right"/>
              <w:rPr>
                <w:color w:val="000000"/>
              </w:rPr>
            </w:pPr>
            <w:r w:rsidRPr="00D618B7">
              <w:rPr>
                <w:color w:val="000000"/>
              </w:rPr>
              <w:t>502.51</w:t>
            </w:r>
          </w:p>
        </w:tc>
      </w:tr>
      <w:tr w:rsidR="00F15F4F" w:rsidRPr="00D618B7" w14:paraId="6A77F3F0" w14:textId="77777777" w:rsidTr="004B11B7">
        <w:trPr>
          <w:trHeight w:val="303"/>
        </w:trPr>
        <w:tc>
          <w:tcPr>
            <w:tcW w:w="1248" w:type="dxa"/>
            <w:tcBorders>
              <w:top w:val="nil"/>
              <w:left w:val="nil"/>
              <w:bottom w:val="nil"/>
              <w:right w:val="nil"/>
            </w:tcBorders>
            <w:shd w:val="clear" w:color="000000" w:fill="FFFFFF"/>
            <w:vAlign w:val="center"/>
            <w:hideMark/>
          </w:tcPr>
          <w:p w14:paraId="3FB44F29" w14:textId="77777777" w:rsidR="00F15F4F" w:rsidRPr="00D618B7" w:rsidRDefault="00F15F4F"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center"/>
            <w:hideMark/>
          </w:tcPr>
          <w:p w14:paraId="034DA35A" w14:textId="77777777" w:rsidR="00F15F4F" w:rsidRPr="00D618B7" w:rsidRDefault="00F15F4F" w:rsidP="004B11B7">
            <w:pPr>
              <w:jc w:val="right"/>
              <w:rPr>
                <w:color w:val="000000"/>
              </w:rPr>
            </w:pPr>
            <w:r w:rsidRPr="00D618B7">
              <w:rPr>
                <w:color w:val="000000"/>
              </w:rPr>
              <w:t>-29.29</w:t>
            </w:r>
          </w:p>
        </w:tc>
        <w:tc>
          <w:tcPr>
            <w:tcW w:w="1418" w:type="dxa"/>
            <w:tcBorders>
              <w:top w:val="nil"/>
              <w:left w:val="nil"/>
              <w:bottom w:val="nil"/>
              <w:right w:val="nil"/>
            </w:tcBorders>
            <w:shd w:val="clear" w:color="000000" w:fill="FFFFFF"/>
            <w:noWrap/>
            <w:vAlign w:val="center"/>
            <w:hideMark/>
          </w:tcPr>
          <w:p w14:paraId="548063CC" w14:textId="77777777" w:rsidR="00F15F4F" w:rsidRPr="00D618B7" w:rsidRDefault="00F15F4F" w:rsidP="004B11B7">
            <w:pPr>
              <w:jc w:val="right"/>
              <w:rPr>
                <w:color w:val="000000"/>
              </w:rPr>
            </w:pPr>
            <w:r w:rsidRPr="00D618B7">
              <w:rPr>
                <w:color w:val="000000"/>
              </w:rPr>
              <w:t>35.13</w:t>
            </w:r>
          </w:p>
        </w:tc>
        <w:tc>
          <w:tcPr>
            <w:tcW w:w="1138" w:type="dxa"/>
            <w:tcBorders>
              <w:top w:val="nil"/>
              <w:left w:val="nil"/>
              <w:bottom w:val="nil"/>
              <w:right w:val="nil"/>
            </w:tcBorders>
            <w:shd w:val="clear" w:color="000000" w:fill="FFFFFF"/>
            <w:noWrap/>
            <w:vAlign w:val="center"/>
            <w:hideMark/>
          </w:tcPr>
          <w:p w14:paraId="5C817A7A" w14:textId="77777777" w:rsidR="00F15F4F" w:rsidRPr="00D618B7" w:rsidRDefault="00F15F4F" w:rsidP="004B11B7">
            <w:pPr>
              <w:jc w:val="right"/>
              <w:rPr>
                <w:color w:val="000000"/>
              </w:rPr>
            </w:pPr>
            <w:r w:rsidRPr="00D618B7">
              <w:rPr>
                <w:color w:val="000000"/>
              </w:rPr>
              <w:t>80.95</w:t>
            </w:r>
          </w:p>
        </w:tc>
        <w:tc>
          <w:tcPr>
            <w:tcW w:w="1357" w:type="dxa"/>
            <w:tcBorders>
              <w:top w:val="nil"/>
              <w:left w:val="nil"/>
              <w:bottom w:val="nil"/>
              <w:right w:val="nil"/>
            </w:tcBorders>
            <w:shd w:val="clear" w:color="000000" w:fill="FFFFFF"/>
            <w:noWrap/>
            <w:vAlign w:val="center"/>
            <w:hideMark/>
          </w:tcPr>
          <w:p w14:paraId="6E448457" w14:textId="77777777" w:rsidR="00F15F4F" w:rsidRPr="00D618B7" w:rsidRDefault="00F15F4F" w:rsidP="004B11B7">
            <w:pPr>
              <w:jc w:val="right"/>
              <w:rPr>
                <w:color w:val="000000"/>
              </w:rPr>
            </w:pPr>
            <w:r w:rsidRPr="00D618B7">
              <w:rPr>
                <w:color w:val="000000"/>
              </w:rPr>
              <w:t>34.04</w:t>
            </w:r>
          </w:p>
        </w:tc>
        <w:tc>
          <w:tcPr>
            <w:tcW w:w="1225" w:type="dxa"/>
            <w:tcBorders>
              <w:top w:val="nil"/>
              <w:left w:val="nil"/>
              <w:bottom w:val="nil"/>
              <w:right w:val="nil"/>
            </w:tcBorders>
            <w:shd w:val="clear" w:color="000000" w:fill="FFFFFF"/>
            <w:noWrap/>
            <w:vAlign w:val="center"/>
            <w:hideMark/>
          </w:tcPr>
          <w:p w14:paraId="5595FEA2" w14:textId="77777777" w:rsidR="00F15F4F" w:rsidRPr="00D618B7" w:rsidRDefault="00F15F4F" w:rsidP="004B11B7">
            <w:pPr>
              <w:jc w:val="right"/>
              <w:rPr>
                <w:color w:val="000000"/>
              </w:rPr>
            </w:pPr>
            <w:r w:rsidRPr="00D618B7">
              <w:rPr>
                <w:color w:val="000000"/>
              </w:rPr>
              <w:t>4060.36</w:t>
            </w:r>
          </w:p>
        </w:tc>
        <w:tc>
          <w:tcPr>
            <w:tcW w:w="1319" w:type="dxa"/>
            <w:tcBorders>
              <w:top w:val="nil"/>
              <w:left w:val="nil"/>
              <w:bottom w:val="nil"/>
              <w:right w:val="nil"/>
            </w:tcBorders>
            <w:shd w:val="clear" w:color="000000" w:fill="FFFFFF"/>
            <w:noWrap/>
            <w:vAlign w:val="center"/>
            <w:hideMark/>
          </w:tcPr>
          <w:p w14:paraId="76565E98" w14:textId="77777777" w:rsidR="00F15F4F" w:rsidRPr="00D618B7" w:rsidRDefault="00F15F4F" w:rsidP="004B11B7">
            <w:pPr>
              <w:jc w:val="right"/>
              <w:rPr>
                <w:color w:val="000000"/>
              </w:rPr>
            </w:pPr>
            <w:r w:rsidRPr="00D618B7">
              <w:rPr>
                <w:color w:val="000000"/>
              </w:rPr>
              <w:t>1214.95</w:t>
            </w:r>
          </w:p>
        </w:tc>
      </w:tr>
      <w:tr w:rsidR="00F15F4F" w:rsidRPr="00D618B7" w14:paraId="100D6759" w14:textId="77777777" w:rsidTr="004B11B7">
        <w:trPr>
          <w:trHeight w:val="303"/>
        </w:trPr>
        <w:tc>
          <w:tcPr>
            <w:tcW w:w="1248" w:type="dxa"/>
            <w:tcBorders>
              <w:top w:val="nil"/>
              <w:left w:val="nil"/>
              <w:bottom w:val="nil"/>
              <w:right w:val="nil"/>
            </w:tcBorders>
            <w:shd w:val="clear" w:color="000000" w:fill="FFFFFF"/>
            <w:vAlign w:val="center"/>
            <w:hideMark/>
          </w:tcPr>
          <w:p w14:paraId="16D62ECF" w14:textId="77777777" w:rsidR="00F15F4F" w:rsidRPr="00D618B7" w:rsidRDefault="00F15F4F" w:rsidP="004B11B7">
            <w:pPr>
              <w:jc w:val="right"/>
              <w:rPr>
                <w:color w:val="000000"/>
              </w:rPr>
            </w:pPr>
            <w:r w:rsidRPr="00D618B7">
              <w:rPr>
                <w:color w:val="000000"/>
              </w:rPr>
              <w:t>0</w:t>
            </w:r>
          </w:p>
        </w:tc>
        <w:tc>
          <w:tcPr>
            <w:tcW w:w="1080" w:type="dxa"/>
            <w:tcBorders>
              <w:top w:val="nil"/>
              <w:left w:val="nil"/>
              <w:bottom w:val="nil"/>
              <w:right w:val="nil"/>
            </w:tcBorders>
            <w:shd w:val="clear" w:color="000000" w:fill="FFFFFF"/>
            <w:noWrap/>
            <w:vAlign w:val="center"/>
            <w:hideMark/>
          </w:tcPr>
          <w:p w14:paraId="31CE6EE7" w14:textId="77777777" w:rsidR="00F15F4F" w:rsidRPr="00D618B7" w:rsidRDefault="00F15F4F" w:rsidP="004B11B7">
            <w:pPr>
              <w:jc w:val="right"/>
              <w:rPr>
                <w:color w:val="000000"/>
              </w:rPr>
            </w:pPr>
            <w:r w:rsidRPr="00D618B7">
              <w:rPr>
                <w:color w:val="000000"/>
              </w:rPr>
              <w:t>45.79</w:t>
            </w:r>
          </w:p>
        </w:tc>
        <w:tc>
          <w:tcPr>
            <w:tcW w:w="1418" w:type="dxa"/>
            <w:tcBorders>
              <w:top w:val="nil"/>
              <w:left w:val="nil"/>
              <w:bottom w:val="nil"/>
              <w:right w:val="nil"/>
            </w:tcBorders>
            <w:shd w:val="clear" w:color="000000" w:fill="FFFFFF"/>
            <w:noWrap/>
            <w:vAlign w:val="center"/>
            <w:hideMark/>
          </w:tcPr>
          <w:p w14:paraId="57815421" w14:textId="77777777" w:rsidR="00F15F4F" w:rsidRPr="00D618B7" w:rsidRDefault="00F15F4F" w:rsidP="004B11B7">
            <w:pPr>
              <w:jc w:val="right"/>
              <w:rPr>
                <w:color w:val="000000"/>
              </w:rPr>
            </w:pPr>
            <w:r w:rsidRPr="00D618B7">
              <w:rPr>
                <w:color w:val="000000"/>
              </w:rPr>
              <w:t>33.01</w:t>
            </w:r>
          </w:p>
        </w:tc>
        <w:tc>
          <w:tcPr>
            <w:tcW w:w="1138" w:type="dxa"/>
            <w:tcBorders>
              <w:top w:val="nil"/>
              <w:left w:val="nil"/>
              <w:bottom w:val="nil"/>
              <w:right w:val="nil"/>
            </w:tcBorders>
            <w:shd w:val="clear" w:color="000000" w:fill="FFFFFF"/>
            <w:noWrap/>
            <w:vAlign w:val="center"/>
            <w:hideMark/>
          </w:tcPr>
          <w:p w14:paraId="17856961" w14:textId="77777777" w:rsidR="00F15F4F" w:rsidRPr="00D618B7" w:rsidRDefault="00F15F4F" w:rsidP="004B11B7">
            <w:pPr>
              <w:jc w:val="right"/>
              <w:rPr>
                <w:color w:val="000000"/>
              </w:rPr>
            </w:pPr>
            <w:r w:rsidRPr="00D618B7">
              <w:rPr>
                <w:color w:val="000000"/>
              </w:rPr>
              <w:t>-283.17</w:t>
            </w:r>
          </w:p>
        </w:tc>
        <w:tc>
          <w:tcPr>
            <w:tcW w:w="1357" w:type="dxa"/>
            <w:tcBorders>
              <w:top w:val="nil"/>
              <w:left w:val="nil"/>
              <w:bottom w:val="nil"/>
              <w:right w:val="nil"/>
            </w:tcBorders>
            <w:shd w:val="clear" w:color="000000" w:fill="FFFFFF"/>
            <w:noWrap/>
            <w:vAlign w:val="center"/>
            <w:hideMark/>
          </w:tcPr>
          <w:p w14:paraId="74287D96" w14:textId="77777777" w:rsidR="00F15F4F" w:rsidRPr="00D618B7" w:rsidRDefault="00F15F4F" w:rsidP="004B11B7">
            <w:pPr>
              <w:jc w:val="right"/>
              <w:rPr>
                <w:color w:val="000000"/>
              </w:rPr>
            </w:pPr>
            <w:r w:rsidRPr="00D618B7">
              <w:rPr>
                <w:color w:val="000000"/>
              </w:rPr>
              <w:t>70.30</w:t>
            </w:r>
          </w:p>
        </w:tc>
        <w:tc>
          <w:tcPr>
            <w:tcW w:w="1225" w:type="dxa"/>
            <w:tcBorders>
              <w:top w:val="nil"/>
              <w:left w:val="nil"/>
              <w:bottom w:val="nil"/>
              <w:right w:val="nil"/>
            </w:tcBorders>
            <w:shd w:val="clear" w:color="000000" w:fill="FFFFFF"/>
            <w:noWrap/>
            <w:vAlign w:val="center"/>
            <w:hideMark/>
          </w:tcPr>
          <w:p w14:paraId="5066CB0B" w14:textId="77777777" w:rsidR="00F15F4F" w:rsidRPr="00D618B7" w:rsidRDefault="00F15F4F" w:rsidP="004B11B7">
            <w:pPr>
              <w:jc w:val="right"/>
              <w:rPr>
                <w:color w:val="000000"/>
              </w:rPr>
            </w:pPr>
            <w:r w:rsidRPr="00D618B7">
              <w:rPr>
                <w:color w:val="000000"/>
              </w:rPr>
              <w:t>1345.32</w:t>
            </w:r>
          </w:p>
        </w:tc>
        <w:tc>
          <w:tcPr>
            <w:tcW w:w="1319" w:type="dxa"/>
            <w:tcBorders>
              <w:top w:val="nil"/>
              <w:left w:val="nil"/>
              <w:bottom w:val="nil"/>
              <w:right w:val="nil"/>
            </w:tcBorders>
            <w:shd w:val="clear" w:color="000000" w:fill="FFFFFF"/>
            <w:noWrap/>
            <w:vAlign w:val="center"/>
            <w:hideMark/>
          </w:tcPr>
          <w:p w14:paraId="12884009" w14:textId="77777777" w:rsidR="00F15F4F" w:rsidRPr="00D618B7" w:rsidRDefault="00F15F4F" w:rsidP="004B11B7">
            <w:pPr>
              <w:jc w:val="right"/>
              <w:rPr>
                <w:color w:val="000000"/>
              </w:rPr>
            </w:pPr>
            <w:r w:rsidRPr="00D618B7">
              <w:rPr>
                <w:color w:val="000000"/>
              </w:rPr>
              <w:t>659.30</w:t>
            </w:r>
          </w:p>
        </w:tc>
      </w:tr>
      <w:tr w:rsidR="00F15F4F" w:rsidRPr="00D618B7" w14:paraId="5762DAC6" w14:textId="77777777" w:rsidTr="004B11B7">
        <w:trPr>
          <w:trHeight w:val="303"/>
        </w:trPr>
        <w:tc>
          <w:tcPr>
            <w:tcW w:w="1248" w:type="dxa"/>
            <w:tcBorders>
              <w:top w:val="nil"/>
              <w:left w:val="nil"/>
              <w:bottom w:val="nil"/>
              <w:right w:val="nil"/>
            </w:tcBorders>
            <w:shd w:val="clear" w:color="000000" w:fill="FFFFFF"/>
            <w:vAlign w:val="center"/>
            <w:hideMark/>
          </w:tcPr>
          <w:p w14:paraId="6D427F25" w14:textId="77777777" w:rsidR="00F15F4F" w:rsidRPr="00D618B7" w:rsidRDefault="00F15F4F"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center"/>
            <w:hideMark/>
          </w:tcPr>
          <w:p w14:paraId="2B14A907" w14:textId="77777777" w:rsidR="00F15F4F" w:rsidRPr="00D618B7" w:rsidRDefault="00F15F4F" w:rsidP="004B11B7">
            <w:pPr>
              <w:jc w:val="right"/>
              <w:rPr>
                <w:color w:val="000000"/>
              </w:rPr>
            </w:pPr>
            <w:r w:rsidRPr="00D618B7">
              <w:rPr>
                <w:color w:val="000000"/>
              </w:rPr>
              <w:t>3.09</w:t>
            </w:r>
          </w:p>
        </w:tc>
        <w:tc>
          <w:tcPr>
            <w:tcW w:w="1418" w:type="dxa"/>
            <w:tcBorders>
              <w:top w:val="nil"/>
              <w:left w:val="nil"/>
              <w:bottom w:val="nil"/>
              <w:right w:val="nil"/>
            </w:tcBorders>
            <w:shd w:val="clear" w:color="000000" w:fill="FFFFFF"/>
            <w:noWrap/>
            <w:vAlign w:val="center"/>
            <w:hideMark/>
          </w:tcPr>
          <w:p w14:paraId="52A52B50" w14:textId="77777777" w:rsidR="00F15F4F" w:rsidRPr="00D618B7" w:rsidRDefault="00F15F4F" w:rsidP="004B11B7">
            <w:pPr>
              <w:jc w:val="right"/>
              <w:rPr>
                <w:color w:val="000000"/>
              </w:rPr>
            </w:pPr>
            <w:r w:rsidRPr="00D618B7">
              <w:rPr>
                <w:color w:val="000000"/>
              </w:rPr>
              <w:t>144.03</w:t>
            </w:r>
          </w:p>
        </w:tc>
        <w:tc>
          <w:tcPr>
            <w:tcW w:w="1138" w:type="dxa"/>
            <w:tcBorders>
              <w:top w:val="nil"/>
              <w:left w:val="nil"/>
              <w:bottom w:val="nil"/>
              <w:right w:val="nil"/>
            </w:tcBorders>
            <w:shd w:val="clear" w:color="000000" w:fill="FFFFFF"/>
            <w:noWrap/>
            <w:vAlign w:val="center"/>
            <w:hideMark/>
          </w:tcPr>
          <w:p w14:paraId="257B77A0" w14:textId="77777777" w:rsidR="00F15F4F" w:rsidRPr="00D618B7" w:rsidRDefault="00F15F4F" w:rsidP="004B11B7">
            <w:pPr>
              <w:jc w:val="right"/>
              <w:rPr>
                <w:color w:val="000000"/>
              </w:rPr>
            </w:pPr>
            <w:r w:rsidRPr="00D618B7">
              <w:rPr>
                <w:color w:val="000000"/>
              </w:rPr>
              <w:t>264.45</w:t>
            </w:r>
          </w:p>
        </w:tc>
        <w:tc>
          <w:tcPr>
            <w:tcW w:w="1357" w:type="dxa"/>
            <w:tcBorders>
              <w:top w:val="nil"/>
              <w:left w:val="nil"/>
              <w:bottom w:val="nil"/>
              <w:right w:val="nil"/>
            </w:tcBorders>
            <w:shd w:val="clear" w:color="000000" w:fill="FFFFFF"/>
            <w:noWrap/>
            <w:vAlign w:val="center"/>
            <w:hideMark/>
          </w:tcPr>
          <w:p w14:paraId="0CA90D9E" w14:textId="77777777" w:rsidR="00F15F4F" w:rsidRPr="00D618B7" w:rsidRDefault="00F15F4F" w:rsidP="004B11B7">
            <w:pPr>
              <w:jc w:val="right"/>
              <w:rPr>
                <w:color w:val="000000"/>
              </w:rPr>
            </w:pPr>
            <w:r w:rsidRPr="00D618B7">
              <w:rPr>
                <w:color w:val="000000"/>
              </w:rPr>
              <w:t>62.30</w:t>
            </w:r>
          </w:p>
        </w:tc>
        <w:tc>
          <w:tcPr>
            <w:tcW w:w="1225" w:type="dxa"/>
            <w:tcBorders>
              <w:top w:val="nil"/>
              <w:left w:val="nil"/>
              <w:bottom w:val="nil"/>
              <w:right w:val="nil"/>
            </w:tcBorders>
            <w:shd w:val="clear" w:color="000000" w:fill="FFFFFF"/>
            <w:noWrap/>
            <w:vAlign w:val="center"/>
            <w:hideMark/>
          </w:tcPr>
          <w:p w14:paraId="4C7C2DBB" w14:textId="77777777" w:rsidR="00F15F4F" w:rsidRPr="00D618B7" w:rsidRDefault="00F15F4F" w:rsidP="004B11B7">
            <w:pPr>
              <w:jc w:val="right"/>
              <w:rPr>
                <w:color w:val="000000"/>
              </w:rPr>
            </w:pPr>
            <w:r w:rsidRPr="00D618B7">
              <w:rPr>
                <w:color w:val="000000"/>
              </w:rPr>
              <w:t>824.93</w:t>
            </w:r>
          </w:p>
        </w:tc>
        <w:tc>
          <w:tcPr>
            <w:tcW w:w="1319" w:type="dxa"/>
            <w:tcBorders>
              <w:top w:val="nil"/>
              <w:left w:val="nil"/>
              <w:bottom w:val="nil"/>
              <w:right w:val="nil"/>
            </w:tcBorders>
            <w:shd w:val="clear" w:color="000000" w:fill="FFFFFF"/>
            <w:noWrap/>
            <w:vAlign w:val="center"/>
            <w:hideMark/>
          </w:tcPr>
          <w:p w14:paraId="52F335C6" w14:textId="77777777" w:rsidR="00F15F4F" w:rsidRPr="00D618B7" w:rsidRDefault="00F15F4F" w:rsidP="004B11B7">
            <w:pPr>
              <w:jc w:val="right"/>
              <w:rPr>
                <w:color w:val="000000"/>
              </w:rPr>
            </w:pPr>
            <w:r w:rsidRPr="00D618B7">
              <w:rPr>
                <w:color w:val="000000"/>
              </w:rPr>
              <w:t>101.10</w:t>
            </w:r>
          </w:p>
        </w:tc>
      </w:tr>
      <w:tr w:rsidR="00F15F4F" w:rsidRPr="00D618B7" w14:paraId="1940AA57" w14:textId="77777777" w:rsidTr="004B11B7">
        <w:trPr>
          <w:trHeight w:val="303"/>
        </w:trPr>
        <w:tc>
          <w:tcPr>
            <w:tcW w:w="1248" w:type="dxa"/>
            <w:tcBorders>
              <w:top w:val="nil"/>
              <w:left w:val="nil"/>
              <w:bottom w:val="nil"/>
              <w:right w:val="nil"/>
            </w:tcBorders>
            <w:shd w:val="clear" w:color="000000" w:fill="FFFFFF"/>
            <w:vAlign w:val="center"/>
            <w:hideMark/>
          </w:tcPr>
          <w:p w14:paraId="066FC2B6" w14:textId="77777777" w:rsidR="00F15F4F" w:rsidRPr="00D618B7" w:rsidRDefault="00F15F4F"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center"/>
            <w:hideMark/>
          </w:tcPr>
          <w:p w14:paraId="088D7F5C" w14:textId="77777777" w:rsidR="00F15F4F" w:rsidRPr="00D618B7" w:rsidRDefault="00F15F4F" w:rsidP="004B11B7">
            <w:pPr>
              <w:jc w:val="right"/>
              <w:rPr>
                <w:color w:val="000000"/>
              </w:rPr>
            </w:pPr>
            <w:r w:rsidRPr="00D618B7">
              <w:rPr>
                <w:color w:val="000000"/>
              </w:rPr>
              <w:t>148.09</w:t>
            </w:r>
          </w:p>
        </w:tc>
        <w:tc>
          <w:tcPr>
            <w:tcW w:w="1418" w:type="dxa"/>
            <w:tcBorders>
              <w:top w:val="nil"/>
              <w:left w:val="nil"/>
              <w:bottom w:val="nil"/>
              <w:right w:val="nil"/>
            </w:tcBorders>
            <w:shd w:val="clear" w:color="000000" w:fill="FFFFFF"/>
            <w:noWrap/>
            <w:vAlign w:val="center"/>
            <w:hideMark/>
          </w:tcPr>
          <w:p w14:paraId="375BAB96" w14:textId="77777777" w:rsidR="00F15F4F" w:rsidRPr="00D618B7" w:rsidRDefault="00F15F4F" w:rsidP="004B11B7">
            <w:pPr>
              <w:jc w:val="right"/>
              <w:rPr>
                <w:color w:val="000000"/>
              </w:rPr>
            </w:pPr>
            <w:r w:rsidRPr="00D618B7">
              <w:rPr>
                <w:color w:val="000000"/>
              </w:rPr>
              <w:t>59.61</w:t>
            </w:r>
          </w:p>
        </w:tc>
        <w:tc>
          <w:tcPr>
            <w:tcW w:w="1138" w:type="dxa"/>
            <w:tcBorders>
              <w:top w:val="nil"/>
              <w:left w:val="nil"/>
              <w:bottom w:val="nil"/>
              <w:right w:val="nil"/>
            </w:tcBorders>
            <w:shd w:val="clear" w:color="000000" w:fill="FFFFFF"/>
            <w:noWrap/>
            <w:vAlign w:val="center"/>
            <w:hideMark/>
          </w:tcPr>
          <w:p w14:paraId="52D2780D" w14:textId="77777777" w:rsidR="00F15F4F" w:rsidRPr="00D618B7" w:rsidRDefault="00F15F4F" w:rsidP="004B11B7">
            <w:pPr>
              <w:jc w:val="right"/>
              <w:rPr>
                <w:color w:val="000000"/>
              </w:rPr>
            </w:pPr>
            <w:r w:rsidRPr="00D618B7">
              <w:rPr>
                <w:color w:val="000000"/>
              </w:rPr>
              <w:t>-151.51</w:t>
            </w:r>
          </w:p>
        </w:tc>
        <w:tc>
          <w:tcPr>
            <w:tcW w:w="1357" w:type="dxa"/>
            <w:tcBorders>
              <w:top w:val="nil"/>
              <w:left w:val="nil"/>
              <w:bottom w:val="nil"/>
              <w:right w:val="nil"/>
            </w:tcBorders>
            <w:shd w:val="clear" w:color="000000" w:fill="FFFFFF"/>
            <w:noWrap/>
            <w:vAlign w:val="center"/>
            <w:hideMark/>
          </w:tcPr>
          <w:p w14:paraId="6F546D67" w14:textId="77777777" w:rsidR="00F15F4F" w:rsidRPr="00D618B7" w:rsidRDefault="00F15F4F" w:rsidP="004B11B7">
            <w:pPr>
              <w:jc w:val="right"/>
              <w:rPr>
                <w:color w:val="000000"/>
              </w:rPr>
            </w:pPr>
            <w:r w:rsidRPr="00D618B7">
              <w:rPr>
                <w:color w:val="000000"/>
              </w:rPr>
              <w:t>129.37</w:t>
            </w:r>
          </w:p>
        </w:tc>
        <w:tc>
          <w:tcPr>
            <w:tcW w:w="1225" w:type="dxa"/>
            <w:tcBorders>
              <w:top w:val="nil"/>
              <w:left w:val="nil"/>
              <w:bottom w:val="nil"/>
              <w:right w:val="nil"/>
            </w:tcBorders>
            <w:shd w:val="clear" w:color="000000" w:fill="FFFFFF"/>
            <w:noWrap/>
            <w:vAlign w:val="center"/>
            <w:hideMark/>
          </w:tcPr>
          <w:p w14:paraId="14F5EABA" w14:textId="77777777" w:rsidR="00F15F4F" w:rsidRPr="00D618B7" w:rsidRDefault="00F15F4F" w:rsidP="004B11B7">
            <w:pPr>
              <w:jc w:val="right"/>
              <w:rPr>
                <w:color w:val="000000"/>
              </w:rPr>
            </w:pPr>
            <w:r w:rsidRPr="00D618B7">
              <w:rPr>
                <w:color w:val="000000"/>
              </w:rPr>
              <w:t>-437.31</w:t>
            </w:r>
          </w:p>
        </w:tc>
        <w:tc>
          <w:tcPr>
            <w:tcW w:w="1319" w:type="dxa"/>
            <w:tcBorders>
              <w:top w:val="nil"/>
              <w:left w:val="nil"/>
              <w:bottom w:val="nil"/>
              <w:right w:val="nil"/>
            </w:tcBorders>
            <w:shd w:val="clear" w:color="000000" w:fill="FFFFFF"/>
            <w:noWrap/>
            <w:vAlign w:val="center"/>
            <w:hideMark/>
          </w:tcPr>
          <w:p w14:paraId="393AA109" w14:textId="77777777" w:rsidR="00F15F4F" w:rsidRPr="00D618B7" w:rsidRDefault="00F15F4F" w:rsidP="004B11B7">
            <w:pPr>
              <w:jc w:val="right"/>
              <w:rPr>
                <w:color w:val="000000"/>
              </w:rPr>
            </w:pPr>
            <w:r w:rsidRPr="00D618B7">
              <w:rPr>
                <w:color w:val="000000"/>
              </w:rPr>
              <w:t>141.28</w:t>
            </w:r>
          </w:p>
        </w:tc>
      </w:tr>
      <w:tr w:rsidR="00F15F4F" w:rsidRPr="00D618B7" w14:paraId="1C62717E" w14:textId="77777777" w:rsidTr="004B11B7">
        <w:trPr>
          <w:trHeight w:val="303"/>
        </w:trPr>
        <w:tc>
          <w:tcPr>
            <w:tcW w:w="1248" w:type="dxa"/>
            <w:tcBorders>
              <w:top w:val="nil"/>
              <w:left w:val="nil"/>
              <w:bottom w:val="nil"/>
              <w:right w:val="nil"/>
            </w:tcBorders>
            <w:shd w:val="clear" w:color="000000" w:fill="FFFFFF"/>
            <w:vAlign w:val="center"/>
            <w:hideMark/>
          </w:tcPr>
          <w:p w14:paraId="60D39DCD" w14:textId="77777777" w:rsidR="00F15F4F" w:rsidRPr="00D618B7" w:rsidRDefault="00F15F4F"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center"/>
            <w:hideMark/>
          </w:tcPr>
          <w:p w14:paraId="3159A547" w14:textId="77777777" w:rsidR="00F15F4F" w:rsidRPr="00D618B7" w:rsidRDefault="00F15F4F" w:rsidP="004B11B7">
            <w:pPr>
              <w:jc w:val="right"/>
              <w:rPr>
                <w:color w:val="000000"/>
              </w:rPr>
            </w:pPr>
            <w:r w:rsidRPr="00D618B7">
              <w:rPr>
                <w:color w:val="000000"/>
              </w:rPr>
              <w:t>7.92</w:t>
            </w:r>
          </w:p>
        </w:tc>
        <w:tc>
          <w:tcPr>
            <w:tcW w:w="1418" w:type="dxa"/>
            <w:tcBorders>
              <w:top w:val="nil"/>
              <w:left w:val="nil"/>
              <w:bottom w:val="nil"/>
              <w:right w:val="nil"/>
            </w:tcBorders>
            <w:shd w:val="clear" w:color="000000" w:fill="FFFFFF"/>
            <w:noWrap/>
            <w:vAlign w:val="center"/>
            <w:hideMark/>
          </w:tcPr>
          <w:p w14:paraId="57266C88" w14:textId="77777777" w:rsidR="00F15F4F" w:rsidRPr="00D618B7" w:rsidRDefault="00F15F4F" w:rsidP="004B11B7">
            <w:pPr>
              <w:jc w:val="right"/>
              <w:rPr>
                <w:color w:val="000000"/>
              </w:rPr>
            </w:pPr>
            <w:r w:rsidRPr="00D618B7">
              <w:rPr>
                <w:color w:val="000000"/>
              </w:rPr>
              <w:t>44.16</w:t>
            </w:r>
          </w:p>
        </w:tc>
        <w:tc>
          <w:tcPr>
            <w:tcW w:w="1138" w:type="dxa"/>
            <w:tcBorders>
              <w:top w:val="nil"/>
              <w:left w:val="nil"/>
              <w:bottom w:val="nil"/>
              <w:right w:val="nil"/>
            </w:tcBorders>
            <w:shd w:val="clear" w:color="000000" w:fill="FFFFFF"/>
            <w:noWrap/>
            <w:vAlign w:val="center"/>
            <w:hideMark/>
          </w:tcPr>
          <w:p w14:paraId="781E9224" w14:textId="77777777" w:rsidR="00F15F4F" w:rsidRPr="00D618B7" w:rsidRDefault="00F15F4F" w:rsidP="004B11B7">
            <w:pPr>
              <w:jc w:val="right"/>
              <w:rPr>
                <w:color w:val="000000"/>
              </w:rPr>
            </w:pPr>
            <w:r w:rsidRPr="00D618B7">
              <w:rPr>
                <w:color w:val="000000"/>
              </w:rPr>
              <w:t>-15.65</w:t>
            </w:r>
          </w:p>
        </w:tc>
        <w:tc>
          <w:tcPr>
            <w:tcW w:w="1357" w:type="dxa"/>
            <w:tcBorders>
              <w:top w:val="nil"/>
              <w:left w:val="nil"/>
              <w:bottom w:val="nil"/>
              <w:right w:val="nil"/>
            </w:tcBorders>
            <w:shd w:val="clear" w:color="000000" w:fill="FFFFFF"/>
            <w:noWrap/>
            <w:vAlign w:val="center"/>
            <w:hideMark/>
          </w:tcPr>
          <w:p w14:paraId="47D96F21" w14:textId="77777777" w:rsidR="00F15F4F" w:rsidRPr="00D618B7" w:rsidRDefault="00F15F4F" w:rsidP="004B11B7">
            <w:pPr>
              <w:jc w:val="right"/>
              <w:rPr>
                <w:color w:val="000000"/>
              </w:rPr>
            </w:pPr>
            <w:r w:rsidRPr="00D618B7">
              <w:rPr>
                <w:color w:val="000000"/>
              </w:rPr>
              <w:t>96.61</w:t>
            </w:r>
          </w:p>
        </w:tc>
        <w:tc>
          <w:tcPr>
            <w:tcW w:w="1225" w:type="dxa"/>
            <w:tcBorders>
              <w:top w:val="nil"/>
              <w:left w:val="nil"/>
              <w:bottom w:val="nil"/>
              <w:right w:val="nil"/>
            </w:tcBorders>
            <w:shd w:val="clear" w:color="000000" w:fill="FFFFFF"/>
            <w:noWrap/>
            <w:vAlign w:val="center"/>
            <w:hideMark/>
          </w:tcPr>
          <w:p w14:paraId="7B892F29" w14:textId="77777777" w:rsidR="00F15F4F" w:rsidRPr="00D618B7" w:rsidRDefault="00F15F4F" w:rsidP="004B11B7">
            <w:pPr>
              <w:jc w:val="right"/>
              <w:rPr>
                <w:color w:val="000000"/>
              </w:rPr>
            </w:pPr>
            <w:r w:rsidRPr="00D618B7">
              <w:rPr>
                <w:color w:val="000000"/>
              </w:rPr>
              <w:t>576.57</w:t>
            </w:r>
          </w:p>
        </w:tc>
        <w:tc>
          <w:tcPr>
            <w:tcW w:w="1319" w:type="dxa"/>
            <w:tcBorders>
              <w:top w:val="nil"/>
              <w:left w:val="nil"/>
              <w:bottom w:val="nil"/>
              <w:right w:val="nil"/>
            </w:tcBorders>
            <w:shd w:val="clear" w:color="000000" w:fill="FFFFFF"/>
            <w:noWrap/>
            <w:vAlign w:val="center"/>
            <w:hideMark/>
          </w:tcPr>
          <w:p w14:paraId="58E3207E" w14:textId="77777777" w:rsidR="00F15F4F" w:rsidRPr="00D618B7" w:rsidRDefault="00F15F4F" w:rsidP="004B11B7">
            <w:pPr>
              <w:jc w:val="right"/>
              <w:rPr>
                <w:color w:val="000000"/>
              </w:rPr>
            </w:pPr>
            <w:r w:rsidRPr="00D618B7">
              <w:rPr>
                <w:color w:val="000000"/>
              </w:rPr>
              <w:t>102.87</w:t>
            </w:r>
          </w:p>
        </w:tc>
      </w:tr>
      <w:tr w:rsidR="00F15F4F" w:rsidRPr="00D618B7" w14:paraId="6BBDF720" w14:textId="77777777" w:rsidTr="004B11B7">
        <w:trPr>
          <w:trHeight w:val="303"/>
        </w:trPr>
        <w:tc>
          <w:tcPr>
            <w:tcW w:w="1248" w:type="dxa"/>
            <w:tcBorders>
              <w:top w:val="nil"/>
              <w:left w:val="nil"/>
              <w:bottom w:val="nil"/>
              <w:right w:val="nil"/>
            </w:tcBorders>
            <w:shd w:val="clear" w:color="000000" w:fill="FFFFFF"/>
            <w:vAlign w:val="center"/>
            <w:hideMark/>
          </w:tcPr>
          <w:p w14:paraId="07A8C1F3" w14:textId="77777777" w:rsidR="00F15F4F" w:rsidRPr="00D618B7" w:rsidRDefault="00F15F4F"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center"/>
            <w:hideMark/>
          </w:tcPr>
          <w:p w14:paraId="70252C37" w14:textId="77777777" w:rsidR="00F15F4F" w:rsidRPr="00D618B7" w:rsidRDefault="00F15F4F" w:rsidP="004B11B7">
            <w:pPr>
              <w:jc w:val="right"/>
              <w:rPr>
                <w:color w:val="000000"/>
              </w:rPr>
            </w:pPr>
            <w:r w:rsidRPr="00D618B7">
              <w:rPr>
                <w:color w:val="000000"/>
              </w:rPr>
              <w:t>-29.16</w:t>
            </w:r>
          </w:p>
        </w:tc>
        <w:tc>
          <w:tcPr>
            <w:tcW w:w="1418" w:type="dxa"/>
            <w:tcBorders>
              <w:top w:val="nil"/>
              <w:left w:val="nil"/>
              <w:bottom w:val="nil"/>
              <w:right w:val="nil"/>
            </w:tcBorders>
            <w:shd w:val="clear" w:color="000000" w:fill="FFFFFF"/>
            <w:noWrap/>
            <w:vAlign w:val="center"/>
            <w:hideMark/>
          </w:tcPr>
          <w:p w14:paraId="5D1E28DF" w14:textId="77777777" w:rsidR="00F15F4F" w:rsidRPr="00D618B7" w:rsidRDefault="00F15F4F" w:rsidP="004B11B7">
            <w:pPr>
              <w:jc w:val="right"/>
              <w:rPr>
                <w:color w:val="000000"/>
              </w:rPr>
            </w:pPr>
            <w:r w:rsidRPr="00D618B7">
              <w:rPr>
                <w:color w:val="000000"/>
              </w:rPr>
              <w:t>72.71</w:t>
            </w:r>
          </w:p>
        </w:tc>
        <w:tc>
          <w:tcPr>
            <w:tcW w:w="1138" w:type="dxa"/>
            <w:tcBorders>
              <w:top w:val="nil"/>
              <w:left w:val="nil"/>
              <w:bottom w:val="nil"/>
              <w:right w:val="nil"/>
            </w:tcBorders>
            <w:shd w:val="clear" w:color="000000" w:fill="FFFFFF"/>
            <w:noWrap/>
            <w:vAlign w:val="center"/>
            <w:hideMark/>
          </w:tcPr>
          <w:p w14:paraId="6912EC9E" w14:textId="77777777" w:rsidR="00F15F4F" w:rsidRPr="00D618B7" w:rsidRDefault="00F15F4F" w:rsidP="004B11B7">
            <w:pPr>
              <w:jc w:val="right"/>
              <w:rPr>
                <w:color w:val="000000"/>
              </w:rPr>
            </w:pPr>
            <w:r w:rsidRPr="00D618B7">
              <w:rPr>
                <w:color w:val="000000"/>
              </w:rPr>
              <w:t>-112.35</w:t>
            </w:r>
          </w:p>
        </w:tc>
        <w:tc>
          <w:tcPr>
            <w:tcW w:w="1357" w:type="dxa"/>
            <w:tcBorders>
              <w:top w:val="nil"/>
              <w:left w:val="nil"/>
              <w:bottom w:val="nil"/>
              <w:right w:val="nil"/>
            </w:tcBorders>
            <w:shd w:val="clear" w:color="000000" w:fill="FFFFFF"/>
            <w:noWrap/>
            <w:vAlign w:val="center"/>
            <w:hideMark/>
          </w:tcPr>
          <w:p w14:paraId="160C6209" w14:textId="77777777" w:rsidR="00F15F4F" w:rsidRPr="00D618B7" w:rsidRDefault="00F15F4F" w:rsidP="004B11B7">
            <w:pPr>
              <w:jc w:val="right"/>
              <w:rPr>
                <w:color w:val="000000"/>
              </w:rPr>
            </w:pPr>
            <w:r w:rsidRPr="00D618B7">
              <w:rPr>
                <w:color w:val="000000"/>
              </w:rPr>
              <w:t>144.03</w:t>
            </w:r>
          </w:p>
        </w:tc>
        <w:tc>
          <w:tcPr>
            <w:tcW w:w="1225" w:type="dxa"/>
            <w:tcBorders>
              <w:top w:val="nil"/>
              <w:left w:val="nil"/>
              <w:bottom w:val="nil"/>
              <w:right w:val="nil"/>
            </w:tcBorders>
            <w:shd w:val="clear" w:color="000000" w:fill="FFFFFF"/>
            <w:noWrap/>
            <w:vAlign w:val="center"/>
            <w:hideMark/>
          </w:tcPr>
          <w:p w14:paraId="7419B7AD" w14:textId="77777777" w:rsidR="00F15F4F" w:rsidRPr="00D618B7" w:rsidRDefault="00F15F4F" w:rsidP="004B11B7">
            <w:pPr>
              <w:jc w:val="right"/>
              <w:rPr>
                <w:color w:val="000000"/>
              </w:rPr>
            </w:pPr>
            <w:r w:rsidRPr="00D618B7">
              <w:rPr>
                <w:color w:val="000000"/>
              </w:rPr>
              <w:t>250.23</w:t>
            </w:r>
          </w:p>
        </w:tc>
        <w:tc>
          <w:tcPr>
            <w:tcW w:w="1319" w:type="dxa"/>
            <w:tcBorders>
              <w:top w:val="nil"/>
              <w:left w:val="nil"/>
              <w:bottom w:val="nil"/>
              <w:right w:val="nil"/>
            </w:tcBorders>
            <w:shd w:val="clear" w:color="000000" w:fill="FFFFFF"/>
            <w:noWrap/>
            <w:vAlign w:val="center"/>
            <w:hideMark/>
          </w:tcPr>
          <w:p w14:paraId="19A861D5" w14:textId="77777777" w:rsidR="00F15F4F" w:rsidRPr="00D618B7" w:rsidRDefault="00F15F4F" w:rsidP="004B11B7">
            <w:pPr>
              <w:jc w:val="right"/>
              <w:rPr>
                <w:color w:val="000000"/>
              </w:rPr>
            </w:pPr>
            <w:r w:rsidRPr="00D618B7">
              <w:rPr>
                <w:color w:val="000000"/>
              </w:rPr>
              <w:t>247.04</w:t>
            </w:r>
          </w:p>
        </w:tc>
      </w:tr>
      <w:tr w:rsidR="00F15F4F" w:rsidRPr="00D618B7" w14:paraId="3F5AB2ED" w14:textId="77777777" w:rsidTr="004B11B7">
        <w:trPr>
          <w:trHeight w:val="318"/>
        </w:trPr>
        <w:tc>
          <w:tcPr>
            <w:tcW w:w="1248" w:type="dxa"/>
            <w:tcBorders>
              <w:top w:val="nil"/>
              <w:left w:val="nil"/>
              <w:bottom w:val="single" w:sz="8" w:space="0" w:color="auto"/>
              <w:right w:val="nil"/>
            </w:tcBorders>
            <w:shd w:val="clear" w:color="000000" w:fill="FFFFFF"/>
            <w:vAlign w:val="center"/>
            <w:hideMark/>
          </w:tcPr>
          <w:p w14:paraId="71BE8327" w14:textId="77777777" w:rsidR="00F15F4F" w:rsidRPr="00D618B7" w:rsidRDefault="00F15F4F" w:rsidP="004B11B7">
            <w:pPr>
              <w:jc w:val="right"/>
              <w:rPr>
                <w:color w:val="000000"/>
              </w:rPr>
            </w:pPr>
            <w:r w:rsidRPr="00D618B7">
              <w:rPr>
                <w:color w:val="000000"/>
              </w:rPr>
              <w:t>5</w:t>
            </w:r>
          </w:p>
        </w:tc>
        <w:tc>
          <w:tcPr>
            <w:tcW w:w="1080" w:type="dxa"/>
            <w:tcBorders>
              <w:top w:val="nil"/>
              <w:left w:val="nil"/>
              <w:bottom w:val="single" w:sz="8" w:space="0" w:color="auto"/>
              <w:right w:val="nil"/>
            </w:tcBorders>
            <w:shd w:val="clear" w:color="000000" w:fill="FFFFFF"/>
            <w:noWrap/>
            <w:vAlign w:val="center"/>
            <w:hideMark/>
          </w:tcPr>
          <w:p w14:paraId="34BA6B2D" w14:textId="77777777" w:rsidR="00F15F4F" w:rsidRPr="00D618B7" w:rsidRDefault="00F15F4F" w:rsidP="004B11B7">
            <w:pPr>
              <w:jc w:val="right"/>
              <w:rPr>
                <w:color w:val="000000"/>
              </w:rPr>
            </w:pPr>
            <w:r w:rsidRPr="00D618B7">
              <w:rPr>
                <w:color w:val="000000"/>
              </w:rPr>
              <w:t>33.38</w:t>
            </w:r>
          </w:p>
        </w:tc>
        <w:tc>
          <w:tcPr>
            <w:tcW w:w="1418" w:type="dxa"/>
            <w:tcBorders>
              <w:top w:val="nil"/>
              <w:left w:val="nil"/>
              <w:bottom w:val="single" w:sz="8" w:space="0" w:color="auto"/>
              <w:right w:val="nil"/>
            </w:tcBorders>
            <w:shd w:val="clear" w:color="000000" w:fill="FFFFFF"/>
            <w:noWrap/>
            <w:vAlign w:val="center"/>
            <w:hideMark/>
          </w:tcPr>
          <w:p w14:paraId="6EAE6880" w14:textId="77777777" w:rsidR="00F15F4F" w:rsidRPr="00D618B7" w:rsidRDefault="00F15F4F" w:rsidP="004B11B7">
            <w:pPr>
              <w:jc w:val="right"/>
              <w:rPr>
                <w:color w:val="000000"/>
              </w:rPr>
            </w:pPr>
            <w:r w:rsidRPr="00D618B7">
              <w:rPr>
                <w:color w:val="000000"/>
              </w:rPr>
              <w:t>69.31</w:t>
            </w:r>
          </w:p>
        </w:tc>
        <w:tc>
          <w:tcPr>
            <w:tcW w:w="1138" w:type="dxa"/>
            <w:tcBorders>
              <w:top w:val="nil"/>
              <w:left w:val="nil"/>
              <w:bottom w:val="single" w:sz="8" w:space="0" w:color="auto"/>
              <w:right w:val="nil"/>
            </w:tcBorders>
            <w:shd w:val="clear" w:color="000000" w:fill="FFFFFF"/>
            <w:noWrap/>
            <w:vAlign w:val="center"/>
            <w:hideMark/>
          </w:tcPr>
          <w:p w14:paraId="33EBD775" w14:textId="77777777" w:rsidR="00F15F4F" w:rsidRPr="00D618B7" w:rsidRDefault="00F15F4F" w:rsidP="004B11B7">
            <w:pPr>
              <w:jc w:val="right"/>
              <w:rPr>
                <w:color w:val="000000"/>
              </w:rPr>
            </w:pPr>
            <w:r w:rsidRPr="00D618B7">
              <w:rPr>
                <w:color w:val="000000"/>
              </w:rPr>
              <w:t>218.55</w:t>
            </w:r>
          </w:p>
        </w:tc>
        <w:tc>
          <w:tcPr>
            <w:tcW w:w="1357" w:type="dxa"/>
            <w:tcBorders>
              <w:top w:val="nil"/>
              <w:left w:val="nil"/>
              <w:bottom w:val="single" w:sz="8" w:space="0" w:color="auto"/>
              <w:right w:val="nil"/>
            </w:tcBorders>
            <w:shd w:val="clear" w:color="000000" w:fill="FFFFFF"/>
            <w:noWrap/>
            <w:vAlign w:val="center"/>
            <w:hideMark/>
          </w:tcPr>
          <w:p w14:paraId="79B57F23" w14:textId="77777777" w:rsidR="00F15F4F" w:rsidRPr="00D618B7" w:rsidRDefault="00F15F4F" w:rsidP="004B11B7">
            <w:pPr>
              <w:jc w:val="right"/>
              <w:rPr>
                <w:color w:val="000000"/>
              </w:rPr>
            </w:pPr>
            <w:r w:rsidRPr="00D618B7">
              <w:rPr>
                <w:color w:val="000000"/>
              </w:rPr>
              <w:t>88.00</w:t>
            </w:r>
          </w:p>
        </w:tc>
        <w:tc>
          <w:tcPr>
            <w:tcW w:w="1225" w:type="dxa"/>
            <w:tcBorders>
              <w:top w:val="nil"/>
              <w:left w:val="nil"/>
              <w:bottom w:val="single" w:sz="8" w:space="0" w:color="auto"/>
              <w:right w:val="nil"/>
            </w:tcBorders>
            <w:shd w:val="clear" w:color="000000" w:fill="FFFFFF"/>
            <w:noWrap/>
            <w:vAlign w:val="center"/>
            <w:hideMark/>
          </w:tcPr>
          <w:p w14:paraId="42DB6789" w14:textId="77777777" w:rsidR="00F15F4F" w:rsidRPr="00D618B7" w:rsidRDefault="00F15F4F" w:rsidP="004B11B7">
            <w:pPr>
              <w:jc w:val="right"/>
              <w:rPr>
                <w:color w:val="000000"/>
              </w:rPr>
            </w:pPr>
            <w:r w:rsidRPr="00D618B7">
              <w:rPr>
                <w:color w:val="000000"/>
              </w:rPr>
              <w:t>-114.98</w:t>
            </w:r>
          </w:p>
        </w:tc>
        <w:tc>
          <w:tcPr>
            <w:tcW w:w="1319" w:type="dxa"/>
            <w:tcBorders>
              <w:top w:val="nil"/>
              <w:left w:val="nil"/>
              <w:bottom w:val="single" w:sz="8" w:space="0" w:color="auto"/>
              <w:right w:val="nil"/>
            </w:tcBorders>
            <w:shd w:val="clear" w:color="000000" w:fill="FFFFFF"/>
            <w:noWrap/>
            <w:vAlign w:val="center"/>
            <w:hideMark/>
          </w:tcPr>
          <w:p w14:paraId="761FDC7E" w14:textId="77777777" w:rsidR="00F15F4F" w:rsidRPr="00D618B7" w:rsidRDefault="00F15F4F" w:rsidP="004B11B7">
            <w:pPr>
              <w:jc w:val="right"/>
              <w:rPr>
                <w:color w:val="000000"/>
              </w:rPr>
            </w:pPr>
            <w:r w:rsidRPr="00D618B7">
              <w:rPr>
                <w:color w:val="000000"/>
              </w:rPr>
              <w:t>40.98</w:t>
            </w:r>
          </w:p>
        </w:tc>
      </w:tr>
      <w:tr w:rsidR="00F15F4F" w:rsidRPr="00D618B7" w14:paraId="36DC4C11" w14:textId="77777777" w:rsidTr="004B11B7">
        <w:trPr>
          <w:trHeight w:val="303"/>
        </w:trPr>
        <w:tc>
          <w:tcPr>
            <w:tcW w:w="1248" w:type="dxa"/>
            <w:tcBorders>
              <w:top w:val="nil"/>
              <w:left w:val="nil"/>
              <w:bottom w:val="nil"/>
              <w:right w:val="nil"/>
            </w:tcBorders>
            <w:shd w:val="clear" w:color="000000" w:fill="FFFFFF"/>
            <w:noWrap/>
            <w:vAlign w:val="bottom"/>
            <w:hideMark/>
          </w:tcPr>
          <w:p w14:paraId="158F1055" w14:textId="77777777" w:rsidR="00F15F4F" w:rsidRPr="00D618B7" w:rsidRDefault="00F15F4F" w:rsidP="004B11B7">
            <w:pPr>
              <w:rPr>
                <w:color w:val="000000"/>
              </w:rPr>
            </w:pPr>
            <w:r w:rsidRPr="00D618B7">
              <w:rPr>
                <w:color w:val="000000"/>
              </w:rPr>
              <w:t> </w:t>
            </w:r>
          </w:p>
        </w:tc>
        <w:tc>
          <w:tcPr>
            <w:tcW w:w="7540" w:type="dxa"/>
            <w:gridSpan w:val="6"/>
            <w:tcBorders>
              <w:top w:val="single" w:sz="8" w:space="0" w:color="auto"/>
              <w:left w:val="nil"/>
              <w:bottom w:val="nil"/>
              <w:right w:val="nil"/>
            </w:tcBorders>
            <w:shd w:val="clear" w:color="000000" w:fill="FFFFFF"/>
            <w:noWrap/>
            <w:vAlign w:val="center"/>
            <w:hideMark/>
          </w:tcPr>
          <w:p w14:paraId="2C724560" w14:textId="77777777" w:rsidR="00F15F4F" w:rsidRPr="00D618B7" w:rsidRDefault="00F15F4F" w:rsidP="004B11B7">
            <w:pPr>
              <w:jc w:val="center"/>
              <w:rPr>
                <w:color w:val="000000"/>
              </w:rPr>
            </w:pPr>
            <w:r w:rsidRPr="00D618B7">
              <w:rPr>
                <w:color w:val="000000"/>
              </w:rPr>
              <w:t>Late Reach Group</w:t>
            </w:r>
          </w:p>
        </w:tc>
      </w:tr>
      <w:tr w:rsidR="00F15F4F" w:rsidRPr="00D618B7" w14:paraId="65CD5876" w14:textId="77777777" w:rsidTr="004B11B7">
        <w:trPr>
          <w:trHeight w:val="303"/>
        </w:trPr>
        <w:tc>
          <w:tcPr>
            <w:tcW w:w="1248" w:type="dxa"/>
            <w:tcBorders>
              <w:top w:val="nil"/>
              <w:left w:val="nil"/>
              <w:bottom w:val="nil"/>
              <w:right w:val="nil"/>
            </w:tcBorders>
            <w:shd w:val="clear" w:color="000000" w:fill="FFFFFF"/>
            <w:vAlign w:val="center"/>
            <w:hideMark/>
          </w:tcPr>
          <w:p w14:paraId="3C5EF9FF" w14:textId="77777777" w:rsidR="00F15F4F" w:rsidRPr="00D618B7" w:rsidRDefault="00F15F4F" w:rsidP="004B11B7">
            <w:pPr>
              <w:jc w:val="right"/>
              <w:rPr>
                <w:color w:val="000000"/>
              </w:rPr>
            </w:pPr>
            <w:r w:rsidRPr="00D618B7">
              <w:rPr>
                <w:color w:val="000000"/>
              </w:rPr>
              <w:t>-5</w:t>
            </w:r>
          </w:p>
        </w:tc>
        <w:tc>
          <w:tcPr>
            <w:tcW w:w="1080" w:type="dxa"/>
            <w:tcBorders>
              <w:top w:val="nil"/>
              <w:left w:val="nil"/>
              <w:bottom w:val="nil"/>
              <w:right w:val="nil"/>
            </w:tcBorders>
            <w:shd w:val="clear" w:color="000000" w:fill="FFFFFF"/>
            <w:noWrap/>
            <w:vAlign w:val="center"/>
            <w:hideMark/>
          </w:tcPr>
          <w:p w14:paraId="22A992F7" w14:textId="77777777" w:rsidR="00F15F4F" w:rsidRPr="00D618B7" w:rsidRDefault="00F15F4F" w:rsidP="004B11B7">
            <w:pPr>
              <w:jc w:val="right"/>
              <w:rPr>
                <w:color w:val="000000"/>
              </w:rPr>
            </w:pPr>
            <w:r w:rsidRPr="00D618B7">
              <w:rPr>
                <w:color w:val="000000"/>
              </w:rPr>
              <w:t>1.17</w:t>
            </w:r>
          </w:p>
        </w:tc>
        <w:tc>
          <w:tcPr>
            <w:tcW w:w="1418" w:type="dxa"/>
            <w:tcBorders>
              <w:top w:val="nil"/>
              <w:left w:val="nil"/>
              <w:bottom w:val="nil"/>
              <w:right w:val="nil"/>
            </w:tcBorders>
            <w:shd w:val="clear" w:color="000000" w:fill="FFFFFF"/>
            <w:noWrap/>
            <w:vAlign w:val="center"/>
            <w:hideMark/>
          </w:tcPr>
          <w:p w14:paraId="5E77D3B6" w14:textId="77777777" w:rsidR="00F15F4F" w:rsidRPr="00D618B7" w:rsidRDefault="00F15F4F" w:rsidP="004B11B7">
            <w:pPr>
              <w:jc w:val="right"/>
              <w:rPr>
                <w:color w:val="000000"/>
              </w:rPr>
            </w:pPr>
            <w:r w:rsidRPr="00D618B7">
              <w:rPr>
                <w:color w:val="000000"/>
              </w:rPr>
              <w:t>0.22</w:t>
            </w:r>
          </w:p>
        </w:tc>
        <w:tc>
          <w:tcPr>
            <w:tcW w:w="1138" w:type="dxa"/>
            <w:tcBorders>
              <w:top w:val="nil"/>
              <w:left w:val="nil"/>
              <w:bottom w:val="nil"/>
              <w:right w:val="nil"/>
            </w:tcBorders>
            <w:shd w:val="clear" w:color="000000" w:fill="FFFFFF"/>
            <w:noWrap/>
            <w:vAlign w:val="center"/>
            <w:hideMark/>
          </w:tcPr>
          <w:p w14:paraId="3601DFFC" w14:textId="77777777" w:rsidR="00F15F4F" w:rsidRPr="00D618B7" w:rsidRDefault="00F15F4F" w:rsidP="004B11B7">
            <w:pPr>
              <w:jc w:val="right"/>
              <w:rPr>
                <w:color w:val="000000"/>
              </w:rPr>
            </w:pPr>
            <w:r w:rsidRPr="00D618B7">
              <w:rPr>
                <w:color w:val="000000"/>
              </w:rPr>
              <w:t>7.27</w:t>
            </w:r>
          </w:p>
        </w:tc>
        <w:tc>
          <w:tcPr>
            <w:tcW w:w="1357" w:type="dxa"/>
            <w:tcBorders>
              <w:top w:val="nil"/>
              <w:left w:val="nil"/>
              <w:bottom w:val="nil"/>
              <w:right w:val="nil"/>
            </w:tcBorders>
            <w:shd w:val="clear" w:color="000000" w:fill="FFFFFF"/>
            <w:noWrap/>
            <w:vAlign w:val="center"/>
            <w:hideMark/>
          </w:tcPr>
          <w:p w14:paraId="00FA8B7C" w14:textId="77777777" w:rsidR="00F15F4F" w:rsidRPr="00D618B7" w:rsidRDefault="00F15F4F" w:rsidP="004B11B7">
            <w:pPr>
              <w:jc w:val="right"/>
              <w:rPr>
                <w:color w:val="000000"/>
              </w:rPr>
            </w:pPr>
            <w:r w:rsidRPr="00D618B7">
              <w:rPr>
                <w:color w:val="000000"/>
              </w:rPr>
              <w:t>11.09</w:t>
            </w:r>
          </w:p>
        </w:tc>
        <w:tc>
          <w:tcPr>
            <w:tcW w:w="1225" w:type="dxa"/>
            <w:tcBorders>
              <w:top w:val="nil"/>
              <w:left w:val="nil"/>
              <w:bottom w:val="nil"/>
              <w:right w:val="nil"/>
            </w:tcBorders>
            <w:shd w:val="clear" w:color="000000" w:fill="FFFFFF"/>
            <w:noWrap/>
            <w:vAlign w:val="center"/>
            <w:hideMark/>
          </w:tcPr>
          <w:p w14:paraId="26C5CBB8" w14:textId="77777777" w:rsidR="00F15F4F" w:rsidRPr="00D618B7" w:rsidRDefault="00F15F4F" w:rsidP="004B11B7">
            <w:pPr>
              <w:jc w:val="right"/>
              <w:rPr>
                <w:color w:val="000000"/>
              </w:rPr>
            </w:pPr>
            <w:r w:rsidRPr="00D618B7">
              <w:rPr>
                <w:color w:val="000000"/>
              </w:rPr>
              <w:t>126.63</w:t>
            </w:r>
          </w:p>
        </w:tc>
        <w:tc>
          <w:tcPr>
            <w:tcW w:w="1319" w:type="dxa"/>
            <w:tcBorders>
              <w:top w:val="nil"/>
              <w:left w:val="nil"/>
              <w:bottom w:val="nil"/>
              <w:right w:val="nil"/>
            </w:tcBorders>
            <w:shd w:val="clear" w:color="000000" w:fill="FFFFFF"/>
            <w:noWrap/>
            <w:vAlign w:val="center"/>
            <w:hideMark/>
          </w:tcPr>
          <w:p w14:paraId="0D252A1D" w14:textId="77777777" w:rsidR="00F15F4F" w:rsidRPr="00D618B7" w:rsidRDefault="00F15F4F" w:rsidP="004B11B7">
            <w:pPr>
              <w:jc w:val="right"/>
              <w:rPr>
                <w:color w:val="000000"/>
              </w:rPr>
            </w:pPr>
            <w:r w:rsidRPr="00D618B7">
              <w:rPr>
                <w:color w:val="000000"/>
              </w:rPr>
              <w:t>65.01</w:t>
            </w:r>
          </w:p>
        </w:tc>
      </w:tr>
      <w:tr w:rsidR="00F15F4F" w:rsidRPr="00D618B7" w14:paraId="331B3508" w14:textId="77777777" w:rsidTr="004B11B7">
        <w:trPr>
          <w:trHeight w:val="303"/>
        </w:trPr>
        <w:tc>
          <w:tcPr>
            <w:tcW w:w="1248" w:type="dxa"/>
            <w:tcBorders>
              <w:top w:val="nil"/>
              <w:left w:val="nil"/>
              <w:bottom w:val="nil"/>
              <w:right w:val="nil"/>
            </w:tcBorders>
            <w:shd w:val="clear" w:color="000000" w:fill="FFFFFF"/>
            <w:vAlign w:val="center"/>
            <w:hideMark/>
          </w:tcPr>
          <w:p w14:paraId="11C798B9" w14:textId="77777777" w:rsidR="00F15F4F" w:rsidRPr="00D618B7" w:rsidRDefault="00F15F4F"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center"/>
            <w:hideMark/>
          </w:tcPr>
          <w:p w14:paraId="313AB7F1" w14:textId="77777777" w:rsidR="00F15F4F" w:rsidRPr="00D618B7" w:rsidRDefault="00F15F4F" w:rsidP="004B11B7">
            <w:pPr>
              <w:jc w:val="right"/>
              <w:rPr>
                <w:color w:val="000000"/>
              </w:rPr>
            </w:pPr>
            <w:r w:rsidRPr="00D618B7">
              <w:rPr>
                <w:color w:val="000000"/>
              </w:rPr>
              <w:t>-0.71</w:t>
            </w:r>
          </w:p>
        </w:tc>
        <w:tc>
          <w:tcPr>
            <w:tcW w:w="1418" w:type="dxa"/>
            <w:tcBorders>
              <w:top w:val="nil"/>
              <w:left w:val="nil"/>
              <w:bottom w:val="nil"/>
              <w:right w:val="nil"/>
            </w:tcBorders>
            <w:shd w:val="clear" w:color="000000" w:fill="FFFFFF"/>
            <w:noWrap/>
            <w:vAlign w:val="center"/>
            <w:hideMark/>
          </w:tcPr>
          <w:p w14:paraId="34AF5E03" w14:textId="77777777" w:rsidR="00F15F4F" w:rsidRPr="00D618B7" w:rsidRDefault="00F15F4F" w:rsidP="004B11B7">
            <w:pPr>
              <w:jc w:val="right"/>
              <w:rPr>
                <w:color w:val="000000"/>
              </w:rPr>
            </w:pPr>
            <w:r w:rsidRPr="00D618B7">
              <w:rPr>
                <w:color w:val="000000"/>
              </w:rPr>
              <w:t>2.05</w:t>
            </w:r>
          </w:p>
        </w:tc>
        <w:tc>
          <w:tcPr>
            <w:tcW w:w="1138" w:type="dxa"/>
            <w:tcBorders>
              <w:top w:val="nil"/>
              <w:left w:val="nil"/>
              <w:bottom w:val="nil"/>
              <w:right w:val="nil"/>
            </w:tcBorders>
            <w:shd w:val="clear" w:color="000000" w:fill="FFFFFF"/>
            <w:noWrap/>
            <w:vAlign w:val="center"/>
            <w:hideMark/>
          </w:tcPr>
          <w:p w14:paraId="46B65B2D" w14:textId="77777777" w:rsidR="00F15F4F" w:rsidRPr="00D618B7" w:rsidRDefault="00F15F4F" w:rsidP="004B11B7">
            <w:pPr>
              <w:jc w:val="right"/>
              <w:rPr>
                <w:color w:val="000000"/>
              </w:rPr>
            </w:pPr>
            <w:r w:rsidRPr="00D618B7">
              <w:rPr>
                <w:color w:val="000000"/>
              </w:rPr>
              <w:t>-7.67</w:t>
            </w:r>
          </w:p>
        </w:tc>
        <w:tc>
          <w:tcPr>
            <w:tcW w:w="1357" w:type="dxa"/>
            <w:tcBorders>
              <w:top w:val="nil"/>
              <w:left w:val="nil"/>
              <w:bottom w:val="nil"/>
              <w:right w:val="nil"/>
            </w:tcBorders>
            <w:shd w:val="clear" w:color="000000" w:fill="FFFFFF"/>
            <w:noWrap/>
            <w:vAlign w:val="center"/>
            <w:hideMark/>
          </w:tcPr>
          <w:p w14:paraId="5CD4AF21" w14:textId="77777777" w:rsidR="00F15F4F" w:rsidRPr="00D618B7" w:rsidRDefault="00F15F4F" w:rsidP="004B11B7">
            <w:pPr>
              <w:jc w:val="right"/>
              <w:rPr>
                <w:color w:val="000000"/>
              </w:rPr>
            </w:pPr>
            <w:r w:rsidRPr="00D618B7">
              <w:rPr>
                <w:color w:val="000000"/>
              </w:rPr>
              <w:t>11.19</w:t>
            </w:r>
          </w:p>
        </w:tc>
        <w:tc>
          <w:tcPr>
            <w:tcW w:w="1225" w:type="dxa"/>
            <w:tcBorders>
              <w:top w:val="nil"/>
              <w:left w:val="nil"/>
              <w:bottom w:val="nil"/>
              <w:right w:val="nil"/>
            </w:tcBorders>
            <w:shd w:val="clear" w:color="000000" w:fill="FFFFFF"/>
            <w:noWrap/>
            <w:vAlign w:val="center"/>
            <w:hideMark/>
          </w:tcPr>
          <w:p w14:paraId="664F6066" w14:textId="77777777" w:rsidR="00F15F4F" w:rsidRPr="00D618B7" w:rsidRDefault="00F15F4F" w:rsidP="004B11B7">
            <w:pPr>
              <w:jc w:val="right"/>
              <w:rPr>
                <w:color w:val="000000"/>
              </w:rPr>
            </w:pPr>
            <w:r w:rsidRPr="00D618B7">
              <w:rPr>
                <w:color w:val="000000"/>
              </w:rPr>
              <w:t>123.78</w:t>
            </w:r>
          </w:p>
        </w:tc>
        <w:tc>
          <w:tcPr>
            <w:tcW w:w="1319" w:type="dxa"/>
            <w:tcBorders>
              <w:top w:val="nil"/>
              <w:left w:val="nil"/>
              <w:bottom w:val="nil"/>
              <w:right w:val="nil"/>
            </w:tcBorders>
            <w:shd w:val="clear" w:color="000000" w:fill="FFFFFF"/>
            <w:noWrap/>
            <w:vAlign w:val="center"/>
            <w:hideMark/>
          </w:tcPr>
          <w:p w14:paraId="0E3219FA" w14:textId="77777777" w:rsidR="00F15F4F" w:rsidRPr="00D618B7" w:rsidRDefault="00F15F4F" w:rsidP="004B11B7">
            <w:pPr>
              <w:jc w:val="right"/>
              <w:rPr>
                <w:color w:val="000000"/>
              </w:rPr>
            </w:pPr>
            <w:r w:rsidRPr="00D618B7">
              <w:rPr>
                <w:color w:val="000000"/>
              </w:rPr>
              <w:t>148.04</w:t>
            </w:r>
          </w:p>
        </w:tc>
      </w:tr>
      <w:tr w:rsidR="00F15F4F" w:rsidRPr="00D618B7" w14:paraId="299122D0" w14:textId="77777777" w:rsidTr="004B11B7">
        <w:trPr>
          <w:trHeight w:val="303"/>
        </w:trPr>
        <w:tc>
          <w:tcPr>
            <w:tcW w:w="1248" w:type="dxa"/>
            <w:tcBorders>
              <w:top w:val="nil"/>
              <w:left w:val="nil"/>
              <w:bottom w:val="nil"/>
              <w:right w:val="nil"/>
            </w:tcBorders>
            <w:shd w:val="clear" w:color="000000" w:fill="FFFFFF"/>
            <w:vAlign w:val="center"/>
            <w:hideMark/>
          </w:tcPr>
          <w:p w14:paraId="35CE4A00" w14:textId="77777777" w:rsidR="00F15F4F" w:rsidRPr="00D618B7" w:rsidRDefault="00F15F4F"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center"/>
            <w:hideMark/>
          </w:tcPr>
          <w:p w14:paraId="45F9B086" w14:textId="77777777" w:rsidR="00F15F4F" w:rsidRPr="00D618B7" w:rsidRDefault="00F15F4F" w:rsidP="004B11B7">
            <w:pPr>
              <w:jc w:val="right"/>
              <w:rPr>
                <w:color w:val="000000"/>
              </w:rPr>
            </w:pPr>
            <w:r w:rsidRPr="00D618B7">
              <w:rPr>
                <w:color w:val="000000"/>
              </w:rPr>
              <w:t>0.33</w:t>
            </w:r>
          </w:p>
        </w:tc>
        <w:tc>
          <w:tcPr>
            <w:tcW w:w="1418" w:type="dxa"/>
            <w:tcBorders>
              <w:top w:val="nil"/>
              <w:left w:val="nil"/>
              <w:bottom w:val="nil"/>
              <w:right w:val="nil"/>
            </w:tcBorders>
            <w:shd w:val="clear" w:color="000000" w:fill="FFFFFF"/>
            <w:noWrap/>
            <w:vAlign w:val="center"/>
            <w:hideMark/>
          </w:tcPr>
          <w:p w14:paraId="16F5EC4F" w14:textId="77777777" w:rsidR="00F15F4F" w:rsidRPr="00D618B7" w:rsidRDefault="00F15F4F" w:rsidP="004B11B7">
            <w:pPr>
              <w:jc w:val="right"/>
              <w:rPr>
                <w:color w:val="000000"/>
              </w:rPr>
            </w:pPr>
            <w:r w:rsidRPr="00D618B7">
              <w:rPr>
                <w:color w:val="000000"/>
              </w:rPr>
              <w:t>0.74</w:t>
            </w:r>
          </w:p>
        </w:tc>
        <w:tc>
          <w:tcPr>
            <w:tcW w:w="1138" w:type="dxa"/>
            <w:tcBorders>
              <w:top w:val="nil"/>
              <w:left w:val="nil"/>
              <w:bottom w:val="nil"/>
              <w:right w:val="nil"/>
            </w:tcBorders>
            <w:shd w:val="clear" w:color="000000" w:fill="FFFFFF"/>
            <w:noWrap/>
            <w:vAlign w:val="center"/>
            <w:hideMark/>
          </w:tcPr>
          <w:p w14:paraId="73774E31" w14:textId="77777777" w:rsidR="00F15F4F" w:rsidRPr="00D618B7" w:rsidRDefault="00F15F4F" w:rsidP="004B11B7">
            <w:pPr>
              <w:jc w:val="right"/>
              <w:rPr>
                <w:color w:val="000000"/>
              </w:rPr>
            </w:pPr>
            <w:r w:rsidRPr="00D618B7">
              <w:rPr>
                <w:color w:val="000000"/>
              </w:rPr>
              <w:t>-7.45</w:t>
            </w:r>
          </w:p>
        </w:tc>
        <w:tc>
          <w:tcPr>
            <w:tcW w:w="1357" w:type="dxa"/>
            <w:tcBorders>
              <w:top w:val="nil"/>
              <w:left w:val="nil"/>
              <w:bottom w:val="nil"/>
              <w:right w:val="nil"/>
            </w:tcBorders>
            <w:shd w:val="clear" w:color="000000" w:fill="FFFFFF"/>
            <w:noWrap/>
            <w:vAlign w:val="center"/>
            <w:hideMark/>
          </w:tcPr>
          <w:p w14:paraId="42FF902F" w14:textId="77777777" w:rsidR="00F15F4F" w:rsidRPr="00D618B7" w:rsidRDefault="00F15F4F" w:rsidP="004B11B7">
            <w:pPr>
              <w:jc w:val="right"/>
              <w:rPr>
                <w:color w:val="000000"/>
              </w:rPr>
            </w:pPr>
            <w:r w:rsidRPr="00D618B7">
              <w:rPr>
                <w:color w:val="000000"/>
              </w:rPr>
              <w:t>1.32</w:t>
            </w:r>
          </w:p>
        </w:tc>
        <w:tc>
          <w:tcPr>
            <w:tcW w:w="1225" w:type="dxa"/>
            <w:tcBorders>
              <w:top w:val="nil"/>
              <w:left w:val="nil"/>
              <w:bottom w:val="nil"/>
              <w:right w:val="nil"/>
            </w:tcBorders>
            <w:shd w:val="clear" w:color="000000" w:fill="FFFFFF"/>
            <w:noWrap/>
            <w:vAlign w:val="center"/>
            <w:hideMark/>
          </w:tcPr>
          <w:p w14:paraId="614B2194" w14:textId="77777777" w:rsidR="00F15F4F" w:rsidRPr="00D618B7" w:rsidRDefault="00F15F4F" w:rsidP="004B11B7">
            <w:pPr>
              <w:jc w:val="right"/>
              <w:rPr>
                <w:color w:val="000000"/>
              </w:rPr>
            </w:pPr>
            <w:r w:rsidRPr="00D618B7">
              <w:rPr>
                <w:color w:val="000000"/>
              </w:rPr>
              <w:t>116.18</w:t>
            </w:r>
          </w:p>
        </w:tc>
        <w:tc>
          <w:tcPr>
            <w:tcW w:w="1319" w:type="dxa"/>
            <w:tcBorders>
              <w:top w:val="nil"/>
              <w:left w:val="nil"/>
              <w:bottom w:val="nil"/>
              <w:right w:val="nil"/>
            </w:tcBorders>
            <w:shd w:val="clear" w:color="000000" w:fill="FFFFFF"/>
            <w:noWrap/>
            <w:vAlign w:val="center"/>
            <w:hideMark/>
          </w:tcPr>
          <w:p w14:paraId="1A54280C" w14:textId="77777777" w:rsidR="00F15F4F" w:rsidRPr="00D618B7" w:rsidRDefault="00F15F4F" w:rsidP="004B11B7">
            <w:pPr>
              <w:jc w:val="right"/>
              <w:rPr>
                <w:color w:val="000000"/>
              </w:rPr>
            </w:pPr>
            <w:r w:rsidRPr="00D618B7">
              <w:rPr>
                <w:color w:val="000000"/>
              </w:rPr>
              <w:t>29.29</w:t>
            </w:r>
          </w:p>
        </w:tc>
      </w:tr>
      <w:tr w:rsidR="00F15F4F" w:rsidRPr="00D618B7" w14:paraId="56E6693A" w14:textId="77777777" w:rsidTr="004B11B7">
        <w:trPr>
          <w:trHeight w:val="303"/>
        </w:trPr>
        <w:tc>
          <w:tcPr>
            <w:tcW w:w="1248" w:type="dxa"/>
            <w:tcBorders>
              <w:top w:val="nil"/>
              <w:left w:val="nil"/>
              <w:bottom w:val="nil"/>
              <w:right w:val="nil"/>
            </w:tcBorders>
            <w:shd w:val="clear" w:color="000000" w:fill="FFFFFF"/>
            <w:vAlign w:val="center"/>
            <w:hideMark/>
          </w:tcPr>
          <w:p w14:paraId="3FF13FDB" w14:textId="77777777" w:rsidR="00F15F4F" w:rsidRPr="00D618B7" w:rsidRDefault="00F15F4F"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center"/>
            <w:hideMark/>
          </w:tcPr>
          <w:p w14:paraId="252B9A8A" w14:textId="77777777" w:rsidR="00F15F4F" w:rsidRPr="00D618B7" w:rsidRDefault="00F15F4F" w:rsidP="004B11B7">
            <w:pPr>
              <w:jc w:val="right"/>
              <w:rPr>
                <w:color w:val="000000"/>
              </w:rPr>
            </w:pPr>
            <w:r w:rsidRPr="00D618B7">
              <w:rPr>
                <w:color w:val="000000"/>
              </w:rPr>
              <w:t>0.77</w:t>
            </w:r>
          </w:p>
        </w:tc>
        <w:tc>
          <w:tcPr>
            <w:tcW w:w="1418" w:type="dxa"/>
            <w:tcBorders>
              <w:top w:val="nil"/>
              <w:left w:val="nil"/>
              <w:bottom w:val="nil"/>
              <w:right w:val="nil"/>
            </w:tcBorders>
            <w:shd w:val="clear" w:color="000000" w:fill="FFFFFF"/>
            <w:noWrap/>
            <w:vAlign w:val="center"/>
            <w:hideMark/>
          </w:tcPr>
          <w:p w14:paraId="14D45BC7" w14:textId="77777777" w:rsidR="00F15F4F" w:rsidRPr="00D618B7" w:rsidRDefault="00F15F4F" w:rsidP="004B11B7">
            <w:pPr>
              <w:jc w:val="right"/>
              <w:rPr>
                <w:color w:val="000000"/>
              </w:rPr>
            </w:pPr>
            <w:r w:rsidRPr="00D618B7">
              <w:rPr>
                <w:color w:val="000000"/>
              </w:rPr>
              <w:t>2.76</w:t>
            </w:r>
          </w:p>
        </w:tc>
        <w:tc>
          <w:tcPr>
            <w:tcW w:w="1138" w:type="dxa"/>
            <w:tcBorders>
              <w:top w:val="nil"/>
              <w:left w:val="nil"/>
              <w:bottom w:val="nil"/>
              <w:right w:val="nil"/>
            </w:tcBorders>
            <w:shd w:val="clear" w:color="000000" w:fill="FFFFFF"/>
            <w:noWrap/>
            <w:vAlign w:val="center"/>
            <w:hideMark/>
          </w:tcPr>
          <w:p w14:paraId="31D1AB40" w14:textId="77777777" w:rsidR="00F15F4F" w:rsidRPr="00D618B7" w:rsidRDefault="00F15F4F" w:rsidP="004B11B7">
            <w:pPr>
              <w:jc w:val="right"/>
              <w:rPr>
                <w:color w:val="000000"/>
              </w:rPr>
            </w:pPr>
            <w:r w:rsidRPr="00D618B7">
              <w:rPr>
                <w:color w:val="000000"/>
              </w:rPr>
              <w:t>18.20</w:t>
            </w:r>
          </w:p>
        </w:tc>
        <w:tc>
          <w:tcPr>
            <w:tcW w:w="1357" w:type="dxa"/>
            <w:tcBorders>
              <w:top w:val="nil"/>
              <w:left w:val="nil"/>
              <w:bottom w:val="nil"/>
              <w:right w:val="nil"/>
            </w:tcBorders>
            <w:shd w:val="clear" w:color="000000" w:fill="FFFFFF"/>
            <w:noWrap/>
            <w:vAlign w:val="center"/>
            <w:hideMark/>
          </w:tcPr>
          <w:p w14:paraId="53A37471" w14:textId="77777777" w:rsidR="00F15F4F" w:rsidRPr="00D618B7" w:rsidRDefault="00F15F4F" w:rsidP="004B11B7">
            <w:pPr>
              <w:jc w:val="right"/>
              <w:rPr>
                <w:color w:val="000000"/>
              </w:rPr>
            </w:pPr>
            <w:r w:rsidRPr="00D618B7">
              <w:rPr>
                <w:color w:val="000000"/>
              </w:rPr>
              <w:t>22.34</w:t>
            </w:r>
          </w:p>
        </w:tc>
        <w:tc>
          <w:tcPr>
            <w:tcW w:w="1225" w:type="dxa"/>
            <w:tcBorders>
              <w:top w:val="nil"/>
              <w:left w:val="nil"/>
              <w:bottom w:val="nil"/>
              <w:right w:val="nil"/>
            </w:tcBorders>
            <w:shd w:val="clear" w:color="000000" w:fill="FFFFFF"/>
            <w:noWrap/>
            <w:vAlign w:val="center"/>
            <w:hideMark/>
          </w:tcPr>
          <w:p w14:paraId="40B6E3C0" w14:textId="77777777" w:rsidR="00F15F4F" w:rsidRPr="00D618B7" w:rsidRDefault="00F15F4F" w:rsidP="004B11B7">
            <w:pPr>
              <w:jc w:val="right"/>
              <w:rPr>
                <w:color w:val="000000"/>
              </w:rPr>
            </w:pPr>
            <w:r w:rsidRPr="00D618B7">
              <w:rPr>
                <w:color w:val="000000"/>
              </w:rPr>
              <w:t>-151.01</w:t>
            </w:r>
          </w:p>
        </w:tc>
        <w:tc>
          <w:tcPr>
            <w:tcW w:w="1319" w:type="dxa"/>
            <w:tcBorders>
              <w:top w:val="nil"/>
              <w:left w:val="nil"/>
              <w:bottom w:val="nil"/>
              <w:right w:val="nil"/>
            </w:tcBorders>
            <w:shd w:val="clear" w:color="000000" w:fill="FFFFFF"/>
            <w:noWrap/>
            <w:vAlign w:val="center"/>
            <w:hideMark/>
          </w:tcPr>
          <w:p w14:paraId="434C0847" w14:textId="77777777" w:rsidR="00F15F4F" w:rsidRPr="00D618B7" w:rsidRDefault="00F15F4F" w:rsidP="004B11B7">
            <w:pPr>
              <w:jc w:val="right"/>
              <w:rPr>
                <w:color w:val="000000"/>
              </w:rPr>
            </w:pPr>
            <w:r w:rsidRPr="00D618B7">
              <w:rPr>
                <w:color w:val="000000"/>
              </w:rPr>
              <w:t>86.85</w:t>
            </w:r>
          </w:p>
        </w:tc>
      </w:tr>
      <w:tr w:rsidR="00F15F4F" w:rsidRPr="00D618B7" w14:paraId="3DDF7209" w14:textId="77777777" w:rsidTr="004B11B7">
        <w:trPr>
          <w:trHeight w:val="303"/>
        </w:trPr>
        <w:tc>
          <w:tcPr>
            <w:tcW w:w="1248" w:type="dxa"/>
            <w:tcBorders>
              <w:top w:val="nil"/>
              <w:left w:val="nil"/>
              <w:bottom w:val="nil"/>
              <w:right w:val="nil"/>
            </w:tcBorders>
            <w:shd w:val="clear" w:color="000000" w:fill="FFFFFF"/>
            <w:vAlign w:val="center"/>
            <w:hideMark/>
          </w:tcPr>
          <w:p w14:paraId="605FC350" w14:textId="77777777" w:rsidR="00F15F4F" w:rsidRPr="00D618B7" w:rsidRDefault="00F15F4F"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center"/>
            <w:hideMark/>
          </w:tcPr>
          <w:p w14:paraId="54D4CDD2" w14:textId="77777777" w:rsidR="00F15F4F" w:rsidRPr="00D618B7" w:rsidRDefault="00F15F4F" w:rsidP="004B11B7">
            <w:pPr>
              <w:jc w:val="right"/>
              <w:rPr>
                <w:color w:val="000000"/>
              </w:rPr>
            </w:pPr>
            <w:r w:rsidRPr="00D618B7">
              <w:rPr>
                <w:color w:val="000000"/>
              </w:rPr>
              <w:t>1.19</w:t>
            </w:r>
          </w:p>
        </w:tc>
        <w:tc>
          <w:tcPr>
            <w:tcW w:w="1418" w:type="dxa"/>
            <w:tcBorders>
              <w:top w:val="nil"/>
              <w:left w:val="nil"/>
              <w:bottom w:val="nil"/>
              <w:right w:val="nil"/>
            </w:tcBorders>
            <w:shd w:val="clear" w:color="000000" w:fill="FFFFFF"/>
            <w:noWrap/>
            <w:vAlign w:val="center"/>
            <w:hideMark/>
          </w:tcPr>
          <w:p w14:paraId="02E8D180" w14:textId="77777777" w:rsidR="00F15F4F" w:rsidRPr="00D618B7" w:rsidRDefault="00F15F4F" w:rsidP="004B11B7">
            <w:pPr>
              <w:jc w:val="right"/>
              <w:rPr>
                <w:color w:val="000000"/>
              </w:rPr>
            </w:pPr>
            <w:r w:rsidRPr="00D618B7">
              <w:rPr>
                <w:color w:val="000000"/>
              </w:rPr>
              <w:t>2.21</w:t>
            </w:r>
          </w:p>
        </w:tc>
        <w:tc>
          <w:tcPr>
            <w:tcW w:w="1138" w:type="dxa"/>
            <w:tcBorders>
              <w:top w:val="nil"/>
              <w:left w:val="nil"/>
              <w:bottom w:val="nil"/>
              <w:right w:val="nil"/>
            </w:tcBorders>
            <w:shd w:val="clear" w:color="000000" w:fill="FFFFFF"/>
            <w:noWrap/>
            <w:vAlign w:val="center"/>
            <w:hideMark/>
          </w:tcPr>
          <w:p w14:paraId="38B9D7AB" w14:textId="77777777" w:rsidR="00F15F4F" w:rsidRPr="00D618B7" w:rsidRDefault="00F15F4F" w:rsidP="004B11B7">
            <w:pPr>
              <w:jc w:val="right"/>
              <w:rPr>
                <w:color w:val="000000"/>
              </w:rPr>
            </w:pPr>
            <w:r w:rsidRPr="00D618B7">
              <w:rPr>
                <w:color w:val="000000"/>
              </w:rPr>
              <w:t>-2.53</w:t>
            </w:r>
          </w:p>
        </w:tc>
        <w:tc>
          <w:tcPr>
            <w:tcW w:w="1357" w:type="dxa"/>
            <w:tcBorders>
              <w:top w:val="nil"/>
              <w:left w:val="nil"/>
              <w:bottom w:val="nil"/>
              <w:right w:val="nil"/>
            </w:tcBorders>
            <w:shd w:val="clear" w:color="000000" w:fill="FFFFFF"/>
            <w:noWrap/>
            <w:vAlign w:val="center"/>
            <w:hideMark/>
          </w:tcPr>
          <w:p w14:paraId="4C938F7E" w14:textId="77777777" w:rsidR="00F15F4F" w:rsidRPr="00D618B7" w:rsidRDefault="00F15F4F" w:rsidP="004B11B7">
            <w:pPr>
              <w:jc w:val="right"/>
              <w:rPr>
                <w:color w:val="000000"/>
              </w:rPr>
            </w:pPr>
            <w:r w:rsidRPr="00D618B7">
              <w:rPr>
                <w:color w:val="000000"/>
              </w:rPr>
              <w:t>1.93</w:t>
            </w:r>
          </w:p>
        </w:tc>
        <w:tc>
          <w:tcPr>
            <w:tcW w:w="1225" w:type="dxa"/>
            <w:tcBorders>
              <w:top w:val="nil"/>
              <w:left w:val="nil"/>
              <w:bottom w:val="nil"/>
              <w:right w:val="nil"/>
            </w:tcBorders>
            <w:shd w:val="clear" w:color="000000" w:fill="FFFFFF"/>
            <w:noWrap/>
            <w:vAlign w:val="center"/>
            <w:hideMark/>
          </w:tcPr>
          <w:p w14:paraId="53F4B37B" w14:textId="77777777" w:rsidR="00F15F4F" w:rsidRPr="00D618B7" w:rsidRDefault="00F15F4F" w:rsidP="004B11B7">
            <w:pPr>
              <w:jc w:val="right"/>
              <w:rPr>
                <w:color w:val="000000"/>
              </w:rPr>
            </w:pPr>
            <w:r w:rsidRPr="00D618B7">
              <w:rPr>
                <w:color w:val="000000"/>
              </w:rPr>
              <w:t>542.28</w:t>
            </w:r>
          </w:p>
        </w:tc>
        <w:tc>
          <w:tcPr>
            <w:tcW w:w="1319" w:type="dxa"/>
            <w:tcBorders>
              <w:top w:val="nil"/>
              <w:left w:val="nil"/>
              <w:bottom w:val="nil"/>
              <w:right w:val="nil"/>
            </w:tcBorders>
            <w:shd w:val="clear" w:color="000000" w:fill="FFFFFF"/>
            <w:noWrap/>
            <w:vAlign w:val="center"/>
            <w:hideMark/>
          </w:tcPr>
          <w:p w14:paraId="6D96664C" w14:textId="77777777" w:rsidR="00F15F4F" w:rsidRPr="00D618B7" w:rsidRDefault="00F15F4F" w:rsidP="004B11B7">
            <w:pPr>
              <w:jc w:val="right"/>
              <w:rPr>
                <w:color w:val="000000"/>
              </w:rPr>
            </w:pPr>
            <w:r w:rsidRPr="00D618B7">
              <w:rPr>
                <w:color w:val="000000"/>
              </w:rPr>
              <w:t>232.68</w:t>
            </w:r>
          </w:p>
        </w:tc>
      </w:tr>
      <w:tr w:rsidR="00F15F4F" w:rsidRPr="00D618B7" w14:paraId="001EE37B" w14:textId="77777777" w:rsidTr="004B11B7">
        <w:trPr>
          <w:trHeight w:val="303"/>
        </w:trPr>
        <w:tc>
          <w:tcPr>
            <w:tcW w:w="1248" w:type="dxa"/>
            <w:tcBorders>
              <w:top w:val="nil"/>
              <w:left w:val="nil"/>
              <w:bottom w:val="nil"/>
              <w:right w:val="nil"/>
            </w:tcBorders>
            <w:shd w:val="clear" w:color="000000" w:fill="FFFFFF"/>
            <w:vAlign w:val="center"/>
            <w:hideMark/>
          </w:tcPr>
          <w:p w14:paraId="4026A9FF" w14:textId="77777777" w:rsidR="00F15F4F" w:rsidRPr="00D618B7" w:rsidRDefault="00F15F4F" w:rsidP="004B11B7">
            <w:pPr>
              <w:jc w:val="right"/>
              <w:rPr>
                <w:color w:val="000000"/>
              </w:rPr>
            </w:pPr>
            <w:r w:rsidRPr="00D618B7">
              <w:rPr>
                <w:color w:val="000000"/>
              </w:rPr>
              <w:t>0</w:t>
            </w:r>
          </w:p>
        </w:tc>
        <w:tc>
          <w:tcPr>
            <w:tcW w:w="1080" w:type="dxa"/>
            <w:tcBorders>
              <w:top w:val="nil"/>
              <w:left w:val="nil"/>
              <w:bottom w:val="nil"/>
              <w:right w:val="nil"/>
            </w:tcBorders>
            <w:shd w:val="clear" w:color="000000" w:fill="FFFFFF"/>
            <w:noWrap/>
            <w:vAlign w:val="center"/>
            <w:hideMark/>
          </w:tcPr>
          <w:p w14:paraId="2654769A" w14:textId="77777777" w:rsidR="00F15F4F" w:rsidRPr="00D618B7" w:rsidRDefault="00F15F4F" w:rsidP="004B11B7">
            <w:pPr>
              <w:jc w:val="right"/>
              <w:rPr>
                <w:color w:val="000000"/>
              </w:rPr>
            </w:pPr>
            <w:r w:rsidRPr="00D618B7">
              <w:rPr>
                <w:color w:val="000000"/>
              </w:rPr>
              <w:t>19.35</w:t>
            </w:r>
          </w:p>
        </w:tc>
        <w:tc>
          <w:tcPr>
            <w:tcW w:w="1418" w:type="dxa"/>
            <w:tcBorders>
              <w:top w:val="nil"/>
              <w:left w:val="nil"/>
              <w:bottom w:val="nil"/>
              <w:right w:val="nil"/>
            </w:tcBorders>
            <w:shd w:val="clear" w:color="000000" w:fill="FFFFFF"/>
            <w:noWrap/>
            <w:vAlign w:val="center"/>
            <w:hideMark/>
          </w:tcPr>
          <w:p w14:paraId="1156B90E" w14:textId="77777777" w:rsidR="00F15F4F" w:rsidRPr="00D618B7" w:rsidRDefault="00F15F4F" w:rsidP="004B11B7">
            <w:pPr>
              <w:jc w:val="right"/>
              <w:rPr>
                <w:color w:val="000000"/>
              </w:rPr>
            </w:pPr>
            <w:r w:rsidRPr="00D618B7">
              <w:rPr>
                <w:color w:val="000000"/>
              </w:rPr>
              <w:t>11.96</w:t>
            </w:r>
          </w:p>
        </w:tc>
        <w:tc>
          <w:tcPr>
            <w:tcW w:w="1138" w:type="dxa"/>
            <w:tcBorders>
              <w:top w:val="nil"/>
              <w:left w:val="nil"/>
              <w:bottom w:val="nil"/>
              <w:right w:val="nil"/>
            </w:tcBorders>
            <w:shd w:val="clear" w:color="000000" w:fill="FFFFFF"/>
            <w:noWrap/>
            <w:vAlign w:val="center"/>
            <w:hideMark/>
          </w:tcPr>
          <w:p w14:paraId="47061006" w14:textId="77777777" w:rsidR="00F15F4F" w:rsidRPr="00D618B7" w:rsidRDefault="00F15F4F" w:rsidP="004B11B7">
            <w:pPr>
              <w:jc w:val="right"/>
              <w:rPr>
                <w:color w:val="000000"/>
              </w:rPr>
            </w:pPr>
            <w:r w:rsidRPr="00D618B7">
              <w:rPr>
                <w:color w:val="000000"/>
              </w:rPr>
              <w:t>-14.61</w:t>
            </w:r>
          </w:p>
        </w:tc>
        <w:tc>
          <w:tcPr>
            <w:tcW w:w="1357" w:type="dxa"/>
            <w:tcBorders>
              <w:top w:val="nil"/>
              <w:left w:val="nil"/>
              <w:bottom w:val="nil"/>
              <w:right w:val="nil"/>
            </w:tcBorders>
            <w:shd w:val="clear" w:color="000000" w:fill="FFFFFF"/>
            <w:noWrap/>
            <w:vAlign w:val="center"/>
            <w:hideMark/>
          </w:tcPr>
          <w:p w14:paraId="4EA18A06" w14:textId="77777777" w:rsidR="00F15F4F" w:rsidRPr="00D618B7" w:rsidRDefault="00F15F4F" w:rsidP="004B11B7">
            <w:pPr>
              <w:jc w:val="right"/>
              <w:rPr>
                <w:color w:val="000000"/>
              </w:rPr>
            </w:pPr>
            <w:r w:rsidRPr="00D618B7">
              <w:rPr>
                <w:color w:val="000000"/>
              </w:rPr>
              <w:t>8.75</w:t>
            </w:r>
          </w:p>
        </w:tc>
        <w:tc>
          <w:tcPr>
            <w:tcW w:w="1225" w:type="dxa"/>
            <w:tcBorders>
              <w:top w:val="nil"/>
              <w:left w:val="nil"/>
              <w:bottom w:val="nil"/>
              <w:right w:val="nil"/>
            </w:tcBorders>
            <w:shd w:val="clear" w:color="000000" w:fill="FFFFFF"/>
            <w:noWrap/>
            <w:vAlign w:val="center"/>
            <w:hideMark/>
          </w:tcPr>
          <w:p w14:paraId="2638EBD6" w14:textId="77777777" w:rsidR="00F15F4F" w:rsidRPr="00D618B7" w:rsidRDefault="00F15F4F" w:rsidP="004B11B7">
            <w:pPr>
              <w:jc w:val="right"/>
              <w:rPr>
                <w:color w:val="000000"/>
              </w:rPr>
            </w:pPr>
            <w:r w:rsidRPr="00D618B7">
              <w:rPr>
                <w:color w:val="000000"/>
              </w:rPr>
              <w:t>267.14</w:t>
            </w:r>
          </w:p>
        </w:tc>
        <w:tc>
          <w:tcPr>
            <w:tcW w:w="1319" w:type="dxa"/>
            <w:tcBorders>
              <w:top w:val="nil"/>
              <w:left w:val="nil"/>
              <w:bottom w:val="nil"/>
              <w:right w:val="nil"/>
            </w:tcBorders>
            <w:shd w:val="clear" w:color="000000" w:fill="FFFFFF"/>
            <w:noWrap/>
            <w:vAlign w:val="center"/>
            <w:hideMark/>
          </w:tcPr>
          <w:p w14:paraId="70BC3A8B" w14:textId="77777777" w:rsidR="00F15F4F" w:rsidRPr="00D618B7" w:rsidRDefault="00F15F4F" w:rsidP="004B11B7">
            <w:pPr>
              <w:jc w:val="right"/>
              <w:rPr>
                <w:color w:val="000000"/>
              </w:rPr>
            </w:pPr>
            <w:r w:rsidRPr="00D618B7">
              <w:rPr>
                <w:color w:val="000000"/>
              </w:rPr>
              <w:t>170.65</w:t>
            </w:r>
          </w:p>
        </w:tc>
      </w:tr>
      <w:tr w:rsidR="00F15F4F" w:rsidRPr="00D618B7" w14:paraId="2A793779" w14:textId="77777777" w:rsidTr="004B11B7">
        <w:trPr>
          <w:trHeight w:val="303"/>
        </w:trPr>
        <w:tc>
          <w:tcPr>
            <w:tcW w:w="1248" w:type="dxa"/>
            <w:tcBorders>
              <w:top w:val="nil"/>
              <w:left w:val="nil"/>
              <w:bottom w:val="nil"/>
              <w:right w:val="nil"/>
            </w:tcBorders>
            <w:shd w:val="clear" w:color="000000" w:fill="FFFFFF"/>
            <w:vAlign w:val="center"/>
            <w:hideMark/>
          </w:tcPr>
          <w:p w14:paraId="3C099843" w14:textId="77777777" w:rsidR="00F15F4F" w:rsidRPr="00D618B7" w:rsidRDefault="00F15F4F" w:rsidP="004B11B7">
            <w:pPr>
              <w:jc w:val="right"/>
              <w:rPr>
                <w:color w:val="000000"/>
              </w:rPr>
            </w:pPr>
            <w:r w:rsidRPr="00D618B7">
              <w:rPr>
                <w:color w:val="000000"/>
              </w:rPr>
              <w:t>1</w:t>
            </w:r>
          </w:p>
        </w:tc>
        <w:tc>
          <w:tcPr>
            <w:tcW w:w="1080" w:type="dxa"/>
            <w:tcBorders>
              <w:top w:val="nil"/>
              <w:left w:val="nil"/>
              <w:bottom w:val="nil"/>
              <w:right w:val="nil"/>
            </w:tcBorders>
            <w:shd w:val="clear" w:color="000000" w:fill="FFFFFF"/>
            <w:noWrap/>
            <w:vAlign w:val="center"/>
            <w:hideMark/>
          </w:tcPr>
          <w:p w14:paraId="57230D1E" w14:textId="77777777" w:rsidR="00F15F4F" w:rsidRPr="00D618B7" w:rsidRDefault="00F15F4F" w:rsidP="004B11B7">
            <w:pPr>
              <w:jc w:val="right"/>
              <w:rPr>
                <w:color w:val="000000"/>
              </w:rPr>
            </w:pPr>
            <w:r w:rsidRPr="00D618B7">
              <w:rPr>
                <w:color w:val="000000"/>
              </w:rPr>
              <w:t>-5.32</w:t>
            </w:r>
          </w:p>
        </w:tc>
        <w:tc>
          <w:tcPr>
            <w:tcW w:w="1418" w:type="dxa"/>
            <w:tcBorders>
              <w:top w:val="nil"/>
              <w:left w:val="nil"/>
              <w:bottom w:val="nil"/>
              <w:right w:val="nil"/>
            </w:tcBorders>
            <w:shd w:val="clear" w:color="000000" w:fill="FFFFFF"/>
            <w:noWrap/>
            <w:vAlign w:val="center"/>
            <w:hideMark/>
          </w:tcPr>
          <w:p w14:paraId="76BB2AC3" w14:textId="77777777" w:rsidR="00F15F4F" w:rsidRPr="00D618B7" w:rsidRDefault="00F15F4F" w:rsidP="004B11B7">
            <w:pPr>
              <w:jc w:val="right"/>
              <w:rPr>
                <w:color w:val="000000"/>
              </w:rPr>
            </w:pPr>
            <w:r w:rsidRPr="00D618B7">
              <w:rPr>
                <w:color w:val="000000"/>
              </w:rPr>
              <w:t>3.19</w:t>
            </w:r>
          </w:p>
        </w:tc>
        <w:tc>
          <w:tcPr>
            <w:tcW w:w="1138" w:type="dxa"/>
            <w:tcBorders>
              <w:top w:val="nil"/>
              <w:left w:val="nil"/>
              <w:bottom w:val="nil"/>
              <w:right w:val="nil"/>
            </w:tcBorders>
            <w:shd w:val="clear" w:color="000000" w:fill="FFFFFF"/>
            <w:noWrap/>
            <w:vAlign w:val="center"/>
            <w:hideMark/>
          </w:tcPr>
          <w:p w14:paraId="05646624" w14:textId="77777777" w:rsidR="00F15F4F" w:rsidRPr="00D618B7" w:rsidRDefault="00F15F4F" w:rsidP="004B11B7">
            <w:pPr>
              <w:jc w:val="right"/>
              <w:rPr>
                <w:color w:val="000000"/>
              </w:rPr>
            </w:pPr>
            <w:r w:rsidRPr="00D618B7">
              <w:rPr>
                <w:color w:val="000000"/>
              </w:rPr>
              <w:t>16.21</w:t>
            </w:r>
          </w:p>
        </w:tc>
        <w:tc>
          <w:tcPr>
            <w:tcW w:w="1357" w:type="dxa"/>
            <w:tcBorders>
              <w:top w:val="nil"/>
              <w:left w:val="nil"/>
              <w:bottom w:val="nil"/>
              <w:right w:val="nil"/>
            </w:tcBorders>
            <w:shd w:val="clear" w:color="000000" w:fill="FFFFFF"/>
            <w:noWrap/>
            <w:vAlign w:val="center"/>
            <w:hideMark/>
          </w:tcPr>
          <w:p w14:paraId="77AF2ABF" w14:textId="77777777" w:rsidR="00F15F4F" w:rsidRPr="00D618B7" w:rsidRDefault="00F15F4F" w:rsidP="004B11B7">
            <w:pPr>
              <w:jc w:val="right"/>
              <w:rPr>
                <w:color w:val="000000"/>
              </w:rPr>
            </w:pPr>
            <w:r w:rsidRPr="00D618B7">
              <w:rPr>
                <w:color w:val="000000"/>
              </w:rPr>
              <w:t>16.33</w:t>
            </w:r>
          </w:p>
        </w:tc>
        <w:tc>
          <w:tcPr>
            <w:tcW w:w="1225" w:type="dxa"/>
            <w:tcBorders>
              <w:top w:val="nil"/>
              <w:left w:val="nil"/>
              <w:bottom w:val="nil"/>
              <w:right w:val="nil"/>
            </w:tcBorders>
            <w:shd w:val="clear" w:color="000000" w:fill="FFFFFF"/>
            <w:noWrap/>
            <w:vAlign w:val="center"/>
            <w:hideMark/>
          </w:tcPr>
          <w:p w14:paraId="1607E005" w14:textId="77777777" w:rsidR="00F15F4F" w:rsidRPr="00D618B7" w:rsidRDefault="00F15F4F" w:rsidP="004B11B7">
            <w:pPr>
              <w:jc w:val="right"/>
              <w:rPr>
                <w:color w:val="000000"/>
              </w:rPr>
            </w:pPr>
            <w:r w:rsidRPr="00D618B7">
              <w:rPr>
                <w:color w:val="000000"/>
              </w:rPr>
              <w:t>1112.46</w:t>
            </w:r>
          </w:p>
        </w:tc>
        <w:tc>
          <w:tcPr>
            <w:tcW w:w="1319" w:type="dxa"/>
            <w:tcBorders>
              <w:top w:val="nil"/>
              <w:left w:val="nil"/>
              <w:bottom w:val="nil"/>
              <w:right w:val="nil"/>
            </w:tcBorders>
            <w:shd w:val="clear" w:color="000000" w:fill="FFFFFF"/>
            <w:noWrap/>
            <w:vAlign w:val="center"/>
            <w:hideMark/>
          </w:tcPr>
          <w:p w14:paraId="4729D265" w14:textId="77777777" w:rsidR="00F15F4F" w:rsidRPr="00D618B7" w:rsidRDefault="00F15F4F" w:rsidP="004B11B7">
            <w:pPr>
              <w:jc w:val="right"/>
              <w:rPr>
                <w:color w:val="000000"/>
              </w:rPr>
            </w:pPr>
            <w:r w:rsidRPr="00D618B7">
              <w:rPr>
                <w:color w:val="000000"/>
              </w:rPr>
              <w:t>719.30</w:t>
            </w:r>
          </w:p>
        </w:tc>
      </w:tr>
      <w:tr w:rsidR="00F15F4F" w:rsidRPr="00D618B7" w14:paraId="542A7297" w14:textId="77777777" w:rsidTr="004B11B7">
        <w:trPr>
          <w:trHeight w:val="303"/>
        </w:trPr>
        <w:tc>
          <w:tcPr>
            <w:tcW w:w="1248" w:type="dxa"/>
            <w:tcBorders>
              <w:top w:val="nil"/>
              <w:left w:val="nil"/>
              <w:bottom w:val="nil"/>
              <w:right w:val="nil"/>
            </w:tcBorders>
            <w:shd w:val="clear" w:color="000000" w:fill="FFFFFF"/>
            <w:vAlign w:val="center"/>
            <w:hideMark/>
          </w:tcPr>
          <w:p w14:paraId="0751DB14" w14:textId="77777777" w:rsidR="00F15F4F" w:rsidRPr="00D618B7" w:rsidRDefault="00F15F4F" w:rsidP="004B11B7">
            <w:pPr>
              <w:jc w:val="right"/>
              <w:rPr>
                <w:color w:val="000000"/>
              </w:rPr>
            </w:pPr>
            <w:r w:rsidRPr="00D618B7">
              <w:rPr>
                <w:color w:val="000000"/>
              </w:rPr>
              <w:t>2</w:t>
            </w:r>
          </w:p>
        </w:tc>
        <w:tc>
          <w:tcPr>
            <w:tcW w:w="1080" w:type="dxa"/>
            <w:tcBorders>
              <w:top w:val="nil"/>
              <w:left w:val="nil"/>
              <w:bottom w:val="nil"/>
              <w:right w:val="nil"/>
            </w:tcBorders>
            <w:shd w:val="clear" w:color="000000" w:fill="FFFFFF"/>
            <w:noWrap/>
            <w:vAlign w:val="center"/>
            <w:hideMark/>
          </w:tcPr>
          <w:p w14:paraId="6A4E31A1" w14:textId="77777777" w:rsidR="00F15F4F" w:rsidRPr="00D618B7" w:rsidRDefault="00F15F4F" w:rsidP="004B11B7">
            <w:pPr>
              <w:jc w:val="right"/>
              <w:rPr>
                <w:color w:val="000000"/>
              </w:rPr>
            </w:pPr>
            <w:r w:rsidRPr="00D618B7">
              <w:rPr>
                <w:color w:val="000000"/>
              </w:rPr>
              <w:t>26.38</w:t>
            </w:r>
          </w:p>
        </w:tc>
        <w:tc>
          <w:tcPr>
            <w:tcW w:w="1418" w:type="dxa"/>
            <w:tcBorders>
              <w:top w:val="nil"/>
              <w:left w:val="nil"/>
              <w:bottom w:val="nil"/>
              <w:right w:val="nil"/>
            </w:tcBorders>
            <w:shd w:val="clear" w:color="000000" w:fill="FFFFFF"/>
            <w:noWrap/>
            <w:vAlign w:val="center"/>
            <w:hideMark/>
          </w:tcPr>
          <w:p w14:paraId="54D2E380" w14:textId="77777777" w:rsidR="00F15F4F" w:rsidRPr="00D618B7" w:rsidRDefault="00F15F4F" w:rsidP="004B11B7">
            <w:pPr>
              <w:jc w:val="right"/>
              <w:rPr>
                <w:color w:val="000000"/>
              </w:rPr>
            </w:pPr>
            <w:r w:rsidRPr="00D618B7">
              <w:rPr>
                <w:color w:val="000000"/>
              </w:rPr>
              <w:t>7.61</w:t>
            </w:r>
          </w:p>
        </w:tc>
        <w:tc>
          <w:tcPr>
            <w:tcW w:w="1138" w:type="dxa"/>
            <w:tcBorders>
              <w:top w:val="nil"/>
              <w:left w:val="nil"/>
              <w:bottom w:val="nil"/>
              <w:right w:val="nil"/>
            </w:tcBorders>
            <w:shd w:val="clear" w:color="000000" w:fill="FFFFFF"/>
            <w:noWrap/>
            <w:vAlign w:val="center"/>
            <w:hideMark/>
          </w:tcPr>
          <w:p w14:paraId="396E8290" w14:textId="77777777" w:rsidR="00F15F4F" w:rsidRPr="00D618B7" w:rsidRDefault="00F15F4F" w:rsidP="004B11B7">
            <w:pPr>
              <w:jc w:val="right"/>
              <w:rPr>
                <w:color w:val="000000"/>
              </w:rPr>
            </w:pPr>
            <w:r w:rsidRPr="00D618B7">
              <w:rPr>
                <w:color w:val="000000"/>
              </w:rPr>
              <w:t>-13.86</w:t>
            </w:r>
          </w:p>
        </w:tc>
        <w:tc>
          <w:tcPr>
            <w:tcW w:w="1357" w:type="dxa"/>
            <w:tcBorders>
              <w:top w:val="nil"/>
              <w:left w:val="nil"/>
              <w:bottom w:val="nil"/>
              <w:right w:val="nil"/>
            </w:tcBorders>
            <w:shd w:val="clear" w:color="000000" w:fill="FFFFFF"/>
            <w:noWrap/>
            <w:vAlign w:val="center"/>
            <w:hideMark/>
          </w:tcPr>
          <w:p w14:paraId="5F9398B7" w14:textId="77777777" w:rsidR="00F15F4F" w:rsidRPr="00D618B7" w:rsidRDefault="00F15F4F" w:rsidP="004B11B7">
            <w:pPr>
              <w:jc w:val="right"/>
              <w:rPr>
                <w:color w:val="000000"/>
              </w:rPr>
            </w:pPr>
            <w:r w:rsidRPr="00D618B7">
              <w:rPr>
                <w:color w:val="000000"/>
              </w:rPr>
              <w:t>3.29</w:t>
            </w:r>
          </w:p>
        </w:tc>
        <w:tc>
          <w:tcPr>
            <w:tcW w:w="1225" w:type="dxa"/>
            <w:tcBorders>
              <w:top w:val="nil"/>
              <w:left w:val="nil"/>
              <w:bottom w:val="nil"/>
              <w:right w:val="nil"/>
            </w:tcBorders>
            <w:shd w:val="clear" w:color="000000" w:fill="FFFFFF"/>
            <w:noWrap/>
            <w:vAlign w:val="center"/>
            <w:hideMark/>
          </w:tcPr>
          <w:p w14:paraId="3C568C7B" w14:textId="77777777" w:rsidR="00F15F4F" w:rsidRPr="00D618B7" w:rsidRDefault="00F15F4F" w:rsidP="004B11B7">
            <w:pPr>
              <w:jc w:val="right"/>
              <w:rPr>
                <w:color w:val="000000"/>
              </w:rPr>
            </w:pPr>
            <w:r w:rsidRPr="00D618B7">
              <w:rPr>
                <w:color w:val="000000"/>
              </w:rPr>
              <w:t>716.65</w:t>
            </w:r>
          </w:p>
        </w:tc>
        <w:tc>
          <w:tcPr>
            <w:tcW w:w="1319" w:type="dxa"/>
            <w:tcBorders>
              <w:top w:val="nil"/>
              <w:left w:val="nil"/>
              <w:bottom w:val="nil"/>
              <w:right w:val="nil"/>
            </w:tcBorders>
            <w:shd w:val="clear" w:color="000000" w:fill="FFFFFF"/>
            <w:noWrap/>
            <w:vAlign w:val="center"/>
            <w:hideMark/>
          </w:tcPr>
          <w:p w14:paraId="5F582904" w14:textId="77777777" w:rsidR="00F15F4F" w:rsidRPr="00D618B7" w:rsidRDefault="00F15F4F" w:rsidP="004B11B7">
            <w:pPr>
              <w:jc w:val="right"/>
              <w:rPr>
                <w:color w:val="000000"/>
              </w:rPr>
            </w:pPr>
            <w:r w:rsidRPr="00D618B7">
              <w:rPr>
                <w:color w:val="000000"/>
              </w:rPr>
              <w:t>214.04</w:t>
            </w:r>
          </w:p>
        </w:tc>
      </w:tr>
      <w:tr w:rsidR="00F15F4F" w:rsidRPr="00D618B7" w14:paraId="459DA6A1" w14:textId="77777777" w:rsidTr="004B11B7">
        <w:trPr>
          <w:trHeight w:val="303"/>
        </w:trPr>
        <w:tc>
          <w:tcPr>
            <w:tcW w:w="1248" w:type="dxa"/>
            <w:tcBorders>
              <w:top w:val="nil"/>
              <w:left w:val="nil"/>
              <w:bottom w:val="nil"/>
              <w:right w:val="nil"/>
            </w:tcBorders>
            <w:shd w:val="clear" w:color="000000" w:fill="FFFFFF"/>
            <w:vAlign w:val="center"/>
            <w:hideMark/>
          </w:tcPr>
          <w:p w14:paraId="7B7AF985" w14:textId="77777777" w:rsidR="00F15F4F" w:rsidRPr="00D618B7" w:rsidRDefault="00F15F4F" w:rsidP="004B11B7">
            <w:pPr>
              <w:jc w:val="right"/>
              <w:rPr>
                <w:color w:val="000000"/>
              </w:rPr>
            </w:pPr>
            <w:r w:rsidRPr="00D618B7">
              <w:rPr>
                <w:color w:val="000000"/>
              </w:rPr>
              <w:t>3</w:t>
            </w:r>
          </w:p>
        </w:tc>
        <w:tc>
          <w:tcPr>
            <w:tcW w:w="1080" w:type="dxa"/>
            <w:tcBorders>
              <w:top w:val="nil"/>
              <w:left w:val="nil"/>
              <w:bottom w:val="nil"/>
              <w:right w:val="nil"/>
            </w:tcBorders>
            <w:shd w:val="clear" w:color="000000" w:fill="FFFFFF"/>
            <w:noWrap/>
            <w:vAlign w:val="center"/>
            <w:hideMark/>
          </w:tcPr>
          <w:p w14:paraId="37C36E62" w14:textId="77777777" w:rsidR="00F15F4F" w:rsidRPr="00D618B7" w:rsidRDefault="00F15F4F" w:rsidP="004B11B7">
            <w:pPr>
              <w:jc w:val="right"/>
              <w:rPr>
                <w:color w:val="000000"/>
              </w:rPr>
            </w:pPr>
            <w:r w:rsidRPr="00D618B7">
              <w:rPr>
                <w:color w:val="000000"/>
              </w:rPr>
              <w:t>-1.08</w:t>
            </w:r>
          </w:p>
        </w:tc>
        <w:tc>
          <w:tcPr>
            <w:tcW w:w="1418" w:type="dxa"/>
            <w:tcBorders>
              <w:top w:val="nil"/>
              <w:left w:val="nil"/>
              <w:bottom w:val="nil"/>
              <w:right w:val="nil"/>
            </w:tcBorders>
            <w:shd w:val="clear" w:color="000000" w:fill="FFFFFF"/>
            <w:noWrap/>
            <w:vAlign w:val="center"/>
            <w:hideMark/>
          </w:tcPr>
          <w:p w14:paraId="5F6E843C" w14:textId="77777777" w:rsidR="00F15F4F" w:rsidRPr="00D618B7" w:rsidRDefault="00F15F4F" w:rsidP="004B11B7">
            <w:pPr>
              <w:jc w:val="right"/>
              <w:rPr>
                <w:color w:val="000000"/>
              </w:rPr>
            </w:pPr>
            <w:r w:rsidRPr="00D618B7">
              <w:rPr>
                <w:color w:val="000000"/>
              </w:rPr>
              <w:t>5.61</w:t>
            </w:r>
          </w:p>
        </w:tc>
        <w:tc>
          <w:tcPr>
            <w:tcW w:w="1138" w:type="dxa"/>
            <w:tcBorders>
              <w:top w:val="nil"/>
              <w:left w:val="nil"/>
              <w:bottom w:val="nil"/>
              <w:right w:val="nil"/>
            </w:tcBorders>
            <w:shd w:val="clear" w:color="000000" w:fill="FFFFFF"/>
            <w:noWrap/>
            <w:vAlign w:val="center"/>
            <w:hideMark/>
          </w:tcPr>
          <w:p w14:paraId="2DD3DB72" w14:textId="77777777" w:rsidR="00F15F4F" w:rsidRPr="00D618B7" w:rsidRDefault="00F15F4F" w:rsidP="004B11B7">
            <w:pPr>
              <w:jc w:val="right"/>
              <w:rPr>
                <w:color w:val="000000"/>
              </w:rPr>
            </w:pPr>
            <w:r w:rsidRPr="00D618B7">
              <w:rPr>
                <w:color w:val="000000"/>
              </w:rPr>
              <w:t>13.04</w:t>
            </w:r>
          </w:p>
        </w:tc>
        <w:tc>
          <w:tcPr>
            <w:tcW w:w="1357" w:type="dxa"/>
            <w:tcBorders>
              <w:top w:val="nil"/>
              <w:left w:val="nil"/>
              <w:bottom w:val="nil"/>
              <w:right w:val="nil"/>
            </w:tcBorders>
            <w:shd w:val="clear" w:color="000000" w:fill="FFFFFF"/>
            <w:noWrap/>
            <w:vAlign w:val="center"/>
            <w:hideMark/>
          </w:tcPr>
          <w:p w14:paraId="3396829A" w14:textId="77777777" w:rsidR="00F15F4F" w:rsidRPr="00D618B7" w:rsidRDefault="00F15F4F" w:rsidP="004B11B7">
            <w:pPr>
              <w:jc w:val="right"/>
              <w:rPr>
                <w:color w:val="000000"/>
              </w:rPr>
            </w:pPr>
            <w:r w:rsidRPr="00D618B7">
              <w:rPr>
                <w:color w:val="000000"/>
              </w:rPr>
              <w:t>13.03</w:t>
            </w:r>
          </w:p>
        </w:tc>
        <w:tc>
          <w:tcPr>
            <w:tcW w:w="1225" w:type="dxa"/>
            <w:tcBorders>
              <w:top w:val="nil"/>
              <w:left w:val="nil"/>
              <w:bottom w:val="nil"/>
              <w:right w:val="nil"/>
            </w:tcBorders>
            <w:shd w:val="clear" w:color="000000" w:fill="FFFFFF"/>
            <w:noWrap/>
            <w:vAlign w:val="center"/>
            <w:hideMark/>
          </w:tcPr>
          <w:p w14:paraId="301D0DC9" w14:textId="77777777" w:rsidR="00F15F4F" w:rsidRPr="00D618B7" w:rsidRDefault="00F15F4F" w:rsidP="004B11B7">
            <w:pPr>
              <w:jc w:val="right"/>
              <w:rPr>
                <w:color w:val="000000"/>
              </w:rPr>
            </w:pPr>
            <w:r w:rsidRPr="00D618B7">
              <w:rPr>
                <w:color w:val="000000"/>
              </w:rPr>
              <w:t>340.44</w:t>
            </w:r>
          </w:p>
        </w:tc>
        <w:tc>
          <w:tcPr>
            <w:tcW w:w="1319" w:type="dxa"/>
            <w:tcBorders>
              <w:top w:val="nil"/>
              <w:left w:val="nil"/>
              <w:bottom w:val="nil"/>
              <w:right w:val="nil"/>
            </w:tcBorders>
            <w:shd w:val="clear" w:color="000000" w:fill="FFFFFF"/>
            <w:noWrap/>
            <w:vAlign w:val="center"/>
            <w:hideMark/>
          </w:tcPr>
          <w:p w14:paraId="65A6A891" w14:textId="77777777" w:rsidR="00F15F4F" w:rsidRPr="00D618B7" w:rsidRDefault="00F15F4F" w:rsidP="004B11B7">
            <w:pPr>
              <w:jc w:val="right"/>
              <w:rPr>
                <w:color w:val="000000"/>
              </w:rPr>
            </w:pPr>
            <w:r w:rsidRPr="00D618B7">
              <w:rPr>
                <w:color w:val="000000"/>
              </w:rPr>
              <w:t>23.42</w:t>
            </w:r>
          </w:p>
        </w:tc>
      </w:tr>
      <w:tr w:rsidR="00F15F4F" w:rsidRPr="00D618B7" w14:paraId="711AC238" w14:textId="77777777" w:rsidTr="004B11B7">
        <w:trPr>
          <w:trHeight w:val="303"/>
        </w:trPr>
        <w:tc>
          <w:tcPr>
            <w:tcW w:w="1248" w:type="dxa"/>
            <w:tcBorders>
              <w:top w:val="nil"/>
              <w:left w:val="nil"/>
              <w:bottom w:val="nil"/>
              <w:right w:val="nil"/>
            </w:tcBorders>
            <w:shd w:val="clear" w:color="000000" w:fill="FFFFFF"/>
            <w:vAlign w:val="center"/>
            <w:hideMark/>
          </w:tcPr>
          <w:p w14:paraId="4C0E542A" w14:textId="77777777" w:rsidR="00F15F4F" w:rsidRPr="00D618B7" w:rsidRDefault="00F15F4F" w:rsidP="004B11B7">
            <w:pPr>
              <w:jc w:val="right"/>
              <w:rPr>
                <w:color w:val="000000"/>
              </w:rPr>
            </w:pPr>
            <w:r w:rsidRPr="00D618B7">
              <w:rPr>
                <w:color w:val="000000"/>
              </w:rPr>
              <w:t>4</w:t>
            </w:r>
          </w:p>
        </w:tc>
        <w:tc>
          <w:tcPr>
            <w:tcW w:w="1080" w:type="dxa"/>
            <w:tcBorders>
              <w:top w:val="nil"/>
              <w:left w:val="nil"/>
              <w:bottom w:val="nil"/>
              <w:right w:val="nil"/>
            </w:tcBorders>
            <w:shd w:val="clear" w:color="000000" w:fill="FFFFFF"/>
            <w:noWrap/>
            <w:vAlign w:val="center"/>
            <w:hideMark/>
          </w:tcPr>
          <w:p w14:paraId="5CBFBBC1" w14:textId="77777777" w:rsidR="00F15F4F" w:rsidRPr="00D618B7" w:rsidRDefault="00F15F4F" w:rsidP="004B11B7">
            <w:pPr>
              <w:jc w:val="right"/>
              <w:rPr>
                <w:color w:val="000000"/>
              </w:rPr>
            </w:pPr>
            <w:r w:rsidRPr="00D618B7">
              <w:rPr>
                <w:color w:val="000000"/>
              </w:rPr>
              <w:t>43.25</w:t>
            </w:r>
          </w:p>
        </w:tc>
        <w:tc>
          <w:tcPr>
            <w:tcW w:w="1418" w:type="dxa"/>
            <w:tcBorders>
              <w:top w:val="nil"/>
              <w:left w:val="nil"/>
              <w:bottom w:val="nil"/>
              <w:right w:val="nil"/>
            </w:tcBorders>
            <w:shd w:val="clear" w:color="000000" w:fill="FFFFFF"/>
            <w:noWrap/>
            <w:vAlign w:val="center"/>
            <w:hideMark/>
          </w:tcPr>
          <w:p w14:paraId="4292B58D" w14:textId="77777777" w:rsidR="00F15F4F" w:rsidRPr="00D618B7" w:rsidRDefault="00F15F4F" w:rsidP="004B11B7">
            <w:pPr>
              <w:jc w:val="right"/>
              <w:rPr>
                <w:color w:val="000000"/>
              </w:rPr>
            </w:pPr>
            <w:r w:rsidRPr="00D618B7">
              <w:rPr>
                <w:color w:val="000000"/>
              </w:rPr>
              <w:t>12.52</w:t>
            </w:r>
          </w:p>
        </w:tc>
        <w:tc>
          <w:tcPr>
            <w:tcW w:w="1138" w:type="dxa"/>
            <w:tcBorders>
              <w:top w:val="nil"/>
              <w:left w:val="nil"/>
              <w:bottom w:val="nil"/>
              <w:right w:val="nil"/>
            </w:tcBorders>
            <w:shd w:val="clear" w:color="000000" w:fill="FFFFFF"/>
            <w:noWrap/>
            <w:vAlign w:val="center"/>
            <w:hideMark/>
          </w:tcPr>
          <w:p w14:paraId="114BC548" w14:textId="77777777" w:rsidR="00F15F4F" w:rsidRPr="00D618B7" w:rsidRDefault="00F15F4F" w:rsidP="004B11B7">
            <w:pPr>
              <w:jc w:val="right"/>
              <w:rPr>
                <w:color w:val="000000"/>
              </w:rPr>
            </w:pPr>
            <w:r w:rsidRPr="00D618B7">
              <w:rPr>
                <w:color w:val="000000"/>
              </w:rPr>
              <w:t>-0.96</w:t>
            </w:r>
          </w:p>
        </w:tc>
        <w:tc>
          <w:tcPr>
            <w:tcW w:w="1357" w:type="dxa"/>
            <w:tcBorders>
              <w:top w:val="nil"/>
              <w:left w:val="nil"/>
              <w:bottom w:val="nil"/>
              <w:right w:val="nil"/>
            </w:tcBorders>
            <w:shd w:val="clear" w:color="000000" w:fill="FFFFFF"/>
            <w:noWrap/>
            <w:vAlign w:val="center"/>
            <w:hideMark/>
          </w:tcPr>
          <w:p w14:paraId="22DC1394" w14:textId="77777777" w:rsidR="00F15F4F" w:rsidRPr="00D618B7" w:rsidRDefault="00F15F4F" w:rsidP="004B11B7">
            <w:pPr>
              <w:jc w:val="right"/>
              <w:rPr>
                <w:color w:val="000000"/>
              </w:rPr>
            </w:pPr>
            <w:r w:rsidRPr="00D618B7">
              <w:rPr>
                <w:color w:val="000000"/>
              </w:rPr>
              <w:t>12.35</w:t>
            </w:r>
          </w:p>
        </w:tc>
        <w:tc>
          <w:tcPr>
            <w:tcW w:w="1225" w:type="dxa"/>
            <w:tcBorders>
              <w:top w:val="nil"/>
              <w:left w:val="nil"/>
              <w:bottom w:val="nil"/>
              <w:right w:val="nil"/>
            </w:tcBorders>
            <w:shd w:val="clear" w:color="000000" w:fill="FFFFFF"/>
            <w:noWrap/>
            <w:vAlign w:val="center"/>
            <w:hideMark/>
          </w:tcPr>
          <w:p w14:paraId="6FE7E5FC" w14:textId="77777777" w:rsidR="00F15F4F" w:rsidRPr="00D618B7" w:rsidRDefault="00F15F4F" w:rsidP="004B11B7">
            <w:pPr>
              <w:jc w:val="right"/>
              <w:rPr>
                <w:color w:val="000000"/>
              </w:rPr>
            </w:pPr>
            <w:r w:rsidRPr="00D618B7">
              <w:rPr>
                <w:color w:val="000000"/>
              </w:rPr>
              <w:t>1152.73</w:t>
            </w:r>
          </w:p>
        </w:tc>
        <w:tc>
          <w:tcPr>
            <w:tcW w:w="1319" w:type="dxa"/>
            <w:tcBorders>
              <w:top w:val="nil"/>
              <w:left w:val="nil"/>
              <w:bottom w:val="nil"/>
              <w:right w:val="nil"/>
            </w:tcBorders>
            <w:shd w:val="clear" w:color="000000" w:fill="FFFFFF"/>
            <w:noWrap/>
            <w:vAlign w:val="center"/>
            <w:hideMark/>
          </w:tcPr>
          <w:p w14:paraId="2E6EF0DB" w14:textId="77777777" w:rsidR="00F15F4F" w:rsidRPr="00D618B7" w:rsidRDefault="00F15F4F" w:rsidP="004B11B7">
            <w:pPr>
              <w:jc w:val="right"/>
              <w:rPr>
                <w:color w:val="000000"/>
              </w:rPr>
            </w:pPr>
            <w:r w:rsidRPr="00D618B7">
              <w:rPr>
                <w:color w:val="000000"/>
              </w:rPr>
              <w:t>214.99</w:t>
            </w:r>
          </w:p>
        </w:tc>
      </w:tr>
      <w:tr w:rsidR="00F15F4F" w:rsidRPr="00D618B7" w14:paraId="55BEB3CF" w14:textId="77777777" w:rsidTr="004B11B7">
        <w:trPr>
          <w:trHeight w:val="318"/>
        </w:trPr>
        <w:tc>
          <w:tcPr>
            <w:tcW w:w="1248" w:type="dxa"/>
            <w:tcBorders>
              <w:top w:val="nil"/>
              <w:left w:val="nil"/>
              <w:bottom w:val="single" w:sz="8" w:space="0" w:color="auto"/>
              <w:right w:val="nil"/>
            </w:tcBorders>
            <w:shd w:val="clear" w:color="000000" w:fill="FFFFFF"/>
            <w:vAlign w:val="center"/>
            <w:hideMark/>
          </w:tcPr>
          <w:p w14:paraId="2A99D52F" w14:textId="77777777" w:rsidR="00F15F4F" w:rsidRPr="00D618B7" w:rsidRDefault="00F15F4F" w:rsidP="004B11B7">
            <w:pPr>
              <w:jc w:val="right"/>
              <w:rPr>
                <w:color w:val="000000"/>
              </w:rPr>
            </w:pPr>
            <w:r w:rsidRPr="00D618B7">
              <w:rPr>
                <w:color w:val="000000"/>
              </w:rPr>
              <w:t>5</w:t>
            </w:r>
          </w:p>
        </w:tc>
        <w:tc>
          <w:tcPr>
            <w:tcW w:w="1080" w:type="dxa"/>
            <w:tcBorders>
              <w:top w:val="nil"/>
              <w:left w:val="nil"/>
              <w:bottom w:val="single" w:sz="8" w:space="0" w:color="auto"/>
              <w:right w:val="nil"/>
            </w:tcBorders>
            <w:shd w:val="clear" w:color="000000" w:fill="FFFFFF"/>
            <w:noWrap/>
            <w:vAlign w:val="center"/>
            <w:hideMark/>
          </w:tcPr>
          <w:p w14:paraId="6A9422D8" w14:textId="77777777" w:rsidR="00F15F4F" w:rsidRPr="00D618B7" w:rsidRDefault="00F15F4F" w:rsidP="004B11B7">
            <w:pPr>
              <w:jc w:val="right"/>
              <w:rPr>
                <w:color w:val="000000"/>
              </w:rPr>
            </w:pPr>
            <w:r w:rsidRPr="00D618B7">
              <w:rPr>
                <w:color w:val="000000"/>
              </w:rPr>
              <w:t>-5.53</w:t>
            </w:r>
          </w:p>
        </w:tc>
        <w:tc>
          <w:tcPr>
            <w:tcW w:w="1418" w:type="dxa"/>
            <w:tcBorders>
              <w:top w:val="nil"/>
              <w:left w:val="nil"/>
              <w:bottom w:val="single" w:sz="8" w:space="0" w:color="auto"/>
              <w:right w:val="nil"/>
            </w:tcBorders>
            <w:shd w:val="clear" w:color="000000" w:fill="FFFFFF"/>
            <w:noWrap/>
            <w:vAlign w:val="center"/>
            <w:hideMark/>
          </w:tcPr>
          <w:p w14:paraId="5009B034" w14:textId="77777777" w:rsidR="00F15F4F" w:rsidRPr="00D618B7" w:rsidRDefault="00F15F4F" w:rsidP="004B11B7">
            <w:pPr>
              <w:jc w:val="right"/>
              <w:rPr>
                <w:color w:val="000000"/>
              </w:rPr>
            </w:pPr>
            <w:r w:rsidRPr="00D618B7">
              <w:rPr>
                <w:color w:val="000000"/>
              </w:rPr>
              <w:t>8.09</w:t>
            </w:r>
          </w:p>
        </w:tc>
        <w:tc>
          <w:tcPr>
            <w:tcW w:w="1138" w:type="dxa"/>
            <w:tcBorders>
              <w:top w:val="nil"/>
              <w:left w:val="nil"/>
              <w:bottom w:val="single" w:sz="8" w:space="0" w:color="auto"/>
              <w:right w:val="nil"/>
            </w:tcBorders>
            <w:shd w:val="clear" w:color="000000" w:fill="FFFFFF"/>
            <w:noWrap/>
            <w:vAlign w:val="center"/>
            <w:hideMark/>
          </w:tcPr>
          <w:p w14:paraId="1EB99EC6" w14:textId="77777777" w:rsidR="00F15F4F" w:rsidRPr="00D618B7" w:rsidRDefault="00F15F4F" w:rsidP="004B11B7">
            <w:pPr>
              <w:jc w:val="right"/>
              <w:rPr>
                <w:color w:val="000000"/>
              </w:rPr>
            </w:pPr>
            <w:r w:rsidRPr="00D618B7">
              <w:rPr>
                <w:color w:val="000000"/>
              </w:rPr>
              <w:t>-43.44</w:t>
            </w:r>
          </w:p>
        </w:tc>
        <w:tc>
          <w:tcPr>
            <w:tcW w:w="1357" w:type="dxa"/>
            <w:tcBorders>
              <w:top w:val="nil"/>
              <w:left w:val="nil"/>
              <w:bottom w:val="single" w:sz="8" w:space="0" w:color="auto"/>
              <w:right w:val="nil"/>
            </w:tcBorders>
            <w:shd w:val="clear" w:color="000000" w:fill="FFFFFF"/>
            <w:noWrap/>
            <w:vAlign w:val="center"/>
            <w:hideMark/>
          </w:tcPr>
          <w:p w14:paraId="520CCA46" w14:textId="77777777" w:rsidR="00F15F4F" w:rsidRPr="00D618B7" w:rsidRDefault="00F15F4F" w:rsidP="004B11B7">
            <w:pPr>
              <w:jc w:val="right"/>
              <w:rPr>
                <w:color w:val="000000"/>
              </w:rPr>
            </w:pPr>
            <w:r w:rsidRPr="00D618B7">
              <w:rPr>
                <w:color w:val="000000"/>
              </w:rPr>
              <w:t>35.62</w:t>
            </w:r>
          </w:p>
        </w:tc>
        <w:tc>
          <w:tcPr>
            <w:tcW w:w="1225" w:type="dxa"/>
            <w:tcBorders>
              <w:top w:val="nil"/>
              <w:left w:val="nil"/>
              <w:bottom w:val="single" w:sz="8" w:space="0" w:color="auto"/>
              <w:right w:val="nil"/>
            </w:tcBorders>
            <w:shd w:val="clear" w:color="000000" w:fill="FFFFFF"/>
            <w:noWrap/>
            <w:vAlign w:val="center"/>
            <w:hideMark/>
          </w:tcPr>
          <w:p w14:paraId="4FB8D00C" w14:textId="77777777" w:rsidR="00F15F4F" w:rsidRPr="00D618B7" w:rsidRDefault="00F15F4F" w:rsidP="004B11B7">
            <w:pPr>
              <w:jc w:val="right"/>
              <w:rPr>
                <w:color w:val="000000"/>
              </w:rPr>
            </w:pPr>
            <w:r w:rsidRPr="00D618B7">
              <w:rPr>
                <w:color w:val="000000"/>
              </w:rPr>
              <w:t>-131.26</w:t>
            </w:r>
          </w:p>
        </w:tc>
        <w:tc>
          <w:tcPr>
            <w:tcW w:w="1319" w:type="dxa"/>
            <w:tcBorders>
              <w:top w:val="nil"/>
              <w:left w:val="nil"/>
              <w:bottom w:val="single" w:sz="8" w:space="0" w:color="auto"/>
              <w:right w:val="nil"/>
            </w:tcBorders>
            <w:shd w:val="clear" w:color="000000" w:fill="FFFFFF"/>
            <w:noWrap/>
            <w:vAlign w:val="center"/>
            <w:hideMark/>
          </w:tcPr>
          <w:p w14:paraId="0012366D" w14:textId="77777777" w:rsidR="00F15F4F" w:rsidRPr="00D618B7" w:rsidRDefault="00F15F4F" w:rsidP="004B11B7">
            <w:pPr>
              <w:jc w:val="right"/>
              <w:rPr>
                <w:color w:val="000000"/>
              </w:rPr>
            </w:pPr>
            <w:r w:rsidRPr="00D618B7">
              <w:rPr>
                <w:color w:val="000000"/>
              </w:rPr>
              <w:t>43.95</w:t>
            </w:r>
          </w:p>
        </w:tc>
      </w:tr>
    </w:tbl>
    <w:p w14:paraId="1004FF98" w14:textId="77777777" w:rsidR="00F15F4F" w:rsidRPr="00D618B7" w:rsidRDefault="00F15F4F" w:rsidP="00F15F4F"/>
    <w:p w14:paraId="2ACE20D8" w14:textId="77777777" w:rsidR="00F15F4F" w:rsidRPr="00D618B7" w:rsidRDefault="00F15F4F" w:rsidP="00F15F4F">
      <w:r w:rsidRPr="00D618B7">
        <w:rPr>
          <w:i/>
          <w:iCs/>
        </w:rPr>
        <w:t>Note</w:t>
      </w:r>
      <w:r w:rsidRPr="00D618B7">
        <w:t>: This table lists the estimated mean average duration and standard error in milliseconds of face, hand, and mouth events by group for each week of observation around reach-onset.</w:t>
      </w:r>
    </w:p>
    <w:p w14:paraId="72E796BA" w14:textId="61B4912F" w:rsidR="00165033" w:rsidRPr="00D618B7" w:rsidRDefault="00165033" w:rsidP="00165033">
      <w:r w:rsidRPr="00D618B7">
        <w:t>.</w:t>
      </w:r>
    </w:p>
    <w:p w14:paraId="398E59CD" w14:textId="77777777" w:rsidR="00165033" w:rsidRPr="00D618B7" w:rsidRDefault="00165033" w:rsidP="00165033"/>
    <w:p w14:paraId="47029C0E" w14:textId="77777777" w:rsidR="006226F5" w:rsidRPr="00D618B7" w:rsidRDefault="006226F5" w:rsidP="006226F5">
      <w:r w:rsidRPr="00D618B7">
        <w:br w:type="page"/>
      </w:r>
    </w:p>
    <w:p w14:paraId="4A299748" w14:textId="76807EE9" w:rsidR="006226F5" w:rsidRPr="00D618B7" w:rsidRDefault="006226F5" w:rsidP="007C5074">
      <w:pPr>
        <w:pStyle w:val="Caption"/>
      </w:pPr>
      <w:bookmarkStart w:id="221" w:name="_Toc172716903"/>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75</w:t>
      </w:r>
      <w:r w:rsidR="00000000">
        <w:rPr>
          <w:noProof/>
        </w:rPr>
        <w:fldChar w:fldCharType="end"/>
      </w:r>
      <w:r w:rsidR="00AE3927">
        <w:rPr>
          <w:noProof/>
        </w:rPr>
        <w:t>:</w:t>
      </w:r>
      <w:r w:rsidR="00C953D6" w:rsidRPr="00C953D6">
        <w:t xml:space="preserve"> </w:t>
      </w:r>
      <w:r w:rsidR="00C953D6">
        <w:t>Event average duration</w:t>
      </w:r>
      <w:r w:rsidR="00C953D6" w:rsidRPr="00BA36EF">
        <w:t xml:space="preserve"> by</w:t>
      </w:r>
      <w:r w:rsidR="00C953D6">
        <w:t xml:space="preserve"> proximity and week by group</w:t>
      </w:r>
      <w:bookmarkEnd w:id="221"/>
    </w:p>
    <w:p w14:paraId="31491A10" w14:textId="77777777" w:rsidR="0027688F" w:rsidRPr="00D618B7" w:rsidRDefault="0027688F" w:rsidP="0027688F">
      <w:r w:rsidRPr="00D618B7">
        <w:t>Estimated Mean Average Duration of Events by Proximity, Week, and Group</w:t>
      </w:r>
    </w:p>
    <w:tbl>
      <w:tblPr>
        <w:tblW w:w="5011" w:type="pct"/>
        <w:tblLook w:val="04A0" w:firstRow="1" w:lastRow="0" w:firstColumn="1" w:lastColumn="0" w:noHBand="0" w:noVBand="1"/>
      </w:tblPr>
      <w:tblGrid>
        <w:gridCol w:w="1200"/>
        <w:gridCol w:w="1201"/>
        <w:gridCol w:w="1163"/>
        <w:gridCol w:w="1491"/>
        <w:gridCol w:w="1202"/>
        <w:gridCol w:w="1201"/>
        <w:gridCol w:w="1201"/>
      </w:tblGrid>
      <w:tr w:rsidR="0027688F" w:rsidRPr="00D618B7" w14:paraId="658CC2F3" w14:textId="77777777" w:rsidTr="00C953D6">
        <w:trPr>
          <w:trHeight w:val="325"/>
        </w:trPr>
        <w:tc>
          <w:tcPr>
            <w:tcW w:w="714" w:type="pct"/>
            <w:tcBorders>
              <w:top w:val="nil"/>
              <w:left w:val="nil"/>
              <w:bottom w:val="single" w:sz="8" w:space="0" w:color="auto"/>
              <w:right w:val="nil"/>
            </w:tcBorders>
            <w:shd w:val="clear" w:color="auto" w:fill="auto"/>
            <w:noWrap/>
            <w:vAlign w:val="bottom"/>
            <w:hideMark/>
          </w:tcPr>
          <w:p w14:paraId="5C79B5B2" w14:textId="77777777" w:rsidR="0027688F" w:rsidRPr="00D618B7" w:rsidRDefault="0027688F" w:rsidP="004B11B7">
            <w:pPr>
              <w:rPr>
                <w:color w:val="000000"/>
              </w:rPr>
            </w:pPr>
            <w:r w:rsidRPr="00D618B7">
              <w:rPr>
                <w:color w:val="000000"/>
              </w:rPr>
              <w:t> </w:t>
            </w:r>
          </w:p>
        </w:tc>
        <w:tc>
          <w:tcPr>
            <w:tcW w:w="714" w:type="pct"/>
            <w:tcBorders>
              <w:top w:val="nil"/>
              <w:left w:val="nil"/>
              <w:bottom w:val="single" w:sz="8" w:space="0" w:color="auto"/>
              <w:right w:val="nil"/>
            </w:tcBorders>
            <w:shd w:val="clear" w:color="auto" w:fill="auto"/>
            <w:noWrap/>
            <w:vAlign w:val="bottom"/>
            <w:hideMark/>
          </w:tcPr>
          <w:p w14:paraId="443C5E5B" w14:textId="77777777" w:rsidR="0027688F" w:rsidRPr="00D618B7" w:rsidRDefault="0027688F" w:rsidP="004B11B7">
            <w:pPr>
              <w:rPr>
                <w:color w:val="000000"/>
              </w:rPr>
            </w:pPr>
            <w:r w:rsidRPr="00D618B7">
              <w:rPr>
                <w:color w:val="000000"/>
              </w:rPr>
              <w:t> </w:t>
            </w:r>
          </w:p>
        </w:tc>
        <w:tc>
          <w:tcPr>
            <w:tcW w:w="547" w:type="pct"/>
            <w:tcBorders>
              <w:top w:val="nil"/>
              <w:left w:val="nil"/>
              <w:bottom w:val="single" w:sz="8" w:space="0" w:color="auto"/>
              <w:right w:val="nil"/>
            </w:tcBorders>
            <w:shd w:val="clear" w:color="auto" w:fill="auto"/>
            <w:noWrap/>
            <w:vAlign w:val="bottom"/>
            <w:hideMark/>
          </w:tcPr>
          <w:p w14:paraId="5AFCAA17" w14:textId="77777777" w:rsidR="0027688F" w:rsidRPr="00D618B7" w:rsidRDefault="0027688F" w:rsidP="004B11B7">
            <w:pPr>
              <w:rPr>
                <w:color w:val="000000"/>
              </w:rPr>
            </w:pPr>
            <w:r w:rsidRPr="00D618B7">
              <w:rPr>
                <w:color w:val="000000"/>
              </w:rPr>
              <w:t> </w:t>
            </w:r>
          </w:p>
        </w:tc>
        <w:tc>
          <w:tcPr>
            <w:tcW w:w="882" w:type="pct"/>
            <w:tcBorders>
              <w:top w:val="nil"/>
              <w:left w:val="nil"/>
              <w:bottom w:val="single" w:sz="8" w:space="0" w:color="auto"/>
              <w:right w:val="nil"/>
            </w:tcBorders>
            <w:shd w:val="clear" w:color="auto" w:fill="auto"/>
            <w:noWrap/>
            <w:vAlign w:val="bottom"/>
            <w:hideMark/>
          </w:tcPr>
          <w:p w14:paraId="2A1616D0" w14:textId="77777777" w:rsidR="0027688F" w:rsidRPr="00D618B7" w:rsidRDefault="0027688F" w:rsidP="004B11B7">
            <w:pPr>
              <w:rPr>
                <w:color w:val="000000"/>
              </w:rPr>
            </w:pPr>
            <w:r w:rsidRPr="00D618B7">
              <w:rPr>
                <w:color w:val="000000"/>
              </w:rPr>
              <w:t> </w:t>
            </w:r>
          </w:p>
        </w:tc>
        <w:tc>
          <w:tcPr>
            <w:tcW w:w="715" w:type="pct"/>
            <w:tcBorders>
              <w:top w:val="nil"/>
              <w:left w:val="nil"/>
              <w:bottom w:val="single" w:sz="8" w:space="0" w:color="auto"/>
              <w:right w:val="nil"/>
            </w:tcBorders>
            <w:shd w:val="clear" w:color="auto" w:fill="auto"/>
            <w:noWrap/>
            <w:vAlign w:val="bottom"/>
            <w:hideMark/>
          </w:tcPr>
          <w:p w14:paraId="2C75F6F7" w14:textId="77777777" w:rsidR="0027688F" w:rsidRPr="00D618B7" w:rsidRDefault="0027688F" w:rsidP="004B11B7">
            <w:pPr>
              <w:rPr>
                <w:color w:val="000000"/>
              </w:rPr>
            </w:pPr>
            <w:r w:rsidRPr="00D618B7">
              <w:rPr>
                <w:color w:val="000000"/>
              </w:rPr>
              <w:t> </w:t>
            </w:r>
          </w:p>
        </w:tc>
        <w:tc>
          <w:tcPr>
            <w:tcW w:w="714" w:type="pct"/>
            <w:tcBorders>
              <w:top w:val="nil"/>
              <w:left w:val="nil"/>
              <w:bottom w:val="single" w:sz="8" w:space="0" w:color="auto"/>
              <w:right w:val="nil"/>
            </w:tcBorders>
            <w:shd w:val="clear" w:color="auto" w:fill="auto"/>
            <w:noWrap/>
            <w:vAlign w:val="bottom"/>
            <w:hideMark/>
          </w:tcPr>
          <w:p w14:paraId="44902D8F" w14:textId="77777777" w:rsidR="0027688F" w:rsidRPr="00D618B7" w:rsidRDefault="0027688F" w:rsidP="004B11B7">
            <w:pPr>
              <w:rPr>
                <w:color w:val="000000"/>
              </w:rPr>
            </w:pPr>
            <w:r w:rsidRPr="00D618B7">
              <w:rPr>
                <w:color w:val="000000"/>
              </w:rPr>
              <w:t> </w:t>
            </w:r>
          </w:p>
        </w:tc>
        <w:tc>
          <w:tcPr>
            <w:tcW w:w="714" w:type="pct"/>
            <w:tcBorders>
              <w:top w:val="nil"/>
              <w:left w:val="nil"/>
              <w:bottom w:val="single" w:sz="8" w:space="0" w:color="auto"/>
              <w:right w:val="nil"/>
            </w:tcBorders>
            <w:shd w:val="clear" w:color="auto" w:fill="auto"/>
            <w:noWrap/>
            <w:vAlign w:val="bottom"/>
            <w:hideMark/>
          </w:tcPr>
          <w:p w14:paraId="6A3099E5" w14:textId="77777777" w:rsidR="0027688F" w:rsidRPr="00D618B7" w:rsidRDefault="0027688F" w:rsidP="004B11B7">
            <w:pPr>
              <w:rPr>
                <w:color w:val="000000"/>
              </w:rPr>
            </w:pPr>
            <w:r w:rsidRPr="00D618B7">
              <w:rPr>
                <w:color w:val="000000"/>
              </w:rPr>
              <w:t> </w:t>
            </w:r>
          </w:p>
        </w:tc>
      </w:tr>
      <w:tr w:rsidR="0027688F" w:rsidRPr="00D618B7" w14:paraId="52B3CDE9" w14:textId="77777777" w:rsidTr="00C953D6">
        <w:trPr>
          <w:trHeight w:val="325"/>
        </w:trPr>
        <w:tc>
          <w:tcPr>
            <w:tcW w:w="714" w:type="pct"/>
            <w:tcBorders>
              <w:top w:val="nil"/>
              <w:left w:val="nil"/>
              <w:bottom w:val="nil"/>
              <w:right w:val="nil"/>
            </w:tcBorders>
            <w:shd w:val="clear" w:color="000000" w:fill="FFFFFF"/>
            <w:vAlign w:val="center"/>
            <w:hideMark/>
          </w:tcPr>
          <w:p w14:paraId="641FDF88" w14:textId="77777777" w:rsidR="0027688F" w:rsidRPr="00D618B7" w:rsidRDefault="0027688F" w:rsidP="004B11B7">
            <w:pPr>
              <w:jc w:val="center"/>
              <w:rPr>
                <w:color w:val="000000"/>
              </w:rPr>
            </w:pPr>
            <w:r w:rsidRPr="00D618B7">
              <w:rPr>
                <w:color w:val="000000"/>
              </w:rPr>
              <w:t>Week</w:t>
            </w:r>
          </w:p>
        </w:tc>
        <w:tc>
          <w:tcPr>
            <w:tcW w:w="1261" w:type="pct"/>
            <w:gridSpan w:val="2"/>
            <w:tcBorders>
              <w:top w:val="nil"/>
              <w:left w:val="nil"/>
              <w:bottom w:val="single" w:sz="8" w:space="0" w:color="auto"/>
              <w:right w:val="nil"/>
            </w:tcBorders>
            <w:shd w:val="clear" w:color="000000" w:fill="FFFFFF"/>
            <w:vAlign w:val="center"/>
            <w:hideMark/>
          </w:tcPr>
          <w:p w14:paraId="35CF5CE4" w14:textId="77777777" w:rsidR="0027688F" w:rsidRPr="00D618B7" w:rsidRDefault="0027688F" w:rsidP="00C953D6">
            <w:pPr>
              <w:jc w:val="center"/>
              <w:rPr>
                <w:color w:val="000000"/>
              </w:rPr>
            </w:pPr>
            <w:r w:rsidRPr="00D618B7">
              <w:rPr>
                <w:color w:val="000000"/>
              </w:rPr>
              <w:t>Toy-out-of-Reach</w:t>
            </w:r>
          </w:p>
        </w:tc>
        <w:tc>
          <w:tcPr>
            <w:tcW w:w="1597" w:type="pct"/>
            <w:gridSpan w:val="2"/>
            <w:tcBorders>
              <w:top w:val="nil"/>
              <w:left w:val="nil"/>
              <w:bottom w:val="single" w:sz="8" w:space="0" w:color="auto"/>
              <w:right w:val="nil"/>
            </w:tcBorders>
            <w:shd w:val="clear" w:color="000000" w:fill="FFFFFF"/>
            <w:vAlign w:val="center"/>
            <w:hideMark/>
          </w:tcPr>
          <w:p w14:paraId="6F2B73A9" w14:textId="17507DC0" w:rsidR="0027688F" w:rsidRPr="00D618B7" w:rsidRDefault="0027688F" w:rsidP="00C953D6">
            <w:pPr>
              <w:rPr>
                <w:color w:val="000000"/>
              </w:rPr>
            </w:pPr>
            <w:r w:rsidRPr="00D618B7">
              <w:rPr>
                <w:color w:val="000000"/>
              </w:rPr>
              <w:t>Toy-Moving-into-Reach</w:t>
            </w:r>
          </w:p>
        </w:tc>
        <w:tc>
          <w:tcPr>
            <w:tcW w:w="1429" w:type="pct"/>
            <w:gridSpan w:val="2"/>
            <w:tcBorders>
              <w:top w:val="nil"/>
              <w:left w:val="nil"/>
              <w:bottom w:val="single" w:sz="8" w:space="0" w:color="auto"/>
              <w:right w:val="nil"/>
            </w:tcBorders>
            <w:shd w:val="clear" w:color="000000" w:fill="FFFFFF"/>
            <w:vAlign w:val="center"/>
            <w:hideMark/>
          </w:tcPr>
          <w:p w14:paraId="71011C9E" w14:textId="77777777" w:rsidR="0027688F" w:rsidRPr="00D618B7" w:rsidRDefault="0027688F" w:rsidP="004B11B7">
            <w:pPr>
              <w:jc w:val="center"/>
              <w:rPr>
                <w:color w:val="000000"/>
              </w:rPr>
            </w:pPr>
            <w:r w:rsidRPr="00D618B7">
              <w:rPr>
                <w:color w:val="000000"/>
              </w:rPr>
              <w:t>Toy-in-Reach</w:t>
            </w:r>
          </w:p>
        </w:tc>
      </w:tr>
      <w:tr w:rsidR="0027688F" w:rsidRPr="00D618B7" w14:paraId="5E049CC7" w14:textId="77777777" w:rsidTr="00C953D6">
        <w:trPr>
          <w:trHeight w:val="325"/>
        </w:trPr>
        <w:tc>
          <w:tcPr>
            <w:tcW w:w="714" w:type="pct"/>
            <w:tcBorders>
              <w:top w:val="nil"/>
              <w:left w:val="nil"/>
              <w:bottom w:val="single" w:sz="8" w:space="0" w:color="auto"/>
              <w:right w:val="nil"/>
            </w:tcBorders>
            <w:shd w:val="clear" w:color="000000" w:fill="FFFFFF"/>
            <w:noWrap/>
            <w:vAlign w:val="bottom"/>
            <w:hideMark/>
          </w:tcPr>
          <w:p w14:paraId="56EF4EDE" w14:textId="77777777" w:rsidR="0027688F" w:rsidRPr="00D618B7" w:rsidRDefault="0027688F" w:rsidP="004B11B7">
            <w:pPr>
              <w:rPr>
                <w:color w:val="000000"/>
              </w:rPr>
            </w:pPr>
            <w:r w:rsidRPr="00D618B7">
              <w:rPr>
                <w:color w:val="000000"/>
              </w:rPr>
              <w:t> </w:t>
            </w:r>
          </w:p>
        </w:tc>
        <w:tc>
          <w:tcPr>
            <w:tcW w:w="714" w:type="pct"/>
            <w:tcBorders>
              <w:top w:val="nil"/>
              <w:left w:val="nil"/>
              <w:bottom w:val="single" w:sz="8" w:space="0" w:color="auto"/>
              <w:right w:val="nil"/>
            </w:tcBorders>
            <w:shd w:val="clear" w:color="000000" w:fill="FFFFFF"/>
            <w:noWrap/>
            <w:vAlign w:val="center"/>
            <w:hideMark/>
          </w:tcPr>
          <w:p w14:paraId="35B171B7" w14:textId="77777777" w:rsidR="0027688F" w:rsidRPr="00D618B7" w:rsidRDefault="0027688F" w:rsidP="004B11B7">
            <w:pPr>
              <w:jc w:val="right"/>
              <w:rPr>
                <w:color w:val="000000"/>
              </w:rPr>
            </w:pPr>
            <w:r w:rsidRPr="00D618B7">
              <w:rPr>
                <w:color w:val="000000"/>
              </w:rPr>
              <w:t>Mean</w:t>
            </w:r>
          </w:p>
        </w:tc>
        <w:tc>
          <w:tcPr>
            <w:tcW w:w="547" w:type="pct"/>
            <w:tcBorders>
              <w:top w:val="nil"/>
              <w:left w:val="nil"/>
              <w:bottom w:val="single" w:sz="8" w:space="0" w:color="auto"/>
              <w:right w:val="nil"/>
            </w:tcBorders>
            <w:shd w:val="clear" w:color="000000" w:fill="FFFFFF"/>
            <w:noWrap/>
            <w:vAlign w:val="center"/>
            <w:hideMark/>
          </w:tcPr>
          <w:p w14:paraId="736455DD" w14:textId="77777777" w:rsidR="0027688F" w:rsidRPr="00D618B7" w:rsidRDefault="0027688F" w:rsidP="004B11B7">
            <w:pPr>
              <w:jc w:val="right"/>
              <w:rPr>
                <w:color w:val="000000"/>
              </w:rPr>
            </w:pPr>
            <w:r w:rsidRPr="00D618B7">
              <w:rPr>
                <w:color w:val="000000"/>
              </w:rPr>
              <w:t>Std. Error</w:t>
            </w:r>
          </w:p>
        </w:tc>
        <w:tc>
          <w:tcPr>
            <w:tcW w:w="882" w:type="pct"/>
            <w:tcBorders>
              <w:top w:val="nil"/>
              <w:left w:val="nil"/>
              <w:bottom w:val="single" w:sz="8" w:space="0" w:color="auto"/>
              <w:right w:val="nil"/>
            </w:tcBorders>
            <w:shd w:val="clear" w:color="000000" w:fill="FFFFFF"/>
            <w:noWrap/>
            <w:vAlign w:val="center"/>
            <w:hideMark/>
          </w:tcPr>
          <w:p w14:paraId="6B3EFE10" w14:textId="77777777" w:rsidR="0027688F" w:rsidRPr="00D618B7" w:rsidRDefault="0027688F" w:rsidP="004B11B7">
            <w:pPr>
              <w:jc w:val="right"/>
              <w:rPr>
                <w:color w:val="000000"/>
              </w:rPr>
            </w:pPr>
            <w:r w:rsidRPr="00D618B7">
              <w:rPr>
                <w:color w:val="000000"/>
              </w:rPr>
              <w:t>Mean</w:t>
            </w:r>
          </w:p>
        </w:tc>
        <w:tc>
          <w:tcPr>
            <w:tcW w:w="715" w:type="pct"/>
            <w:tcBorders>
              <w:top w:val="nil"/>
              <w:left w:val="nil"/>
              <w:bottom w:val="single" w:sz="8" w:space="0" w:color="auto"/>
              <w:right w:val="nil"/>
            </w:tcBorders>
            <w:shd w:val="clear" w:color="000000" w:fill="FFFFFF"/>
            <w:noWrap/>
            <w:vAlign w:val="center"/>
            <w:hideMark/>
          </w:tcPr>
          <w:p w14:paraId="6AA59289" w14:textId="77777777" w:rsidR="0027688F" w:rsidRPr="00D618B7" w:rsidRDefault="0027688F" w:rsidP="004B11B7">
            <w:pPr>
              <w:jc w:val="right"/>
              <w:rPr>
                <w:color w:val="000000"/>
              </w:rPr>
            </w:pPr>
            <w:r w:rsidRPr="00D618B7">
              <w:rPr>
                <w:color w:val="000000"/>
              </w:rPr>
              <w:t>Std. Error</w:t>
            </w:r>
          </w:p>
        </w:tc>
        <w:tc>
          <w:tcPr>
            <w:tcW w:w="714" w:type="pct"/>
            <w:tcBorders>
              <w:top w:val="nil"/>
              <w:left w:val="nil"/>
              <w:bottom w:val="single" w:sz="8" w:space="0" w:color="auto"/>
              <w:right w:val="nil"/>
            </w:tcBorders>
            <w:shd w:val="clear" w:color="000000" w:fill="FFFFFF"/>
            <w:noWrap/>
            <w:vAlign w:val="center"/>
            <w:hideMark/>
          </w:tcPr>
          <w:p w14:paraId="6CF3932B" w14:textId="77777777" w:rsidR="0027688F" w:rsidRPr="00D618B7" w:rsidRDefault="0027688F" w:rsidP="004B11B7">
            <w:pPr>
              <w:jc w:val="right"/>
              <w:rPr>
                <w:color w:val="000000"/>
              </w:rPr>
            </w:pPr>
            <w:r w:rsidRPr="00D618B7">
              <w:rPr>
                <w:color w:val="000000"/>
              </w:rPr>
              <w:t>Mean</w:t>
            </w:r>
          </w:p>
        </w:tc>
        <w:tc>
          <w:tcPr>
            <w:tcW w:w="714" w:type="pct"/>
            <w:tcBorders>
              <w:top w:val="nil"/>
              <w:left w:val="nil"/>
              <w:bottom w:val="single" w:sz="8" w:space="0" w:color="auto"/>
              <w:right w:val="nil"/>
            </w:tcBorders>
            <w:shd w:val="clear" w:color="000000" w:fill="FFFFFF"/>
            <w:noWrap/>
            <w:vAlign w:val="center"/>
            <w:hideMark/>
          </w:tcPr>
          <w:p w14:paraId="5761CD0F" w14:textId="77777777" w:rsidR="0027688F" w:rsidRPr="00D618B7" w:rsidRDefault="0027688F" w:rsidP="004B11B7">
            <w:pPr>
              <w:jc w:val="right"/>
              <w:rPr>
                <w:color w:val="000000"/>
              </w:rPr>
            </w:pPr>
            <w:r w:rsidRPr="00D618B7">
              <w:rPr>
                <w:color w:val="000000"/>
              </w:rPr>
              <w:t>Std. Error</w:t>
            </w:r>
          </w:p>
        </w:tc>
      </w:tr>
      <w:tr w:rsidR="0027688F" w:rsidRPr="00D618B7" w14:paraId="1747C383" w14:textId="77777777" w:rsidTr="004B11B7">
        <w:trPr>
          <w:trHeight w:val="325"/>
        </w:trPr>
        <w:tc>
          <w:tcPr>
            <w:tcW w:w="714" w:type="pct"/>
            <w:tcBorders>
              <w:top w:val="nil"/>
              <w:left w:val="nil"/>
              <w:bottom w:val="nil"/>
              <w:right w:val="nil"/>
            </w:tcBorders>
            <w:shd w:val="clear" w:color="000000" w:fill="FFFFFF"/>
            <w:noWrap/>
            <w:vAlign w:val="bottom"/>
            <w:hideMark/>
          </w:tcPr>
          <w:p w14:paraId="71FF6072" w14:textId="77777777" w:rsidR="0027688F" w:rsidRPr="00D618B7" w:rsidRDefault="0027688F" w:rsidP="004B11B7">
            <w:pPr>
              <w:rPr>
                <w:color w:val="000000"/>
              </w:rPr>
            </w:pPr>
            <w:r w:rsidRPr="00D618B7">
              <w:rPr>
                <w:color w:val="000000"/>
              </w:rPr>
              <w:t> </w:t>
            </w:r>
          </w:p>
        </w:tc>
        <w:tc>
          <w:tcPr>
            <w:tcW w:w="4286" w:type="pct"/>
            <w:gridSpan w:val="6"/>
            <w:tcBorders>
              <w:top w:val="single" w:sz="8" w:space="0" w:color="auto"/>
              <w:left w:val="nil"/>
              <w:bottom w:val="nil"/>
              <w:right w:val="nil"/>
            </w:tcBorders>
            <w:shd w:val="clear" w:color="000000" w:fill="FFFFFF"/>
            <w:noWrap/>
            <w:vAlign w:val="center"/>
            <w:hideMark/>
          </w:tcPr>
          <w:p w14:paraId="6D23F3AA" w14:textId="77777777" w:rsidR="0027688F" w:rsidRPr="00D618B7" w:rsidRDefault="0027688F" w:rsidP="004B11B7">
            <w:pPr>
              <w:jc w:val="center"/>
              <w:rPr>
                <w:color w:val="000000"/>
              </w:rPr>
            </w:pPr>
            <w:r w:rsidRPr="00D618B7">
              <w:rPr>
                <w:color w:val="000000"/>
              </w:rPr>
              <w:t>Early Reach Group</w:t>
            </w:r>
          </w:p>
        </w:tc>
      </w:tr>
      <w:tr w:rsidR="0027688F" w:rsidRPr="00D618B7" w14:paraId="7C82D034" w14:textId="77777777" w:rsidTr="00C953D6">
        <w:trPr>
          <w:trHeight w:val="325"/>
        </w:trPr>
        <w:tc>
          <w:tcPr>
            <w:tcW w:w="714" w:type="pct"/>
            <w:tcBorders>
              <w:top w:val="nil"/>
              <w:left w:val="nil"/>
              <w:bottom w:val="nil"/>
              <w:right w:val="nil"/>
            </w:tcBorders>
            <w:shd w:val="clear" w:color="000000" w:fill="FFFFFF"/>
            <w:vAlign w:val="center"/>
            <w:hideMark/>
          </w:tcPr>
          <w:p w14:paraId="37242AB8" w14:textId="77777777" w:rsidR="0027688F" w:rsidRPr="00D618B7" w:rsidRDefault="0027688F" w:rsidP="004B11B7">
            <w:pPr>
              <w:jc w:val="right"/>
              <w:rPr>
                <w:color w:val="000000"/>
              </w:rPr>
            </w:pPr>
            <w:r w:rsidRPr="00D618B7">
              <w:rPr>
                <w:color w:val="000000"/>
              </w:rPr>
              <w:t>-5</w:t>
            </w:r>
          </w:p>
        </w:tc>
        <w:tc>
          <w:tcPr>
            <w:tcW w:w="714" w:type="pct"/>
            <w:tcBorders>
              <w:top w:val="nil"/>
              <w:left w:val="nil"/>
              <w:bottom w:val="nil"/>
              <w:right w:val="nil"/>
            </w:tcBorders>
            <w:shd w:val="clear" w:color="000000" w:fill="FFFFFF"/>
            <w:noWrap/>
            <w:vAlign w:val="center"/>
            <w:hideMark/>
          </w:tcPr>
          <w:p w14:paraId="01879C2E" w14:textId="77777777" w:rsidR="0027688F" w:rsidRPr="00D618B7" w:rsidRDefault="0027688F" w:rsidP="004B11B7">
            <w:pPr>
              <w:jc w:val="right"/>
              <w:rPr>
                <w:color w:val="000000"/>
              </w:rPr>
            </w:pPr>
            <w:r w:rsidRPr="00D618B7">
              <w:rPr>
                <w:color w:val="000000"/>
              </w:rPr>
              <w:t>1087.71</w:t>
            </w:r>
          </w:p>
        </w:tc>
        <w:tc>
          <w:tcPr>
            <w:tcW w:w="547" w:type="pct"/>
            <w:tcBorders>
              <w:top w:val="nil"/>
              <w:left w:val="nil"/>
              <w:bottom w:val="nil"/>
              <w:right w:val="nil"/>
            </w:tcBorders>
            <w:shd w:val="clear" w:color="000000" w:fill="FFFFFF"/>
            <w:noWrap/>
            <w:vAlign w:val="center"/>
            <w:hideMark/>
          </w:tcPr>
          <w:p w14:paraId="4A7F4130" w14:textId="77777777" w:rsidR="0027688F" w:rsidRPr="00D618B7" w:rsidRDefault="0027688F" w:rsidP="004B11B7">
            <w:pPr>
              <w:jc w:val="right"/>
              <w:rPr>
                <w:color w:val="000000"/>
              </w:rPr>
            </w:pPr>
            <w:r w:rsidRPr="00D618B7">
              <w:rPr>
                <w:color w:val="000000"/>
              </w:rPr>
              <w:t>59.39</w:t>
            </w:r>
          </w:p>
        </w:tc>
        <w:tc>
          <w:tcPr>
            <w:tcW w:w="882" w:type="pct"/>
            <w:tcBorders>
              <w:top w:val="nil"/>
              <w:left w:val="nil"/>
              <w:bottom w:val="nil"/>
              <w:right w:val="nil"/>
            </w:tcBorders>
            <w:shd w:val="clear" w:color="000000" w:fill="FFFFFF"/>
            <w:noWrap/>
            <w:vAlign w:val="center"/>
            <w:hideMark/>
          </w:tcPr>
          <w:p w14:paraId="0EF4BC49" w14:textId="77777777" w:rsidR="0027688F" w:rsidRPr="00D618B7" w:rsidRDefault="0027688F" w:rsidP="004B11B7">
            <w:pPr>
              <w:jc w:val="right"/>
              <w:rPr>
                <w:color w:val="000000"/>
              </w:rPr>
            </w:pPr>
            <w:r w:rsidRPr="00D618B7">
              <w:rPr>
                <w:color w:val="000000"/>
              </w:rPr>
              <w:t>216.68</w:t>
            </w:r>
          </w:p>
        </w:tc>
        <w:tc>
          <w:tcPr>
            <w:tcW w:w="715" w:type="pct"/>
            <w:tcBorders>
              <w:top w:val="nil"/>
              <w:left w:val="nil"/>
              <w:bottom w:val="nil"/>
              <w:right w:val="nil"/>
            </w:tcBorders>
            <w:shd w:val="clear" w:color="000000" w:fill="FFFFFF"/>
            <w:noWrap/>
            <w:vAlign w:val="center"/>
            <w:hideMark/>
          </w:tcPr>
          <w:p w14:paraId="5DE80666" w14:textId="77777777" w:rsidR="0027688F" w:rsidRPr="00D618B7" w:rsidRDefault="0027688F" w:rsidP="004B11B7">
            <w:pPr>
              <w:jc w:val="right"/>
              <w:rPr>
                <w:color w:val="000000"/>
              </w:rPr>
            </w:pPr>
            <w:r w:rsidRPr="00D618B7">
              <w:rPr>
                <w:color w:val="000000"/>
              </w:rPr>
              <w:t>30.67</w:t>
            </w:r>
          </w:p>
        </w:tc>
        <w:tc>
          <w:tcPr>
            <w:tcW w:w="714" w:type="pct"/>
            <w:tcBorders>
              <w:top w:val="nil"/>
              <w:left w:val="nil"/>
              <w:bottom w:val="nil"/>
              <w:right w:val="nil"/>
            </w:tcBorders>
            <w:shd w:val="clear" w:color="000000" w:fill="FFFFFF"/>
            <w:noWrap/>
            <w:vAlign w:val="center"/>
            <w:hideMark/>
          </w:tcPr>
          <w:p w14:paraId="294A54A4" w14:textId="77777777" w:rsidR="0027688F" w:rsidRPr="00D618B7" w:rsidRDefault="0027688F" w:rsidP="004B11B7">
            <w:pPr>
              <w:jc w:val="right"/>
              <w:rPr>
                <w:color w:val="000000"/>
              </w:rPr>
            </w:pPr>
            <w:r w:rsidRPr="00D618B7">
              <w:rPr>
                <w:color w:val="000000"/>
              </w:rPr>
              <w:t>309.27</w:t>
            </w:r>
          </w:p>
        </w:tc>
        <w:tc>
          <w:tcPr>
            <w:tcW w:w="714" w:type="pct"/>
            <w:tcBorders>
              <w:top w:val="nil"/>
              <w:left w:val="nil"/>
              <w:bottom w:val="nil"/>
              <w:right w:val="nil"/>
            </w:tcBorders>
            <w:shd w:val="clear" w:color="000000" w:fill="FFFFFF"/>
            <w:noWrap/>
            <w:vAlign w:val="center"/>
            <w:hideMark/>
          </w:tcPr>
          <w:p w14:paraId="239DEC66" w14:textId="77777777" w:rsidR="0027688F" w:rsidRPr="00D618B7" w:rsidRDefault="0027688F" w:rsidP="004B11B7">
            <w:pPr>
              <w:jc w:val="right"/>
              <w:rPr>
                <w:color w:val="000000"/>
              </w:rPr>
            </w:pPr>
            <w:r w:rsidRPr="00D618B7">
              <w:rPr>
                <w:color w:val="000000"/>
              </w:rPr>
              <w:t>69.50</w:t>
            </w:r>
          </w:p>
        </w:tc>
      </w:tr>
      <w:tr w:rsidR="0027688F" w:rsidRPr="00D618B7" w14:paraId="21A65458" w14:textId="77777777" w:rsidTr="00C953D6">
        <w:trPr>
          <w:trHeight w:val="325"/>
        </w:trPr>
        <w:tc>
          <w:tcPr>
            <w:tcW w:w="714" w:type="pct"/>
            <w:tcBorders>
              <w:top w:val="nil"/>
              <w:left w:val="nil"/>
              <w:bottom w:val="nil"/>
              <w:right w:val="nil"/>
            </w:tcBorders>
            <w:shd w:val="clear" w:color="000000" w:fill="FFFFFF"/>
            <w:vAlign w:val="center"/>
            <w:hideMark/>
          </w:tcPr>
          <w:p w14:paraId="417A6236" w14:textId="77777777" w:rsidR="0027688F" w:rsidRPr="00D618B7" w:rsidRDefault="0027688F"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0F168D42" w14:textId="77777777" w:rsidR="0027688F" w:rsidRPr="00D618B7" w:rsidRDefault="0027688F" w:rsidP="004B11B7">
            <w:pPr>
              <w:jc w:val="right"/>
              <w:rPr>
                <w:color w:val="000000"/>
              </w:rPr>
            </w:pPr>
            <w:r w:rsidRPr="00D618B7">
              <w:rPr>
                <w:color w:val="000000"/>
              </w:rPr>
              <w:t>-31.69</w:t>
            </w:r>
          </w:p>
        </w:tc>
        <w:tc>
          <w:tcPr>
            <w:tcW w:w="547" w:type="pct"/>
            <w:tcBorders>
              <w:top w:val="nil"/>
              <w:left w:val="nil"/>
              <w:bottom w:val="nil"/>
              <w:right w:val="nil"/>
            </w:tcBorders>
            <w:shd w:val="clear" w:color="000000" w:fill="FFFFFF"/>
            <w:noWrap/>
            <w:vAlign w:val="center"/>
            <w:hideMark/>
          </w:tcPr>
          <w:p w14:paraId="6F35D612" w14:textId="77777777" w:rsidR="0027688F" w:rsidRPr="00D618B7" w:rsidRDefault="0027688F" w:rsidP="004B11B7">
            <w:pPr>
              <w:jc w:val="right"/>
              <w:rPr>
                <w:color w:val="000000"/>
              </w:rPr>
            </w:pPr>
            <w:r w:rsidRPr="00D618B7">
              <w:rPr>
                <w:color w:val="000000"/>
              </w:rPr>
              <w:t>38.78</w:t>
            </w:r>
          </w:p>
        </w:tc>
        <w:tc>
          <w:tcPr>
            <w:tcW w:w="882" w:type="pct"/>
            <w:tcBorders>
              <w:top w:val="nil"/>
              <w:left w:val="nil"/>
              <w:bottom w:val="nil"/>
              <w:right w:val="nil"/>
            </w:tcBorders>
            <w:shd w:val="clear" w:color="000000" w:fill="FFFFFF"/>
            <w:noWrap/>
            <w:vAlign w:val="center"/>
            <w:hideMark/>
          </w:tcPr>
          <w:p w14:paraId="7F625A1C" w14:textId="77777777" w:rsidR="0027688F" w:rsidRPr="00D618B7" w:rsidRDefault="0027688F" w:rsidP="004B11B7">
            <w:pPr>
              <w:jc w:val="right"/>
              <w:rPr>
                <w:color w:val="000000"/>
              </w:rPr>
            </w:pPr>
            <w:r w:rsidRPr="00D618B7">
              <w:rPr>
                <w:color w:val="000000"/>
              </w:rPr>
              <w:t>-218.48</w:t>
            </w:r>
          </w:p>
        </w:tc>
        <w:tc>
          <w:tcPr>
            <w:tcW w:w="715" w:type="pct"/>
            <w:tcBorders>
              <w:top w:val="nil"/>
              <w:left w:val="nil"/>
              <w:bottom w:val="nil"/>
              <w:right w:val="nil"/>
            </w:tcBorders>
            <w:shd w:val="clear" w:color="000000" w:fill="FFFFFF"/>
            <w:noWrap/>
            <w:vAlign w:val="center"/>
            <w:hideMark/>
          </w:tcPr>
          <w:p w14:paraId="7B27E1D3" w14:textId="77777777" w:rsidR="0027688F" w:rsidRPr="00D618B7" w:rsidRDefault="0027688F" w:rsidP="004B11B7">
            <w:pPr>
              <w:jc w:val="right"/>
              <w:rPr>
                <w:color w:val="000000"/>
              </w:rPr>
            </w:pPr>
            <w:r w:rsidRPr="00D618B7">
              <w:rPr>
                <w:color w:val="000000"/>
              </w:rPr>
              <w:t>78.35</w:t>
            </w:r>
          </w:p>
        </w:tc>
        <w:tc>
          <w:tcPr>
            <w:tcW w:w="714" w:type="pct"/>
            <w:tcBorders>
              <w:top w:val="nil"/>
              <w:left w:val="nil"/>
              <w:bottom w:val="nil"/>
              <w:right w:val="nil"/>
            </w:tcBorders>
            <w:shd w:val="clear" w:color="000000" w:fill="FFFFFF"/>
            <w:noWrap/>
            <w:vAlign w:val="center"/>
            <w:hideMark/>
          </w:tcPr>
          <w:p w14:paraId="440F4D05" w14:textId="77777777" w:rsidR="0027688F" w:rsidRPr="00D618B7" w:rsidRDefault="0027688F" w:rsidP="004B11B7">
            <w:pPr>
              <w:jc w:val="right"/>
              <w:rPr>
                <w:color w:val="000000"/>
              </w:rPr>
            </w:pPr>
            <w:r w:rsidRPr="00D618B7">
              <w:rPr>
                <w:color w:val="000000"/>
              </w:rPr>
              <w:t>98.20</w:t>
            </w:r>
          </w:p>
        </w:tc>
        <w:tc>
          <w:tcPr>
            <w:tcW w:w="714" w:type="pct"/>
            <w:tcBorders>
              <w:top w:val="nil"/>
              <w:left w:val="nil"/>
              <w:bottom w:val="nil"/>
              <w:right w:val="nil"/>
            </w:tcBorders>
            <w:shd w:val="clear" w:color="000000" w:fill="FFFFFF"/>
            <w:noWrap/>
            <w:vAlign w:val="center"/>
            <w:hideMark/>
          </w:tcPr>
          <w:p w14:paraId="1A0A8BEA" w14:textId="77777777" w:rsidR="0027688F" w:rsidRPr="00D618B7" w:rsidRDefault="0027688F" w:rsidP="004B11B7">
            <w:pPr>
              <w:jc w:val="right"/>
              <w:rPr>
                <w:color w:val="000000"/>
              </w:rPr>
            </w:pPr>
            <w:r w:rsidRPr="00D618B7">
              <w:rPr>
                <w:color w:val="000000"/>
              </w:rPr>
              <w:t>30.01</w:t>
            </w:r>
          </w:p>
        </w:tc>
      </w:tr>
      <w:tr w:rsidR="0027688F" w:rsidRPr="00D618B7" w14:paraId="444DCDEC" w14:textId="77777777" w:rsidTr="00C953D6">
        <w:trPr>
          <w:trHeight w:val="325"/>
        </w:trPr>
        <w:tc>
          <w:tcPr>
            <w:tcW w:w="714" w:type="pct"/>
            <w:tcBorders>
              <w:top w:val="nil"/>
              <w:left w:val="nil"/>
              <w:bottom w:val="nil"/>
              <w:right w:val="nil"/>
            </w:tcBorders>
            <w:shd w:val="clear" w:color="000000" w:fill="FFFFFF"/>
            <w:vAlign w:val="center"/>
            <w:hideMark/>
          </w:tcPr>
          <w:p w14:paraId="04FE80A0" w14:textId="77777777" w:rsidR="0027688F" w:rsidRPr="00D618B7" w:rsidRDefault="0027688F"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329926A2" w14:textId="77777777" w:rsidR="0027688F" w:rsidRPr="00D618B7" w:rsidRDefault="0027688F" w:rsidP="004B11B7">
            <w:pPr>
              <w:jc w:val="right"/>
              <w:rPr>
                <w:color w:val="000000"/>
              </w:rPr>
            </w:pPr>
            <w:r w:rsidRPr="00D618B7">
              <w:rPr>
                <w:color w:val="000000"/>
              </w:rPr>
              <w:t>1288.92</w:t>
            </w:r>
          </w:p>
        </w:tc>
        <w:tc>
          <w:tcPr>
            <w:tcW w:w="547" w:type="pct"/>
            <w:tcBorders>
              <w:top w:val="nil"/>
              <w:left w:val="nil"/>
              <w:bottom w:val="nil"/>
              <w:right w:val="nil"/>
            </w:tcBorders>
            <w:shd w:val="clear" w:color="000000" w:fill="FFFFFF"/>
            <w:noWrap/>
            <w:vAlign w:val="center"/>
            <w:hideMark/>
          </w:tcPr>
          <w:p w14:paraId="386BEAA5" w14:textId="77777777" w:rsidR="0027688F" w:rsidRPr="00D618B7" w:rsidRDefault="0027688F" w:rsidP="004B11B7">
            <w:pPr>
              <w:jc w:val="right"/>
              <w:rPr>
                <w:color w:val="000000"/>
              </w:rPr>
            </w:pPr>
            <w:r w:rsidRPr="00D618B7">
              <w:rPr>
                <w:color w:val="000000"/>
              </w:rPr>
              <w:t>104.37</w:t>
            </w:r>
          </w:p>
        </w:tc>
        <w:tc>
          <w:tcPr>
            <w:tcW w:w="882" w:type="pct"/>
            <w:tcBorders>
              <w:top w:val="nil"/>
              <w:left w:val="nil"/>
              <w:bottom w:val="nil"/>
              <w:right w:val="nil"/>
            </w:tcBorders>
            <w:shd w:val="clear" w:color="000000" w:fill="FFFFFF"/>
            <w:noWrap/>
            <w:vAlign w:val="center"/>
            <w:hideMark/>
          </w:tcPr>
          <w:p w14:paraId="1F1594F5" w14:textId="77777777" w:rsidR="0027688F" w:rsidRPr="00D618B7" w:rsidRDefault="0027688F" w:rsidP="004B11B7">
            <w:pPr>
              <w:jc w:val="right"/>
              <w:rPr>
                <w:color w:val="000000"/>
              </w:rPr>
            </w:pPr>
            <w:r w:rsidRPr="00D618B7">
              <w:rPr>
                <w:color w:val="000000"/>
              </w:rPr>
              <w:t>224.69</w:t>
            </w:r>
          </w:p>
        </w:tc>
        <w:tc>
          <w:tcPr>
            <w:tcW w:w="715" w:type="pct"/>
            <w:tcBorders>
              <w:top w:val="nil"/>
              <w:left w:val="nil"/>
              <w:bottom w:val="nil"/>
              <w:right w:val="nil"/>
            </w:tcBorders>
            <w:shd w:val="clear" w:color="000000" w:fill="FFFFFF"/>
            <w:noWrap/>
            <w:vAlign w:val="center"/>
            <w:hideMark/>
          </w:tcPr>
          <w:p w14:paraId="1A004CC1" w14:textId="77777777" w:rsidR="0027688F" w:rsidRPr="00D618B7" w:rsidRDefault="0027688F" w:rsidP="004B11B7">
            <w:pPr>
              <w:jc w:val="right"/>
              <w:rPr>
                <w:color w:val="000000"/>
              </w:rPr>
            </w:pPr>
            <w:r w:rsidRPr="00D618B7">
              <w:rPr>
                <w:color w:val="000000"/>
              </w:rPr>
              <w:t>90.76</w:t>
            </w:r>
          </w:p>
        </w:tc>
        <w:tc>
          <w:tcPr>
            <w:tcW w:w="714" w:type="pct"/>
            <w:tcBorders>
              <w:top w:val="nil"/>
              <w:left w:val="nil"/>
              <w:bottom w:val="nil"/>
              <w:right w:val="nil"/>
            </w:tcBorders>
            <w:shd w:val="clear" w:color="000000" w:fill="FFFFFF"/>
            <w:noWrap/>
            <w:vAlign w:val="center"/>
            <w:hideMark/>
          </w:tcPr>
          <w:p w14:paraId="188D421C" w14:textId="77777777" w:rsidR="0027688F" w:rsidRPr="00D618B7" w:rsidRDefault="0027688F" w:rsidP="004B11B7">
            <w:pPr>
              <w:jc w:val="right"/>
              <w:rPr>
                <w:color w:val="000000"/>
              </w:rPr>
            </w:pPr>
            <w:r w:rsidRPr="00D618B7">
              <w:rPr>
                <w:color w:val="000000"/>
              </w:rPr>
              <w:t>661.72</w:t>
            </w:r>
          </w:p>
        </w:tc>
        <w:tc>
          <w:tcPr>
            <w:tcW w:w="714" w:type="pct"/>
            <w:tcBorders>
              <w:top w:val="nil"/>
              <w:left w:val="nil"/>
              <w:bottom w:val="nil"/>
              <w:right w:val="nil"/>
            </w:tcBorders>
            <w:shd w:val="clear" w:color="000000" w:fill="FFFFFF"/>
            <w:noWrap/>
            <w:vAlign w:val="center"/>
            <w:hideMark/>
          </w:tcPr>
          <w:p w14:paraId="7E2DF646" w14:textId="77777777" w:rsidR="0027688F" w:rsidRPr="00D618B7" w:rsidRDefault="0027688F" w:rsidP="004B11B7">
            <w:pPr>
              <w:jc w:val="right"/>
              <w:rPr>
                <w:color w:val="000000"/>
              </w:rPr>
            </w:pPr>
            <w:r w:rsidRPr="00D618B7">
              <w:rPr>
                <w:color w:val="000000"/>
              </w:rPr>
              <w:t>44.80</w:t>
            </w:r>
          </w:p>
        </w:tc>
      </w:tr>
      <w:tr w:rsidR="0027688F" w:rsidRPr="00D618B7" w14:paraId="224F4003" w14:textId="77777777" w:rsidTr="00C953D6">
        <w:trPr>
          <w:trHeight w:val="325"/>
        </w:trPr>
        <w:tc>
          <w:tcPr>
            <w:tcW w:w="714" w:type="pct"/>
            <w:tcBorders>
              <w:top w:val="nil"/>
              <w:left w:val="nil"/>
              <w:bottom w:val="nil"/>
              <w:right w:val="nil"/>
            </w:tcBorders>
            <w:shd w:val="clear" w:color="000000" w:fill="FFFFFF"/>
            <w:vAlign w:val="center"/>
            <w:hideMark/>
          </w:tcPr>
          <w:p w14:paraId="77E19F30" w14:textId="77777777" w:rsidR="0027688F" w:rsidRPr="00D618B7" w:rsidRDefault="0027688F"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25A4E714" w14:textId="77777777" w:rsidR="0027688F" w:rsidRPr="00D618B7" w:rsidRDefault="0027688F" w:rsidP="004B11B7">
            <w:pPr>
              <w:jc w:val="right"/>
              <w:rPr>
                <w:color w:val="000000"/>
              </w:rPr>
            </w:pPr>
            <w:r w:rsidRPr="00D618B7">
              <w:rPr>
                <w:color w:val="000000"/>
              </w:rPr>
              <w:t>361.27</w:t>
            </w:r>
          </w:p>
        </w:tc>
        <w:tc>
          <w:tcPr>
            <w:tcW w:w="547" w:type="pct"/>
            <w:tcBorders>
              <w:top w:val="nil"/>
              <w:left w:val="nil"/>
              <w:bottom w:val="nil"/>
              <w:right w:val="nil"/>
            </w:tcBorders>
            <w:shd w:val="clear" w:color="000000" w:fill="FFFFFF"/>
            <w:noWrap/>
            <w:vAlign w:val="center"/>
            <w:hideMark/>
          </w:tcPr>
          <w:p w14:paraId="4241C0CF" w14:textId="77777777" w:rsidR="0027688F" w:rsidRPr="00D618B7" w:rsidRDefault="0027688F" w:rsidP="004B11B7">
            <w:pPr>
              <w:jc w:val="right"/>
              <w:rPr>
                <w:color w:val="000000"/>
              </w:rPr>
            </w:pPr>
            <w:r w:rsidRPr="00D618B7">
              <w:rPr>
                <w:color w:val="000000"/>
              </w:rPr>
              <w:t>236.81</w:t>
            </w:r>
          </w:p>
        </w:tc>
        <w:tc>
          <w:tcPr>
            <w:tcW w:w="882" w:type="pct"/>
            <w:tcBorders>
              <w:top w:val="nil"/>
              <w:left w:val="nil"/>
              <w:bottom w:val="nil"/>
              <w:right w:val="nil"/>
            </w:tcBorders>
            <w:shd w:val="clear" w:color="000000" w:fill="FFFFFF"/>
            <w:noWrap/>
            <w:vAlign w:val="center"/>
            <w:hideMark/>
          </w:tcPr>
          <w:p w14:paraId="6F8E972B" w14:textId="77777777" w:rsidR="0027688F" w:rsidRPr="00D618B7" w:rsidRDefault="0027688F" w:rsidP="004B11B7">
            <w:pPr>
              <w:jc w:val="right"/>
              <w:rPr>
                <w:color w:val="000000"/>
              </w:rPr>
            </w:pPr>
            <w:r w:rsidRPr="00D618B7">
              <w:rPr>
                <w:color w:val="000000"/>
              </w:rPr>
              <w:t>-159.55</w:t>
            </w:r>
          </w:p>
        </w:tc>
        <w:tc>
          <w:tcPr>
            <w:tcW w:w="715" w:type="pct"/>
            <w:tcBorders>
              <w:top w:val="nil"/>
              <w:left w:val="nil"/>
              <w:bottom w:val="nil"/>
              <w:right w:val="nil"/>
            </w:tcBorders>
            <w:shd w:val="clear" w:color="000000" w:fill="FFFFFF"/>
            <w:noWrap/>
            <w:vAlign w:val="center"/>
            <w:hideMark/>
          </w:tcPr>
          <w:p w14:paraId="4C4A41E2" w14:textId="77777777" w:rsidR="0027688F" w:rsidRPr="00D618B7" w:rsidRDefault="0027688F" w:rsidP="004B11B7">
            <w:pPr>
              <w:jc w:val="right"/>
              <w:rPr>
                <w:color w:val="000000"/>
              </w:rPr>
            </w:pPr>
            <w:r w:rsidRPr="00D618B7">
              <w:rPr>
                <w:color w:val="000000"/>
              </w:rPr>
              <w:t>68.42</w:t>
            </w:r>
          </w:p>
        </w:tc>
        <w:tc>
          <w:tcPr>
            <w:tcW w:w="714" w:type="pct"/>
            <w:tcBorders>
              <w:top w:val="nil"/>
              <w:left w:val="nil"/>
              <w:bottom w:val="nil"/>
              <w:right w:val="nil"/>
            </w:tcBorders>
            <w:shd w:val="clear" w:color="000000" w:fill="FFFFFF"/>
            <w:noWrap/>
            <w:vAlign w:val="center"/>
            <w:hideMark/>
          </w:tcPr>
          <w:p w14:paraId="57CE5F48" w14:textId="77777777" w:rsidR="0027688F" w:rsidRPr="00D618B7" w:rsidRDefault="0027688F" w:rsidP="004B11B7">
            <w:pPr>
              <w:jc w:val="right"/>
              <w:rPr>
                <w:color w:val="000000"/>
              </w:rPr>
            </w:pPr>
            <w:r w:rsidRPr="00D618B7">
              <w:rPr>
                <w:color w:val="000000"/>
              </w:rPr>
              <w:t>887.40</w:t>
            </w:r>
          </w:p>
        </w:tc>
        <w:tc>
          <w:tcPr>
            <w:tcW w:w="714" w:type="pct"/>
            <w:tcBorders>
              <w:top w:val="nil"/>
              <w:left w:val="nil"/>
              <w:bottom w:val="nil"/>
              <w:right w:val="nil"/>
            </w:tcBorders>
            <w:shd w:val="clear" w:color="000000" w:fill="FFFFFF"/>
            <w:noWrap/>
            <w:vAlign w:val="center"/>
            <w:hideMark/>
          </w:tcPr>
          <w:p w14:paraId="232A2161" w14:textId="77777777" w:rsidR="0027688F" w:rsidRPr="00D618B7" w:rsidRDefault="0027688F" w:rsidP="004B11B7">
            <w:pPr>
              <w:jc w:val="right"/>
              <w:rPr>
                <w:color w:val="000000"/>
              </w:rPr>
            </w:pPr>
            <w:r w:rsidRPr="00D618B7">
              <w:rPr>
                <w:color w:val="000000"/>
              </w:rPr>
              <w:t>311.57</w:t>
            </w:r>
          </w:p>
        </w:tc>
      </w:tr>
      <w:tr w:rsidR="0027688F" w:rsidRPr="00D618B7" w14:paraId="12AADF89" w14:textId="77777777" w:rsidTr="00C953D6">
        <w:trPr>
          <w:trHeight w:val="325"/>
        </w:trPr>
        <w:tc>
          <w:tcPr>
            <w:tcW w:w="714" w:type="pct"/>
            <w:tcBorders>
              <w:top w:val="nil"/>
              <w:left w:val="nil"/>
              <w:bottom w:val="nil"/>
              <w:right w:val="nil"/>
            </w:tcBorders>
            <w:shd w:val="clear" w:color="000000" w:fill="FFFFFF"/>
            <w:vAlign w:val="center"/>
            <w:hideMark/>
          </w:tcPr>
          <w:p w14:paraId="5557684A" w14:textId="77777777" w:rsidR="0027688F" w:rsidRPr="00D618B7" w:rsidRDefault="0027688F"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1548B760" w14:textId="77777777" w:rsidR="0027688F" w:rsidRPr="00D618B7" w:rsidRDefault="0027688F" w:rsidP="004B11B7">
            <w:pPr>
              <w:jc w:val="right"/>
              <w:rPr>
                <w:color w:val="000000"/>
              </w:rPr>
            </w:pPr>
            <w:r w:rsidRPr="00D618B7">
              <w:rPr>
                <w:color w:val="000000"/>
              </w:rPr>
              <w:t>1844.02</w:t>
            </w:r>
          </w:p>
        </w:tc>
        <w:tc>
          <w:tcPr>
            <w:tcW w:w="547" w:type="pct"/>
            <w:tcBorders>
              <w:top w:val="nil"/>
              <w:left w:val="nil"/>
              <w:bottom w:val="nil"/>
              <w:right w:val="nil"/>
            </w:tcBorders>
            <w:shd w:val="clear" w:color="000000" w:fill="FFFFFF"/>
            <w:noWrap/>
            <w:vAlign w:val="center"/>
            <w:hideMark/>
          </w:tcPr>
          <w:p w14:paraId="21AFA535" w14:textId="77777777" w:rsidR="0027688F" w:rsidRPr="00D618B7" w:rsidRDefault="0027688F" w:rsidP="004B11B7">
            <w:pPr>
              <w:jc w:val="right"/>
              <w:rPr>
                <w:color w:val="000000"/>
              </w:rPr>
            </w:pPr>
            <w:r w:rsidRPr="00D618B7">
              <w:rPr>
                <w:color w:val="000000"/>
              </w:rPr>
              <w:t>333.93</w:t>
            </w:r>
          </w:p>
        </w:tc>
        <w:tc>
          <w:tcPr>
            <w:tcW w:w="882" w:type="pct"/>
            <w:tcBorders>
              <w:top w:val="nil"/>
              <w:left w:val="nil"/>
              <w:bottom w:val="nil"/>
              <w:right w:val="nil"/>
            </w:tcBorders>
            <w:shd w:val="clear" w:color="000000" w:fill="FFFFFF"/>
            <w:noWrap/>
            <w:vAlign w:val="center"/>
            <w:hideMark/>
          </w:tcPr>
          <w:p w14:paraId="6A61B918" w14:textId="77777777" w:rsidR="0027688F" w:rsidRPr="00D618B7" w:rsidRDefault="0027688F" w:rsidP="004B11B7">
            <w:pPr>
              <w:jc w:val="right"/>
              <w:rPr>
                <w:color w:val="000000"/>
              </w:rPr>
            </w:pPr>
            <w:r w:rsidRPr="00D618B7">
              <w:rPr>
                <w:color w:val="000000"/>
              </w:rPr>
              <w:t>1100.96</w:t>
            </w:r>
          </w:p>
        </w:tc>
        <w:tc>
          <w:tcPr>
            <w:tcW w:w="715" w:type="pct"/>
            <w:tcBorders>
              <w:top w:val="nil"/>
              <w:left w:val="nil"/>
              <w:bottom w:val="nil"/>
              <w:right w:val="nil"/>
            </w:tcBorders>
            <w:shd w:val="clear" w:color="000000" w:fill="FFFFFF"/>
            <w:noWrap/>
            <w:vAlign w:val="center"/>
            <w:hideMark/>
          </w:tcPr>
          <w:p w14:paraId="4206BB90" w14:textId="77777777" w:rsidR="0027688F" w:rsidRPr="00D618B7" w:rsidRDefault="0027688F" w:rsidP="004B11B7">
            <w:pPr>
              <w:jc w:val="right"/>
              <w:rPr>
                <w:color w:val="000000"/>
              </w:rPr>
            </w:pPr>
            <w:r w:rsidRPr="00D618B7">
              <w:rPr>
                <w:color w:val="000000"/>
              </w:rPr>
              <w:t>420.57</w:t>
            </w:r>
          </w:p>
        </w:tc>
        <w:tc>
          <w:tcPr>
            <w:tcW w:w="714" w:type="pct"/>
            <w:tcBorders>
              <w:top w:val="nil"/>
              <w:left w:val="nil"/>
              <w:bottom w:val="nil"/>
              <w:right w:val="nil"/>
            </w:tcBorders>
            <w:shd w:val="clear" w:color="000000" w:fill="FFFFFF"/>
            <w:noWrap/>
            <w:vAlign w:val="center"/>
            <w:hideMark/>
          </w:tcPr>
          <w:p w14:paraId="17566818" w14:textId="77777777" w:rsidR="0027688F" w:rsidRPr="00D618B7" w:rsidRDefault="0027688F" w:rsidP="004B11B7">
            <w:pPr>
              <w:jc w:val="right"/>
              <w:rPr>
                <w:color w:val="000000"/>
              </w:rPr>
            </w:pPr>
            <w:r w:rsidRPr="00D618B7">
              <w:rPr>
                <w:color w:val="000000"/>
              </w:rPr>
              <w:t>1167.04</w:t>
            </w:r>
          </w:p>
        </w:tc>
        <w:tc>
          <w:tcPr>
            <w:tcW w:w="714" w:type="pct"/>
            <w:tcBorders>
              <w:top w:val="nil"/>
              <w:left w:val="nil"/>
              <w:bottom w:val="nil"/>
              <w:right w:val="nil"/>
            </w:tcBorders>
            <w:shd w:val="clear" w:color="000000" w:fill="FFFFFF"/>
            <w:noWrap/>
            <w:vAlign w:val="center"/>
            <w:hideMark/>
          </w:tcPr>
          <w:p w14:paraId="68E41FF5" w14:textId="77777777" w:rsidR="0027688F" w:rsidRPr="00D618B7" w:rsidRDefault="0027688F" w:rsidP="004B11B7">
            <w:pPr>
              <w:jc w:val="right"/>
              <w:rPr>
                <w:color w:val="000000"/>
              </w:rPr>
            </w:pPr>
            <w:r w:rsidRPr="00D618B7">
              <w:rPr>
                <w:color w:val="000000"/>
              </w:rPr>
              <w:t>496.42</w:t>
            </w:r>
          </w:p>
        </w:tc>
      </w:tr>
      <w:tr w:rsidR="0027688F" w:rsidRPr="00D618B7" w14:paraId="74EC47BA" w14:textId="77777777" w:rsidTr="00C953D6">
        <w:trPr>
          <w:trHeight w:val="325"/>
        </w:trPr>
        <w:tc>
          <w:tcPr>
            <w:tcW w:w="714" w:type="pct"/>
            <w:tcBorders>
              <w:top w:val="nil"/>
              <w:left w:val="nil"/>
              <w:bottom w:val="nil"/>
              <w:right w:val="nil"/>
            </w:tcBorders>
            <w:shd w:val="clear" w:color="000000" w:fill="FFFFFF"/>
            <w:vAlign w:val="center"/>
            <w:hideMark/>
          </w:tcPr>
          <w:p w14:paraId="404E42F7" w14:textId="77777777" w:rsidR="0027688F" w:rsidRPr="00D618B7" w:rsidRDefault="0027688F" w:rsidP="004B11B7">
            <w:pPr>
              <w:jc w:val="right"/>
              <w:rPr>
                <w:color w:val="000000"/>
              </w:rPr>
            </w:pPr>
            <w:r w:rsidRPr="00D618B7">
              <w:rPr>
                <w:color w:val="000000"/>
              </w:rPr>
              <w:t>0</w:t>
            </w:r>
          </w:p>
        </w:tc>
        <w:tc>
          <w:tcPr>
            <w:tcW w:w="714" w:type="pct"/>
            <w:tcBorders>
              <w:top w:val="nil"/>
              <w:left w:val="nil"/>
              <w:bottom w:val="nil"/>
              <w:right w:val="nil"/>
            </w:tcBorders>
            <w:shd w:val="clear" w:color="000000" w:fill="FFFFFF"/>
            <w:noWrap/>
            <w:vAlign w:val="center"/>
            <w:hideMark/>
          </w:tcPr>
          <w:p w14:paraId="156BE06A" w14:textId="77777777" w:rsidR="0027688F" w:rsidRPr="00D618B7" w:rsidRDefault="0027688F" w:rsidP="004B11B7">
            <w:pPr>
              <w:jc w:val="right"/>
              <w:rPr>
                <w:color w:val="000000"/>
              </w:rPr>
            </w:pPr>
            <w:r w:rsidRPr="00D618B7">
              <w:rPr>
                <w:color w:val="000000"/>
              </w:rPr>
              <w:t>1072.57</w:t>
            </w:r>
          </w:p>
        </w:tc>
        <w:tc>
          <w:tcPr>
            <w:tcW w:w="547" w:type="pct"/>
            <w:tcBorders>
              <w:top w:val="nil"/>
              <w:left w:val="nil"/>
              <w:bottom w:val="nil"/>
              <w:right w:val="nil"/>
            </w:tcBorders>
            <w:shd w:val="clear" w:color="000000" w:fill="FFFFFF"/>
            <w:noWrap/>
            <w:vAlign w:val="center"/>
            <w:hideMark/>
          </w:tcPr>
          <w:p w14:paraId="668CFE73" w14:textId="77777777" w:rsidR="0027688F" w:rsidRPr="00D618B7" w:rsidRDefault="0027688F" w:rsidP="004B11B7">
            <w:pPr>
              <w:jc w:val="right"/>
              <w:rPr>
                <w:color w:val="000000"/>
              </w:rPr>
            </w:pPr>
            <w:r w:rsidRPr="00D618B7">
              <w:rPr>
                <w:color w:val="000000"/>
              </w:rPr>
              <w:t>744.78</w:t>
            </w:r>
          </w:p>
        </w:tc>
        <w:tc>
          <w:tcPr>
            <w:tcW w:w="882" w:type="pct"/>
            <w:tcBorders>
              <w:top w:val="nil"/>
              <w:left w:val="nil"/>
              <w:bottom w:val="nil"/>
              <w:right w:val="nil"/>
            </w:tcBorders>
            <w:shd w:val="clear" w:color="000000" w:fill="FFFFFF"/>
            <w:noWrap/>
            <w:vAlign w:val="center"/>
            <w:hideMark/>
          </w:tcPr>
          <w:p w14:paraId="4A0A679B" w14:textId="77777777" w:rsidR="0027688F" w:rsidRPr="00D618B7" w:rsidRDefault="0027688F" w:rsidP="004B11B7">
            <w:pPr>
              <w:jc w:val="right"/>
              <w:rPr>
                <w:color w:val="000000"/>
              </w:rPr>
            </w:pPr>
            <w:r w:rsidRPr="00D618B7">
              <w:rPr>
                <w:color w:val="000000"/>
              </w:rPr>
              <w:t>-159.53</w:t>
            </w:r>
          </w:p>
        </w:tc>
        <w:tc>
          <w:tcPr>
            <w:tcW w:w="715" w:type="pct"/>
            <w:tcBorders>
              <w:top w:val="nil"/>
              <w:left w:val="nil"/>
              <w:bottom w:val="nil"/>
              <w:right w:val="nil"/>
            </w:tcBorders>
            <w:shd w:val="clear" w:color="000000" w:fill="FFFFFF"/>
            <w:noWrap/>
            <w:vAlign w:val="center"/>
            <w:hideMark/>
          </w:tcPr>
          <w:p w14:paraId="0C357962" w14:textId="77777777" w:rsidR="0027688F" w:rsidRPr="00D618B7" w:rsidRDefault="0027688F" w:rsidP="004B11B7">
            <w:pPr>
              <w:jc w:val="right"/>
              <w:rPr>
                <w:color w:val="000000"/>
              </w:rPr>
            </w:pPr>
            <w:r w:rsidRPr="00D618B7">
              <w:rPr>
                <w:color w:val="000000"/>
              </w:rPr>
              <w:t>92.70</w:t>
            </w:r>
          </w:p>
        </w:tc>
        <w:tc>
          <w:tcPr>
            <w:tcW w:w="714" w:type="pct"/>
            <w:tcBorders>
              <w:top w:val="nil"/>
              <w:left w:val="nil"/>
              <w:bottom w:val="nil"/>
              <w:right w:val="nil"/>
            </w:tcBorders>
            <w:shd w:val="clear" w:color="000000" w:fill="FFFFFF"/>
            <w:noWrap/>
            <w:vAlign w:val="center"/>
            <w:hideMark/>
          </w:tcPr>
          <w:p w14:paraId="7A7E506E" w14:textId="77777777" w:rsidR="0027688F" w:rsidRPr="00D618B7" w:rsidRDefault="0027688F" w:rsidP="004B11B7">
            <w:pPr>
              <w:jc w:val="right"/>
              <w:rPr>
                <w:color w:val="000000"/>
              </w:rPr>
            </w:pPr>
            <w:r w:rsidRPr="00D618B7">
              <w:rPr>
                <w:color w:val="000000"/>
              </w:rPr>
              <w:t>194.90</w:t>
            </w:r>
          </w:p>
        </w:tc>
        <w:tc>
          <w:tcPr>
            <w:tcW w:w="714" w:type="pct"/>
            <w:tcBorders>
              <w:top w:val="nil"/>
              <w:left w:val="nil"/>
              <w:bottom w:val="nil"/>
              <w:right w:val="nil"/>
            </w:tcBorders>
            <w:shd w:val="clear" w:color="000000" w:fill="FFFFFF"/>
            <w:noWrap/>
            <w:vAlign w:val="center"/>
            <w:hideMark/>
          </w:tcPr>
          <w:p w14:paraId="5AE09621" w14:textId="77777777" w:rsidR="0027688F" w:rsidRPr="00D618B7" w:rsidRDefault="0027688F" w:rsidP="004B11B7">
            <w:pPr>
              <w:jc w:val="right"/>
              <w:rPr>
                <w:color w:val="000000"/>
              </w:rPr>
            </w:pPr>
            <w:r w:rsidRPr="00D618B7">
              <w:rPr>
                <w:color w:val="000000"/>
              </w:rPr>
              <w:t>31.90</w:t>
            </w:r>
          </w:p>
        </w:tc>
      </w:tr>
      <w:tr w:rsidR="0027688F" w:rsidRPr="00D618B7" w14:paraId="77A470DE" w14:textId="77777777" w:rsidTr="00C953D6">
        <w:trPr>
          <w:trHeight w:val="325"/>
        </w:trPr>
        <w:tc>
          <w:tcPr>
            <w:tcW w:w="714" w:type="pct"/>
            <w:tcBorders>
              <w:top w:val="nil"/>
              <w:left w:val="nil"/>
              <w:bottom w:val="nil"/>
              <w:right w:val="nil"/>
            </w:tcBorders>
            <w:shd w:val="clear" w:color="000000" w:fill="FFFFFF"/>
            <w:vAlign w:val="center"/>
            <w:hideMark/>
          </w:tcPr>
          <w:p w14:paraId="27889F4F" w14:textId="77777777" w:rsidR="0027688F" w:rsidRPr="00D618B7" w:rsidRDefault="0027688F"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3F54738A" w14:textId="77777777" w:rsidR="0027688F" w:rsidRPr="00D618B7" w:rsidRDefault="0027688F" w:rsidP="004B11B7">
            <w:pPr>
              <w:jc w:val="right"/>
              <w:rPr>
                <w:color w:val="000000"/>
              </w:rPr>
            </w:pPr>
            <w:r w:rsidRPr="00D618B7">
              <w:rPr>
                <w:color w:val="000000"/>
              </w:rPr>
              <w:t>506.92</w:t>
            </w:r>
          </w:p>
        </w:tc>
        <w:tc>
          <w:tcPr>
            <w:tcW w:w="547" w:type="pct"/>
            <w:tcBorders>
              <w:top w:val="nil"/>
              <w:left w:val="nil"/>
              <w:bottom w:val="nil"/>
              <w:right w:val="nil"/>
            </w:tcBorders>
            <w:shd w:val="clear" w:color="000000" w:fill="FFFFFF"/>
            <w:noWrap/>
            <w:vAlign w:val="center"/>
            <w:hideMark/>
          </w:tcPr>
          <w:p w14:paraId="25E146CE" w14:textId="77777777" w:rsidR="0027688F" w:rsidRPr="00D618B7" w:rsidRDefault="0027688F" w:rsidP="004B11B7">
            <w:pPr>
              <w:jc w:val="right"/>
              <w:rPr>
                <w:color w:val="000000"/>
              </w:rPr>
            </w:pPr>
            <w:r w:rsidRPr="00D618B7">
              <w:rPr>
                <w:color w:val="000000"/>
              </w:rPr>
              <w:t>163.08</w:t>
            </w:r>
          </w:p>
        </w:tc>
        <w:tc>
          <w:tcPr>
            <w:tcW w:w="882" w:type="pct"/>
            <w:tcBorders>
              <w:top w:val="nil"/>
              <w:left w:val="nil"/>
              <w:bottom w:val="nil"/>
              <w:right w:val="nil"/>
            </w:tcBorders>
            <w:shd w:val="clear" w:color="000000" w:fill="FFFFFF"/>
            <w:noWrap/>
            <w:vAlign w:val="center"/>
            <w:hideMark/>
          </w:tcPr>
          <w:p w14:paraId="4E66263A" w14:textId="77777777" w:rsidR="0027688F" w:rsidRPr="00D618B7" w:rsidRDefault="0027688F" w:rsidP="004B11B7">
            <w:pPr>
              <w:jc w:val="right"/>
              <w:rPr>
                <w:color w:val="000000"/>
              </w:rPr>
            </w:pPr>
            <w:r w:rsidRPr="00D618B7">
              <w:rPr>
                <w:color w:val="000000"/>
              </w:rPr>
              <w:t>295.30</w:t>
            </w:r>
          </w:p>
        </w:tc>
        <w:tc>
          <w:tcPr>
            <w:tcW w:w="715" w:type="pct"/>
            <w:tcBorders>
              <w:top w:val="nil"/>
              <w:left w:val="nil"/>
              <w:bottom w:val="nil"/>
              <w:right w:val="nil"/>
            </w:tcBorders>
            <w:shd w:val="clear" w:color="000000" w:fill="FFFFFF"/>
            <w:noWrap/>
            <w:vAlign w:val="center"/>
            <w:hideMark/>
          </w:tcPr>
          <w:p w14:paraId="3FD54D4C" w14:textId="77777777" w:rsidR="0027688F" w:rsidRPr="00D618B7" w:rsidRDefault="0027688F" w:rsidP="004B11B7">
            <w:pPr>
              <w:jc w:val="right"/>
              <w:rPr>
                <w:color w:val="000000"/>
              </w:rPr>
            </w:pPr>
            <w:r w:rsidRPr="00D618B7">
              <w:rPr>
                <w:color w:val="000000"/>
              </w:rPr>
              <w:t>70.34</w:t>
            </w:r>
          </w:p>
        </w:tc>
        <w:tc>
          <w:tcPr>
            <w:tcW w:w="714" w:type="pct"/>
            <w:tcBorders>
              <w:top w:val="nil"/>
              <w:left w:val="nil"/>
              <w:bottom w:val="nil"/>
              <w:right w:val="nil"/>
            </w:tcBorders>
            <w:shd w:val="clear" w:color="000000" w:fill="FFFFFF"/>
            <w:noWrap/>
            <w:vAlign w:val="center"/>
            <w:hideMark/>
          </w:tcPr>
          <w:p w14:paraId="7503285C" w14:textId="77777777" w:rsidR="0027688F" w:rsidRPr="00D618B7" w:rsidRDefault="0027688F" w:rsidP="004B11B7">
            <w:pPr>
              <w:jc w:val="right"/>
              <w:rPr>
                <w:color w:val="000000"/>
              </w:rPr>
            </w:pPr>
            <w:r w:rsidRPr="00D618B7">
              <w:rPr>
                <w:color w:val="000000"/>
              </w:rPr>
              <w:t>290.25</w:t>
            </w:r>
          </w:p>
        </w:tc>
        <w:tc>
          <w:tcPr>
            <w:tcW w:w="714" w:type="pct"/>
            <w:tcBorders>
              <w:top w:val="nil"/>
              <w:left w:val="nil"/>
              <w:bottom w:val="nil"/>
              <w:right w:val="nil"/>
            </w:tcBorders>
            <w:shd w:val="clear" w:color="000000" w:fill="FFFFFF"/>
            <w:noWrap/>
            <w:vAlign w:val="center"/>
            <w:hideMark/>
          </w:tcPr>
          <w:p w14:paraId="153043C4" w14:textId="77777777" w:rsidR="0027688F" w:rsidRPr="00D618B7" w:rsidRDefault="0027688F" w:rsidP="004B11B7">
            <w:pPr>
              <w:jc w:val="right"/>
              <w:rPr>
                <w:color w:val="000000"/>
              </w:rPr>
            </w:pPr>
            <w:r w:rsidRPr="00D618B7">
              <w:rPr>
                <w:color w:val="000000"/>
              </w:rPr>
              <w:t>46.48</w:t>
            </w:r>
          </w:p>
        </w:tc>
      </w:tr>
      <w:tr w:rsidR="0027688F" w:rsidRPr="00D618B7" w14:paraId="167FFAAA" w14:textId="77777777" w:rsidTr="00C953D6">
        <w:trPr>
          <w:trHeight w:val="325"/>
        </w:trPr>
        <w:tc>
          <w:tcPr>
            <w:tcW w:w="714" w:type="pct"/>
            <w:tcBorders>
              <w:top w:val="nil"/>
              <w:left w:val="nil"/>
              <w:bottom w:val="nil"/>
              <w:right w:val="nil"/>
            </w:tcBorders>
            <w:shd w:val="clear" w:color="000000" w:fill="FFFFFF"/>
            <w:vAlign w:val="center"/>
            <w:hideMark/>
          </w:tcPr>
          <w:p w14:paraId="7A8AFD77" w14:textId="77777777" w:rsidR="0027688F" w:rsidRPr="00D618B7" w:rsidRDefault="0027688F"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412AB225" w14:textId="77777777" w:rsidR="0027688F" w:rsidRPr="00D618B7" w:rsidRDefault="0027688F" w:rsidP="004B11B7">
            <w:pPr>
              <w:jc w:val="right"/>
              <w:rPr>
                <w:color w:val="000000"/>
              </w:rPr>
            </w:pPr>
            <w:r w:rsidRPr="00D618B7">
              <w:rPr>
                <w:color w:val="000000"/>
              </w:rPr>
              <w:t>-30.66</w:t>
            </w:r>
          </w:p>
        </w:tc>
        <w:tc>
          <w:tcPr>
            <w:tcW w:w="547" w:type="pct"/>
            <w:tcBorders>
              <w:top w:val="nil"/>
              <w:left w:val="nil"/>
              <w:bottom w:val="nil"/>
              <w:right w:val="nil"/>
            </w:tcBorders>
            <w:shd w:val="clear" w:color="000000" w:fill="FFFFFF"/>
            <w:noWrap/>
            <w:vAlign w:val="center"/>
            <w:hideMark/>
          </w:tcPr>
          <w:p w14:paraId="1E010F48" w14:textId="77777777" w:rsidR="0027688F" w:rsidRPr="00D618B7" w:rsidRDefault="0027688F" w:rsidP="004B11B7">
            <w:pPr>
              <w:jc w:val="right"/>
              <w:rPr>
                <w:color w:val="000000"/>
              </w:rPr>
            </w:pPr>
            <w:r w:rsidRPr="00D618B7">
              <w:rPr>
                <w:color w:val="000000"/>
              </w:rPr>
              <w:t>8.73</w:t>
            </w:r>
          </w:p>
        </w:tc>
        <w:tc>
          <w:tcPr>
            <w:tcW w:w="882" w:type="pct"/>
            <w:tcBorders>
              <w:top w:val="nil"/>
              <w:left w:val="nil"/>
              <w:bottom w:val="nil"/>
              <w:right w:val="nil"/>
            </w:tcBorders>
            <w:shd w:val="clear" w:color="000000" w:fill="FFFFFF"/>
            <w:noWrap/>
            <w:vAlign w:val="center"/>
            <w:hideMark/>
          </w:tcPr>
          <w:p w14:paraId="29B40ED4" w14:textId="77777777" w:rsidR="0027688F" w:rsidRPr="00D618B7" w:rsidRDefault="0027688F" w:rsidP="004B11B7">
            <w:pPr>
              <w:jc w:val="right"/>
              <w:rPr>
                <w:color w:val="000000"/>
              </w:rPr>
            </w:pPr>
            <w:r w:rsidRPr="00D618B7">
              <w:rPr>
                <w:color w:val="000000"/>
              </w:rPr>
              <w:t>-344.77</w:t>
            </w:r>
          </w:p>
        </w:tc>
        <w:tc>
          <w:tcPr>
            <w:tcW w:w="715" w:type="pct"/>
            <w:tcBorders>
              <w:top w:val="nil"/>
              <w:left w:val="nil"/>
              <w:bottom w:val="nil"/>
              <w:right w:val="nil"/>
            </w:tcBorders>
            <w:shd w:val="clear" w:color="000000" w:fill="FFFFFF"/>
            <w:noWrap/>
            <w:vAlign w:val="center"/>
            <w:hideMark/>
          </w:tcPr>
          <w:p w14:paraId="7BA9B467" w14:textId="77777777" w:rsidR="0027688F" w:rsidRPr="00D618B7" w:rsidRDefault="0027688F" w:rsidP="004B11B7">
            <w:pPr>
              <w:jc w:val="right"/>
              <w:rPr>
                <w:color w:val="000000"/>
              </w:rPr>
            </w:pPr>
            <w:r w:rsidRPr="00D618B7">
              <w:rPr>
                <w:color w:val="000000"/>
              </w:rPr>
              <w:t>124.69</w:t>
            </w:r>
          </w:p>
        </w:tc>
        <w:tc>
          <w:tcPr>
            <w:tcW w:w="714" w:type="pct"/>
            <w:tcBorders>
              <w:top w:val="nil"/>
              <w:left w:val="nil"/>
              <w:bottom w:val="nil"/>
              <w:right w:val="nil"/>
            </w:tcBorders>
            <w:shd w:val="clear" w:color="000000" w:fill="FFFFFF"/>
            <w:noWrap/>
            <w:vAlign w:val="center"/>
            <w:hideMark/>
          </w:tcPr>
          <w:p w14:paraId="387AC802" w14:textId="77777777" w:rsidR="0027688F" w:rsidRPr="00D618B7" w:rsidRDefault="0027688F" w:rsidP="004B11B7">
            <w:pPr>
              <w:jc w:val="right"/>
              <w:rPr>
                <w:color w:val="000000"/>
              </w:rPr>
            </w:pPr>
            <w:r w:rsidRPr="00D618B7">
              <w:rPr>
                <w:color w:val="000000"/>
              </w:rPr>
              <w:t>-65.30</w:t>
            </w:r>
          </w:p>
        </w:tc>
        <w:tc>
          <w:tcPr>
            <w:tcW w:w="714" w:type="pct"/>
            <w:tcBorders>
              <w:top w:val="nil"/>
              <w:left w:val="nil"/>
              <w:bottom w:val="nil"/>
              <w:right w:val="nil"/>
            </w:tcBorders>
            <w:shd w:val="clear" w:color="000000" w:fill="FFFFFF"/>
            <w:noWrap/>
            <w:vAlign w:val="center"/>
            <w:hideMark/>
          </w:tcPr>
          <w:p w14:paraId="5957C07A" w14:textId="77777777" w:rsidR="0027688F" w:rsidRPr="00D618B7" w:rsidRDefault="0027688F" w:rsidP="004B11B7">
            <w:pPr>
              <w:jc w:val="right"/>
              <w:rPr>
                <w:color w:val="000000"/>
              </w:rPr>
            </w:pPr>
            <w:r w:rsidRPr="00D618B7">
              <w:rPr>
                <w:color w:val="000000"/>
              </w:rPr>
              <w:t>116.63</w:t>
            </w:r>
          </w:p>
        </w:tc>
      </w:tr>
      <w:tr w:rsidR="0027688F" w:rsidRPr="00D618B7" w14:paraId="3135201A" w14:textId="77777777" w:rsidTr="00C953D6">
        <w:trPr>
          <w:trHeight w:val="325"/>
        </w:trPr>
        <w:tc>
          <w:tcPr>
            <w:tcW w:w="714" w:type="pct"/>
            <w:tcBorders>
              <w:top w:val="nil"/>
              <w:left w:val="nil"/>
              <w:bottom w:val="nil"/>
              <w:right w:val="nil"/>
            </w:tcBorders>
            <w:shd w:val="clear" w:color="000000" w:fill="FFFFFF"/>
            <w:vAlign w:val="center"/>
            <w:hideMark/>
          </w:tcPr>
          <w:p w14:paraId="46C00647" w14:textId="77777777" w:rsidR="0027688F" w:rsidRPr="00D618B7" w:rsidRDefault="0027688F"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4FBDA650" w14:textId="77777777" w:rsidR="0027688F" w:rsidRPr="00D618B7" w:rsidRDefault="0027688F" w:rsidP="004B11B7">
            <w:pPr>
              <w:jc w:val="right"/>
              <w:rPr>
                <w:color w:val="000000"/>
              </w:rPr>
            </w:pPr>
            <w:r w:rsidRPr="00D618B7">
              <w:rPr>
                <w:color w:val="000000"/>
              </w:rPr>
              <w:t>239.20</w:t>
            </w:r>
          </w:p>
        </w:tc>
        <w:tc>
          <w:tcPr>
            <w:tcW w:w="547" w:type="pct"/>
            <w:tcBorders>
              <w:top w:val="nil"/>
              <w:left w:val="nil"/>
              <w:bottom w:val="nil"/>
              <w:right w:val="nil"/>
            </w:tcBorders>
            <w:shd w:val="clear" w:color="000000" w:fill="FFFFFF"/>
            <w:noWrap/>
            <w:vAlign w:val="center"/>
            <w:hideMark/>
          </w:tcPr>
          <w:p w14:paraId="39A220B5" w14:textId="77777777" w:rsidR="0027688F" w:rsidRPr="00D618B7" w:rsidRDefault="0027688F" w:rsidP="004B11B7">
            <w:pPr>
              <w:jc w:val="right"/>
              <w:rPr>
                <w:color w:val="000000"/>
              </w:rPr>
            </w:pPr>
            <w:r w:rsidRPr="00D618B7">
              <w:rPr>
                <w:color w:val="000000"/>
              </w:rPr>
              <w:t>86.41</w:t>
            </w:r>
          </w:p>
        </w:tc>
        <w:tc>
          <w:tcPr>
            <w:tcW w:w="882" w:type="pct"/>
            <w:tcBorders>
              <w:top w:val="nil"/>
              <w:left w:val="nil"/>
              <w:bottom w:val="nil"/>
              <w:right w:val="nil"/>
            </w:tcBorders>
            <w:shd w:val="clear" w:color="000000" w:fill="FFFFFF"/>
            <w:noWrap/>
            <w:vAlign w:val="center"/>
            <w:hideMark/>
          </w:tcPr>
          <w:p w14:paraId="1BCD8AD6" w14:textId="77777777" w:rsidR="0027688F" w:rsidRPr="00D618B7" w:rsidRDefault="0027688F" w:rsidP="004B11B7">
            <w:pPr>
              <w:jc w:val="right"/>
              <w:rPr>
                <w:color w:val="000000"/>
              </w:rPr>
            </w:pPr>
            <w:r w:rsidRPr="00D618B7">
              <w:rPr>
                <w:color w:val="000000"/>
              </w:rPr>
              <w:t>353.13</w:t>
            </w:r>
          </w:p>
        </w:tc>
        <w:tc>
          <w:tcPr>
            <w:tcW w:w="715" w:type="pct"/>
            <w:tcBorders>
              <w:top w:val="nil"/>
              <w:left w:val="nil"/>
              <w:bottom w:val="nil"/>
              <w:right w:val="nil"/>
            </w:tcBorders>
            <w:shd w:val="clear" w:color="000000" w:fill="FFFFFF"/>
            <w:noWrap/>
            <w:vAlign w:val="center"/>
            <w:hideMark/>
          </w:tcPr>
          <w:p w14:paraId="3753E75E" w14:textId="77777777" w:rsidR="0027688F" w:rsidRPr="00D618B7" w:rsidRDefault="0027688F" w:rsidP="004B11B7">
            <w:pPr>
              <w:jc w:val="right"/>
              <w:rPr>
                <w:color w:val="000000"/>
              </w:rPr>
            </w:pPr>
            <w:r w:rsidRPr="00D618B7">
              <w:rPr>
                <w:color w:val="000000"/>
              </w:rPr>
              <w:t>21.67</w:t>
            </w:r>
          </w:p>
        </w:tc>
        <w:tc>
          <w:tcPr>
            <w:tcW w:w="714" w:type="pct"/>
            <w:tcBorders>
              <w:top w:val="nil"/>
              <w:left w:val="nil"/>
              <w:bottom w:val="nil"/>
              <w:right w:val="nil"/>
            </w:tcBorders>
            <w:shd w:val="clear" w:color="000000" w:fill="FFFFFF"/>
            <w:noWrap/>
            <w:vAlign w:val="center"/>
            <w:hideMark/>
          </w:tcPr>
          <w:p w14:paraId="28DFE0C2" w14:textId="77777777" w:rsidR="0027688F" w:rsidRPr="00D618B7" w:rsidRDefault="0027688F" w:rsidP="004B11B7">
            <w:pPr>
              <w:jc w:val="right"/>
              <w:rPr>
                <w:color w:val="000000"/>
              </w:rPr>
            </w:pPr>
            <w:r w:rsidRPr="00D618B7">
              <w:rPr>
                <w:color w:val="000000"/>
              </w:rPr>
              <w:t>-23.49</w:t>
            </w:r>
          </w:p>
        </w:tc>
        <w:tc>
          <w:tcPr>
            <w:tcW w:w="714" w:type="pct"/>
            <w:tcBorders>
              <w:top w:val="nil"/>
              <w:left w:val="nil"/>
              <w:bottom w:val="nil"/>
              <w:right w:val="nil"/>
            </w:tcBorders>
            <w:shd w:val="clear" w:color="000000" w:fill="FFFFFF"/>
            <w:noWrap/>
            <w:vAlign w:val="center"/>
            <w:hideMark/>
          </w:tcPr>
          <w:p w14:paraId="2FBE43A0" w14:textId="77777777" w:rsidR="0027688F" w:rsidRPr="00D618B7" w:rsidRDefault="0027688F" w:rsidP="004B11B7">
            <w:pPr>
              <w:jc w:val="right"/>
              <w:rPr>
                <w:color w:val="000000"/>
              </w:rPr>
            </w:pPr>
            <w:r w:rsidRPr="00D618B7">
              <w:rPr>
                <w:color w:val="000000"/>
              </w:rPr>
              <w:t>58.08</w:t>
            </w:r>
          </w:p>
        </w:tc>
      </w:tr>
      <w:tr w:rsidR="0027688F" w:rsidRPr="00D618B7" w14:paraId="3DDB1360" w14:textId="77777777" w:rsidTr="00C953D6">
        <w:trPr>
          <w:trHeight w:val="325"/>
        </w:trPr>
        <w:tc>
          <w:tcPr>
            <w:tcW w:w="714" w:type="pct"/>
            <w:tcBorders>
              <w:top w:val="nil"/>
              <w:left w:val="nil"/>
              <w:bottom w:val="nil"/>
              <w:right w:val="nil"/>
            </w:tcBorders>
            <w:shd w:val="clear" w:color="000000" w:fill="FFFFFF"/>
            <w:vAlign w:val="center"/>
            <w:hideMark/>
          </w:tcPr>
          <w:p w14:paraId="5E1D4A27" w14:textId="77777777" w:rsidR="0027688F" w:rsidRPr="00D618B7" w:rsidRDefault="0027688F"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24B2A9AA" w14:textId="77777777" w:rsidR="0027688F" w:rsidRPr="00D618B7" w:rsidRDefault="0027688F" w:rsidP="004B11B7">
            <w:pPr>
              <w:jc w:val="right"/>
              <w:rPr>
                <w:color w:val="000000"/>
              </w:rPr>
            </w:pPr>
            <w:r w:rsidRPr="00D618B7">
              <w:rPr>
                <w:color w:val="000000"/>
              </w:rPr>
              <w:t>147.44</w:t>
            </w:r>
          </w:p>
        </w:tc>
        <w:tc>
          <w:tcPr>
            <w:tcW w:w="547" w:type="pct"/>
            <w:tcBorders>
              <w:top w:val="nil"/>
              <w:left w:val="nil"/>
              <w:bottom w:val="nil"/>
              <w:right w:val="nil"/>
            </w:tcBorders>
            <w:shd w:val="clear" w:color="000000" w:fill="FFFFFF"/>
            <w:noWrap/>
            <w:vAlign w:val="center"/>
            <w:hideMark/>
          </w:tcPr>
          <w:p w14:paraId="75239D05" w14:textId="77777777" w:rsidR="0027688F" w:rsidRPr="00D618B7" w:rsidRDefault="0027688F" w:rsidP="004B11B7">
            <w:pPr>
              <w:jc w:val="right"/>
              <w:rPr>
                <w:color w:val="000000"/>
              </w:rPr>
            </w:pPr>
            <w:r w:rsidRPr="00D618B7">
              <w:rPr>
                <w:color w:val="000000"/>
              </w:rPr>
              <w:t>169.75</w:t>
            </w:r>
          </w:p>
        </w:tc>
        <w:tc>
          <w:tcPr>
            <w:tcW w:w="882" w:type="pct"/>
            <w:tcBorders>
              <w:top w:val="nil"/>
              <w:left w:val="nil"/>
              <w:bottom w:val="nil"/>
              <w:right w:val="nil"/>
            </w:tcBorders>
            <w:shd w:val="clear" w:color="000000" w:fill="FFFFFF"/>
            <w:noWrap/>
            <w:vAlign w:val="center"/>
            <w:hideMark/>
          </w:tcPr>
          <w:p w14:paraId="724BC6D8" w14:textId="77777777" w:rsidR="0027688F" w:rsidRPr="00D618B7" w:rsidRDefault="0027688F" w:rsidP="004B11B7">
            <w:pPr>
              <w:jc w:val="right"/>
              <w:rPr>
                <w:color w:val="000000"/>
              </w:rPr>
            </w:pPr>
            <w:r w:rsidRPr="00D618B7">
              <w:rPr>
                <w:color w:val="000000"/>
              </w:rPr>
              <w:t>-52.42</w:t>
            </w:r>
          </w:p>
        </w:tc>
        <w:tc>
          <w:tcPr>
            <w:tcW w:w="715" w:type="pct"/>
            <w:tcBorders>
              <w:top w:val="nil"/>
              <w:left w:val="nil"/>
              <w:bottom w:val="nil"/>
              <w:right w:val="nil"/>
            </w:tcBorders>
            <w:shd w:val="clear" w:color="000000" w:fill="FFFFFF"/>
            <w:noWrap/>
            <w:vAlign w:val="center"/>
            <w:hideMark/>
          </w:tcPr>
          <w:p w14:paraId="60183A63" w14:textId="77777777" w:rsidR="0027688F" w:rsidRPr="00D618B7" w:rsidRDefault="0027688F" w:rsidP="004B11B7">
            <w:pPr>
              <w:jc w:val="right"/>
              <w:rPr>
                <w:color w:val="000000"/>
              </w:rPr>
            </w:pPr>
            <w:r w:rsidRPr="00D618B7">
              <w:rPr>
                <w:color w:val="000000"/>
              </w:rPr>
              <w:t>59.31</w:t>
            </w:r>
          </w:p>
        </w:tc>
        <w:tc>
          <w:tcPr>
            <w:tcW w:w="714" w:type="pct"/>
            <w:tcBorders>
              <w:top w:val="nil"/>
              <w:left w:val="nil"/>
              <w:bottom w:val="nil"/>
              <w:right w:val="nil"/>
            </w:tcBorders>
            <w:shd w:val="clear" w:color="000000" w:fill="FFFFFF"/>
            <w:noWrap/>
            <w:vAlign w:val="center"/>
            <w:hideMark/>
          </w:tcPr>
          <w:p w14:paraId="1C84D3CA" w14:textId="77777777" w:rsidR="0027688F" w:rsidRPr="00D618B7" w:rsidRDefault="0027688F" w:rsidP="004B11B7">
            <w:pPr>
              <w:jc w:val="right"/>
              <w:rPr>
                <w:color w:val="000000"/>
              </w:rPr>
            </w:pPr>
            <w:r w:rsidRPr="00D618B7">
              <w:rPr>
                <w:color w:val="000000"/>
              </w:rPr>
              <w:t>13.70</w:t>
            </w:r>
          </w:p>
        </w:tc>
        <w:tc>
          <w:tcPr>
            <w:tcW w:w="714" w:type="pct"/>
            <w:tcBorders>
              <w:top w:val="nil"/>
              <w:left w:val="nil"/>
              <w:bottom w:val="nil"/>
              <w:right w:val="nil"/>
            </w:tcBorders>
            <w:shd w:val="clear" w:color="000000" w:fill="FFFFFF"/>
            <w:noWrap/>
            <w:vAlign w:val="center"/>
            <w:hideMark/>
          </w:tcPr>
          <w:p w14:paraId="2EBDAE79" w14:textId="77777777" w:rsidR="0027688F" w:rsidRPr="00D618B7" w:rsidRDefault="0027688F" w:rsidP="004B11B7">
            <w:pPr>
              <w:jc w:val="right"/>
              <w:rPr>
                <w:color w:val="000000"/>
              </w:rPr>
            </w:pPr>
            <w:r w:rsidRPr="00D618B7">
              <w:rPr>
                <w:color w:val="000000"/>
              </w:rPr>
              <w:t>71.06</w:t>
            </w:r>
          </w:p>
        </w:tc>
      </w:tr>
      <w:tr w:rsidR="0027688F" w:rsidRPr="00D618B7" w14:paraId="34C5526A" w14:textId="77777777" w:rsidTr="00C953D6">
        <w:trPr>
          <w:trHeight w:val="325"/>
        </w:trPr>
        <w:tc>
          <w:tcPr>
            <w:tcW w:w="714" w:type="pct"/>
            <w:tcBorders>
              <w:top w:val="nil"/>
              <w:left w:val="nil"/>
              <w:bottom w:val="single" w:sz="8" w:space="0" w:color="auto"/>
              <w:right w:val="nil"/>
            </w:tcBorders>
            <w:shd w:val="clear" w:color="000000" w:fill="FFFFFF"/>
            <w:vAlign w:val="center"/>
            <w:hideMark/>
          </w:tcPr>
          <w:p w14:paraId="1883254A" w14:textId="77777777" w:rsidR="0027688F" w:rsidRPr="00D618B7" w:rsidRDefault="0027688F" w:rsidP="004B11B7">
            <w:pPr>
              <w:jc w:val="right"/>
              <w:rPr>
                <w:color w:val="000000"/>
              </w:rPr>
            </w:pPr>
            <w:r w:rsidRPr="00D618B7">
              <w:rPr>
                <w:color w:val="000000"/>
              </w:rPr>
              <w:t>5</w:t>
            </w:r>
          </w:p>
        </w:tc>
        <w:tc>
          <w:tcPr>
            <w:tcW w:w="714" w:type="pct"/>
            <w:tcBorders>
              <w:top w:val="nil"/>
              <w:left w:val="nil"/>
              <w:bottom w:val="single" w:sz="8" w:space="0" w:color="auto"/>
              <w:right w:val="nil"/>
            </w:tcBorders>
            <w:shd w:val="clear" w:color="000000" w:fill="FFFFFF"/>
            <w:noWrap/>
            <w:vAlign w:val="center"/>
            <w:hideMark/>
          </w:tcPr>
          <w:p w14:paraId="7A3A526F" w14:textId="77777777" w:rsidR="0027688F" w:rsidRPr="00D618B7" w:rsidRDefault="0027688F" w:rsidP="004B11B7">
            <w:pPr>
              <w:jc w:val="right"/>
              <w:rPr>
                <w:color w:val="000000"/>
              </w:rPr>
            </w:pPr>
            <w:r w:rsidRPr="00D618B7">
              <w:rPr>
                <w:color w:val="000000"/>
              </w:rPr>
              <w:t>156.51</w:t>
            </w:r>
          </w:p>
        </w:tc>
        <w:tc>
          <w:tcPr>
            <w:tcW w:w="547" w:type="pct"/>
            <w:tcBorders>
              <w:top w:val="nil"/>
              <w:left w:val="nil"/>
              <w:bottom w:val="single" w:sz="8" w:space="0" w:color="auto"/>
              <w:right w:val="nil"/>
            </w:tcBorders>
            <w:shd w:val="clear" w:color="000000" w:fill="FFFFFF"/>
            <w:noWrap/>
            <w:vAlign w:val="center"/>
            <w:hideMark/>
          </w:tcPr>
          <w:p w14:paraId="2A796243" w14:textId="77777777" w:rsidR="0027688F" w:rsidRPr="00D618B7" w:rsidRDefault="0027688F" w:rsidP="004B11B7">
            <w:pPr>
              <w:jc w:val="right"/>
              <w:rPr>
                <w:color w:val="000000"/>
              </w:rPr>
            </w:pPr>
            <w:r w:rsidRPr="00D618B7">
              <w:rPr>
                <w:color w:val="000000"/>
              </w:rPr>
              <w:t>52.41</w:t>
            </w:r>
          </w:p>
        </w:tc>
        <w:tc>
          <w:tcPr>
            <w:tcW w:w="882" w:type="pct"/>
            <w:tcBorders>
              <w:top w:val="nil"/>
              <w:left w:val="nil"/>
              <w:bottom w:val="single" w:sz="8" w:space="0" w:color="auto"/>
              <w:right w:val="nil"/>
            </w:tcBorders>
            <w:shd w:val="clear" w:color="000000" w:fill="FFFFFF"/>
            <w:noWrap/>
            <w:vAlign w:val="center"/>
            <w:hideMark/>
          </w:tcPr>
          <w:p w14:paraId="0DBB7A96" w14:textId="77777777" w:rsidR="0027688F" w:rsidRPr="00D618B7" w:rsidRDefault="0027688F" w:rsidP="004B11B7">
            <w:pPr>
              <w:jc w:val="right"/>
              <w:rPr>
                <w:color w:val="000000"/>
              </w:rPr>
            </w:pPr>
            <w:r w:rsidRPr="00D618B7">
              <w:rPr>
                <w:color w:val="000000"/>
              </w:rPr>
              <w:t>-56.94</w:t>
            </w:r>
          </w:p>
        </w:tc>
        <w:tc>
          <w:tcPr>
            <w:tcW w:w="715" w:type="pct"/>
            <w:tcBorders>
              <w:top w:val="nil"/>
              <w:left w:val="nil"/>
              <w:bottom w:val="single" w:sz="8" w:space="0" w:color="auto"/>
              <w:right w:val="nil"/>
            </w:tcBorders>
            <w:shd w:val="clear" w:color="000000" w:fill="FFFFFF"/>
            <w:noWrap/>
            <w:vAlign w:val="center"/>
            <w:hideMark/>
          </w:tcPr>
          <w:p w14:paraId="6C5A8297" w14:textId="77777777" w:rsidR="0027688F" w:rsidRPr="00D618B7" w:rsidRDefault="0027688F" w:rsidP="004B11B7">
            <w:pPr>
              <w:jc w:val="right"/>
              <w:rPr>
                <w:color w:val="000000"/>
              </w:rPr>
            </w:pPr>
            <w:r w:rsidRPr="00D618B7">
              <w:rPr>
                <w:color w:val="000000"/>
              </w:rPr>
              <w:t>41.79</w:t>
            </w:r>
          </w:p>
        </w:tc>
        <w:tc>
          <w:tcPr>
            <w:tcW w:w="714" w:type="pct"/>
            <w:tcBorders>
              <w:top w:val="nil"/>
              <w:left w:val="nil"/>
              <w:bottom w:val="single" w:sz="8" w:space="0" w:color="auto"/>
              <w:right w:val="nil"/>
            </w:tcBorders>
            <w:shd w:val="clear" w:color="000000" w:fill="FFFFFF"/>
            <w:noWrap/>
            <w:vAlign w:val="center"/>
            <w:hideMark/>
          </w:tcPr>
          <w:p w14:paraId="6750BA3D" w14:textId="77777777" w:rsidR="0027688F" w:rsidRPr="00D618B7" w:rsidRDefault="0027688F" w:rsidP="004B11B7">
            <w:pPr>
              <w:jc w:val="right"/>
              <w:rPr>
                <w:color w:val="000000"/>
              </w:rPr>
            </w:pPr>
            <w:r w:rsidRPr="00D618B7">
              <w:rPr>
                <w:color w:val="000000"/>
              </w:rPr>
              <w:t>37.38</w:t>
            </w:r>
          </w:p>
        </w:tc>
        <w:tc>
          <w:tcPr>
            <w:tcW w:w="714" w:type="pct"/>
            <w:tcBorders>
              <w:top w:val="nil"/>
              <w:left w:val="nil"/>
              <w:bottom w:val="single" w:sz="8" w:space="0" w:color="auto"/>
              <w:right w:val="nil"/>
            </w:tcBorders>
            <w:shd w:val="clear" w:color="000000" w:fill="FFFFFF"/>
            <w:noWrap/>
            <w:vAlign w:val="center"/>
            <w:hideMark/>
          </w:tcPr>
          <w:p w14:paraId="1F0598D8" w14:textId="77777777" w:rsidR="0027688F" w:rsidRPr="00D618B7" w:rsidRDefault="0027688F" w:rsidP="004B11B7">
            <w:pPr>
              <w:jc w:val="right"/>
              <w:rPr>
                <w:color w:val="000000"/>
              </w:rPr>
            </w:pPr>
            <w:r w:rsidRPr="00D618B7">
              <w:rPr>
                <w:color w:val="000000"/>
              </w:rPr>
              <w:t>19.11</w:t>
            </w:r>
          </w:p>
        </w:tc>
      </w:tr>
      <w:tr w:rsidR="0027688F" w:rsidRPr="00D618B7" w14:paraId="3EF2243D" w14:textId="77777777" w:rsidTr="004B11B7">
        <w:trPr>
          <w:trHeight w:val="325"/>
        </w:trPr>
        <w:tc>
          <w:tcPr>
            <w:tcW w:w="714" w:type="pct"/>
            <w:tcBorders>
              <w:top w:val="nil"/>
              <w:left w:val="nil"/>
              <w:bottom w:val="nil"/>
              <w:right w:val="nil"/>
            </w:tcBorders>
            <w:shd w:val="clear" w:color="000000" w:fill="FFFFFF"/>
            <w:noWrap/>
            <w:vAlign w:val="bottom"/>
            <w:hideMark/>
          </w:tcPr>
          <w:p w14:paraId="10F76BFA" w14:textId="77777777" w:rsidR="0027688F" w:rsidRPr="00D618B7" w:rsidRDefault="0027688F" w:rsidP="004B11B7">
            <w:pPr>
              <w:rPr>
                <w:color w:val="000000"/>
              </w:rPr>
            </w:pPr>
            <w:r w:rsidRPr="00D618B7">
              <w:rPr>
                <w:color w:val="000000"/>
              </w:rPr>
              <w:t> </w:t>
            </w:r>
          </w:p>
        </w:tc>
        <w:tc>
          <w:tcPr>
            <w:tcW w:w="4286" w:type="pct"/>
            <w:gridSpan w:val="6"/>
            <w:tcBorders>
              <w:top w:val="single" w:sz="8" w:space="0" w:color="auto"/>
              <w:left w:val="nil"/>
              <w:bottom w:val="nil"/>
              <w:right w:val="nil"/>
            </w:tcBorders>
            <w:shd w:val="clear" w:color="000000" w:fill="FFFFFF"/>
            <w:noWrap/>
            <w:vAlign w:val="center"/>
            <w:hideMark/>
          </w:tcPr>
          <w:p w14:paraId="7EF60386" w14:textId="77777777" w:rsidR="0027688F" w:rsidRPr="00D618B7" w:rsidRDefault="0027688F" w:rsidP="004B11B7">
            <w:pPr>
              <w:jc w:val="center"/>
              <w:rPr>
                <w:color w:val="000000"/>
              </w:rPr>
            </w:pPr>
            <w:r w:rsidRPr="00D618B7">
              <w:rPr>
                <w:color w:val="000000"/>
              </w:rPr>
              <w:t>Late Reach Group</w:t>
            </w:r>
          </w:p>
        </w:tc>
      </w:tr>
      <w:tr w:rsidR="0027688F" w:rsidRPr="00D618B7" w14:paraId="7D4394FD" w14:textId="77777777" w:rsidTr="00C953D6">
        <w:trPr>
          <w:trHeight w:val="325"/>
        </w:trPr>
        <w:tc>
          <w:tcPr>
            <w:tcW w:w="714" w:type="pct"/>
            <w:tcBorders>
              <w:top w:val="nil"/>
              <w:left w:val="nil"/>
              <w:bottom w:val="nil"/>
              <w:right w:val="nil"/>
            </w:tcBorders>
            <w:shd w:val="clear" w:color="000000" w:fill="FFFFFF"/>
            <w:vAlign w:val="center"/>
            <w:hideMark/>
          </w:tcPr>
          <w:p w14:paraId="6A651C0A" w14:textId="77777777" w:rsidR="0027688F" w:rsidRPr="00D618B7" w:rsidRDefault="0027688F" w:rsidP="004B11B7">
            <w:pPr>
              <w:jc w:val="right"/>
              <w:rPr>
                <w:color w:val="000000"/>
              </w:rPr>
            </w:pPr>
            <w:r w:rsidRPr="00D618B7">
              <w:rPr>
                <w:color w:val="000000"/>
              </w:rPr>
              <w:t>-5</w:t>
            </w:r>
          </w:p>
        </w:tc>
        <w:tc>
          <w:tcPr>
            <w:tcW w:w="714" w:type="pct"/>
            <w:tcBorders>
              <w:top w:val="nil"/>
              <w:left w:val="nil"/>
              <w:bottom w:val="nil"/>
              <w:right w:val="nil"/>
            </w:tcBorders>
            <w:shd w:val="clear" w:color="000000" w:fill="FFFFFF"/>
            <w:noWrap/>
            <w:vAlign w:val="center"/>
            <w:hideMark/>
          </w:tcPr>
          <w:p w14:paraId="43F18A58" w14:textId="77777777" w:rsidR="0027688F" w:rsidRPr="00D618B7" w:rsidRDefault="0027688F" w:rsidP="004B11B7">
            <w:pPr>
              <w:jc w:val="right"/>
              <w:rPr>
                <w:color w:val="000000"/>
              </w:rPr>
            </w:pPr>
            <w:r w:rsidRPr="00D618B7">
              <w:rPr>
                <w:color w:val="000000"/>
              </w:rPr>
              <w:t>65.48</w:t>
            </w:r>
          </w:p>
        </w:tc>
        <w:tc>
          <w:tcPr>
            <w:tcW w:w="547" w:type="pct"/>
            <w:tcBorders>
              <w:top w:val="nil"/>
              <w:left w:val="nil"/>
              <w:bottom w:val="nil"/>
              <w:right w:val="nil"/>
            </w:tcBorders>
            <w:shd w:val="clear" w:color="000000" w:fill="FFFFFF"/>
            <w:noWrap/>
            <w:vAlign w:val="center"/>
            <w:hideMark/>
          </w:tcPr>
          <w:p w14:paraId="24551C3A" w14:textId="77777777" w:rsidR="0027688F" w:rsidRPr="00D618B7" w:rsidRDefault="0027688F" w:rsidP="004B11B7">
            <w:pPr>
              <w:jc w:val="right"/>
              <w:rPr>
                <w:color w:val="000000"/>
              </w:rPr>
            </w:pPr>
            <w:r w:rsidRPr="00D618B7">
              <w:rPr>
                <w:color w:val="000000"/>
              </w:rPr>
              <w:t>49.75</w:t>
            </w:r>
          </w:p>
        </w:tc>
        <w:tc>
          <w:tcPr>
            <w:tcW w:w="882" w:type="pct"/>
            <w:tcBorders>
              <w:top w:val="nil"/>
              <w:left w:val="nil"/>
              <w:bottom w:val="nil"/>
              <w:right w:val="nil"/>
            </w:tcBorders>
            <w:shd w:val="clear" w:color="000000" w:fill="FFFFFF"/>
            <w:noWrap/>
            <w:vAlign w:val="center"/>
            <w:hideMark/>
          </w:tcPr>
          <w:p w14:paraId="702890C5" w14:textId="77777777" w:rsidR="0027688F" w:rsidRPr="00D618B7" w:rsidRDefault="0027688F" w:rsidP="004B11B7">
            <w:pPr>
              <w:jc w:val="right"/>
              <w:rPr>
                <w:color w:val="000000"/>
              </w:rPr>
            </w:pPr>
            <w:r w:rsidRPr="00D618B7">
              <w:rPr>
                <w:color w:val="000000"/>
              </w:rPr>
              <w:t>5.29</w:t>
            </w:r>
          </w:p>
        </w:tc>
        <w:tc>
          <w:tcPr>
            <w:tcW w:w="715" w:type="pct"/>
            <w:tcBorders>
              <w:top w:val="nil"/>
              <w:left w:val="nil"/>
              <w:bottom w:val="nil"/>
              <w:right w:val="nil"/>
            </w:tcBorders>
            <w:shd w:val="clear" w:color="000000" w:fill="FFFFFF"/>
            <w:noWrap/>
            <w:vAlign w:val="center"/>
            <w:hideMark/>
          </w:tcPr>
          <w:p w14:paraId="5F46BC24" w14:textId="77777777" w:rsidR="0027688F" w:rsidRPr="00D618B7" w:rsidRDefault="0027688F" w:rsidP="004B11B7">
            <w:pPr>
              <w:jc w:val="right"/>
              <w:rPr>
                <w:color w:val="000000"/>
              </w:rPr>
            </w:pPr>
            <w:r w:rsidRPr="00D618B7">
              <w:rPr>
                <w:color w:val="000000"/>
              </w:rPr>
              <w:t>11.39</w:t>
            </w:r>
          </w:p>
        </w:tc>
        <w:tc>
          <w:tcPr>
            <w:tcW w:w="714" w:type="pct"/>
            <w:tcBorders>
              <w:top w:val="nil"/>
              <w:left w:val="nil"/>
              <w:bottom w:val="nil"/>
              <w:right w:val="nil"/>
            </w:tcBorders>
            <w:shd w:val="clear" w:color="000000" w:fill="FFFFFF"/>
            <w:noWrap/>
            <w:vAlign w:val="center"/>
            <w:hideMark/>
          </w:tcPr>
          <w:p w14:paraId="37ACA48B" w14:textId="77777777" w:rsidR="0027688F" w:rsidRPr="00D618B7" w:rsidRDefault="0027688F" w:rsidP="004B11B7">
            <w:pPr>
              <w:jc w:val="right"/>
              <w:rPr>
                <w:color w:val="000000"/>
              </w:rPr>
            </w:pPr>
            <w:r w:rsidRPr="00D618B7">
              <w:rPr>
                <w:color w:val="000000"/>
              </w:rPr>
              <w:t>64.30</w:t>
            </w:r>
          </w:p>
        </w:tc>
        <w:tc>
          <w:tcPr>
            <w:tcW w:w="714" w:type="pct"/>
            <w:tcBorders>
              <w:top w:val="nil"/>
              <w:left w:val="nil"/>
              <w:bottom w:val="nil"/>
              <w:right w:val="nil"/>
            </w:tcBorders>
            <w:shd w:val="clear" w:color="000000" w:fill="FFFFFF"/>
            <w:noWrap/>
            <w:vAlign w:val="center"/>
            <w:hideMark/>
          </w:tcPr>
          <w:p w14:paraId="75313ED0" w14:textId="77777777" w:rsidR="0027688F" w:rsidRPr="00D618B7" w:rsidRDefault="0027688F" w:rsidP="004B11B7">
            <w:pPr>
              <w:jc w:val="right"/>
              <w:rPr>
                <w:color w:val="000000"/>
              </w:rPr>
            </w:pPr>
            <w:r w:rsidRPr="00D618B7">
              <w:rPr>
                <w:color w:val="000000"/>
              </w:rPr>
              <w:t>40.41</w:t>
            </w:r>
          </w:p>
        </w:tc>
      </w:tr>
      <w:tr w:rsidR="0027688F" w:rsidRPr="00D618B7" w14:paraId="178AAB67" w14:textId="77777777" w:rsidTr="00C953D6">
        <w:trPr>
          <w:trHeight w:val="325"/>
        </w:trPr>
        <w:tc>
          <w:tcPr>
            <w:tcW w:w="714" w:type="pct"/>
            <w:tcBorders>
              <w:top w:val="nil"/>
              <w:left w:val="nil"/>
              <w:bottom w:val="nil"/>
              <w:right w:val="nil"/>
            </w:tcBorders>
            <w:shd w:val="clear" w:color="000000" w:fill="FFFFFF"/>
            <w:vAlign w:val="center"/>
            <w:hideMark/>
          </w:tcPr>
          <w:p w14:paraId="24B7AF9D" w14:textId="77777777" w:rsidR="0027688F" w:rsidRPr="00D618B7" w:rsidRDefault="0027688F"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35D8DDB2" w14:textId="77777777" w:rsidR="0027688F" w:rsidRPr="00D618B7" w:rsidRDefault="0027688F" w:rsidP="004B11B7">
            <w:pPr>
              <w:jc w:val="right"/>
              <w:rPr>
                <w:color w:val="000000"/>
              </w:rPr>
            </w:pPr>
            <w:r w:rsidRPr="00D618B7">
              <w:rPr>
                <w:color w:val="000000"/>
              </w:rPr>
              <w:t>-11.31</w:t>
            </w:r>
          </w:p>
        </w:tc>
        <w:tc>
          <w:tcPr>
            <w:tcW w:w="547" w:type="pct"/>
            <w:tcBorders>
              <w:top w:val="nil"/>
              <w:left w:val="nil"/>
              <w:bottom w:val="nil"/>
              <w:right w:val="nil"/>
            </w:tcBorders>
            <w:shd w:val="clear" w:color="000000" w:fill="FFFFFF"/>
            <w:noWrap/>
            <w:vAlign w:val="center"/>
            <w:hideMark/>
          </w:tcPr>
          <w:p w14:paraId="5BBDD053" w14:textId="77777777" w:rsidR="0027688F" w:rsidRPr="00D618B7" w:rsidRDefault="0027688F" w:rsidP="004B11B7">
            <w:pPr>
              <w:jc w:val="right"/>
              <w:rPr>
                <w:color w:val="000000"/>
              </w:rPr>
            </w:pPr>
            <w:r w:rsidRPr="00D618B7">
              <w:rPr>
                <w:color w:val="000000"/>
              </w:rPr>
              <w:t>51.68</w:t>
            </w:r>
          </w:p>
        </w:tc>
        <w:tc>
          <w:tcPr>
            <w:tcW w:w="882" w:type="pct"/>
            <w:tcBorders>
              <w:top w:val="nil"/>
              <w:left w:val="nil"/>
              <w:bottom w:val="nil"/>
              <w:right w:val="nil"/>
            </w:tcBorders>
            <w:shd w:val="clear" w:color="000000" w:fill="FFFFFF"/>
            <w:noWrap/>
            <w:vAlign w:val="center"/>
            <w:hideMark/>
          </w:tcPr>
          <w:p w14:paraId="1BEDF81D" w14:textId="77777777" w:rsidR="0027688F" w:rsidRPr="00D618B7" w:rsidRDefault="0027688F" w:rsidP="004B11B7">
            <w:pPr>
              <w:jc w:val="right"/>
              <w:rPr>
                <w:color w:val="000000"/>
              </w:rPr>
            </w:pPr>
            <w:r w:rsidRPr="00D618B7">
              <w:rPr>
                <w:color w:val="000000"/>
              </w:rPr>
              <w:t>93.17</w:t>
            </w:r>
          </w:p>
        </w:tc>
        <w:tc>
          <w:tcPr>
            <w:tcW w:w="715" w:type="pct"/>
            <w:tcBorders>
              <w:top w:val="nil"/>
              <w:left w:val="nil"/>
              <w:bottom w:val="nil"/>
              <w:right w:val="nil"/>
            </w:tcBorders>
            <w:shd w:val="clear" w:color="000000" w:fill="FFFFFF"/>
            <w:noWrap/>
            <w:vAlign w:val="center"/>
            <w:hideMark/>
          </w:tcPr>
          <w:p w14:paraId="135442F6" w14:textId="77777777" w:rsidR="0027688F" w:rsidRPr="00D618B7" w:rsidRDefault="0027688F" w:rsidP="004B11B7">
            <w:pPr>
              <w:jc w:val="right"/>
              <w:rPr>
                <w:color w:val="000000"/>
              </w:rPr>
            </w:pPr>
            <w:r w:rsidRPr="00D618B7">
              <w:rPr>
                <w:color w:val="000000"/>
              </w:rPr>
              <w:t>59.25</w:t>
            </w:r>
          </w:p>
        </w:tc>
        <w:tc>
          <w:tcPr>
            <w:tcW w:w="714" w:type="pct"/>
            <w:tcBorders>
              <w:top w:val="nil"/>
              <w:left w:val="nil"/>
              <w:bottom w:val="nil"/>
              <w:right w:val="nil"/>
            </w:tcBorders>
            <w:shd w:val="clear" w:color="000000" w:fill="FFFFFF"/>
            <w:noWrap/>
            <w:vAlign w:val="center"/>
            <w:hideMark/>
          </w:tcPr>
          <w:p w14:paraId="2299835A" w14:textId="77777777" w:rsidR="0027688F" w:rsidRPr="00D618B7" w:rsidRDefault="0027688F" w:rsidP="004B11B7">
            <w:pPr>
              <w:jc w:val="right"/>
              <w:rPr>
                <w:color w:val="000000"/>
              </w:rPr>
            </w:pPr>
            <w:r w:rsidRPr="00D618B7">
              <w:rPr>
                <w:color w:val="000000"/>
              </w:rPr>
              <w:t>33.54</w:t>
            </w:r>
          </w:p>
        </w:tc>
        <w:tc>
          <w:tcPr>
            <w:tcW w:w="714" w:type="pct"/>
            <w:tcBorders>
              <w:top w:val="nil"/>
              <w:left w:val="nil"/>
              <w:bottom w:val="nil"/>
              <w:right w:val="nil"/>
            </w:tcBorders>
            <w:shd w:val="clear" w:color="000000" w:fill="FFFFFF"/>
            <w:noWrap/>
            <w:vAlign w:val="center"/>
            <w:hideMark/>
          </w:tcPr>
          <w:p w14:paraId="7650DF12" w14:textId="77777777" w:rsidR="0027688F" w:rsidRPr="00D618B7" w:rsidRDefault="0027688F" w:rsidP="004B11B7">
            <w:pPr>
              <w:jc w:val="right"/>
              <w:rPr>
                <w:color w:val="000000"/>
              </w:rPr>
            </w:pPr>
            <w:r w:rsidRPr="00D618B7">
              <w:rPr>
                <w:color w:val="000000"/>
              </w:rPr>
              <w:t>42.03</w:t>
            </w:r>
          </w:p>
        </w:tc>
      </w:tr>
      <w:tr w:rsidR="0027688F" w:rsidRPr="00D618B7" w14:paraId="0DEF97A2" w14:textId="77777777" w:rsidTr="00C953D6">
        <w:trPr>
          <w:trHeight w:val="325"/>
        </w:trPr>
        <w:tc>
          <w:tcPr>
            <w:tcW w:w="714" w:type="pct"/>
            <w:tcBorders>
              <w:top w:val="nil"/>
              <w:left w:val="nil"/>
              <w:bottom w:val="nil"/>
              <w:right w:val="nil"/>
            </w:tcBorders>
            <w:shd w:val="clear" w:color="000000" w:fill="FFFFFF"/>
            <w:vAlign w:val="center"/>
            <w:hideMark/>
          </w:tcPr>
          <w:p w14:paraId="3DDE5D9E" w14:textId="77777777" w:rsidR="0027688F" w:rsidRPr="00D618B7" w:rsidRDefault="0027688F"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16BA5004" w14:textId="77777777" w:rsidR="0027688F" w:rsidRPr="00D618B7" w:rsidRDefault="0027688F" w:rsidP="004B11B7">
            <w:pPr>
              <w:jc w:val="right"/>
              <w:rPr>
                <w:color w:val="000000"/>
              </w:rPr>
            </w:pPr>
            <w:r w:rsidRPr="00D618B7">
              <w:rPr>
                <w:color w:val="000000"/>
              </w:rPr>
              <w:t>97.55</w:t>
            </w:r>
          </w:p>
        </w:tc>
        <w:tc>
          <w:tcPr>
            <w:tcW w:w="547" w:type="pct"/>
            <w:tcBorders>
              <w:top w:val="nil"/>
              <w:left w:val="nil"/>
              <w:bottom w:val="nil"/>
              <w:right w:val="nil"/>
            </w:tcBorders>
            <w:shd w:val="clear" w:color="000000" w:fill="FFFFFF"/>
            <w:noWrap/>
            <w:vAlign w:val="center"/>
            <w:hideMark/>
          </w:tcPr>
          <w:p w14:paraId="049C6639" w14:textId="77777777" w:rsidR="0027688F" w:rsidRPr="00D618B7" w:rsidRDefault="0027688F" w:rsidP="004B11B7">
            <w:pPr>
              <w:jc w:val="right"/>
              <w:rPr>
                <w:color w:val="000000"/>
              </w:rPr>
            </w:pPr>
            <w:r w:rsidRPr="00D618B7">
              <w:rPr>
                <w:color w:val="000000"/>
              </w:rPr>
              <w:t>14.63</w:t>
            </w:r>
          </w:p>
        </w:tc>
        <w:tc>
          <w:tcPr>
            <w:tcW w:w="882" w:type="pct"/>
            <w:tcBorders>
              <w:top w:val="nil"/>
              <w:left w:val="nil"/>
              <w:bottom w:val="nil"/>
              <w:right w:val="nil"/>
            </w:tcBorders>
            <w:shd w:val="clear" w:color="000000" w:fill="FFFFFF"/>
            <w:noWrap/>
            <w:vAlign w:val="center"/>
            <w:hideMark/>
          </w:tcPr>
          <w:p w14:paraId="7F0A5818" w14:textId="77777777" w:rsidR="0027688F" w:rsidRPr="00D618B7" w:rsidRDefault="0027688F" w:rsidP="004B11B7">
            <w:pPr>
              <w:jc w:val="right"/>
              <w:rPr>
                <w:color w:val="000000"/>
              </w:rPr>
            </w:pPr>
            <w:r w:rsidRPr="00D618B7">
              <w:rPr>
                <w:color w:val="000000"/>
              </w:rPr>
              <w:t>19.65</w:t>
            </w:r>
          </w:p>
        </w:tc>
        <w:tc>
          <w:tcPr>
            <w:tcW w:w="715" w:type="pct"/>
            <w:tcBorders>
              <w:top w:val="nil"/>
              <w:left w:val="nil"/>
              <w:bottom w:val="nil"/>
              <w:right w:val="nil"/>
            </w:tcBorders>
            <w:shd w:val="clear" w:color="000000" w:fill="FFFFFF"/>
            <w:noWrap/>
            <w:vAlign w:val="center"/>
            <w:hideMark/>
          </w:tcPr>
          <w:p w14:paraId="4AE2842F" w14:textId="77777777" w:rsidR="0027688F" w:rsidRPr="00D618B7" w:rsidRDefault="0027688F" w:rsidP="004B11B7">
            <w:pPr>
              <w:jc w:val="right"/>
              <w:rPr>
                <w:color w:val="000000"/>
              </w:rPr>
            </w:pPr>
            <w:r w:rsidRPr="00D618B7">
              <w:rPr>
                <w:color w:val="000000"/>
              </w:rPr>
              <w:t>18.13</w:t>
            </w:r>
          </w:p>
        </w:tc>
        <w:tc>
          <w:tcPr>
            <w:tcW w:w="714" w:type="pct"/>
            <w:tcBorders>
              <w:top w:val="nil"/>
              <w:left w:val="nil"/>
              <w:bottom w:val="nil"/>
              <w:right w:val="nil"/>
            </w:tcBorders>
            <w:shd w:val="clear" w:color="000000" w:fill="FFFFFF"/>
            <w:noWrap/>
            <w:vAlign w:val="center"/>
            <w:hideMark/>
          </w:tcPr>
          <w:p w14:paraId="6EF5D577" w14:textId="77777777" w:rsidR="0027688F" w:rsidRPr="00D618B7" w:rsidRDefault="0027688F" w:rsidP="004B11B7">
            <w:pPr>
              <w:jc w:val="right"/>
              <w:rPr>
                <w:color w:val="000000"/>
              </w:rPr>
            </w:pPr>
            <w:r w:rsidRPr="00D618B7">
              <w:rPr>
                <w:color w:val="000000"/>
              </w:rPr>
              <w:t>-8.15</w:t>
            </w:r>
          </w:p>
        </w:tc>
        <w:tc>
          <w:tcPr>
            <w:tcW w:w="714" w:type="pct"/>
            <w:tcBorders>
              <w:top w:val="nil"/>
              <w:left w:val="nil"/>
              <w:bottom w:val="nil"/>
              <w:right w:val="nil"/>
            </w:tcBorders>
            <w:shd w:val="clear" w:color="000000" w:fill="FFFFFF"/>
            <w:noWrap/>
            <w:vAlign w:val="center"/>
            <w:hideMark/>
          </w:tcPr>
          <w:p w14:paraId="680B20A0" w14:textId="77777777" w:rsidR="0027688F" w:rsidRPr="00D618B7" w:rsidRDefault="0027688F" w:rsidP="004B11B7">
            <w:pPr>
              <w:jc w:val="right"/>
              <w:rPr>
                <w:color w:val="000000"/>
              </w:rPr>
            </w:pPr>
            <w:r w:rsidRPr="00D618B7">
              <w:rPr>
                <w:color w:val="000000"/>
              </w:rPr>
              <w:t>4.77</w:t>
            </w:r>
          </w:p>
        </w:tc>
      </w:tr>
      <w:tr w:rsidR="0027688F" w:rsidRPr="00D618B7" w14:paraId="4561B2BC" w14:textId="77777777" w:rsidTr="00C953D6">
        <w:trPr>
          <w:trHeight w:val="325"/>
        </w:trPr>
        <w:tc>
          <w:tcPr>
            <w:tcW w:w="714" w:type="pct"/>
            <w:tcBorders>
              <w:top w:val="nil"/>
              <w:left w:val="nil"/>
              <w:bottom w:val="nil"/>
              <w:right w:val="nil"/>
            </w:tcBorders>
            <w:shd w:val="clear" w:color="000000" w:fill="FFFFFF"/>
            <w:vAlign w:val="center"/>
            <w:hideMark/>
          </w:tcPr>
          <w:p w14:paraId="3B98DED8" w14:textId="77777777" w:rsidR="0027688F" w:rsidRPr="00D618B7" w:rsidRDefault="0027688F"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72A9D8C3" w14:textId="77777777" w:rsidR="0027688F" w:rsidRPr="00D618B7" w:rsidRDefault="0027688F" w:rsidP="004B11B7">
            <w:pPr>
              <w:jc w:val="right"/>
              <w:rPr>
                <w:color w:val="000000"/>
              </w:rPr>
            </w:pPr>
            <w:r w:rsidRPr="00D618B7">
              <w:rPr>
                <w:color w:val="000000"/>
              </w:rPr>
              <w:t>-107.93</w:t>
            </w:r>
          </w:p>
        </w:tc>
        <w:tc>
          <w:tcPr>
            <w:tcW w:w="547" w:type="pct"/>
            <w:tcBorders>
              <w:top w:val="nil"/>
              <w:left w:val="nil"/>
              <w:bottom w:val="nil"/>
              <w:right w:val="nil"/>
            </w:tcBorders>
            <w:shd w:val="clear" w:color="000000" w:fill="FFFFFF"/>
            <w:noWrap/>
            <w:vAlign w:val="center"/>
            <w:hideMark/>
          </w:tcPr>
          <w:p w14:paraId="78ED97F0" w14:textId="77777777" w:rsidR="0027688F" w:rsidRPr="00D618B7" w:rsidRDefault="0027688F" w:rsidP="004B11B7">
            <w:pPr>
              <w:jc w:val="right"/>
              <w:rPr>
                <w:color w:val="000000"/>
              </w:rPr>
            </w:pPr>
            <w:r w:rsidRPr="00D618B7">
              <w:rPr>
                <w:color w:val="000000"/>
              </w:rPr>
              <w:t>32.91</w:t>
            </w:r>
          </w:p>
        </w:tc>
        <w:tc>
          <w:tcPr>
            <w:tcW w:w="882" w:type="pct"/>
            <w:tcBorders>
              <w:top w:val="nil"/>
              <w:left w:val="nil"/>
              <w:bottom w:val="nil"/>
              <w:right w:val="nil"/>
            </w:tcBorders>
            <w:shd w:val="clear" w:color="000000" w:fill="FFFFFF"/>
            <w:noWrap/>
            <w:vAlign w:val="center"/>
            <w:hideMark/>
          </w:tcPr>
          <w:p w14:paraId="4DEACFFE" w14:textId="77777777" w:rsidR="0027688F" w:rsidRPr="00D618B7" w:rsidRDefault="0027688F" w:rsidP="004B11B7">
            <w:pPr>
              <w:jc w:val="right"/>
              <w:rPr>
                <w:color w:val="000000"/>
              </w:rPr>
            </w:pPr>
            <w:r w:rsidRPr="00D618B7">
              <w:rPr>
                <w:color w:val="000000"/>
              </w:rPr>
              <w:t>-28.92</w:t>
            </w:r>
          </w:p>
        </w:tc>
        <w:tc>
          <w:tcPr>
            <w:tcW w:w="715" w:type="pct"/>
            <w:tcBorders>
              <w:top w:val="nil"/>
              <w:left w:val="nil"/>
              <w:bottom w:val="nil"/>
              <w:right w:val="nil"/>
            </w:tcBorders>
            <w:shd w:val="clear" w:color="000000" w:fill="FFFFFF"/>
            <w:noWrap/>
            <w:vAlign w:val="center"/>
            <w:hideMark/>
          </w:tcPr>
          <w:p w14:paraId="443A1C37" w14:textId="77777777" w:rsidR="0027688F" w:rsidRPr="00D618B7" w:rsidRDefault="0027688F" w:rsidP="004B11B7">
            <w:pPr>
              <w:jc w:val="right"/>
              <w:rPr>
                <w:color w:val="000000"/>
              </w:rPr>
            </w:pPr>
            <w:r w:rsidRPr="00D618B7">
              <w:rPr>
                <w:color w:val="000000"/>
              </w:rPr>
              <w:t>33.01</w:t>
            </w:r>
          </w:p>
        </w:tc>
        <w:tc>
          <w:tcPr>
            <w:tcW w:w="714" w:type="pct"/>
            <w:tcBorders>
              <w:top w:val="nil"/>
              <w:left w:val="nil"/>
              <w:bottom w:val="nil"/>
              <w:right w:val="nil"/>
            </w:tcBorders>
            <w:shd w:val="clear" w:color="000000" w:fill="FFFFFF"/>
            <w:noWrap/>
            <w:vAlign w:val="center"/>
            <w:hideMark/>
          </w:tcPr>
          <w:p w14:paraId="045934C3" w14:textId="77777777" w:rsidR="0027688F" w:rsidRPr="00D618B7" w:rsidRDefault="0027688F" w:rsidP="004B11B7">
            <w:pPr>
              <w:jc w:val="right"/>
              <w:rPr>
                <w:color w:val="000000"/>
              </w:rPr>
            </w:pPr>
            <w:r w:rsidRPr="00D618B7">
              <w:rPr>
                <w:color w:val="000000"/>
              </w:rPr>
              <w:t>4.81</w:t>
            </w:r>
          </w:p>
        </w:tc>
        <w:tc>
          <w:tcPr>
            <w:tcW w:w="714" w:type="pct"/>
            <w:tcBorders>
              <w:top w:val="nil"/>
              <w:left w:val="nil"/>
              <w:bottom w:val="nil"/>
              <w:right w:val="nil"/>
            </w:tcBorders>
            <w:shd w:val="clear" w:color="000000" w:fill="FFFFFF"/>
            <w:noWrap/>
            <w:vAlign w:val="center"/>
            <w:hideMark/>
          </w:tcPr>
          <w:p w14:paraId="6D49DAF4" w14:textId="77777777" w:rsidR="0027688F" w:rsidRPr="00D618B7" w:rsidRDefault="0027688F" w:rsidP="004B11B7">
            <w:pPr>
              <w:jc w:val="right"/>
              <w:rPr>
                <w:color w:val="000000"/>
              </w:rPr>
            </w:pPr>
            <w:r w:rsidRPr="00D618B7">
              <w:rPr>
                <w:color w:val="000000"/>
              </w:rPr>
              <w:t>10.48</w:t>
            </w:r>
          </w:p>
        </w:tc>
      </w:tr>
      <w:tr w:rsidR="0027688F" w:rsidRPr="00D618B7" w14:paraId="02A0671C" w14:textId="77777777" w:rsidTr="00C953D6">
        <w:trPr>
          <w:trHeight w:val="325"/>
        </w:trPr>
        <w:tc>
          <w:tcPr>
            <w:tcW w:w="714" w:type="pct"/>
            <w:tcBorders>
              <w:top w:val="nil"/>
              <w:left w:val="nil"/>
              <w:bottom w:val="nil"/>
              <w:right w:val="nil"/>
            </w:tcBorders>
            <w:shd w:val="clear" w:color="000000" w:fill="FFFFFF"/>
            <w:vAlign w:val="center"/>
            <w:hideMark/>
          </w:tcPr>
          <w:p w14:paraId="5012A5F2" w14:textId="77777777" w:rsidR="0027688F" w:rsidRPr="00D618B7" w:rsidRDefault="0027688F"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767511F9" w14:textId="77777777" w:rsidR="0027688F" w:rsidRPr="00D618B7" w:rsidRDefault="0027688F" w:rsidP="004B11B7">
            <w:pPr>
              <w:jc w:val="right"/>
              <w:rPr>
                <w:color w:val="000000"/>
              </w:rPr>
            </w:pPr>
            <w:r w:rsidRPr="00D618B7">
              <w:rPr>
                <w:color w:val="000000"/>
              </w:rPr>
              <w:t>302.37</w:t>
            </w:r>
          </w:p>
        </w:tc>
        <w:tc>
          <w:tcPr>
            <w:tcW w:w="547" w:type="pct"/>
            <w:tcBorders>
              <w:top w:val="nil"/>
              <w:left w:val="nil"/>
              <w:bottom w:val="nil"/>
              <w:right w:val="nil"/>
            </w:tcBorders>
            <w:shd w:val="clear" w:color="000000" w:fill="FFFFFF"/>
            <w:noWrap/>
            <w:vAlign w:val="center"/>
            <w:hideMark/>
          </w:tcPr>
          <w:p w14:paraId="043F6E3A" w14:textId="77777777" w:rsidR="0027688F" w:rsidRPr="00D618B7" w:rsidRDefault="0027688F" w:rsidP="004B11B7">
            <w:pPr>
              <w:jc w:val="right"/>
              <w:rPr>
                <w:color w:val="000000"/>
              </w:rPr>
            </w:pPr>
            <w:r w:rsidRPr="00D618B7">
              <w:rPr>
                <w:color w:val="000000"/>
              </w:rPr>
              <w:t>184.18</w:t>
            </w:r>
          </w:p>
        </w:tc>
        <w:tc>
          <w:tcPr>
            <w:tcW w:w="882" w:type="pct"/>
            <w:tcBorders>
              <w:top w:val="nil"/>
              <w:left w:val="nil"/>
              <w:bottom w:val="nil"/>
              <w:right w:val="nil"/>
            </w:tcBorders>
            <w:shd w:val="clear" w:color="000000" w:fill="FFFFFF"/>
            <w:noWrap/>
            <w:vAlign w:val="center"/>
            <w:hideMark/>
          </w:tcPr>
          <w:p w14:paraId="107468C9" w14:textId="77777777" w:rsidR="0027688F" w:rsidRPr="00D618B7" w:rsidRDefault="0027688F" w:rsidP="004B11B7">
            <w:pPr>
              <w:jc w:val="right"/>
              <w:rPr>
                <w:color w:val="000000"/>
              </w:rPr>
            </w:pPr>
            <w:r w:rsidRPr="00D618B7">
              <w:rPr>
                <w:color w:val="000000"/>
              </w:rPr>
              <w:t>175.77</w:t>
            </w:r>
          </w:p>
        </w:tc>
        <w:tc>
          <w:tcPr>
            <w:tcW w:w="715" w:type="pct"/>
            <w:tcBorders>
              <w:top w:val="nil"/>
              <w:left w:val="nil"/>
              <w:bottom w:val="nil"/>
              <w:right w:val="nil"/>
            </w:tcBorders>
            <w:shd w:val="clear" w:color="000000" w:fill="FFFFFF"/>
            <w:noWrap/>
            <w:vAlign w:val="center"/>
            <w:hideMark/>
          </w:tcPr>
          <w:p w14:paraId="5CE4A5F5" w14:textId="77777777" w:rsidR="0027688F" w:rsidRPr="00D618B7" w:rsidRDefault="0027688F" w:rsidP="004B11B7">
            <w:pPr>
              <w:jc w:val="right"/>
              <w:rPr>
                <w:color w:val="000000"/>
              </w:rPr>
            </w:pPr>
            <w:r w:rsidRPr="00D618B7">
              <w:rPr>
                <w:color w:val="000000"/>
              </w:rPr>
              <w:t>29.38</w:t>
            </w:r>
          </w:p>
        </w:tc>
        <w:tc>
          <w:tcPr>
            <w:tcW w:w="714" w:type="pct"/>
            <w:tcBorders>
              <w:top w:val="nil"/>
              <w:left w:val="nil"/>
              <w:bottom w:val="nil"/>
              <w:right w:val="nil"/>
            </w:tcBorders>
            <w:shd w:val="clear" w:color="000000" w:fill="FFFFFF"/>
            <w:noWrap/>
            <w:vAlign w:val="center"/>
            <w:hideMark/>
          </w:tcPr>
          <w:p w14:paraId="4ABF9805" w14:textId="77777777" w:rsidR="0027688F" w:rsidRPr="00D618B7" w:rsidRDefault="0027688F" w:rsidP="004B11B7">
            <w:pPr>
              <w:jc w:val="right"/>
              <w:rPr>
                <w:color w:val="000000"/>
              </w:rPr>
            </w:pPr>
            <w:r w:rsidRPr="00D618B7">
              <w:rPr>
                <w:color w:val="000000"/>
              </w:rPr>
              <w:t>62.79</w:t>
            </w:r>
          </w:p>
        </w:tc>
        <w:tc>
          <w:tcPr>
            <w:tcW w:w="714" w:type="pct"/>
            <w:tcBorders>
              <w:top w:val="nil"/>
              <w:left w:val="nil"/>
              <w:bottom w:val="nil"/>
              <w:right w:val="nil"/>
            </w:tcBorders>
            <w:shd w:val="clear" w:color="000000" w:fill="FFFFFF"/>
            <w:noWrap/>
            <w:vAlign w:val="center"/>
            <w:hideMark/>
          </w:tcPr>
          <w:p w14:paraId="3337E6DC" w14:textId="77777777" w:rsidR="0027688F" w:rsidRPr="00D618B7" w:rsidRDefault="0027688F" w:rsidP="004B11B7">
            <w:pPr>
              <w:jc w:val="right"/>
              <w:rPr>
                <w:color w:val="000000"/>
              </w:rPr>
            </w:pPr>
            <w:r w:rsidRPr="00D618B7">
              <w:rPr>
                <w:color w:val="000000"/>
              </w:rPr>
              <w:t>37.17</w:t>
            </w:r>
          </w:p>
        </w:tc>
      </w:tr>
      <w:tr w:rsidR="0027688F" w:rsidRPr="00D618B7" w14:paraId="3221B6F6" w14:textId="77777777" w:rsidTr="00C953D6">
        <w:trPr>
          <w:trHeight w:val="325"/>
        </w:trPr>
        <w:tc>
          <w:tcPr>
            <w:tcW w:w="714" w:type="pct"/>
            <w:tcBorders>
              <w:top w:val="nil"/>
              <w:left w:val="nil"/>
              <w:bottom w:val="nil"/>
              <w:right w:val="nil"/>
            </w:tcBorders>
            <w:shd w:val="clear" w:color="000000" w:fill="FFFFFF"/>
            <w:vAlign w:val="center"/>
            <w:hideMark/>
          </w:tcPr>
          <w:p w14:paraId="5EA040D6" w14:textId="77777777" w:rsidR="0027688F" w:rsidRPr="00D618B7" w:rsidRDefault="0027688F" w:rsidP="004B11B7">
            <w:pPr>
              <w:jc w:val="right"/>
              <w:rPr>
                <w:color w:val="000000"/>
              </w:rPr>
            </w:pPr>
            <w:r w:rsidRPr="00D618B7">
              <w:rPr>
                <w:color w:val="000000"/>
              </w:rPr>
              <w:t>0</w:t>
            </w:r>
          </w:p>
        </w:tc>
        <w:tc>
          <w:tcPr>
            <w:tcW w:w="714" w:type="pct"/>
            <w:tcBorders>
              <w:top w:val="nil"/>
              <w:left w:val="nil"/>
              <w:bottom w:val="nil"/>
              <w:right w:val="nil"/>
            </w:tcBorders>
            <w:shd w:val="clear" w:color="000000" w:fill="FFFFFF"/>
            <w:noWrap/>
            <w:vAlign w:val="center"/>
            <w:hideMark/>
          </w:tcPr>
          <w:p w14:paraId="44E43D44" w14:textId="77777777" w:rsidR="0027688F" w:rsidRPr="00D618B7" w:rsidRDefault="0027688F" w:rsidP="004B11B7">
            <w:pPr>
              <w:jc w:val="right"/>
              <w:rPr>
                <w:color w:val="000000"/>
              </w:rPr>
            </w:pPr>
            <w:r w:rsidRPr="00D618B7">
              <w:rPr>
                <w:color w:val="000000"/>
              </w:rPr>
              <w:t>176.50</w:t>
            </w:r>
          </w:p>
        </w:tc>
        <w:tc>
          <w:tcPr>
            <w:tcW w:w="547" w:type="pct"/>
            <w:tcBorders>
              <w:top w:val="nil"/>
              <w:left w:val="nil"/>
              <w:bottom w:val="nil"/>
              <w:right w:val="nil"/>
            </w:tcBorders>
            <w:shd w:val="clear" w:color="000000" w:fill="FFFFFF"/>
            <w:noWrap/>
            <w:vAlign w:val="center"/>
            <w:hideMark/>
          </w:tcPr>
          <w:p w14:paraId="030F3D49" w14:textId="77777777" w:rsidR="0027688F" w:rsidRPr="00D618B7" w:rsidRDefault="0027688F" w:rsidP="004B11B7">
            <w:pPr>
              <w:jc w:val="right"/>
              <w:rPr>
                <w:color w:val="000000"/>
              </w:rPr>
            </w:pPr>
            <w:r w:rsidRPr="00D618B7">
              <w:rPr>
                <w:color w:val="000000"/>
              </w:rPr>
              <w:t>103.62</w:t>
            </w:r>
          </w:p>
        </w:tc>
        <w:tc>
          <w:tcPr>
            <w:tcW w:w="882" w:type="pct"/>
            <w:tcBorders>
              <w:top w:val="nil"/>
              <w:left w:val="nil"/>
              <w:bottom w:val="nil"/>
              <w:right w:val="nil"/>
            </w:tcBorders>
            <w:shd w:val="clear" w:color="000000" w:fill="FFFFFF"/>
            <w:noWrap/>
            <w:vAlign w:val="center"/>
            <w:hideMark/>
          </w:tcPr>
          <w:p w14:paraId="7AAEDC5A" w14:textId="77777777" w:rsidR="0027688F" w:rsidRPr="00D618B7" w:rsidRDefault="0027688F" w:rsidP="004B11B7">
            <w:pPr>
              <w:jc w:val="right"/>
              <w:rPr>
                <w:color w:val="000000"/>
              </w:rPr>
            </w:pPr>
            <w:r w:rsidRPr="00D618B7">
              <w:rPr>
                <w:color w:val="000000"/>
              </w:rPr>
              <w:t>18.78</w:t>
            </w:r>
          </w:p>
        </w:tc>
        <w:tc>
          <w:tcPr>
            <w:tcW w:w="715" w:type="pct"/>
            <w:tcBorders>
              <w:top w:val="nil"/>
              <w:left w:val="nil"/>
              <w:bottom w:val="nil"/>
              <w:right w:val="nil"/>
            </w:tcBorders>
            <w:shd w:val="clear" w:color="000000" w:fill="FFFFFF"/>
            <w:noWrap/>
            <w:vAlign w:val="center"/>
            <w:hideMark/>
          </w:tcPr>
          <w:p w14:paraId="214869CD" w14:textId="77777777" w:rsidR="0027688F" w:rsidRPr="00D618B7" w:rsidRDefault="0027688F" w:rsidP="004B11B7">
            <w:pPr>
              <w:jc w:val="right"/>
              <w:rPr>
                <w:color w:val="000000"/>
              </w:rPr>
            </w:pPr>
            <w:r w:rsidRPr="00D618B7">
              <w:rPr>
                <w:color w:val="000000"/>
              </w:rPr>
              <w:t>21.24</w:t>
            </w:r>
          </w:p>
        </w:tc>
        <w:tc>
          <w:tcPr>
            <w:tcW w:w="714" w:type="pct"/>
            <w:tcBorders>
              <w:top w:val="nil"/>
              <w:left w:val="nil"/>
              <w:bottom w:val="nil"/>
              <w:right w:val="nil"/>
            </w:tcBorders>
            <w:shd w:val="clear" w:color="000000" w:fill="FFFFFF"/>
            <w:noWrap/>
            <w:vAlign w:val="center"/>
            <w:hideMark/>
          </w:tcPr>
          <w:p w14:paraId="720FA6AD" w14:textId="77777777" w:rsidR="0027688F" w:rsidRPr="00D618B7" w:rsidRDefault="0027688F" w:rsidP="004B11B7">
            <w:pPr>
              <w:jc w:val="right"/>
              <w:rPr>
                <w:color w:val="000000"/>
              </w:rPr>
            </w:pPr>
            <w:r w:rsidRPr="00D618B7">
              <w:rPr>
                <w:color w:val="000000"/>
              </w:rPr>
              <w:t>76.61</w:t>
            </w:r>
          </w:p>
        </w:tc>
        <w:tc>
          <w:tcPr>
            <w:tcW w:w="714" w:type="pct"/>
            <w:tcBorders>
              <w:top w:val="nil"/>
              <w:left w:val="nil"/>
              <w:bottom w:val="nil"/>
              <w:right w:val="nil"/>
            </w:tcBorders>
            <w:shd w:val="clear" w:color="000000" w:fill="FFFFFF"/>
            <w:noWrap/>
            <w:vAlign w:val="center"/>
            <w:hideMark/>
          </w:tcPr>
          <w:p w14:paraId="5D7A2671" w14:textId="77777777" w:rsidR="0027688F" w:rsidRPr="00D618B7" w:rsidRDefault="0027688F" w:rsidP="004B11B7">
            <w:pPr>
              <w:jc w:val="right"/>
              <w:rPr>
                <w:color w:val="000000"/>
              </w:rPr>
            </w:pPr>
            <w:r w:rsidRPr="00D618B7">
              <w:rPr>
                <w:color w:val="000000"/>
              </w:rPr>
              <w:t>62.77</w:t>
            </w:r>
          </w:p>
        </w:tc>
      </w:tr>
      <w:tr w:rsidR="0027688F" w:rsidRPr="00D618B7" w14:paraId="19121B29" w14:textId="77777777" w:rsidTr="00C953D6">
        <w:trPr>
          <w:trHeight w:val="325"/>
        </w:trPr>
        <w:tc>
          <w:tcPr>
            <w:tcW w:w="714" w:type="pct"/>
            <w:tcBorders>
              <w:top w:val="nil"/>
              <w:left w:val="nil"/>
              <w:bottom w:val="nil"/>
              <w:right w:val="nil"/>
            </w:tcBorders>
            <w:shd w:val="clear" w:color="000000" w:fill="FFFFFF"/>
            <w:vAlign w:val="center"/>
            <w:hideMark/>
          </w:tcPr>
          <w:p w14:paraId="5274C326" w14:textId="77777777" w:rsidR="0027688F" w:rsidRPr="00D618B7" w:rsidRDefault="0027688F" w:rsidP="004B11B7">
            <w:pPr>
              <w:jc w:val="right"/>
              <w:rPr>
                <w:color w:val="000000"/>
              </w:rPr>
            </w:pPr>
            <w:r w:rsidRPr="00D618B7">
              <w:rPr>
                <w:color w:val="000000"/>
              </w:rPr>
              <w:t>1</w:t>
            </w:r>
          </w:p>
        </w:tc>
        <w:tc>
          <w:tcPr>
            <w:tcW w:w="714" w:type="pct"/>
            <w:tcBorders>
              <w:top w:val="nil"/>
              <w:left w:val="nil"/>
              <w:bottom w:val="nil"/>
              <w:right w:val="nil"/>
            </w:tcBorders>
            <w:shd w:val="clear" w:color="000000" w:fill="FFFFFF"/>
            <w:noWrap/>
            <w:vAlign w:val="center"/>
            <w:hideMark/>
          </w:tcPr>
          <w:p w14:paraId="646F6317" w14:textId="77777777" w:rsidR="0027688F" w:rsidRPr="00D618B7" w:rsidRDefault="0027688F" w:rsidP="004B11B7">
            <w:pPr>
              <w:jc w:val="right"/>
              <w:rPr>
                <w:color w:val="000000"/>
              </w:rPr>
            </w:pPr>
            <w:r w:rsidRPr="00D618B7">
              <w:rPr>
                <w:color w:val="000000"/>
              </w:rPr>
              <w:t>1037.29</w:t>
            </w:r>
          </w:p>
        </w:tc>
        <w:tc>
          <w:tcPr>
            <w:tcW w:w="547" w:type="pct"/>
            <w:tcBorders>
              <w:top w:val="nil"/>
              <w:left w:val="nil"/>
              <w:bottom w:val="nil"/>
              <w:right w:val="nil"/>
            </w:tcBorders>
            <w:shd w:val="clear" w:color="000000" w:fill="FFFFFF"/>
            <w:noWrap/>
            <w:vAlign w:val="center"/>
            <w:hideMark/>
          </w:tcPr>
          <w:p w14:paraId="203964D7" w14:textId="77777777" w:rsidR="0027688F" w:rsidRPr="00D618B7" w:rsidRDefault="0027688F" w:rsidP="004B11B7">
            <w:pPr>
              <w:jc w:val="right"/>
              <w:rPr>
                <w:color w:val="000000"/>
              </w:rPr>
            </w:pPr>
            <w:r w:rsidRPr="00D618B7">
              <w:rPr>
                <w:color w:val="000000"/>
              </w:rPr>
              <w:t>681.60</w:t>
            </w:r>
          </w:p>
        </w:tc>
        <w:tc>
          <w:tcPr>
            <w:tcW w:w="882" w:type="pct"/>
            <w:tcBorders>
              <w:top w:val="nil"/>
              <w:left w:val="nil"/>
              <w:bottom w:val="nil"/>
              <w:right w:val="nil"/>
            </w:tcBorders>
            <w:shd w:val="clear" w:color="000000" w:fill="FFFFFF"/>
            <w:noWrap/>
            <w:vAlign w:val="center"/>
            <w:hideMark/>
          </w:tcPr>
          <w:p w14:paraId="54DE4CC5" w14:textId="77777777" w:rsidR="0027688F" w:rsidRPr="00D618B7" w:rsidRDefault="0027688F" w:rsidP="004B11B7">
            <w:pPr>
              <w:jc w:val="right"/>
              <w:rPr>
                <w:color w:val="000000"/>
              </w:rPr>
            </w:pPr>
            <w:r w:rsidRPr="00D618B7">
              <w:rPr>
                <w:color w:val="000000"/>
              </w:rPr>
              <w:t>37.51</w:t>
            </w:r>
          </w:p>
        </w:tc>
        <w:tc>
          <w:tcPr>
            <w:tcW w:w="715" w:type="pct"/>
            <w:tcBorders>
              <w:top w:val="nil"/>
              <w:left w:val="nil"/>
              <w:bottom w:val="nil"/>
              <w:right w:val="nil"/>
            </w:tcBorders>
            <w:shd w:val="clear" w:color="000000" w:fill="FFFFFF"/>
            <w:noWrap/>
            <w:vAlign w:val="center"/>
            <w:hideMark/>
          </w:tcPr>
          <w:p w14:paraId="6F33F209" w14:textId="77777777" w:rsidR="0027688F" w:rsidRPr="00D618B7" w:rsidRDefault="0027688F" w:rsidP="004B11B7">
            <w:pPr>
              <w:jc w:val="right"/>
              <w:rPr>
                <w:color w:val="000000"/>
              </w:rPr>
            </w:pPr>
            <w:r w:rsidRPr="00D618B7">
              <w:rPr>
                <w:color w:val="000000"/>
              </w:rPr>
              <w:t>60.27</w:t>
            </w:r>
          </w:p>
        </w:tc>
        <w:tc>
          <w:tcPr>
            <w:tcW w:w="714" w:type="pct"/>
            <w:tcBorders>
              <w:top w:val="nil"/>
              <w:left w:val="nil"/>
              <w:bottom w:val="nil"/>
              <w:right w:val="nil"/>
            </w:tcBorders>
            <w:shd w:val="clear" w:color="000000" w:fill="FFFFFF"/>
            <w:noWrap/>
            <w:vAlign w:val="center"/>
            <w:hideMark/>
          </w:tcPr>
          <w:p w14:paraId="36D9469F" w14:textId="77777777" w:rsidR="0027688F" w:rsidRPr="00D618B7" w:rsidRDefault="0027688F" w:rsidP="004B11B7">
            <w:pPr>
              <w:jc w:val="right"/>
              <w:rPr>
                <w:color w:val="000000"/>
              </w:rPr>
            </w:pPr>
            <w:r w:rsidRPr="00D618B7">
              <w:rPr>
                <w:color w:val="000000"/>
              </w:rPr>
              <w:t>48.55</w:t>
            </w:r>
          </w:p>
        </w:tc>
        <w:tc>
          <w:tcPr>
            <w:tcW w:w="714" w:type="pct"/>
            <w:tcBorders>
              <w:top w:val="nil"/>
              <w:left w:val="nil"/>
              <w:bottom w:val="nil"/>
              <w:right w:val="nil"/>
            </w:tcBorders>
            <w:shd w:val="clear" w:color="000000" w:fill="FFFFFF"/>
            <w:noWrap/>
            <w:vAlign w:val="center"/>
            <w:hideMark/>
          </w:tcPr>
          <w:p w14:paraId="48770546" w14:textId="77777777" w:rsidR="0027688F" w:rsidRPr="00D618B7" w:rsidRDefault="0027688F" w:rsidP="004B11B7">
            <w:pPr>
              <w:jc w:val="right"/>
              <w:rPr>
                <w:color w:val="000000"/>
              </w:rPr>
            </w:pPr>
            <w:r w:rsidRPr="00D618B7">
              <w:rPr>
                <w:color w:val="000000"/>
              </w:rPr>
              <w:t>7.98</w:t>
            </w:r>
          </w:p>
        </w:tc>
      </w:tr>
      <w:tr w:rsidR="0027688F" w:rsidRPr="00D618B7" w14:paraId="4044DCC8" w14:textId="77777777" w:rsidTr="00C953D6">
        <w:trPr>
          <w:trHeight w:val="325"/>
        </w:trPr>
        <w:tc>
          <w:tcPr>
            <w:tcW w:w="714" w:type="pct"/>
            <w:tcBorders>
              <w:top w:val="nil"/>
              <w:left w:val="nil"/>
              <w:bottom w:val="nil"/>
              <w:right w:val="nil"/>
            </w:tcBorders>
            <w:shd w:val="clear" w:color="000000" w:fill="FFFFFF"/>
            <w:vAlign w:val="center"/>
            <w:hideMark/>
          </w:tcPr>
          <w:p w14:paraId="66A8A75E" w14:textId="77777777" w:rsidR="0027688F" w:rsidRPr="00D618B7" w:rsidRDefault="0027688F" w:rsidP="004B11B7">
            <w:pPr>
              <w:jc w:val="right"/>
              <w:rPr>
                <w:color w:val="000000"/>
              </w:rPr>
            </w:pPr>
            <w:r w:rsidRPr="00D618B7">
              <w:rPr>
                <w:color w:val="000000"/>
              </w:rPr>
              <w:t>2</w:t>
            </w:r>
          </w:p>
        </w:tc>
        <w:tc>
          <w:tcPr>
            <w:tcW w:w="714" w:type="pct"/>
            <w:tcBorders>
              <w:top w:val="nil"/>
              <w:left w:val="nil"/>
              <w:bottom w:val="nil"/>
              <w:right w:val="nil"/>
            </w:tcBorders>
            <w:shd w:val="clear" w:color="000000" w:fill="FFFFFF"/>
            <w:noWrap/>
            <w:vAlign w:val="center"/>
            <w:hideMark/>
          </w:tcPr>
          <w:p w14:paraId="6F29B92E" w14:textId="77777777" w:rsidR="0027688F" w:rsidRPr="00D618B7" w:rsidRDefault="0027688F" w:rsidP="004B11B7">
            <w:pPr>
              <w:jc w:val="right"/>
              <w:rPr>
                <w:color w:val="000000"/>
              </w:rPr>
            </w:pPr>
            <w:r w:rsidRPr="00D618B7">
              <w:rPr>
                <w:color w:val="000000"/>
              </w:rPr>
              <w:t>673.76</w:t>
            </w:r>
          </w:p>
        </w:tc>
        <w:tc>
          <w:tcPr>
            <w:tcW w:w="547" w:type="pct"/>
            <w:tcBorders>
              <w:top w:val="nil"/>
              <w:left w:val="nil"/>
              <w:bottom w:val="nil"/>
              <w:right w:val="nil"/>
            </w:tcBorders>
            <w:shd w:val="clear" w:color="000000" w:fill="FFFFFF"/>
            <w:noWrap/>
            <w:vAlign w:val="center"/>
            <w:hideMark/>
          </w:tcPr>
          <w:p w14:paraId="2EB21977" w14:textId="77777777" w:rsidR="0027688F" w:rsidRPr="00D618B7" w:rsidRDefault="0027688F" w:rsidP="004B11B7">
            <w:pPr>
              <w:jc w:val="right"/>
              <w:rPr>
                <w:color w:val="000000"/>
              </w:rPr>
            </w:pPr>
            <w:r w:rsidRPr="00D618B7">
              <w:rPr>
                <w:color w:val="000000"/>
              </w:rPr>
              <w:t>216.04</w:t>
            </w:r>
          </w:p>
        </w:tc>
        <w:tc>
          <w:tcPr>
            <w:tcW w:w="882" w:type="pct"/>
            <w:tcBorders>
              <w:top w:val="nil"/>
              <w:left w:val="nil"/>
              <w:bottom w:val="nil"/>
              <w:right w:val="nil"/>
            </w:tcBorders>
            <w:shd w:val="clear" w:color="000000" w:fill="FFFFFF"/>
            <w:noWrap/>
            <w:vAlign w:val="center"/>
            <w:hideMark/>
          </w:tcPr>
          <w:p w14:paraId="0187B889" w14:textId="77777777" w:rsidR="0027688F" w:rsidRPr="00D618B7" w:rsidRDefault="0027688F" w:rsidP="004B11B7">
            <w:pPr>
              <w:jc w:val="right"/>
              <w:rPr>
                <w:color w:val="000000"/>
              </w:rPr>
            </w:pPr>
            <w:r w:rsidRPr="00D618B7">
              <w:rPr>
                <w:color w:val="000000"/>
              </w:rPr>
              <w:t>59.00</w:t>
            </w:r>
          </w:p>
        </w:tc>
        <w:tc>
          <w:tcPr>
            <w:tcW w:w="715" w:type="pct"/>
            <w:tcBorders>
              <w:top w:val="nil"/>
              <w:left w:val="nil"/>
              <w:bottom w:val="nil"/>
              <w:right w:val="nil"/>
            </w:tcBorders>
            <w:shd w:val="clear" w:color="000000" w:fill="FFFFFF"/>
            <w:noWrap/>
            <w:vAlign w:val="center"/>
            <w:hideMark/>
          </w:tcPr>
          <w:p w14:paraId="4EBF0C20" w14:textId="77777777" w:rsidR="0027688F" w:rsidRPr="00D618B7" w:rsidRDefault="0027688F" w:rsidP="004B11B7">
            <w:pPr>
              <w:jc w:val="right"/>
              <w:rPr>
                <w:color w:val="000000"/>
              </w:rPr>
            </w:pPr>
            <w:r w:rsidRPr="00D618B7">
              <w:rPr>
                <w:color w:val="000000"/>
              </w:rPr>
              <w:t>30.14</w:t>
            </w:r>
          </w:p>
        </w:tc>
        <w:tc>
          <w:tcPr>
            <w:tcW w:w="714" w:type="pct"/>
            <w:tcBorders>
              <w:top w:val="nil"/>
              <w:left w:val="nil"/>
              <w:bottom w:val="nil"/>
              <w:right w:val="nil"/>
            </w:tcBorders>
            <w:shd w:val="clear" w:color="000000" w:fill="FFFFFF"/>
            <w:noWrap/>
            <w:vAlign w:val="center"/>
            <w:hideMark/>
          </w:tcPr>
          <w:p w14:paraId="124115D9" w14:textId="77777777" w:rsidR="0027688F" w:rsidRPr="00D618B7" w:rsidRDefault="0027688F" w:rsidP="004B11B7">
            <w:pPr>
              <w:jc w:val="right"/>
              <w:rPr>
                <w:color w:val="000000"/>
              </w:rPr>
            </w:pPr>
            <w:r w:rsidRPr="00D618B7">
              <w:rPr>
                <w:color w:val="000000"/>
              </w:rPr>
              <w:t>-3.59</w:t>
            </w:r>
          </w:p>
        </w:tc>
        <w:tc>
          <w:tcPr>
            <w:tcW w:w="714" w:type="pct"/>
            <w:tcBorders>
              <w:top w:val="nil"/>
              <w:left w:val="nil"/>
              <w:bottom w:val="nil"/>
              <w:right w:val="nil"/>
            </w:tcBorders>
            <w:shd w:val="clear" w:color="000000" w:fill="FFFFFF"/>
            <w:noWrap/>
            <w:vAlign w:val="center"/>
            <w:hideMark/>
          </w:tcPr>
          <w:p w14:paraId="65EFEC30" w14:textId="77777777" w:rsidR="0027688F" w:rsidRPr="00D618B7" w:rsidRDefault="0027688F" w:rsidP="004B11B7">
            <w:pPr>
              <w:jc w:val="right"/>
              <w:rPr>
                <w:color w:val="000000"/>
              </w:rPr>
            </w:pPr>
            <w:r w:rsidRPr="00D618B7">
              <w:rPr>
                <w:color w:val="000000"/>
              </w:rPr>
              <w:t>4.03</w:t>
            </w:r>
          </w:p>
        </w:tc>
      </w:tr>
      <w:tr w:rsidR="0027688F" w:rsidRPr="00D618B7" w14:paraId="1244B70F" w14:textId="77777777" w:rsidTr="00C953D6">
        <w:trPr>
          <w:trHeight w:val="325"/>
        </w:trPr>
        <w:tc>
          <w:tcPr>
            <w:tcW w:w="714" w:type="pct"/>
            <w:tcBorders>
              <w:top w:val="nil"/>
              <w:left w:val="nil"/>
              <w:bottom w:val="nil"/>
              <w:right w:val="nil"/>
            </w:tcBorders>
            <w:shd w:val="clear" w:color="000000" w:fill="FFFFFF"/>
            <w:vAlign w:val="center"/>
            <w:hideMark/>
          </w:tcPr>
          <w:p w14:paraId="2CD6BB5A" w14:textId="77777777" w:rsidR="0027688F" w:rsidRPr="00D618B7" w:rsidRDefault="0027688F" w:rsidP="004B11B7">
            <w:pPr>
              <w:jc w:val="right"/>
              <w:rPr>
                <w:color w:val="000000"/>
              </w:rPr>
            </w:pPr>
            <w:r w:rsidRPr="00D618B7">
              <w:rPr>
                <w:color w:val="000000"/>
              </w:rPr>
              <w:t>3</w:t>
            </w:r>
          </w:p>
        </w:tc>
        <w:tc>
          <w:tcPr>
            <w:tcW w:w="714" w:type="pct"/>
            <w:tcBorders>
              <w:top w:val="nil"/>
              <w:left w:val="nil"/>
              <w:bottom w:val="nil"/>
              <w:right w:val="nil"/>
            </w:tcBorders>
            <w:shd w:val="clear" w:color="000000" w:fill="FFFFFF"/>
            <w:noWrap/>
            <w:vAlign w:val="center"/>
            <w:hideMark/>
          </w:tcPr>
          <w:p w14:paraId="44DE253E" w14:textId="77777777" w:rsidR="0027688F" w:rsidRPr="00D618B7" w:rsidRDefault="0027688F" w:rsidP="004B11B7">
            <w:pPr>
              <w:jc w:val="right"/>
              <w:rPr>
                <w:color w:val="000000"/>
              </w:rPr>
            </w:pPr>
            <w:r w:rsidRPr="00D618B7">
              <w:rPr>
                <w:color w:val="000000"/>
              </w:rPr>
              <w:t>357.05</w:t>
            </w:r>
          </w:p>
        </w:tc>
        <w:tc>
          <w:tcPr>
            <w:tcW w:w="547" w:type="pct"/>
            <w:tcBorders>
              <w:top w:val="nil"/>
              <w:left w:val="nil"/>
              <w:bottom w:val="nil"/>
              <w:right w:val="nil"/>
            </w:tcBorders>
            <w:shd w:val="clear" w:color="000000" w:fill="FFFFFF"/>
            <w:noWrap/>
            <w:vAlign w:val="center"/>
            <w:hideMark/>
          </w:tcPr>
          <w:p w14:paraId="1947822F" w14:textId="77777777" w:rsidR="0027688F" w:rsidRPr="00D618B7" w:rsidRDefault="0027688F" w:rsidP="004B11B7">
            <w:pPr>
              <w:jc w:val="right"/>
              <w:rPr>
                <w:color w:val="000000"/>
              </w:rPr>
            </w:pPr>
            <w:r w:rsidRPr="00D618B7">
              <w:rPr>
                <w:color w:val="000000"/>
              </w:rPr>
              <w:t>32.61</w:t>
            </w:r>
          </w:p>
        </w:tc>
        <w:tc>
          <w:tcPr>
            <w:tcW w:w="882" w:type="pct"/>
            <w:tcBorders>
              <w:top w:val="nil"/>
              <w:left w:val="nil"/>
              <w:bottom w:val="nil"/>
              <w:right w:val="nil"/>
            </w:tcBorders>
            <w:shd w:val="clear" w:color="000000" w:fill="FFFFFF"/>
            <w:noWrap/>
            <w:vAlign w:val="center"/>
            <w:hideMark/>
          </w:tcPr>
          <w:p w14:paraId="675A0390" w14:textId="77777777" w:rsidR="0027688F" w:rsidRPr="00D618B7" w:rsidRDefault="0027688F" w:rsidP="004B11B7">
            <w:pPr>
              <w:jc w:val="right"/>
              <w:rPr>
                <w:color w:val="000000"/>
              </w:rPr>
            </w:pPr>
            <w:r w:rsidRPr="00D618B7">
              <w:rPr>
                <w:color w:val="000000"/>
              </w:rPr>
              <w:t>16.21</w:t>
            </w:r>
          </w:p>
        </w:tc>
        <w:tc>
          <w:tcPr>
            <w:tcW w:w="715" w:type="pct"/>
            <w:tcBorders>
              <w:top w:val="nil"/>
              <w:left w:val="nil"/>
              <w:bottom w:val="nil"/>
              <w:right w:val="nil"/>
            </w:tcBorders>
            <w:shd w:val="clear" w:color="000000" w:fill="FFFFFF"/>
            <w:noWrap/>
            <w:vAlign w:val="center"/>
            <w:hideMark/>
          </w:tcPr>
          <w:p w14:paraId="034797E3" w14:textId="77777777" w:rsidR="0027688F" w:rsidRPr="00D618B7" w:rsidRDefault="0027688F" w:rsidP="004B11B7">
            <w:pPr>
              <w:jc w:val="right"/>
              <w:rPr>
                <w:color w:val="000000"/>
              </w:rPr>
            </w:pPr>
            <w:r w:rsidRPr="00D618B7">
              <w:rPr>
                <w:color w:val="000000"/>
              </w:rPr>
              <w:t>58.31</w:t>
            </w:r>
          </w:p>
        </w:tc>
        <w:tc>
          <w:tcPr>
            <w:tcW w:w="714" w:type="pct"/>
            <w:tcBorders>
              <w:top w:val="nil"/>
              <w:left w:val="nil"/>
              <w:bottom w:val="nil"/>
              <w:right w:val="nil"/>
            </w:tcBorders>
            <w:shd w:val="clear" w:color="000000" w:fill="FFFFFF"/>
            <w:noWrap/>
            <w:vAlign w:val="center"/>
            <w:hideMark/>
          </w:tcPr>
          <w:p w14:paraId="6C9A9A82" w14:textId="77777777" w:rsidR="0027688F" w:rsidRPr="00D618B7" w:rsidRDefault="0027688F" w:rsidP="004B11B7">
            <w:pPr>
              <w:jc w:val="right"/>
              <w:rPr>
                <w:color w:val="000000"/>
              </w:rPr>
            </w:pPr>
            <w:r w:rsidRPr="00D618B7">
              <w:rPr>
                <w:color w:val="000000"/>
              </w:rPr>
              <w:t>-20.86</w:t>
            </w:r>
          </w:p>
        </w:tc>
        <w:tc>
          <w:tcPr>
            <w:tcW w:w="714" w:type="pct"/>
            <w:tcBorders>
              <w:top w:val="nil"/>
              <w:left w:val="nil"/>
              <w:bottom w:val="nil"/>
              <w:right w:val="nil"/>
            </w:tcBorders>
            <w:shd w:val="clear" w:color="000000" w:fill="FFFFFF"/>
            <w:noWrap/>
            <w:vAlign w:val="center"/>
            <w:hideMark/>
          </w:tcPr>
          <w:p w14:paraId="02264C2B" w14:textId="77777777" w:rsidR="0027688F" w:rsidRPr="00D618B7" w:rsidRDefault="0027688F" w:rsidP="004B11B7">
            <w:pPr>
              <w:jc w:val="right"/>
              <w:rPr>
                <w:color w:val="000000"/>
              </w:rPr>
            </w:pPr>
            <w:r w:rsidRPr="00D618B7">
              <w:rPr>
                <w:color w:val="000000"/>
              </w:rPr>
              <w:t>23.24</w:t>
            </w:r>
          </w:p>
        </w:tc>
      </w:tr>
      <w:tr w:rsidR="0027688F" w:rsidRPr="00D618B7" w14:paraId="046771C5" w14:textId="77777777" w:rsidTr="00C953D6">
        <w:trPr>
          <w:trHeight w:val="325"/>
        </w:trPr>
        <w:tc>
          <w:tcPr>
            <w:tcW w:w="714" w:type="pct"/>
            <w:tcBorders>
              <w:top w:val="nil"/>
              <w:left w:val="nil"/>
              <w:bottom w:val="nil"/>
              <w:right w:val="nil"/>
            </w:tcBorders>
            <w:shd w:val="clear" w:color="000000" w:fill="FFFFFF"/>
            <w:vAlign w:val="center"/>
            <w:hideMark/>
          </w:tcPr>
          <w:p w14:paraId="712F7F15" w14:textId="77777777" w:rsidR="0027688F" w:rsidRPr="00D618B7" w:rsidRDefault="0027688F" w:rsidP="004B11B7">
            <w:pPr>
              <w:jc w:val="right"/>
              <w:rPr>
                <w:color w:val="000000"/>
              </w:rPr>
            </w:pPr>
            <w:r w:rsidRPr="00D618B7">
              <w:rPr>
                <w:color w:val="000000"/>
              </w:rPr>
              <w:t>4</w:t>
            </w:r>
          </w:p>
        </w:tc>
        <w:tc>
          <w:tcPr>
            <w:tcW w:w="714" w:type="pct"/>
            <w:tcBorders>
              <w:top w:val="nil"/>
              <w:left w:val="nil"/>
              <w:bottom w:val="nil"/>
              <w:right w:val="nil"/>
            </w:tcBorders>
            <w:shd w:val="clear" w:color="000000" w:fill="FFFFFF"/>
            <w:noWrap/>
            <w:vAlign w:val="center"/>
            <w:hideMark/>
          </w:tcPr>
          <w:p w14:paraId="462B4828" w14:textId="77777777" w:rsidR="0027688F" w:rsidRPr="00D618B7" w:rsidRDefault="0027688F" w:rsidP="004B11B7">
            <w:pPr>
              <w:jc w:val="right"/>
              <w:rPr>
                <w:color w:val="000000"/>
              </w:rPr>
            </w:pPr>
            <w:r w:rsidRPr="00D618B7">
              <w:rPr>
                <w:color w:val="000000"/>
              </w:rPr>
              <w:t>994.07</w:t>
            </w:r>
          </w:p>
        </w:tc>
        <w:tc>
          <w:tcPr>
            <w:tcW w:w="547" w:type="pct"/>
            <w:tcBorders>
              <w:top w:val="nil"/>
              <w:left w:val="nil"/>
              <w:bottom w:val="nil"/>
              <w:right w:val="nil"/>
            </w:tcBorders>
            <w:shd w:val="clear" w:color="000000" w:fill="FFFFFF"/>
            <w:noWrap/>
            <w:vAlign w:val="center"/>
            <w:hideMark/>
          </w:tcPr>
          <w:p w14:paraId="057C065E" w14:textId="77777777" w:rsidR="0027688F" w:rsidRPr="00D618B7" w:rsidRDefault="0027688F" w:rsidP="004B11B7">
            <w:pPr>
              <w:jc w:val="right"/>
              <w:rPr>
                <w:color w:val="000000"/>
              </w:rPr>
            </w:pPr>
            <w:r w:rsidRPr="00D618B7">
              <w:rPr>
                <w:color w:val="000000"/>
              </w:rPr>
              <w:t>170.93</w:t>
            </w:r>
          </w:p>
        </w:tc>
        <w:tc>
          <w:tcPr>
            <w:tcW w:w="882" w:type="pct"/>
            <w:tcBorders>
              <w:top w:val="nil"/>
              <w:left w:val="nil"/>
              <w:bottom w:val="nil"/>
              <w:right w:val="nil"/>
            </w:tcBorders>
            <w:shd w:val="clear" w:color="000000" w:fill="FFFFFF"/>
            <w:noWrap/>
            <w:vAlign w:val="center"/>
            <w:hideMark/>
          </w:tcPr>
          <w:p w14:paraId="020D03D7" w14:textId="77777777" w:rsidR="0027688F" w:rsidRPr="00D618B7" w:rsidRDefault="0027688F" w:rsidP="004B11B7">
            <w:pPr>
              <w:jc w:val="right"/>
              <w:rPr>
                <w:color w:val="000000"/>
              </w:rPr>
            </w:pPr>
            <w:r w:rsidRPr="00D618B7">
              <w:rPr>
                <w:color w:val="000000"/>
              </w:rPr>
              <w:t>127.27</w:t>
            </w:r>
          </w:p>
        </w:tc>
        <w:tc>
          <w:tcPr>
            <w:tcW w:w="715" w:type="pct"/>
            <w:tcBorders>
              <w:top w:val="nil"/>
              <w:left w:val="nil"/>
              <w:bottom w:val="nil"/>
              <w:right w:val="nil"/>
            </w:tcBorders>
            <w:shd w:val="clear" w:color="000000" w:fill="FFFFFF"/>
            <w:noWrap/>
            <w:vAlign w:val="center"/>
            <w:hideMark/>
          </w:tcPr>
          <w:p w14:paraId="485911B7" w14:textId="77777777" w:rsidR="0027688F" w:rsidRPr="00D618B7" w:rsidRDefault="0027688F" w:rsidP="004B11B7">
            <w:pPr>
              <w:jc w:val="right"/>
              <w:rPr>
                <w:color w:val="000000"/>
              </w:rPr>
            </w:pPr>
            <w:r w:rsidRPr="00D618B7">
              <w:rPr>
                <w:color w:val="000000"/>
              </w:rPr>
              <w:t>24.67</w:t>
            </w:r>
          </w:p>
        </w:tc>
        <w:tc>
          <w:tcPr>
            <w:tcW w:w="714" w:type="pct"/>
            <w:tcBorders>
              <w:top w:val="nil"/>
              <w:left w:val="nil"/>
              <w:bottom w:val="nil"/>
              <w:right w:val="nil"/>
            </w:tcBorders>
            <w:shd w:val="clear" w:color="000000" w:fill="FFFFFF"/>
            <w:noWrap/>
            <w:vAlign w:val="center"/>
            <w:hideMark/>
          </w:tcPr>
          <w:p w14:paraId="1C0985AF" w14:textId="77777777" w:rsidR="0027688F" w:rsidRPr="00D618B7" w:rsidRDefault="0027688F" w:rsidP="004B11B7">
            <w:pPr>
              <w:jc w:val="right"/>
              <w:rPr>
                <w:color w:val="000000"/>
              </w:rPr>
            </w:pPr>
            <w:r w:rsidRPr="00D618B7">
              <w:rPr>
                <w:color w:val="000000"/>
              </w:rPr>
              <w:t>73.68</w:t>
            </w:r>
          </w:p>
        </w:tc>
        <w:tc>
          <w:tcPr>
            <w:tcW w:w="714" w:type="pct"/>
            <w:tcBorders>
              <w:top w:val="nil"/>
              <w:left w:val="nil"/>
              <w:bottom w:val="nil"/>
              <w:right w:val="nil"/>
            </w:tcBorders>
            <w:shd w:val="clear" w:color="000000" w:fill="FFFFFF"/>
            <w:noWrap/>
            <w:vAlign w:val="center"/>
            <w:hideMark/>
          </w:tcPr>
          <w:p w14:paraId="345A39C8" w14:textId="77777777" w:rsidR="0027688F" w:rsidRPr="00D618B7" w:rsidRDefault="0027688F" w:rsidP="004B11B7">
            <w:pPr>
              <w:jc w:val="right"/>
              <w:rPr>
                <w:color w:val="000000"/>
              </w:rPr>
            </w:pPr>
            <w:r w:rsidRPr="00D618B7">
              <w:rPr>
                <w:color w:val="000000"/>
              </w:rPr>
              <w:t>38.14</w:t>
            </w:r>
          </w:p>
        </w:tc>
      </w:tr>
      <w:tr w:rsidR="0027688F" w:rsidRPr="00D618B7" w14:paraId="7064D1EC" w14:textId="77777777" w:rsidTr="00C953D6">
        <w:trPr>
          <w:trHeight w:val="325"/>
        </w:trPr>
        <w:tc>
          <w:tcPr>
            <w:tcW w:w="714" w:type="pct"/>
            <w:tcBorders>
              <w:top w:val="nil"/>
              <w:left w:val="nil"/>
              <w:bottom w:val="single" w:sz="8" w:space="0" w:color="auto"/>
              <w:right w:val="nil"/>
            </w:tcBorders>
            <w:shd w:val="clear" w:color="000000" w:fill="FFFFFF"/>
            <w:vAlign w:val="center"/>
            <w:hideMark/>
          </w:tcPr>
          <w:p w14:paraId="0F844A51" w14:textId="77777777" w:rsidR="0027688F" w:rsidRPr="00D618B7" w:rsidRDefault="0027688F" w:rsidP="004B11B7">
            <w:pPr>
              <w:jc w:val="right"/>
              <w:rPr>
                <w:color w:val="000000"/>
              </w:rPr>
            </w:pPr>
            <w:r w:rsidRPr="00D618B7">
              <w:rPr>
                <w:color w:val="000000"/>
              </w:rPr>
              <w:t>5</w:t>
            </w:r>
          </w:p>
        </w:tc>
        <w:tc>
          <w:tcPr>
            <w:tcW w:w="714" w:type="pct"/>
            <w:tcBorders>
              <w:top w:val="nil"/>
              <w:left w:val="nil"/>
              <w:bottom w:val="single" w:sz="8" w:space="0" w:color="auto"/>
              <w:right w:val="nil"/>
            </w:tcBorders>
            <w:shd w:val="clear" w:color="000000" w:fill="FFFFFF"/>
            <w:noWrap/>
            <w:vAlign w:val="center"/>
            <w:hideMark/>
          </w:tcPr>
          <w:p w14:paraId="6123BE4B" w14:textId="77777777" w:rsidR="0027688F" w:rsidRPr="00D618B7" w:rsidRDefault="0027688F" w:rsidP="004B11B7">
            <w:pPr>
              <w:jc w:val="right"/>
              <w:rPr>
                <w:color w:val="000000"/>
              </w:rPr>
            </w:pPr>
            <w:r w:rsidRPr="00D618B7">
              <w:rPr>
                <w:color w:val="000000"/>
              </w:rPr>
              <w:t>-12.60</w:t>
            </w:r>
          </w:p>
        </w:tc>
        <w:tc>
          <w:tcPr>
            <w:tcW w:w="547" w:type="pct"/>
            <w:tcBorders>
              <w:top w:val="nil"/>
              <w:left w:val="nil"/>
              <w:bottom w:val="single" w:sz="8" w:space="0" w:color="auto"/>
              <w:right w:val="nil"/>
            </w:tcBorders>
            <w:shd w:val="clear" w:color="000000" w:fill="FFFFFF"/>
            <w:noWrap/>
            <w:vAlign w:val="center"/>
            <w:hideMark/>
          </w:tcPr>
          <w:p w14:paraId="33483E48" w14:textId="77777777" w:rsidR="0027688F" w:rsidRPr="00D618B7" w:rsidRDefault="0027688F" w:rsidP="004B11B7">
            <w:pPr>
              <w:jc w:val="right"/>
              <w:rPr>
                <w:color w:val="000000"/>
              </w:rPr>
            </w:pPr>
            <w:r w:rsidRPr="00D618B7">
              <w:rPr>
                <w:color w:val="000000"/>
              </w:rPr>
              <w:t>32.17</w:t>
            </w:r>
          </w:p>
        </w:tc>
        <w:tc>
          <w:tcPr>
            <w:tcW w:w="882" w:type="pct"/>
            <w:tcBorders>
              <w:top w:val="nil"/>
              <w:left w:val="nil"/>
              <w:bottom w:val="single" w:sz="8" w:space="0" w:color="auto"/>
              <w:right w:val="nil"/>
            </w:tcBorders>
            <w:shd w:val="clear" w:color="000000" w:fill="FFFFFF"/>
            <w:noWrap/>
            <w:vAlign w:val="center"/>
            <w:hideMark/>
          </w:tcPr>
          <w:p w14:paraId="758A0D5F" w14:textId="77777777" w:rsidR="0027688F" w:rsidRPr="00D618B7" w:rsidRDefault="0027688F" w:rsidP="004B11B7">
            <w:pPr>
              <w:jc w:val="right"/>
              <w:rPr>
                <w:color w:val="000000"/>
              </w:rPr>
            </w:pPr>
            <w:r w:rsidRPr="00D618B7">
              <w:rPr>
                <w:color w:val="000000"/>
              </w:rPr>
              <w:t>-139.88</w:t>
            </w:r>
          </w:p>
        </w:tc>
        <w:tc>
          <w:tcPr>
            <w:tcW w:w="715" w:type="pct"/>
            <w:tcBorders>
              <w:top w:val="nil"/>
              <w:left w:val="nil"/>
              <w:bottom w:val="single" w:sz="8" w:space="0" w:color="auto"/>
              <w:right w:val="nil"/>
            </w:tcBorders>
            <w:shd w:val="clear" w:color="000000" w:fill="FFFFFF"/>
            <w:noWrap/>
            <w:vAlign w:val="center"/>
            <w:hideMark/>
          </w:tcPr>
          <w:p w14:paraId="4C2FDEB6" w14:textId="77777777" w:rsidR="0027688F" w:rsidRPr="00D618B7" w:rsidRDefault="0027688F" w:rsidP="004B11B7">
            <w:pPr>
              <w:jc w:val="right"/>
              <w:rPr>
                <w:color w:val="000000"/>
              </w:rPr>
            </w:pPr>
            <w:r w:rsidRPr="00D618B7">
              <w:rPr>
                <w:color w:val="000000"/>
              </w:rPr>
              <w:t>62.22</w:t>
            </w:r>
          </w:p>
        </w:tc>
        <w:tc>
          <w:tcPr>
            <w:tcW w:w="714" w:type="pct"/>
            <w:tcBorders>
              <w:top w:val="nil"/>
              <w:left w:val="nil"/>
              <w:bottom w:val="single" w:sz="8" w:space="0" w:color="auto"/>
              <w:right w:val="nil"/>
            </w:tcBorders>
            <w:shd w:val="clear" w:color="000000" w:fill="FFFFFF"/>
            <w:noWrap/>
            <w:vAlign w:val="center"/>
            <w:hideMark/>
          </w:tcPr>
          <w:p w14:paraId="637FC6DA" w14:textId="77777777" w:rsidR="0027688F" w:rsidRPr="00D618B7" w:rsidRDefault="0027688F" w:rsidP="004B11B7">
            <w:pPr>
              <w:jc w:val="right"/>
              <w:rPr>
                <w:color w:val="000000"/>
              </w:rPr>
            </w:pPr>
            <w:r w:rsidRPr="00D618B7">
              <w:rPr>
                <w:color w:val="000000"/>
              </w:rPr>
              <w:t>-27.76</w:t>
            </w:r>
          </w:p>
        </w:tc>
        <w:tc>
          <w:tcPr>
            <w:tcW w:w="714" w:type="pct"/>
            <w:tcBorders>
              <w:top w:val="nil"/>
              <w:left w:val="nil"/>
              <w:bottom w:val="single" w:sz="8" w:space="0" w:color="auto"/>
              <w:right w:val="nil"/>
            </w:tcBorders>
            <w:shd w:val="clear" w:color="000000" w:fill="FFFFFF"/>
            <w:noWrap/>
            <w:vAlign w:val="center"/>
            <w:hideMark/>
          </w:tcPr>
          <w:p w14:paraId="37FC9820" w14:textId="77777777" w:rsidR="0027688F" w:rsidRPr="00D618B7" w:rsidRDefault="0027688F" w:rsidP="004B11B7">
            <w:pPr>
              <w:jc w:val="right"/>
              <w:rPr>
                <w:color w:val="000000"/>
              </w:rPr>
            </w:pPr>
            <w:r w:rsidRPr="00D618B7">
              <w:rPr>
                <w:color w:val="000000"/>
              </w:rPr>
              <w:t>8.11</w:t>
            </w:r>
          </w:p>
        </w:tc>
      </w:tr>
    </w:tbl>
    <w:p w14:paraId="44F49725" w14:textId="77777777" w:rsidR="0027688F" w:rsidRPr="00D618B7" w:rsidRDefault="0027688F" w:rsidP="0027688F">
      <w:pPr>
        <w:rPr>
          <w:i/>
          <w:iCs/>
        </w:rPr>
      </w:pPr>
    </w:p>
    <w:p w14:paraId="765747B2" w14:textId="77777777" w:rsidR="0027688F" w:rsidRPr="00D618B7" w:rsidRDefault="0027688F" w:rsidP="0027688F">
      <w:r w:rsidRPr="00D618B7">
        <w:rPr>
          <w:i/>
          <w:iCs/>
        </w:rPr>
        <w:t>Note</w:t>
      </w:r>
      <w:r w:rsidRPr="00D618B7">
        <w:t>: This table lists the estimated mean Average Duration and standard errors for toy-out-of-reach, toy-moving-into-reach, and toy-in-reach events for each week of observation around reach-onset by group.</w:t>
      </w:r>
    </w:p>
    <w:p w14:paraId="1CC86ED6" w14:textId="77777777" w:rsidR="006226F5" w:rsidRPr="00D618B7" w:rsidRDefault="006226F5" w:rsidP="006226F5"/>
    <w:p w14:paraId="5050C15D" w14:textId="77777777" w:rsidR="006226F5" w:rsidRPr="00D618B7" w:rsidRDefault="006226F5" w:rsidP="006226F5"/>
    <w:p w14:paraId="4516DA69" w14:textId="77777777" w:rsidR="006226F5" w:rsidRPr="00D618B7" w:rsidRDefault="006226F5" w:rsidP="006226F5">
      <w:r w:rsidRPr="00D618B7">
        <w:br w:type="page"/>
      </w:r>
    </w:p>
    <w:p w14:paraId="18C5CEE1" w14:textId="0223479E" w:rsidR="006226F5" w:rsidRPr="00D618B7" w:rsidRDefault="006226F5" w:rsidP="007C5074">
      <w:pPr>
        <w:pStyle w:val="Caption"/>
      </w:pPr>
      <w:bookmarkStart w:id="222" w:name="_Toc172716904"/>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76</w:t>
      </w:r>
      <w:r w:rsidR="00000000">
        <w:rPr>
          <w:noProof/>
        </w:rPr>
        <w:fldChar w:fldCharType="end"/>
      </w:r>
      <w:r w:rsidR="00AE3927">
        <w:rPr>
          <w:noProof/>
        </w:rPr>
        <w:t>:</w:t>
      </w:r>
      <w:r w:rsidR="00C953D6" w:rsidRPr="00C953D6">
        <w:t xml:space="preserve"> </w:t>
      </w:r>
      <w:r w:rsidR="00C953D6">
        <w:t>Event average duration</w:t>
      </w:r>
      <w:r w:rsidR="00C953D6" w:rsidRPr="00BA36EF">
        <w:t xml:space="preserve"> by </w:t>
      </w:r>
      <w:r w:rsidR="00C953D6">
        <w:t>type, proximity, and week by group</w:t>
      </w:r>
      <w:bookmarkEnd w:id="222"/>
    </w:p>
    <w:p w14:paraId="070096D6" w14:textId="5355854F" w:rsidR="009B30BA" w:rsidRPr="00D618B7" w:rsidRDefault="009B30BA" w:rsidP="009B30BA">
      <w:r w:rsidRPr="00D618B7">
        <w:t xml:space="preserve">Estimated Mean Average Duration of Events by </w:t>
      </w:r>
      <w:r w:rsidR="00C953D6" w:rsidRPr="00D618B7">
        <w:t>Type</w:t>
      </w:r>
      <w:r w:rsidR="00C953D6">
        <w:t>,</w:t>
      </w:r>
      <w:r w:rsidR="00C953D6" w:rsidRPr="00D618B7">
        <w:t xml:space="preserve"> </w:t>
      </w:r>
      <w:r w:rsidRPr="00D618B7">
        <w:t>Proximity, and Group</w:t>
      </w:r>
    </w:p>
    <w:tbl>
      <w:tblPr>
        <w:tblW w:w="5000" w:type="pct"/>
        <w:tblLook w:val="04A0" w:firstRow="1" w:lastRow="0" w:firstColumn="1" w:lastColumn="0" w:noHBand="0" w:noVBand="1"/>
      </w:tblPr>
      <w:tblGrid>
        <w:gridCol w:w="857"/>
        <w:gridCol w:w="1740"/>
        <w:gridCol w:w="1163"/>
        <w:gridCol w:w="1261"/>
        <w:gridCol w:w="1262"/>
        <w:gridCol w:w="678"/>
        <w:gridCol w:w="516"/>
        <w:gridCol w:w="1163"/>
      </w:tblGrid>
      <w:tr w:rsidR="009B30BA" w:rsidRPr="00D618B7" w14:paraId="1EB8CF2E" w14:textId="77777777" w:rsidTr="004B11B7">
        <w:trPr>
          <w:trHeight w:val="271"/>
        </w:trPr>
        <w:tc>
          <w:tcPr>
            <w:tcW w:w="451" w:type="pct"/>
            <w:tcBorders>
              <w:top w:val="single" w:sz="4" w:space="0" w:color="auto"/>
              <w:left w:val="nil"/>
              <w:bottom w:val="nil"/>
              <w:right w:val="nil"/>
            </w:tcBorders>
            <w:shd w:val="clear" w:color="000000" w:fill="FFFFFF"/>
            <w:vAlign w:val="center"/>
            <w:hideMark/>
          </w:tcPr>
          <w:p w14:paraId="3CA735F5" w14:textId="77777777" w:rsidR="009B30BA" w:rsidRPr="00D618B7" w:rsidRDefault="009B30BA" w:rsidP="004B11B7">
            <w:pPr>
              <w:rPr>
                <w:color w:val="000000"/>
              </w:rPr>
            </w:pPr>
            <w:r w:rsidRPr="00D618B7">
              <w:rPr>
                <w:color w:val="000000"/>
              </w:rPr>
              <w:t>Week</w:t>
            </w:r>
          </w:p>
        </w:tc>
        <w:tc>
          <w:tcPr>
            <w:tcW w:w="1645" w:type="pct"/>
            <w:gridSpan w:val="2"/>
            <w:tcBorders>
              <w:top w:val="single" w:sz="4" w:space="0" w:color="auto"/>
              <w:left w:val="nil"/>
              <w:bottom w:val="single" w:sz="8" w:space="0" w:color="auto"/>
              <w:right w:val="nil"/>
            </w:tcBorders>
            <w:shd w:val="clear" w:color="000000" w:fill="FFFFFF"/>
            <w:vAlign w:val="center"/>
            <w:hideMark/>
          </w:tcPr>
          <w:p w14:paraId="75CDC3E7" w14:textId="50498699" w:rsidR="009B30BA" w:rsidRPr="00D618B7" w:rsidRDefault="009B30BA" w:rsidP="004B11B7">
            <w:pPr>
              <w:jc w:val="center"/>
              <w:rPr>
                <w:color w:val="000000"/>
              </w:rPr>
            </w:pPr>
            <w:r w:rsidRPr="00D618B7">
              <w:rPr>
                <w:color w:val="000000"/>
              </w:rPr>
              <w:t xml:space="preserve">            Toy-out-of-Reach</w:t>
            </w:r>
          </w:p>
        </w:tc>
        <w:tc>
          <w:tcPr>
            <w:tcW w:w="1951" w:type="pct"/>
            <w:gridSpan w:val="3"/>
            <w:tcBorders>
              <w:top w:val="single" w:sz="4" w:space="0" w:color="auto"/>
              <w:left w:val="nil"/>
              <w:bottom w:val="single" w:sz="8" w:space="0" w:color="auto"/>
              <w:right w:val="nil"/>
            </w:tcBorders>
            <w:shd w:val="clear" w:color="000000" w:fill="FFFFFF"/>
            <w:vAlign w:val="center"/>
            <w:hideMark/>
          </w:tcPr>
          <w:p w14:paraId="71E17531" w14:textId="77777777" w:rsidR="009B30BA" w:rsidRPr="00D618B7" w:rsidRDefault="009B30BA" w:rsidP="004B11B7">
            <w:pPr>
              <w:jc w:val="center"/>
              <w:rPr>
                <w:color w:val="000000"/>
              </w:rPr>
            </w:pPr>
            <w:r w:rsidRPr="00D618B7">
              <w:rPr>
                <w:color w:val="000000"/>
              </w:rPr>
              <w:t>Toy-Moving-into-Reach</w:t>
            </w:r>
          </w:p>
        </w:tc>
        <w:tc>
          <w:tcPr>
            <w:tcW w:w="953" w:type="pct"/>
            <w:gridSpan w:val="2"/>
            <w:tcBorders>
              <w:top w:val="single" w:sz="4" w:space="0" w:color="auto"/>
              <w:left w:val="nil"/>
              <w:bottom w:val="single" w:sz="8" w:space="0" w:color="auto"/>
              <w:right w:val="nil"/>
            </w:tcBorders>
            <w:shd w:val="clear" w:color="000000" w:fill="FFFFFF"/>
            <w:vAlign w:val="center"/>
            <w:hideMark/>
          </w:tcPr>
          <w:p w14:paraId="7159D7CD" w14:textId="77777777" w:rsidR="009B30BA" w:rsidRPr="00D618B7" w:rsidRDefault="009B30BA" w:rsidP="004B11B7">
            <w:pPr>
              <w:jc w:val="center"/>
              <w:rPr>
                <w:color w:val="000000"/>
              </w:rPr>
            </w:pPr>
            <w:r w:rsidRPr="00D618B7">
              <w:rPr>
                <w:color w:val="000000"/>
              </w:rPr>
              <w:t>Toy-in-Reach</w:t>
            </w:r>
          </w:p>
        </w:tc>
      </w:tr>
      <w:tr w:rsidR="009B30BA" w:rsidRPr="00D618B7" w14:paraId="5250AD47" w14:textId="77777777" w:rsidTr="004B11B7">
        <w:trPr>
          <w:trHeight w:val="271"/>
        </w:trPr>
        <w:tc>
          <w:tcPr>
            <w:tcW w:w="451" w:type="pct"/>
            <w:tcBorders>
              <w:top w:val="nil"/>
              <w:left w:val="nil"/>
              <w:bottom w:val="single" w:sz="8" w:space="0" w:color="auto"/>
              <w:right w:val="nil"/>
            </w:tcBorders>
            <w:shd w:val="clear" w:color="000000" w:fill="FFFFFF"/>
            <w:noWrap/>
            <w:vAlign w:val="bottom"/>
            <w:hideMark/>
          </w:tcPr>
          <w:p w14:paraId="32F0ED5B" w14:textId="77777777" w:rsidR="009B30BA" w:rsidRPr="00D618B7" w:rsidRDefault="009B30BA" w:rsidP="004B11B7">
            <w:pPr>
              <w:rPr>
                <w:color w:val="000000"/>
              </w:rPr>
            </w:pPr>
            <w:r w:rsidRPr="00D618B7">
              <w:rPr>
                <w:color w:val="000000"/>
              </w:rPr>
              <w:t> </w:t>
            </w:r>
          </w:p>
        </w:tc>
        <w:tc>
          <w:tcPr>
            <w:tcW w:w="1040" w:type="pct"/>
            <w:tcBorders>
              <w:top w:val="nil"/>
              <w:left w:val="nil"/>
              <w:bottom w:val="single" w:sz="8" w:space="0" w:color="auto"/>
              <w:right w:val="nil"/>
            </w:tcBorders>
            <w:shd w:val="clear" w:color="000000" w:fill="FFFFFF"/>
            <w:noWrap/>
            <w:vAlign w:val="center"/>
            <w:hideMark/>
          </w:tcPr>
          <w:p w14:paraId="5FCE8723" w14:textId="77777777" w:rsidR="009B30BA" w:rsidRPr="00D618B7" w:rsidRDefault="009B30BA" w:rsidP="004B11B7">
            <w:pPr>
              <w:jc w:val="right"/>
              <w:rPr>
                <w:color w:val="000000"/>
              </w:rPr>
            </w:pPr>
            <w:r w:rsidRPr="00D618B7">
              <w:rPr>
                <w:color w:val="000000"/>
              </w:rPr>
              <w:t>Mean</w:t>
            </w:r>
          </w:p>
        </w:tc>
        <w:tc>
          <w:tcPr>
            <w:tcW w:w="605" w:type="pct"/>
            <w:tcBorders>
              <w:top w:val="nil"/>
              <w:left w:val="nil"/>
              <w:bottom w:val="single" w:sz="8" w:space="0" w:color="auto"/>
              <w:right w:val="nil"/>
            </w:tcBorders>
            <w:shd w:val="clear" w:color="000000" w:fill="FFFFFF"/>
            <w:noWrap/>
            <w:vAlign w:val="center"/>
            <w:hideMark/>
          </w:tcPr>
          <w:p w14:paraId="112323B5" w14:textId="77777777" w:rsidR="009B30BA" w:rsidRPr="00D618B7" w:rsidRDefault="009B30BA" w:rsidP="004B11B7">
            <w:pPr>
              <w:jc w:val="right"/>
              <w:rPr>
                <w:color w:val="000000"/>
              </w:rPr>
            </w:pPr>
            <w:r w:rsidRPr="00D618B7">
              <w:rPr>
                <w:color w:val="000000"/>
              </w:rPr>
              <w:t>Std. Error</w:t>
            </w:r>
          </w:p>
        </w:tc>
        <w:tc>
          <w:tcPr>
            <w:tcW w:w="763" w:type="pct"/>
            <w:tcBorders>
              <w:top w:val="nil"/>
              <w:left w:val="nil"/>
              <w:bottom w:val="single" w:sz="8" w:space="0" w:color="auto"/>
              <w:right w:val="nil"/>
            </w:tcBorders>
            <w:shd w:val="clear" w:color="000000" w:fill="FFFFFF"/>
            <w:noWrap/>
            <w:vAlign w:val="center"/>
            <w:hideMark/>
          </w:tcPr>
          <w:p w14:paraId="0C1D9001" w14:textId="77777777" w:rsidR="009B30BA" w:rsidRPr="00D618B7" w:rsidRDefault="009B30BA" w:rsidP="004B11B7">
            <w:pPr>
              <w:jc w:val="right"/>
              <w:rPr>
                <w:color w:val="000000"/>
              </w:rPr>
            </w:pPr>
            <w:r w:rsidRPr="00D618B7">
              <w:rPr>
                <w:color w:val="000000"/>
              </w:rPr>
              <w:t>Mean</w:t>
            </w:r>
          </w:p>
        </w:tc>
        <w:tc>
          <w:tcPr>
            <w:tcW w:w="763" w:type="pct"/>
            <w:tcBorders>
              <w:top w:val="nil"/>
              <w:left w:val="nil"/>
              <w:bottom w:val="single" w:sz="8" w:space="0" w:color="auto"/>
              <w:right w:val="nil"/>
            </w:tcBorders>
            <w:shd w:val="clear" w:color="000000" w:fill="FFFFFF"/>
            <w:noWrap/>
            <w:vAlign w:val="center"/>
            <w:hideMark/>
          </w:tcPr>
          <w:p w14:paraId="652A2125" w14:textId="77777777" w:rsidR="009B30BA" w:rsidRPr="00D618B7" w:rsidRDefault="009B30BA" w:rsidP="004B11B7">
            <w:pPr>
              <w:jc w:val="right"/>
              <w:rPr>
                <w:color w:val="000000"/>
              </w:rPr>
            </w:pPr>
            <w:r w:rsidRPr="00D618B7">
              <w:rPr>
                <w:color w:val="000000"/>
              </w:rPr>
              <w:t>Std. Error</w:t>
            </w:r>
          </w:p>
        </w:tc>
        <w:tc>
          <w:tcPr>
            <w:tcW w:w="756" w:type="pct"/>
            <w:gridSpan w:val="2"/>
            <w:tcBorders>
              <w:top w:val="nil"/>
              <w:left w:val="nil"/>
              <w:bottom w:val="single" w:sz="8" w:space="0" w:color="auto"/>
              <w:right w:val="nil"/>
            </w:tcBorders>
            <w:shd w:val="clear" w:color="000000" w:fill="FFFFFF"/>
            <w:noWrap/>
            <w:vAlign w:val="center"/>
            <w:hideMark/>
          </w:tcPr>
          <w:p w14:paraId="1C467DC8" w14:textId="77777777" w:rsidR="009B30BA" w:rsidRPr="00D618B7" w:rsidRDefault="009B30BA" w:rsidP="004B11B7">
            <w:pPr>
              <w:jc w:val="right"/>
              <w:rPr>
                <w:color w:val="000000"/>
              </w:rPr>
            </w:pPr>
            <w:r w:rsidRPr="00D618B7">
              <w:rPr>
                <w:color w:val="000000"/>
              </w:rPr>
              <w:t>Mean</w:t>
            </w:r>
          </w:p>
        </w:tc>
        <w:tc>
          <w:tcPr>
            <w:tcW w:w="622" w:type="pct"/>
            <w:tcBorders>
              <w:top w:val="nil"/>
              <w:left w:val="nil"/>
              <w:bottom w:val="single" w:sz="8" w:space="0" w:color="auto"/>
              <w:right w:val="nil"/>
            </w:tcBorders>
            <w:shd w:val="clear" w:color="000000" w:fill="FFFFFF"/>
            <w:noWrap/>
            <w:vAlign w:val="center"/>
            <w:hideMark/>
          </w:tcPr>
          <w:p w14:paraId="5754265D" w14:textId="77777777" w:rsidR="009B30BA" w:rsidRPr="00D618B7" w:rsidRDefault="009B30BA" w:rsidP="004B11B7">
            <w:pPr>
              <w:jc w:val="right"/>
              <w:rPr>
                <w:color w:val="000000"/>
              </w:rPr>
            </w:pPr>
            <w:r w:rsidRPr="00D618B7">
              <w:rPr>
                <w:color w:val="000000"/>
              </w:rPr>
              <w:t>Std. Error</w:t>
            </w:r>
          </w:p>
        </w:tc>
      </w:tr>
      <w:tr w:rsidR="009B30BA" w:rsidRPr="00D618B7" w14:paraId="1A3BBC7A" w14:textId="77777777" w:rsidTr="004B11B7">
        <w:trPr>
          <w:trHeight w:val="160"/>
        </w:trPr>
        <w:tc>
          <w:tcPr>
            <w:tcW w:w="451" w:type="pct"/>
            <w:tcBorders>
              <w:top w:val="nil"/>
              <w:left w:val="nil"/>
              <w:bottom w:val="nil"/>
              <w:right w:val="nil"/>
            </w:tcBorders>
            <w:shd w:val="clear" w:color="000000" w:fill="FFFFFF"/>
            <w:noWrap/>
            <w:vAlign w:val="bottom"/>
            <w:hideMark/>
          </w:tcPr>
          <w:p w14:paraId="7C14616B" w14:textId="77777777" w:rsidR="009B30BA" w:rsidRPr="00D618B7" w:rsidRDefault="009B30BA" w:rsidP="004B11B7">
            <w:pPr>
              <w:rPr>
                <w:color w:val="000000"/>
              </w:rPr>
            </w:pPr>
            <w:r w:rsidRPr="00D618B7">
              <w:rPr>
                <w:color w:val="000000"/>
              </w:rPr>
              <w:t> </w:t>
            </w:r>
          </w:p>
        </w:tc>
        <w:tc>
          <w:tcPr>
            <w:tcW w:w="4549" w:type="pct"/>
            <w:gridSpan w:val="7"/>
            <w:tcBorders>
              <w:top w:val="single" w:sz="8" w:space="0" w:color="auto"/>
              <w:left w:val="nil"/>
              <w:bottom w:val="nil"/>
              <w:right w:val="nil"/>
            </w:tcBorders>
            <w:shd w:val="clear" w:color="000000" w:fill="FFFFFF"/>
            <w:noWrap/>
            <w:vAlign w:val="center"/>
            <w:hideMark/>
          </w:tcPr>
          <w:p w14:paraId="34EA43E7" w14:textId="77777777" w:rsidR="009B30BA" w:rsidRPr="00D618B7" w:rsidRDefault="009B30BA" w:rsidP="004B11B7">
            <w:pPr>
              <w:jc w:val="center"/>
              <w:rPr>
                <w:color w:val="000000"/>
              </w:rPr>
            </w:pPr>
            <w:r w:rsidRPr="00D618B7">
              <w:rPr>
                <w:color w:val="000000"/>
              </w:rPr>
              <w:t>Early Reach Group</w:t>
            </w:r>
          </w:p>
        </w:tc>
      </w:tr>
      <w:tr w:rsidR="009B30BA" w:rsidRPr="00D618B7" w14:paraId="49661135" w14:textId="77777777" w:rsidTr="004B11B7">
        <w:trPr>
          <w:trHeight w:val="271"/>
        </w:trPr>
        <w:tc>
          <w:tcPr>
            <w:tcW w:w="451" w:type="pct"/>
            <w:tcBorders>
              <w:top w:val="nil"/>
              <w:left w:val="nil"/>
              <w:bottom w:val="nil"/>
              <w:right w:val="nil"/>
            </w:tcBorders>
            <w:shd w:val="clear" w:color="000000" w:fill="FFFFFF"/>
            <w:vAlign w:val="center"/>
            <w:hideMark/>
          </w:tcPr>
          <w:p w14:paraId="00BA59B5" w14:textId="77777777" w:rsidR="009B30BA" w:rsidRPr="00D618B7" w:rsidRDefault="009B30BA" w:rsidP="004B11B7">
            <w:pPr>
              <w:rPr>
                <w:color w:val="000000"/>
              </w:rPr>
            </w:pPr>
            <w:r w:rsidRPr="00D618B7">
              <w:rPr>
                <w:color w:val="000000"/>
              </w:rPr>
              <w:t>Face</w:t>
            </w:r>
          </w:p>
        </w:tc>
        <w:tc>
          <w:tcPr>
            <w:tcW w:w="1040" w:type="pct"/>
            <w:tcBorders>
              <w:top w:val="nil"/>
              <w:left w:val="nil"/>
              <w:bottom w:val="nil"/>
              <w:right w:val="nil"/>
            </w:tcBorders>
            <w:shd w:val="clear" w:color="000000" w:fill="FFFFFF"/>
            <w:noWrap/>
            <w:vAlign w:val="center"/>
            <w:hideMark/>
          </w:tcPr>
          <w:p w14:paraId="08102FE0" w14:textId="77777777" w:rsidR="009B30BA" w:rsidRPr="00D618B7" w:rsidRDefault="009B30BA" w:rsidP="004B11B7">
            <w:pPr>
              <w:jc w:val="right"/>
              <w:rPr>
                <w:color w:val="000000"/>
              </w:rPr>
            </w:pPr>
            <w:r w:rsidRPr="00D618B7">
              <w:rPr>
                <w:color w:val="000000"/>
              </w:rPr>
              <w:t>303.2478</w:t>
            </w:r>
          </w:p>
        </w:tc>
        <w:tc>
          <w:tcPr>
            <w:tcW w:w="605" w:type="pct"/>
            <w:tcBorders>
              <w:top w:val="nil"/>
              <w:left w:val="nil"/>
              <w:bottom w:val="nil"/>
              <w:right w:val="nil"/>
            </w:tcBorders>
            <w:shd w:val="clear" w:color="000000" w:fill="FFFFFF"/>
            <w:noWrap/>
            <w:vAlign w:val="center"/>
            <w:hideMark/>
          </w:tcPr>
          <w:p w14:paraId="700963EA" w14:textId="77777777" w:rsidR="009B30BA" w:rsidRPr="00D618B7" w:rsidRDefault="009B30BA" w:rsidP="004B11B7">
            <w:pPr>
              <w:jc w:val="right"/>
              <w:rPr>
                <w:color w:val="000000"/>
              </w:rPr>
            </w:pPr>
            <w:r w:rsidRPr="00D618B7">
              <w:rPr>
                <w:color w:val="000000"/>
              </w:rPr>
              <w:t>56.4365</w:t>
            </w:r>
          </w:p>
        </w:tc>
        <w:tc>
          <w:tcPr>
            <w:tcW w:w="763" w:type="pct"/>
            <w:tcBorders>
              <w:top w:val="nil"/>
              <w:left w:val="nil"/>
              <w:bottom w:val="nil"/>
              <w:right w:val="nil"/>
            </w:tcBorders>
            <w:shd w:val="clear" w:color="000000" w:fill="FFFFFF"/>
            <w:noWrap/>
            <w:vAlign w:val="center"/>
            <w:hideMark/>
          </w:tcPr>
          <w:p w14:paraId="334AEE8C" w14:textId="77777777" w:rsidR="009B30BA" w:rsidRPr="00D618B7" w:rsidRDefault="009B30BA" w:rsidP="004B11B7">
            <w:pPr>
              <w:jc w:val="right"/>
              <w:rPr>
                <w:color w:val="000000"/>
              </w:rPr>
            </w:pPr>
            <w:r w:rsidRPr="00D618B7">
              <w:rPr>
                <w:color w:val="000000"/>
              </w:rPr>
              <w:t>29.5096</w:t>
            </w:r>
          </w:p>
        </w:tc>
        <w:tc>
          <w:tcPr>
            <w:tcW w:w="763" w:type="pct"/>
            <w:tcBorders>
              <w:top w:val="nil"/>
              <w:left w:val="nil"/>
              <w:bottom w:val="nil"/>
              <w:right w:val="nil"/>
            </w:tcBorders>
            <w:shd w:val="clear" w:color="000000" w:fill="FFFFFF"/>
            <w:noWrap/>
            <w:vAlign w:val="center"/>
            <w:hideMark/>
          </w:tcPr>
          <w:p w14:paraId="5CAE4DB2" w14:textId="77777777" w:rsidR="009B30BA" w:rsidRPr="00D618B7" w:rsidRDefault="009B30BA" w:rsidP="004B11B7">
            <w:pPr>
              <w:jc w:val="right"/>
              <w:rPr>
                <w:color w:val="000000"/>
              </w:rPr>
            </w:pPr>
            <w:r w:rsidRPr="00D618B7">
              <w:rPr>
                <w:color w:val="000000"/>
              </w:rPr>
              <w:t>14.2525</w:t>
            </w:r>
          </w:p>
        </w:tc>
        <w:tc>
          <w:tcPr>
            <w:tcW w:w="756" w:type="pct"/>
            <w:gridSpan w:val="2"/>
            <w:tcBorders>
              <w:top w:val="nil"/>
              <w:left w:val="nil"/>
              <w:bottom w:val="nil"/>
              <w:right w:val="nil"/>
            </w:tcBorders>
            <w:shd w:val="clear" w:color="000000" w:fill="FFFFFF"/>
            <w:noWrap/>
            <w:vAlign w:val="center"/>
            <w:hideMark/>
          </w:tcPr>
          <w:p w14:paraId="25E78187" w14:textId="77777777" w:rsidR="009B30BA" w:rsidRPr="00D618B7" w:rsidRDefault="009B30BA" w:rsidP="004B11B7">
            <w:pPr>
              <w:jc w:val="right"/>
              <w:rPr>
                <w:color w:val="000000"/>
              </w:rPr>
            </w:pPr>
            <w:r w:rsidRPr="00D618B7">
              <w:rPr>
                <w:color w:val="000000"/>
              </w:rPr>
              <w:t>226.8236</w:t>
            </w:r>
          </w:p>
        </w:tc>
        <w:tc>
          <w:tcPr>
            <w:tcW w:w="622" w:type="pct"/>
            <w:tcBorders>
              <w:top w:val="nil"/>
              <w:left w:val="nil"/>
              <w:bottom w:val="nil"/>
              <w:right w:val="nil"/>
            </w:tcBorders>
            <w:shd w:val="clear" w:color="000000" w:fill="FFFFFF"/>
            <w:noWrap/>
            <w:vAlign w:val="center"/>
            <w:hideMark/>
          </w:tcPr>
          <w:p w14:paraId="3D60E60B" w14:textId="77777777" w:rsidR="009B30BA" w:rsidRPr="00D618B7" w:rsidRDefault="009B30BA" w:rsidP="004B11B7">
            <w:pPr>
              <w:jc w:val="right"/>
              <w:rPr>
                <w:color w:val="000000"/>
              </w:rPr>
            </w:pPr>
            <w:r w:rsidRPr="00D618B7">
              <w:rPr>
                <w:color w:val="000000"/>
              </w:rPr>
              <w:t>130.4377</w:t>
            </w:r>
          </w:p>
        </w:tc>
      </w:tr>
      <w:tr w:rsidR="009B30BA" w:rsidRPr="00D618B7" w14:paraId="33B35C9E" w14:textId="77777777" w:rsidTr="004B11B7">
        <w:trPr>
          <w:trHeight w:val="271"/>
        </w:trPr>
        <w:tc>
          <w:tcPr>
            <w:tcW w:w="451" w:type="pct"/>
            <w:tcBorders>
              <w:top w:val="nil"/>
              <w:left w:val="nil"/>
              <w:bottom w:val="nil"/>
              <w:right w:val="nil"/>
            </w:tcBorders>
            <w:shd w:val="clear" w:color="000000" w:fill="FFFFFF"/>
            <w:vAlign w:val="center"/>
            <w:hideMark/>
          </w:tcPr>
          <w:p w14:paraId="6BAEF698" w14:textId="77777777" w:rsidR="009B30BA" w:rsidRPr="00D618B7" w:rsidRDefault="009B30BA" w:rsidP="004B11B7">
            <w:pPr>
              <w:rPr>
                <w:color w:val="000000"/>
              </w:rPr>
            </w:pPr>
            <w:r w:rsidRPr="00D618B7">
              <w:rPr>
                <w:color w:val="000000"/>
              </w:rPr>
              <w:t>Hand</w:t>
            </w:r>
          </w:p>
        </w:tc>
        <w:tc>
          <w:tcPr>
            <w:tcW w:w="1040" w:type="pct"/>
            <w:tcBorders>
              <w:top w:val="nil"/>
              <w:left w:val="nil"/>
              <w:bottom w:val="nil"/>
              <w:right w:val="nil"/>
            </w:tcBorders>
            <w:shd w:val="clear" w:color="000000" w:fill="FFFFFF"/>
            <w:noWrap/>
            <w:vAlign w:val="center"/>
            <w:hideMark/>
          </w:tcPr>
          <w:p w14:paraId="323704FA" w14:textId="77777777" w:rsidR="009B30BA" w:rsidRPr="00D618B7" w:rsidRDefault="009B30BA" w:rsidP="004B11B7">
            <w:pPr>
              <w:jc w:val="right"/>
              <w:rPr>
                <w:color w:val="000000"/>
              </w:rPr>
            </w:pPr>
            <w:r w:rsidRPr="00D618B7">
              <w:rPr>
                <w:color w:val="000000"/>
              </w:rPr>
              <w:t>-25.4153</w:t>
            </w:r>
          </w:p>
        </w:tc>
        <w:tc>
          <w:tcPr>
            <w:tcW w:w="605" w:type="pct"/>
            <w:tcBorders>
              <w:top w:val="nil"/>
              <w:left w:val="nil"/>
              <w:bottom w:val="nil"/>
              <w:right w:val="nil"/>
            </w:tcBorders>
            <w:shd w:val="clear" w:color="000000" w:fill="FFFFFF"/>
            <w:noWrap/>
            <w:vAlign w:val="center"/>
            <w:hideMark/>
          </w:tcPr>
          <w:p w14:paraId="03C6CA0F" w14:textId="77777777" w:rsidR="009B30BA" w:rsidRPr="00D618B7" w:rsidRDefault="009B30BA" w:rsidP="004B11B7">
            <w:pPr>
              <w:jc w:val="right"/>
              <w:rPr>
                <w:color w:val="000000"/>
              </w:rPr>
            </w:pPr>
            <w:r w:rsidRPr="00D618B7">
              <w:rPr>
                <w:color w:val="000000"/>
              </w:rPr>
              <w:t>40.7704</w:t>
            </w:r>
          </w:p>
        </w:tc>
        <w:tc>
          <w:tcPr>
            <w:tcW w:w="763" w:type="pct"/>
            <w:tcBorders>
              <w:top w:val="nil"/>
              <w:left w:val="nil"/>
              <w:bottom w:val="nil"/>
              <w:right w:val="nil"/>
            </w:tcBorders>
            <w:shd w:val="clear" w:color="000000" w:fill="FFFFFF"/>
            <w:noWrap/>
            <w:vAlign w:val="center"/>
            <w:hideMark/>
          </w:tcPr>
          <w:p w14:paraId="7C424FC0" w14:textId="77777777" w:rsidR="009B30BA" w:rsidRPr="00D618B7" w:rsidRDefault="009B30BA" w:rsidP="004B11B7">
            <w:pPr>
              <w:jc w:val="right"/>
              <w:rPr>
                <w:color w:val="000000"/>
              </w:rPr>
            </w:pPr>
            <w:r w:rsidRPr="00D618B7">
              <w:rPr>
                <w:color w:val="000000"/>
              </w:rPr>
              <w:t>13.6361</w:t>
            </w:r>
          </w:p>
        </w:tc>
        <w:tc>
          <w:tcPr>
            <w:tcW w:w="763" w:type="pct"/>
            <w:tcBorders>
              <w:top w:val="nil"/>
              <w:left w:val="nil"/>
              <w:bottom w:val="nil"/>
              <w:right w:val="nil"/>
            </w:tcBorders>
            <w:shd w:val="clear" w:color="000000" w:fill="FFFFFF"/>
            <w:noWrap/>
            <w:vAlign w:val="center"/>
            <w:hideMark/>
          </w:tcPr>
          <w:p w14:paraId="16FA82B2" w14:textId="77777777" w:rsidR="009B30BA" w:rsidRPr="00D618B7" w:rsidRDefault="009B30BA" w:rsidP="004B11B7">
            <w:pPr>
              <w:jc w:val="right"/>
              <w:rPr>
                <w:color w:val="000000"/>
              </w:rPr>
            </w:pPr>
            <w:r w:rsidRPr="00D618B7">
              <w:rPr>
                <w:color w:val="000000"/>
              </w:rPr>
              <w:t>36.5309</w:t>
            </w:r>
          </w:p>
        </w:tc>
        <w:tc>
          <w:tcPr>
            <w:tcW w:w="756" w:type="pct"/>
            <w:gridSpan w:val="2"/>
            <w:tcBorders>
              <w:top w:val="nil"/>
              <w:left w:val="nil"/>
              <w:bottom w:val="nil"/>
              <w:right w:val="nil"/>
            </w:tcBorders>
            <w:shd w:val="clear" w:color="000000" w:fill="FFFFFF"/>
            <w:noWrap/>
            <w:vAlign w:val="center"/>
            <w:hideMark/>
          </w:tcPr>
          <w:p w14:paraId="2374A994" w14:textId="77777777" w:rsidR="009B30BA" w:rsidRPr="00D618B7" w:rsidRDefault="009B30BA" w:rsidP="004B11B7">
            <w:pPr>
              <w:jc w:val="right"/>
              <w:rPr>
                <w:color w:val="000000"/>
              </w:rPr>
            </w:pPr>
            <w:r w:rsidRPr="00D618B7">
              <w:rPr>
                <w:color w:val="000000"/>
              </w:rPr>
              <w:t>5.3935</w:t>
            </w:r>
          </w:p>
        </w:tc>
        <w:tc>
          <w:tcPr>
            <w:tcW w:w="622" w:type="pct"/>
            <w:tcBorders>
              <w:top w:val="nil"/>
              <w:left w:val="nil"/>
              <w:bottom w:val="nil"/>
              <w:right w:val="nil"/>
            </w:tcBorders>
            <w:shd w:val="clear" w:color="000000" w:fill="FFFFFF"/>
            <w:noWrap/>
            <w:vAlign w:val="center"/>
            <w:hideMark/>
          </w:tcPr>
          <w:p w14:paraId="4D9A4E1C" w14:textId="77777777" w:rsidR="009B30BA" w:rsidRPr="00D618B7" w:rsidRDefault="009B30BA" w:rsidP="004B11B7">
            <w:pPr>
              <w:jc w:val="right"/>
              <w:rPr>
                <w:color w:val="000000"/>
              </w:rPr>
            </w:pPr>
            <w:r w:rsidRPr="00D618B7">
              <w:rPr>
                <w:color w:val="000000"/>
              </w:rPr>
              <w:t>25.3905</w:t>
            </w:r>
          </w:p>
        </w:tc>
      </w:tr>
      <w:tr w:rsidR="009B30BA" w:rsidRPr="00D618B7" w14:paraId="09E83C4D" w14:textId="77777777" w:rsidTr="004B11B7">
        <w:trPr>
          <w:trHeight w:val="271"/>
        </w:trPr>
        <w:tc>
          <w:tcPr>
            <w:tcW w:w="451" w:type="pct"/>
            <w:tcBorders>
              <w:top w:val="nil"/>
              <w:left w:val="nil"/>
              <w:bottom w:val="single" w:sz="8" w:space="0" w:color="auto"/>
              <w:right w:val="nil"/>
            </w:tcBorders>
            <w:shd w:val="clear" w:color="000000" w:fill="FFFFFF"/>
            <w:vAlign w:val="center"/>
            <w:hideMark/>
          </w:tcPr>
          <w:p w14:paraId="02F4E814" w14:textId="77777777" w:rsidR="009B30BA" w:rsidRPr="00D618B7" w:rsidRDefault="009B30BA" w:rsidP="004B11B7">
            <w:pPr>
              <w:rPr>
                <w:color w:val="000000"/>
              </w:rPr>
            </w:pPr>
            <w:r w:rsidRPr="00D618B7">
              <w:rPr>
                <w:color w:val="000000"/>
              </w:rPr>
              <w:t>Mouth</w:t>
            </w:r>
          </w:p>
        </w:tc>
        <w:tc>
          <w:tcPr>
            <w:tcW w:w="1040" w:type="pct"/>
            <w:tcBorders>
              <w:top w:val="nil"/>
              <w:left w:val="nil"/>
              <w:bottom w:val="single" w:sz="8" w:space="0" w:color="auto"/>
              <w:right w:val="nil"/>
            </w:tcBorders>
            <w:shd w:val="clear" w:color="000000" w:fill="FFFFFF"/>
            <w:noWrap/>
            <w:vAlign w:val="center"/>
            <w:hideMark/>
          </w:tcPr>
          <w:p w14:paraId="0877F01B" w14:textId="77777777" w:rsidR="009B30BA" w:rsidRPr="00D618B7" w:rsidRDefault="009B30BA" w:rsidP="004B11B7">
            <w:pPr>
              <w:jc w:val="right"/>
              <w:rPr>
                <w:color w:val="000000"/>
              </w:rPr>
            </w:pPr>
            <w:r w:rsidRPr="00D618B7">
              <w:rPr>
                <w:color w:val="000000"/>
              </w:rPr>
              <w:t>1533.6819</w:t>
            </w:r>
          </w:p>
        </w:tc>
        <w:tc>
          <w:tcPr>
            <w:tcW w:w="605" w:type="pct"/>
            <w:tcBorders>
              <w:top w:val="nil"/>
              <w:left w:val="nil"/>
              <w:bottom w:val="single" w:sz="8" w:space="0" w:color="auto"/>
              <w:right w:val="nil"/>
            </w:tcBorders>
            <w:shd w:val="clear" w:color="000000" w:fill="FFFFFF"/>
            <w:noWrap/>
            <w:vAlign w:val="center"/>
            <w:hideMark/>
          </w:tcPr>
          <w:p w14:paraId="7C42EF0F" w14:textId="77777777" w:rsidR="009B30BA" w:rsidRPr="00D618B7" w:rsidRDefault="009B30BA" w:rsidP="004B11B7">
            <w:pPr>
              <w:jc w:val="right"/>
              <w:rPr>
                <w:color w:val="000000"/>
              </w:rPr>
            </w:pPr>
            <w:r w:rsidRPr="00D618B7">
              <w:rPr>
                <w:color w:val="000000"/>
              </w:rPr>
              <w:t>90.0488</w:t>
            </w:r>
          </w:p>
        </w:tc>
        <w:tc>
          <w:tcPr>
            <w:tcW w:w="763" w:type="pct"/>
            <w:tcBorders>
              <w:top w:val="nil"/>
              <w:left w:val="nil"/>
              <w:bottom w:val="single" w:sz="8" w:space="0" w:color="auto"/>
              <w:right w:val="nil"/>
            </w:tcBorders>
            <w:shd w:val="clear" w:color="000000" w:fill="FFFFFF"/>
            <w:noWrap/>
            <w:vAlign w:val="center"/>
            <w:hideMark/>
          </w:tcPr>
          <w:p w14:paraId="2EDA0C93" w14:textId="77777777" w:rsidR="009B30BA" w:rsidRPr="00D618B7" w:rsidRDefault="009B30BA" w:rsidP="004B11B7">
            <w:pPr>
              <w:jc w:val="right"/>
              <w:rPr>
                <w:color w:val="000000"/>
              </w:rPr>
            </w:pPr>
            <w:r w:rsidRPr="00D618B7">
              <w:rPr>
                <w:color w:val="000000"/>
              </w:rPr>
              <w:t>283.8721</w:t>
            </w:r>
          </w:p>
        </w:tc>
        <w:tc>
          <w:tcPr>
            <w:tcW w:w="763" w:type="pct"/>
            <w:tcBorders>
              <w:top w:val="nil"/>
              <w:left w:val="nil"/>
              <w:bottom w:val="single" w:sz="8" w:space="0" w:color="auto"/>
              <w:right w:val="nil"/>
            </w:tcBorders>
            <w:shd w:val="clear" w:color="000000" w:fill="FFFFFF"/>
            <w:noWrap/>
            <w:vAlign w:val="center"/>
            <w:hideMark/>
          </w:tcPr>
          <w:p w14:paraId="7E2130F3" w14:textId="77777777" w:rsidR="009B30BA" w:rsidRPr="00D618B7" w:rsidRDefault="009B30BA" w:rsidP="004B11B7">
            <w:pPr>
              <w:jc w:val="right"/>
              <w:rPr>
                <w:color w:val="000000"/>
              </w:rPr>
            </w:pPr>
            <w:r w:rsidRPr="00D618B7">
              <w:rPr>
                <w:color w:val="000000"/>
              </w:rPr>
              <w:t>134.5178</w:t>
            </w:r>
          </w:p>
        </w:tc>
        <w:tc>
          <w:tcPr>
            <w:tcW w:w="756" w:type="pct"/>
            <w:gridSpan w:val="2"/>
            <w:tcBorders>
              <w:top w:val="nil"/>
              <w:left w:val="nil"/>
              <w:bottom w:val="single" w:sz="8" w:space="0" w:color="auto"/>
              <w:right w:val="nil"/>
            </w:tcBorders>
            <w:shd w:val="clear" w:color="000000" w:fill="FFFFFF"/>
            <w:noWrap/>
            <w:vAlign w:val="center"/>
            <w:hideMark/>
          </w:tcPr>
          <w:p w14:paraId="5A5FDA67" w14:textId="77777777" w:rsidR="009B30BA" w:rsidRPr="00D618B7" w:rsidRDefault="009B30BA" w:rsidP="004B11B7">
            <w:pPr>
              <w:jc w:val="right"/>
              <w:rPr>
                <w:color w:val="000000"/>
              </w:rPr>
            </w:pPr>
            <w:r w:rsidRPr="00D618B7">
              <w:rPr>
                <w:color w:val="000000"/>
              </w:rPr>
              <w:t>741.7105</w:t>
            </w:r>
          </w:p>
        </w:tc>
        <w:tc>
          <w:tcPr>
            <w:tcW w:w="622" w:type="pct"/>
            <w:tcBorders>
              <w:top w:val="nil"/>
              <w:left w:val="nil"/>
              <w:bottom w:val="single" w:sz="8" w:space="0" w:color="auto"/>
              <w:right w:val="nil"/>
            </w:tcBorders>
            <w:shd w:val="clear" w:color="000000" w:fill="FFFFFF"/>
            <w:noWrap/>
            <w:vAlign w:val="center"/>
            <w:hideMark/>
          </w:tcPr>
          <w:p w14:paraId="2A4A92A3" w14:textId="77777777" w:rsidR="009B30BA" w:rsidRPr="00D618B7" w:rsidRDefault="009B30BA" w:rsidP="004B11B7">
            <w:pPr>
              <w:jc w:val="right"/>
              <w:rPr>
                <w:color w:val="000000"/>
              </w:rPr>
            </w:pPr>
            <w:r w:rsidRPr="00D618B7">
              <w:rPr>
                <w:color w:val="000000"/>
              </w:rPr>
              <w:t>260.2269</w:t>
            </w:r>
          </w:p>
        </w:tc>
      </w:tr>
      <w:tr w:rsidR="009B30BA" w:rsidRPr="00D618B7" w14:paraId="6C00F8B4" w14:textId="77777777" w:rsidTr="004B11B7">
        <w:trPr>
          <w:trHeight w:val="271"/>
        </w:trPr>
        <w:tc>
          <w:tcPr>
            <w:tcW w:w="451" w:type="pct"/>
            <w:tcBorders>
              <w:top w:val="nil"/>
              <w:left w:val="nil"/>
              <w:bottom w:val="nil"/>
              <w:right w:val="nil"/>
            </w:tcBorders>
            <w:shd w:val="clear" w:color="000000" w:fill="FFFFFF"/>
            <w:noWrap/>
            <w:vAlign w:val="bottom"/>
            <w:hideMark/>
          </w:tcPr>
          <w:p w14:paraId="2D5E1B95" w14:textId="77777777" w:rsidR="009B30BA" w:rsidRPr="00D618B7" w:rsidRDefault="009B30BA" w:rsidP="004B11B7">
            <w:pPr>
              <w:rPr>
                <w:color w:val="000000"/>
              </w:rPr>
            </w:pPr>
            <w:r w:rsidRPr="00D618B7">
              <w:rPr>
                <w:color w:val="000000"/>
              </w:rPr>
              <w:t> </w:t>
            </w:r>
          </w:p>
        </w:tc>
        <w:tc>
          <w:tcPr>
            <w:tcW w:w="4549" w:type="pct"/>
            <w:gridSpan w:val="7"/>
            <w:tcBorders>
              <w:top w:val="single" w:sz="8" w:space="0" w:color="auto"/>
              <w:left w:val="nil"/>
              <w:bottom w:val="nil"/>
              <w:right w:val="nil"/>
            </w:tcBorders>
            <w:shd w:val="clear" w:color="000000" w:fill="FFFFFF"/>
            <w:noWrap/>
            <w:vAlign w:val="center"/>
            <w:hideMark/>
          </w:tcPr>
          <w:p w14:paraId="0E54F328" w14:textId="77777777" w:rsidR="009B30BA" w:rsidRPr="00D618B7" w:rsidRDefault="009B30BA" w:rsidP="004B11B7">
            <w:pPr>
              <w:jc w:val="center"/>
              <w:rPr>
                <w:color w:val="000000"/>
              </w:rPr>
            </w:pPr>
            <w:r w:rsidRPr="00D618B7">
              <w:rPr>
                <w:color w:val="000000"/>
              </w:rPr>
              <w:t>Late Reach Group</w:t>
            </w:r>
          </w:p>
        </w:tc>
      </w:tr>
      <w:tr w:rsidR="009B30BA" w:rsidRPr="00D618B7" w14:paraId="637C6247" w14:textId="77777777" w:rsidTr="004B11B7">
        <w:trPr>
          <w:trHeight w:val="271"/>
        </w:trPr>
        <w:tc>
          <w:tcPr>
            <w:tcW w:w="451" w:type="pct"/>
            <w:tcBorders>
              <w:top w:val="nil"/>
              <w:left w:val="nil"/>
              <w:bottom w:val="nil"/>
              <w:right w:val="nil"/>
            </w:tcBorders>
            <w:shd w:val="clear" w:color="000000" w:fill="FFFFFF"/>
            <w:vAlign w:val="center"/>
            <w:hideMark/>
          </w:tcPr>
          <w:p w14:paraId="7C5213EA" w14:textId="77777777" w:rsidR="009B30BA" w:rsidRPr="00D618B7" w:rsidRDefault="009B30BA" w:rsidP="004B11B7">
            <w:pPr>
              <w:rPr>
                <w:color w:val="000000"/>
              </w:rPr>
            </w:pPr>
            <w:r w:rsidRPr="00D618B7">
              <w:rPr>
                <w:color w:val="000000"/>
              </w:rPr>
              <w:t>Face</w:t>
            </w:r>
          </w:p>
        </w:tc>
        <w:tc>
          <w:tcPr>
            <w:tcW w:w="1040" w:type="pct"/>
            <w:tcBorders>
              <w:top w:val="nil"/>
              <w:left w:val="nil"/>
              <w:bottom w:val="nil"/>
              <w:right w:val="nil"/>
            </w:tcBorders>
            <w:shd w:val="clear" w:color="000000" w:fill="FFFFFF"/>
            <w:noWrap/>
            <w:vAlign w:val="center"/>
            <w:hideMark/>
          </w:tcPr>
          <w:p w14:paraId="73D2E207" w14:textId="77777777" w:rsidR="009B30BA" w:rsidRPr="00D618B7" w:rsidRDefault="009B30BA" w:rsidP="004B11B7">
            <w:pPr>
              <w:jc w:val="right"/>
              <w:rPr>
                <w:color w:val="000000"/>
              </w:rPr>
            </w:pPr>
            <w:r w:rsidRPr="00D618B7">
              <w:rPr>
                <w:color w:val="000000"/>
              </w:rPr>
              <w:t>20.3469</w:t>
            </w:r>
          </w:p>
        </w:tc>
        <w:tc>
          <w:tcPr>
            <w:tcW w:w="605" w:type="pct"/>
            <w:tcBorders>
              <w:top w:val="nil"/>
              <w:left w:val="nil"/>
              <w:bottom w:val="nil"/>
              <w:right w:val="nil"/>
            </w:tcBorders>
            <w:shd w:val="clear" w:color="000000" w:fill="FFFFFF"/>
            <w:noWrap/>
            <w:vAlign w:val="center"/>
            <w:hideMark/>
          </w:tcPr>
          <w:p w14:paraId="7C3627A4" w14:textId="77777777" w:rsidR="009B30BA" w:rsidRPr="00D618B7" w:rsidRDefault="009B30BA" w:rsidP="004B11B7">
            <w:pPr>
              <w:jc w:val="right"/>
              <w:rPr>
                <w:color w:val="000000"/>
              </w:rPr>
            </w:pPr>
            <w:r w:rsidRPr="00D618B7">
              <w:rPr>
                <w:color w:val="000000"/>
              </w:rPr>
              <w:t>5.3127</w:t>
            </w:r>
          </w:p>
        </w:tc>
        <w:tc>
          <w:tcPr>
            <w:tcW w:w="763" w:type="pct"/>
            <w:tcBorders>
              <w:top w:val="nil"/>
              <w:left w:val="nil"/>
              <w:bottom w:val="nil"/>
              <w:right w:val="nil"/>
            </w:tcBorders>
            <w:shd w:val="clear" w:color="000000" w:fill="FFFFFF"/>
            <w:noWrap/>
            <w:vAlign w:val="center"/>
            <w:hideMark/>
          </w:tcPr>
          <w:p w14:paraId="449BBD95" w14:textId="77777777" w:rsidR="009B30BA" w:rsidRPr="00D618B7" w:rsidRDefault="009B30BA" w:rsidP="004B11B7">
            <w:pPr>
              <w:jc w:val="right"/>
              <w:rPr>
                <w:color w:val="000000"/>
              </w:rPr>
            </w:pPr>
            <w:r w:rsidRPr="00D618B7">
              <w:rPr>
                <w:color w:val="000000"/>
              </w:rPr>
              <w:t>1.4296</w:t>
            </w:r>
          </w:p>
        </w:tc>
        <w:tc>
          <w:tcPr>
            <w:tcW w:w="763" w:type="pct"/>
            <w:tcBorders>
              <w:top w:val="nil"/>
              <w:left w:val="nil"/>
              <w:bottom w:val="nil"/>
              <w:right w:val="nil"/>
            </w:tcBorders>
            <w:shd w:val="clear" w:color="000000" w:fill="FFFFFF"/>
            <w:noWrap/>
            <w:vAlign w:val="center"/>
            <w:hideMark/>
          </w:tcPr>
          <w:p w14:paraId="25C4D279" w14:textId="77777777" w:rsidR="009B30BA" w:rsidRPr="00D618B7" w:rsidRDefault="009B30BA" w:rsidP="004B11B7">
            <w:pPr>
              <w:jc w:val="right"/>
              <w:rPr>
                <w:color w:val="000000"/>
              </w:rPr>
            </w:pPr>
            <w:r w:rsidRPr="00D618B7">
              <w:rPr>
                <w:color w:val="000000"/>
              </w:rPr>
              <w:t>2.8853</w:t>
            </w:r>
          </w:p>
        </w:tc>
        <w:tc>
          <w:tcPr>
            <w:tcW w:w="756" w:type="pct"/>
            <w:gridSpan w:val="2"/>
            <w:tcBorders>
              <w:top w:val="nil"/>
              <w:left w:val="nil"/>
              <w:bottom w:val="nil"/>
              <w:right w:val="nil"/>
            </w:tcBorders>
            <w:shd w:val="clear" w:color="000000" w:fill="FFFFFF"/>
            <w:noWrap/>
            <w:vAlign w:val="center"/>
            <w:hideMark/>
          </w:tcPr>
          <w:p w14:paraId="0ACB4187" w14:textId="77777777" w:rsidR="009B30BA" w:rsidRPr="00D618B7" w:rsidRDefault="009B30BA" w:rsidP="004B11B7">
            <w:pPr>
              <w:jc w:val="right"/>
              <w:rPr>
                <w:color w:val="000000"/>
              </w:rPr>
            </w:pPr>
            <w:r w:rsidRPr="00D618B7">
              <w:rPr>
                <w:color w:val="000000"/>
              </w:rPr>
              <w:t>-0.0164</w:t>
            </w:r>
          </w:p>
        </w:tc>
        <w:tc>
          <w:tcPr>
            <w:tcW w:w="622" w:type="pct"/>
            <w:tcBorders>
              <w:top w:val="nil"/>
              <w:left w:val="nil"/>
              <w:bottom w:val="nil"/>
              <w:right w:val="nil"/>
            </w:tcBorders>
            <w:shd w:val="clear" w:color="000000" w:fill="FFFFFF"/>
            <w:noWrap/>
            <w:vAlign w:val="center"/>
            <w:hideMark/>
          </w:tcPr>
          <w:p w14:paraId="329D9C27" w14:textId="77777777" w:rsidR="009B30BA" w:rsidRPr="00D618B7" w:rsidRDefault="009B30BA" w:rsidP="004B11B7">
            <w:pPr>
              <w:jc w:val="right"/>
              <w:rPr>
                <w:color w:val="000000"/>
              </w:rPr>
            </w:pPr>
            <w:r w:rsidRPr="00D618B7">
              <w:rPr>
                <w:color w:val="000000"/>
              </w:rPr>
              <w:t>2.0557</w:t>
            </w:r>
          </w:p>
        </w:tc>
      </w:tr>
      <w:tr w:rsidR="009B30BA" w:rsidRPr="00D618B7" w14:paraId="4E959587" w14:textId="77777777" w:rsidTr="004B11B7">
        <w:trPr>
          <w:trHeight w:val="271"/>
        </w:trPr>
        <w:tc>
          <w:tcPr>
            <w:tcW w:w="451" w:type="pct"/>
            <w:tcBorders>
              <w:top w:val="nil"/>
              <w:left w:val="nil"/>
              <w:bottom w:val="nil"/>
              <w:right w:val="nil"/>
            </w:tcBorders>
            <w:shd w:val="clear" w:color="000000" w:fill="FFFFFF"/>
            <w:vAlign w:val="center"/>
            <w:hideMark/>
          </w:tcPr>
          <w:p w14:paraId="35D31D07" w14:textId="77777777" w:rsidR="009B30BA" w:rsidRPr="00D618B7" w:rsidRDefault="009B30BA" w:rsidP="004B11B7">
            <w:pPr>
              <w:rPr>
                <w:color w:val="000000"/>
              </w:rPr>
            </w:pPr>
            <w:r w:rsidRPr="00D618B7">
              <w:rPr>
                <w:color w:val="000000"/>
              </w:rPr>
              <w:t>Hand</w:t>
            </w:r>
          </w:p>
        </w:tc>
        <w:tc>
          <w:tcPr>
            <w:tcW w:w="1040" w:type="pct"/>
            <w:tcBorders>
              <w:top w:val="nil"/>
              <w:left w:val="nil"/>
              <w:bottom w:val="nil"/>
              <w:right w:val="nil"/>
            </w:tcBorders>
            <w:shd w:val="clear" w:color="000000" w:fill="FFFFFF"/>
            <w:noWrap/>
            <w:vAlign w:val="center"/>
            <w:hideMark/>
          </w:tcPr>
          <w:p w14:paraId="7F0D6A35" w14:textId="77777777" w:rsidR="009B30BA" w:rsidRPr="00D618B7" w:rsidRDefault="009B30BA" w:rsidP="004B11B7">
            <w:pPr>
              <w:jc w:val="right"/>
              <w:rPr>
                <w:color w:val="000000"/>
              </w:rPr>
            </w:pPr>
            <w:r w:rsidRPr="00D618B7">
              <w:rPr>
                <w:color w:val="000000"/>
              </w:rPr>
              <w:t>-11.3545</w:t>
            </w:r>
          </w:p>
        </w:tc>
        <w:tc>
          <w:tcPr>
            <w:tcW w:w="605" w:type="pct"/>
            <w:tcBorders>
              <w:top w:val="nil"/>
              <w:left w:val="nil"/>
              <w:bottom w:val="nil"/>
              <w:right w:val="nil"/>
            </w:tcBorders>
            <w:shd w:val="clear" w:color="000000" w:fill="FFFFFF"/>
            <w:noWrap/>
            <w:vAlign w:val="center"/>
            <w:hideMark/>
          </w:tcPr>
          <w:p w14:paraId="40B07D32" w14:textId="77777777" w:rsidR="009B30BA" w:rsidRPr="00D618B7" w:rsidRDefault="009B30BA" w:rsidP="004B11B7">
            <w:pPr>
              <w:jc w:val="right"/>
              <w:rPr>
                <w:color w:val="000000"/>
              </w:rPr>
            </w:pPr>
            <w:r w:rsidRPr="00D618B7">
              <w:rPr>
                <w:color w:val="000000"/>
              </w:rPr>
              <w:t>7.3613</w:t>
            </w:r>
          </w:p>
        </w:tc>
        <w:tc>
          <w:tcPr>
            <w:tcW w:w="763" w:type="pct"/>
            <w:tcBorders>
              <w:top w:val="nil"/>
              <w:left w:val="nil"/>
              <w:bottom w:val="nil"/>
              <w:right w:val="nil"/>
            </w:tcBorders>
            <w:shd w:val="clear" w:color="000000" w:fill="FFFFFF"/>
            <w:noWrap/>
            <w:vAlign w:val="center"/>
            <w:hideMark/>
          </w:tcPr>
          <w:p w14:paraId="4DBFD070" w14:textId="77777777" w:rsidR="009B30BA" w:rsidRPr="00D618B7" w:rsidRDefault="009B30BA" w:rsidP="004B11B7">
            <w:pPr>
              <w:jc w:val="right"/>
              <w:rPr>
                <w:color w:val="000000"/>
              </w:rPr>
            </w:pPr>
            <w:r w:rsidRPr="00D618B7">
              <w:rPr>
                <w:color w:val="000000"/>
              </w:rPr>
              <w:t>1.6739</w:t>
            </w:r>
          </w:p>
        </w:tc>
        <w:tc>
          <w:tcPr>
            <w:tcW w:w="763" w:type="pct"/>
            <w:tcBorders>
              <w:top w:val="nil"/>
              <w:left w:val="nil"/>
              <w:bottom w:val="nil"/>
              <w:right w:val="nil"/>
            </w:tcBorders>
            <w:shd w:val="clear" w:color="000000" w:fill="FFFFFF"/>
            <w:noWrap/>
            <w:vAlign w:val="center"/>
            <w:hideMark/>
          </w:tcPr>
          <w:p w14:paraId="52AC3A65" w14:textId="77777777" w:rsidR="009B30BA" w:rsidRPr="00D618B7" w:rsidRDefault="009B30BA" w:rsidP="004B11B7">
            <w:pPr>
              <w:jc w:val="right"/>
              <w:rPr>
                <w:color w:val="000000"/>
              </w:rPr>
            </w:pPr>
            <w:r w:rsidRPr="00D618B7">
              <w:rPr>
                <w:color w:val="000000"/>
              </w:rPr>
              <w:t>6.1641</w:t>
            </w:r>
          </w:p>
        </w:tc>
        <w:tc>
          <w:tcPr>
            <w:tcW w:w="756" w:type="pct"/>
            <w:gridSpan w:val="2"/>
            <w:tcBorders>
              <w:top w:val="nil"/>
              <w:left w:val="nil"/>
              <w:bottom w:val="nil"/>
              <w:right w:val="nil"/>
            </w:tcBorders>
            <w:shd w:val="clear" w:color="000000" w:fill="FFFFFF"/>
            <w:noWrap/>
            <w:vAlign w:val="center"/>
            <w:hideMark/>
          </w:tcPr>
          <w:p w14:paraId="34490923" w14:textId="77777777" w:rsidR="009B30BA" w:rsidRPr="00D618B7" w:rsidRDefault="009B30BA" w:rsidP="004B11B7">
            <w:pPr>
              <w:jc w:val="right"/>
              <w:rPr>
                <w:color w:val="000000"/>
              </w:rPr>
            </w:pPr>
            <w:r w:rsidRPr="00D618B7">
              <w:rPr>
                <w:color w:val="000000"/>
              </w:rPr>
              <w:t>-0.0835</w:t>
            </w:r>
          </w:p>
        </w:tc>
        <w:tc>
          <w:tcPr>
            <w:tcW w:w="622" w:type="pct"/>
            <w:tcBorders>
              <w:top w:val="nil"/>
              <w:left w:val="nil"/>
              <w:bottom w:val="nil"/>
              <w:right w:val="nil"/>
            </w:tcBorders>
            <w:shd w:val="clear" w:color="000000" w:fill="FFFFFF"/>
            <w:noWrap/>
            <w:vAlign w:val="center"/>
            <w:hideMark/>
          </w:tcPr>
          <w:p w14:paraId="70F05263" w14:textId="77777777" w:rsidR="009B30BA" w:rsidRPr="00D618B7" w:rsidRDefault="009B30BA" w:rsidP="004B11B7">
            <w:pPr>
              <w:jc w:val="right"/>
              <w:rPr>
                <w:color w:val="000000"/>
              </w:rPr>
            </w:pPr>
            <w:r w:rsidRPr="00D618B7">
              <w:rPr>
                <w:color w:val="000000"/>
              </w:rPr>
              <w:t>5.7528</w:t>
            </w:r>
          </w:p>
        </w:tc>
      </w:tr>
      <w:tr w:rsidR="009B30BA" w:rsidRPr="00D618B7" w14:paraId="330A66FE" w14:textId="77777777" w:rsidTr="004B11B7">
        <w:trPr>
          <w:trHeight w:val="271"/>
        </w:trPr>
        <w:tc>
          <w:tcPr>
            <w:tcW w:w="451" w:type="pct"/>
            <w:tcBorders>
              <w:top w:val="nil"/>
              <w:left w:val="nil"/>
              <w:bottom w:val="single" w:sz="8" w:space="0" w:color="auto"/>
              <w:right w:val="nil"/>
            </w:tcBorders>
            <w:shd w:val="clear" w:color="000000" w:fill="FFFFFF"/>
            <w:vAlign w:val="center"/>
            <w:hideMark/>
          </w:tcPr>
          <w:p w14:paraId="5B9635BB" w14:textId="77777777" w:rsidR="009B30BA" w:rsidRPr="00D618B7" w:rsidRDefault="009B30BA" w:rsidP="004B11B7">
            <w:pPr>
              <w:rPr>
                <w:color w:val="000000"/>
              </w:rPr>
            </w:pPr>
            <w:r w:rsidRPr="00D618B7">
              <w:rPr>
                <w:color w:val="000000"/>
              </w:rPr>
              <w:t>Mouth</w:t>
            </w:r>
          </w:p>
        </w:tc>
        <w:tc>
          <w:tcPr>
            <w:tcW w:w="1040" w:type="pct"/>
            <w:tcBorders>
              <w:top w:val="nil"/>
              <w:left w:val="nil"/>
              <w:bottom w:val="single" w:sz="8" w:space="0" w:color="auto"/>
              <w:right w:val="nil"/>
            </w:tcBorders>
            <w:shd w:val="clear" w:color="000000" w:fill="FFFFFF"/>
            <w:noWrap/>
            <w:vAlign w:val="center"/>
            <w:hideMark/>
          </w:tcPr>
          <w:p w14:paraId="2C983109" w14:textId="77777777" w:rsidR="009B30BA" w:rsidRPr="00D618B7" w:rsidRDefault="009B30BA" w:rsidP="004B11B7">
            <w:pPr>
              <w:jc w:val="right"/>
              <w:rPr>
                <w:color w:val="000000"/>
              </w:rPr>
            </w:pPr>
            <w:r w:rsidRPr="00D618B7">
              <w:rPr>
                <w:color w:val="000000"/>
              </w:rPr>
              <w:t>965.2535</w:t>
            </w:r>
          </w:p>
        </w:tc>
        <w:tc>
          <w:tcPr>
            <w:tcW w:w="605" w:type="pct"/>
            <w:tcBorders>
              <w:top w:val="nil"/>
              <w:left w:val="nil"/>
              <w:bottom w:val="single" w:sz="8" w:space="0" w:color="auto"/>
              <w:right w:val="nil"/>
            </w:tcBorders>
            <w:shd w:val="clear" w:color="000000" w:fill="FFFFFF"/>
            <w:noWrap/>
            <w:vAlign w:val="center"/>
            <w:hideMark/>
          </w:tcPr>
          <w:p w14:paraId="659DE189" w14:textId="77777777" w:rsidR="009B30BA" w:rsidRPr="00D618B7" w:rsidRDefault="009B30BA" w:rsidP="004B11B7">
            <w:pPr>
              <w:jc w:val="right"/>
              <w:rPr>
                <w:color w:val="000000"/>
              </w:rPr>
            </w:pPr>
            <w:r w:rsidRPr="00D618B7">
              <w:rPr>
                <w:color w:val="000000"/>
              </w:rPr>
              <w:t>234.7757</w:t>
            </w:r>
          </w:p>
        </w:tc>
        <w:tc>
          <w:tcPr>
            <w:tcW w:w="763" w:type="pct"/>
            <w:tcBorders>
              <w:top w:val="nil"/>
              <w:left w:val="nil"/>
              <w:bottom w:val="single" w:sz="8" w:space="0" w:color="auto"/>
              <w:right w:val="nil"/>
            </w:tcBorders>
            <w:shd w:val="clear" w:color="000000" w:fill="FFFFFF"/>
            <w:noWrap/>
            <w:vAlign w:val="center"/>
            <w:hideMark/>
          </w:tcPr>
          <w:p w14:paraId="74E2389B" w14:textId="77777777" w:rsidR="009B30BA" w:rsidRPr="00D618B7" w:rsidRDefault="009B30BA" w:rsidP="004B11B7">
            <w:pPr>
              <w:jc w:val="right"/>
              <w:rPr>
                <w:color w:val="000000"/>
              </w:rPr>
            </w:pPr>
            <w:r w:rsidRPr="00D618B7">
              <w:rPr>
                <w:color w:val="000000"/>
              </w:rPr>
              <w:t>101.5873</w:t>
            </w:r>
          </w:p>
        </w:tc>
        <w:tc>
          <w:tcPr>
            <w:tcW w:w="763" w:type="pct"/>
            <w:tcBorders>
              <w:top w:val="nil"/>
              <w:left w:val="nil"/>
              <w:bottom w:val="single" w:sz="8" w:space="0" w:color="auto"/>
              <w:right w:val="nil"/>
            </w:tcBorders>
            <w:shd w:val="clear" w:color="000000" w:fill="FFFFFF"/>
            <w:noWrap/>
            <w:vAlign w:val="center"/>
            <w:hideMark/>
          </w:tcPr>
          <w:p w14:paraId="25A28B78" w14:textId="77777777" w:rsidR="009B30BA" w:rsidRPr="00D618B7" w:rsidRDefault="009B30BA" w:rsidP="004B11B7">
            <w:pPr>
              <w:jc w:val="right"/>
              <w:rPr>
                <w:color w:val="000000"/>
              </w:rPr>
            </w:pPr>
            <w:r w:rsidRPr="00D618B7">
              <w:rPr>
                <w:color w:val="000000"/>
              </w:rPr>
              <w:t>21.8589</w:t>
            </w:r>
          </w:p>
        </w:tc>
        <w:tc>
          <w:tcPr>
            <w:tcW w:w="756" w:type="pct"/>
            <w:gridSpan w:val="2"/>
            <w:tcBorders>
              <w:top w:val="nil"/>
              <w:left w:val="nil"/>
              <w:bottom w:val="single" w:sz="8" w:space="0" w:color="auto"/>
              <w:right w:val="nil"/>
            </w:tcBorders>
            <w:shd w:val="clear" w:color="000000" w:fill="FFFFFF"/>
            <w:noWrap/>
            <w:vAlign w:val="center"/>
            <w:hideMark/>
          </w:tcPr>
          <w:p w14:paraId="67CD497E" w14:textId="77777777" w:rsidR="009B30BA" w:rsidRPr="00D618B7" w:rsidRDefault="009B30BA" w:rsidP="004B11B7">
            <w:pPr>
              <w:jc w:val="right"/>
              <w:rPr>
                <w:color w:val="000000"/>
              </w:rPr>
            </w:pPr>
            <w:r w:rsidRPr="00D618B7">
              <w:rPr>
                <w:color w:val="000000"/>
              </w:rPr>
              <w:t>82.9857</w:t>
            </w:r>
          </w:p>
        </w:tc>
        <w:tc>
          <w:tcPr>
            <w:tcW w:w="622" w:type="pct"/>
            <w:tcBorders>
              <w:top w:val="nil"/>
              <w:left w:val="nil"/>
              <w:bottom w:val="single" w:sz="8" w:space="0" w:color="auto"/>
              <w:right w:val="nil"/>
            </w:tcBorders>
            <w:shd w:val="clear" w:color="000000" w:fill="FFFFFF"/>
            <w:noWrap/>
            <w:vAlign w:val="center"/>
            <w:hideMark/>
          </w:tcPr>
          <w:p w14:paraId="49894AE1" w14:textId="77777777" w:rsidR="009B30BA" w:rsidRPr="00D618B7" w:rsidRDefault="009B30BA" w:rsidP="004B11B7">
            <w:pPr>
              <w:jc w:val="right"/>
              <w:rPr>
                <w:color w:val="000000"/>
              </w:rPr>
            </w:pPr>
            <w:r w:rsidRPr="00D618B7">
              <w:rPr>
                <w:color w:val="000000"/>
              </w:rPr>
              <w:t>27.2643</w:t>
            </w:r>
          </w:p>
        </w:tc>
      </w:tr>
    </w:tbl>
    <w:p w14:paraId="311DDC2A" w14:textId="77777777" w:rsidR="009B30BA" w:rsidRPr="00D618B7" w:rsidRDefault="009B30BA" w:rsidP="009B30BA"/>
    <w:p w14:paraId="3650F2D3" w14:textId="61941272" w:rsidR="006226F5" w:rsidRPr="00D618B7" w:rsidRDefault="009B30BA" w:rsidP="009B30BA">
      <w:r w:rsidRPr="00D618B7">
        <w:rPr>
          <w:i/>
          <w:iCs/>
        </w:rPr>
        <w:t>Note</w:t>
      </w:r>
      <w:r w:rsidRPr="00D618B7">
        <w:t>: This table lists the estimated mean Average Duration and standard errors for face, hand, and mouth events by toy-out-of-reach, toy-moving-into-into-reach, and toy-in-reach by group</w:t>
      </w:r>
    </w:p>
    <w:p w14:paraId="5A806676" w14:textId="77777777" w:rsidR="006226F5" w:rsidRPr="00D618B7" w:rsidRDefault="006226F5" w:rsidP="006226F5">
      <w:r w:rsidRPr="00D618B7">
        <w:br w:type="page"/>
      </w:r>
    </w:p>
    <w:p w14:paraId="1397D9EC" w14:textId="4A39ECD3" w:rsidR="00AD010E" w:rsidRPr="00D618B7" w:rsidRDefault="00AD010E" w:rsidP="00AD010E">
      <w:r w:rsidRPr="00D618B7">
        <w:rPr>
          <w:i/>
          <w:iCs/>
          <w:noProof/>
        </w:rPr>
        <w:lastRenderedPageBreak/>
        <w:drawing>
          <wp:anchor distT="0" distB="0" distL="114300" distR="114300" simplePos="0" relativeHeight="252084736" behindDoc="0" locked="0" layoutInCell="1" allowOverlap="1" wp14:anchorId="2C014F28" wp14:editId="74D8B809">
            <wp:simplePos x="0" y="0"/>
            <wp:positionH relativeFrom="column">
              <wp:posOffset>-149225</wp:posOffset>
            </wp:positionH>
            <wp:positionV relativeFrom="paragraph">
              <wp:posOffset>12700</wp:posOffset>
            </wp:positionV>
            <wp:extent cx="5680710" cy="6519545"/>
            <wp:effectExtent l="0" t="0" r="0" b="0"/>
            <wp:wrapTopAndBottom/>
            <wp:docPr id="80021167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11671" name="Picture 1" descr="A screenshot of a graph&#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680710" cy="6519545"/>
                    </a:xfrm>
                    <a:prstGeom prst="rect">
                      <a:avLst/>
                    </a:prstGeom>
                  </pic:spPr>
                </pic:pic>
              </a:graphicData>
            </a:graphic>
            <wp14:sizeRelH relativeFrom="margin">
              <wp14:pctWidth>0</wp14:pctWidth>
            </wp14:sizeRelH>
            <wp14:sizeRelV relativeFrom="margin">
              <wp14:pctHeight>0</wp14:pctHeight>
            </wp14:sizeRelV>
          </wp:anchor>
        </w:drawing>
      </w:r>
      <w:r w:rsidRPr="00D618B7">
        <w:rPr>
          <w:i/>
          <w:iCs/>
          <w:noProof/>
        </w:rPr>
        <mc:AlternateContent>
          <mc:Choice Requires="wps">
            <w:drawing>
              <wp:anchor distT="0" distB="0" distL="114300" distR="114300" simplePos="0" relativeHeight="252093952" behindDoc="0" locked="0" layoutInCell="1" allowOverlap="1" wp14:anchorId="0484E004" wp14:editId="6F9DBB74">
                <wp:simplePos x="0" y="0"/>
                <wp:positionH relativeFrom="column">
                  <wp:posOffset>-245660</wp:posOffset>
                </wp:positionH>
                <wp:positionV relativeFrom="paragraph">
                  <wp:posOffset>734979</wp:posOffset>
                </wp:positionV>
                <wp:extent cx="764275" cy="327547"/>
                <wp:effectExtent l="0" t="0" r="17145" b="15875"/>
                <wp:wrapNone/>
                <wp:docPr id="153022409" name="Rectangle 1"/>
                <wp:cNvGraphicFramePr/>
                <a:graphic xmlns:a="http://schemas.openxmlformats.org/drawingml/2006/main">
                  <a:graphicData uri="http://schemas.microsoft.com/office/word/2010/wordprocessingShape">
                    <wps:wsp>
                      <wps:cNvSpPr/>
                      <wps:spPr>
                        <a:xfrm>
                          <a:off x="0" y="0"/>
                          <a:ext cx="764275" cy="3275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E1DDB7" id="Rectangle 1" o:spid="_x0000_s1026" style="position:absolute;margin-left:-19.35pt;margin-top:57.85pt;width:60.2pt;height:25.8pt;z-index:25209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" fillcolor="white [3212]" strokecolor="white [3212]" strokeweight="2pt"/>
            </w:pict>
          </mc:Fallback>
        </mc:AlternateContent>
      </w:r>
    </w:p>
    <w:p w14:paraId="406C6061" w14:textId="77777777" w:rsidR="00990BE1" w:rsidRPr="00D618B7" w:rsidRDefault="00990BE1" w:rsidP="00990BE1">
      <w:pPr>
        <w:pStyle w:val="Caption"/>
      </w:pPr>
      <w:bookmarkStart w:id="223" w:name="_Toc172716968"/>
      <w:r w:rsidRPr="00D618B7">
        <w:t xml:space="preserve">Figure </w:t>
      </w:r>
      <w:r>
        <w:fldChar w:fldCharType="begin"/>
      </w:r>
      <w:r>
        <w:instrText xml:space="preserve"> SEQ Figure \* ARABIC </w:instrText>
      </w:r>
      <w:r>
        <w:fldChar w:fldCharType="separate"/>
      </w:r>
      <w:r>
        <w:rPr>
          <w:noProof/>
        </w:rPr>
        <w:t>28</w:t>
      </w:r>
      <w:r>
        <w:rPr>
          <w:noProof/>
        </w:rPr>
        <w:fldChar w:fldCharType="end"/>
      </w:r>
      <w:r>
        <w:rPr>
          <w:noProof/>
        </w:rPr>
        <w:t>:</w:t>
      </w:r>
      <w:r w:rsidRPr="00C953D6">
        <w:t xml:space="preserve"> </w:t>
      </w:r>
      <w:r>
        <w:t>Event average duration</w:t>
      </w:r>
      <w:r w:rsidRPr="00BA36EF">
        <w:t xml:space="preserve"> by </w:t>
      </w:r>
      <w:r>
        <w:t>type, proximity, and week by group</w:t>
      </w:r>
      <w:bookmarkEnd w:id="223"/>
    </w:p>
    <w:p w14:paraId="282E4C3C" w14:textId="77777777" w:rsidR="00990BE1" w:rsidRDefault="00990BE1" w:rsidP="00AD010E">
      <w:pPr>
        <w:rPr>
          <w:i/>
          <w:iCs/>
        </w:rPr>
      </w:pPr>
    </w:p>
    <w:p w14:paraId="1C15812D" w14:textId="515620F5" w:rsidR="00990BE1" w:rsidRDefault="00990BE1" w:rsidP="00AD010E">
      <w:pPr>
        <w:rPr>
          <w:i/>
          <w:iCs/>
        </w:rPr>
      </w:pPr>
      <w:r w:rsidRPr="00D618B7">
        <w:t>Estimated Mean Average Duration of Events by Type, Proximity, and</w:t>
      </w:r>
      <w:r>
        <w:t xml:space="preserve"> Week.</w:t>
      </w:r>
    </w:p>
    <w:p w14:paraId="438FF3B3" w14:textId="132F63D4" w:rsidR="00AD010E" w:rsidRPr="00D618B7" w:rsidRDefault="00AD010E" w:rsidP="00AD010E">
      <w:r w:rsidRPr="00D618B7">
        <w:rPr>
          <w:i/>
          <w:iCs/>
        </w:rPr>
        <w:t>Note</w:t>
      </w:r>
      <w:r w:rsidRPr="00D618B7">
        <w:t>. This figure illustrates the estimated mean average duration in milliseconds of face, hand, and mouth events for each week of observation around reach-onset by group. Error bars show standard error.</w:t>
      </w:r>
    </w:p>
    <w:p w14:paraId="5B5E6590" w14:textId="5279047E" w:rsidR="006226F5" w:rsidRPr="00D618B7" w:rsidRDefault="006226F5" w:rsidP="007C5074">
      <w:pPr>
        <w:pStyle w:val="Caption"/>
      </w:pPr>
      <w:bookmarkStart w:id="224" w:name="_Toc172716905"/>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77</w:t>
      </w:r>
      <w:r w:rsidR="00000000">
        <w:rPr>
          <w:noProof/>
        </w:rPr>
        <w:fldChar w:fldCharType="end"/>
      </w:r>
      <w:r w:rsidR="00AE3927">
        <w:rPr>
          <w:noProof/>
        </w:rPr>
        <w:t>:</w:t>
      </w:r>
      <w:r w:rsidR="00C953D6" w:rsidRPr="00C953D6">
        <w:t xml:space="preserve"> </w:t>
      </w:r>
      <w:r w:rsidR="00C953D6">
        <w:t>Event average duration</w:t>
      </w:r>
      <w:r w:rsidR="00C953D6" w:rsidRPr="00BA36EF">
        <w:t xml:space="preserve"> by </w:t>
      </w:r>
      <w:r w:rsidR="00C953D6">
        <w:t xml:space="preserve">type, proximity, and week </w:t>
      </w:r>
      <w:r w:rsidR="005171ED">
        <w:t>for early</w:t>
      </w:r>
      <w:r w:rsidR="00C953D6">
        <w:t xml:space="preserve"> group</w:t>
      </w:r>
      <w:bookmarkEnd w:id="224"/>
    </w:p>
    <w:p w14:paraId="4F6B38A0" w14:textId="14C1AE76" w:rsidR="006226F5" w:rsidRPr="00D618B7" w:rsidRDefault="006226F5" w:rsidP="006226F5">
      <w:r w:rsidRPr="00D618B7">
        <w:t xml:space="preserve">Estimated Mean </w:t>
      </w:r>
      <w:r w:rsidR="00C953D6">
        <w:t>Average</w:t>
      </w:r>
      <w:r w:rsidRPr="00D618B7">
        <w:t xml:space="preserve"> Duration of Event by Type, Proximity, and Week for the Early Reach Group</w:t>
      </w:r>
    </w:p>
    <w:tbl>
      <w:tblPr>
        <w:tblW w:w="8737" w:type="dxa"/>
        <w:tblLook w:val="04A0" w:firstRow="1" w:lastRow="0" w:firstColumn="1" w:lastColumn="0" w:noHBand="0" w:noVBand="1"/>
      </w:tblPr>
      <w:tblGrid>
        <w:gridCol w:w="1305"/>
        <w:gridCol w:w="1093"/>
        <w:gridCol w:w="1084"/>
        <w:gridCol w:w="1522"/>
        <w:gridCol w:w="1060"/>
        <w:gridCol w:w="1575"/>
        <w:gridCol w:w="1098"/>
      </w:tblGrid>
      <w:tr w:rsidR="006226F5" w:rsidRPr="00D618B7" w14:paraId="49BB4C60" w14:textId="77777777" w:rsidTr="00CC17EC">
        <w:trPr>
          <w:trHeight w:val="253"/>
        </w:trPr>
        <w:tc>
          <w:tcPr>
            <w:tcW w:w="1305" w:type="dxa"/>
            <w:tcBorders>
              <w:top w:val="single" w:sz="18" w:space="0" w:color="auto"/>
              <w:left w:val="nil"/>
              <w:bottom w:val="nil"/>
              <w:right w:val="nil"/>
            </w:tcBorders>
            <w:shd w:val="clear" w:color="000000" w:fill="FFFFFF"/>
            <w:vAlign w:val="center"/>
            <w:hideMark/>
          </w:tcPr>
          <w:p w14:paraId="5F6840DE" w14:textId="77777777" w:rsidR="006226F5" w:rsidRPr="00D618B7" w:rsidRDefault="006226F5" w:rsidP="004B11B7">
            <w:pPr>
              <w:rPr>
                <w:color w:val="000000"/>
                <w:sz w:val="20"/>
                <w:szCs w:val="20"/>
              </w:rPr>
            </w:pPr>
            <w:r w:rsidRPr="00D618B7">
              <w:rPr>
                <w:color w:val="000000"/>
                <w:sz w:val="20"/>
                <w:szCs w:val="20"/>
              </w:rPr>
              <w:t>Week</w:t>
            </w:r>
          </w:p>
        </w:tc>
        <w:tc>
          <w:tcPr>
            <w:tcW w:w="2177" w:type="dxa"/>
            <w:gridSpan w:val="2"/>
            <w:tcBorders>
              <w:top w:val="single" w:sz="18" w:space="0" w:color="auto"/>
              <w:left w:val="nil"/>
              <w:bottom w:val="single" w:sz="18" w:space="0" w:color="auto"/>
              <w:right w:val="nil"/>
            </w:tcBorders>
            <w:shd w:val="clear" w:color="000000" w:fill="FFFFFF"/>
            <w:vAlign w:val="center"/>
            <w:hideMark/>
          </w:tcPr>
          <w:p w14:paraId="3D8D7052" w14:textId="77777777" w:rsidR="006226F5" w:rsidRPr="00D618B7" w:rsidRDefault="006226F5" w:rsidP="004B11B7">
            <w:pPr>
              <w:jc w:val="center"/>
              <w:rPr>
                <w:color w:val="000000"/>
                <w:sz w:val="20"/>
                <w:szCs w:val="20"/>
              </w:rPr>
            </w:pPr>
            <w:r w:rsidRPr="00D618B7">
              <w:rPr>
                <w:color w:val="000000"/>
                <w:sz w:val="20"/>
                <w:szCs w:val="20"/>
              </w:rPr>
              <w:t>Face</w:t>
            </w:r>
          </w:p>
        </w:tc>
        <w:tc>
          <w:tcPr>
            <w:tcW w:w="2582" w:type="dxa"/>
            <w:gridSpan w:val="2"/>
            <w:tcBorders>
              <w:top w:val="single" w:sz="18" w:space="0" w:color="auto"/>
              <w:left w:val="nil"/>
              <w:bottom w:val="single" w:sz="18" w:space="0" w:color="auto"/>
              <w:right w:val="nil"/>
            </w:tcBorders>
            <w:shd w:val="clear" w:color="000000" w:fill="FFFFFF"/>
            <w:vAlign w:val="center"/>
            <w:hideMark/>
          </w:tcPr>
          <w:p w14:paraId="761AD44D" w14:textId="77777777" w:rsidR="006226F5" w:rsidRPr="00D618B7" w:rsidRDefault="006226F5" w:rsidP="004B11B7">
            <w:pPr>
              <w:jc w:val="center"/>
              <w:rPr>
                <w:color w:val="000000"/>
                <w:sz w:val="20"/>
                <w:szCs w:val="20"/>
              </w:rPr>
            </w:pPr>
            <w:r w:rsidRPr="00D618B7">
              <w:rPr>
                <w:color w:val="000000"/>
                <w:sz w:val="20"/>
                <w:szCs w:val="20"/>
              </w:rPr>
              <w:t xml:space="preserve">              Hand</w:t>
            </w:r>
          </w:p>
        </w:tc>
        <w:tc>
          <w:tcPr>
            <w:tcW w:w="2673" w:type="dxa"/>
            <w:gridSpan w:val="2"/>
            <w:tcBorders>
              <w:top w:val="single" w:sz="18" w:space="0" w:color="auto"/>
              <w:left w:val="nil"/>
              <w:bottom w:val="single" w:sz="18" w:space="0" w:color="auto"/>
              <w:right w:val="nil"/>
            </w:tcBorders>
            <w:shd w:val="clear" w:color="000000" w:fill="FFFFFF"/>
            <w:vAlign w:val="center"/>
            <w:hideMark/>
          </w:tcPr>
          <w:p w14:paraId="7E4F77FE" w14:textId="77777777" w:rsidR="006226F5" w:rsidRPr="00D618B7" w:rsidRDefault="006226F5" w:rsidP="004B11B7">
            <w:pPr>
              <w:jc w:val="center"/>
              <w:rPr>
                <w:color w:val="000000"/>
                <w:sz w:val="20"/>
                <w:szCs w:val="20"/>
              </w:rPr>
            </w:pPr>
            <w:r w:rsidRPr="00D618B7">
              <w:rPr>
                <w:color w:val="000000"/>
                <w:sz w:val="20"/>
                <w:szCs w:val="20"/>
              </w:rPr>
              <w:t xml:space="preserve">                Mouth</w:t>
            </w:r>
          </w:p>
        </w:tc>
      </w:tr>
      <w:tr w:rsidR="006226F5" w:rsidRPr="00D618B7" w14:paraId="47589EA6" w14:textId="77777777" w:rsidTr="00CC17EC">
        <w:trPr>
          <w:trHeight w:val="253"/>
        </w:trPr>
        <w:tc>
          <w:tcPr>
            <w:tcW w:w="1305" w:type="dxa"/>
            <w:tcBorders>
              <w:top w:val="nil"/>
              <w:left w:val="nil"/>
              <w:bottom w:val="single" w:sz="18" w:space="0" w:color="auto"/>
              <w:right w:val="nil"/>
            </w:tcBorders>
            <w:shd w:val="clear" w:color="000000" w:fill="FFFFFF"/>
            <w:noWrap/>
            <w:vAlign w:val="bottom"/>
            <w:hideMark/>
          </w:tcPr>
          <w:p w14:paraId="316DD784" w14:textId="77777777" w:rsidR="006226F5" w:rsidRPr="00D618B7" w:rsidRDefault="006226F5" w:rsidP="004B11B7">
            <w:pPr>
              <w:rPr>
                <w:color w:val="000000"/>
                <w:sz w:val="20"/>
                <w:szCs w:val="20"/>
              </w:rPr>
            </w:pPr>
            <w:r w:rsidRPr="00D618B7">
              <w:rPr>
                <w:color w:val="000000"/>
                <w:sz w:val="20"/>
                <w:szCs w:val="20"/>
              </w:rPr>
              <w:t> </w:t>
            </w:r>
          </w:p>
        </w:tc>
        <w:tc>
          <w:tcPr>
            <w:tcW w:w="1093" w:type="dxa"/>
            <w:tcBorders>
              <w:top w:val="single" w:sz="18" w:space="0" w:color="auto"/>
              <w:left w:val="nil"/>
              <w:bottom w:val="single" w:sz="18" w:space="0" w:color="auto"/>
              <w:right w:val="nil"/>
            </w:tcBorders>
            <w:shd w:val="clear" w:color="000000" w:fill="FFFFFF"/>
            <w:noWrap/>
            <w:vAlign w:val="center"/>
            <w:hideMark/>
          </w:tcPr>
          <w:p w14:paraId="5DF1B838" w14:textId="77777777" w:rsidR="006226F5" w:rsidRPr="00D618B7" w:rsidRDefault="006226F5" w:rsidP="004B11B7">
            <w:pPr>
              <w:jc w:val="right"/>
              <w:rPr>
                <w:color w:val="000000"/>
                <w:sz w:val="20"/>
                <w:szCs w:val="20"/>
              </w:rPr>
            </w:pPr>
            <w:r w:rsidRPr="00D618B7">
              <w:rPr>
                <w:color w:val="000000"/>
                <w:sz w:val="20"/>
                <w:szCs w:val="20"/>
              </w:rPr>
              <w:t>Mean</w:t>
            </w:r>
          </w:p>
        </w:tc>
        <w:tc>
          <w:tcPr>
            <w:tcW w:w="1084" w:type="dxa"/>
            <w:tcBorders>
              <w:top w:val="single" w:sz="18" w:space="0" w:color="auto"/>
              <w:left w:val="nil"/>
              <w:bottom w:val="single" w:sz="18" w:space="0" w:color="auto"/>
              <w:right w:val="nil"/>
            </w:tcBorders>
            <w:shd w:val="clear" w:color="000000" w:fill="FFFFFF"/>
            <w:noWrap/>
            <w:vAlign w:val="center"/>
            <w:hideMark/>
          </w:tcPr>
          <w:p w14:paraId="1D35314F" w14:textId="77777777" w:rsidR="006226F5" w:rsidRPr="00D618B7" w:rsidRDefault="006226F5" w:rsidP="004B11B7">
            <w:pPr>
              <w:jc w:val="right"/>
              <w:rPr>
                <w:color w:val="000000"/>
                <w:sz w:val="20"/>
                <w:szCs w:val="20"/>
              </w:rPr>
            </w:pPr>
            <w:r w:rsidRPr="00D618B7">
              <w:rPr>
                <w:color w:val="000000"/>
                <w:sz w:val="20"/>
                <w:szCs w:val="20"/>
              </w:rPr>
              <w:t>Std. Error</w:t>
            </w:r>
          </w:p>
        </w:tc>
        <w:tc>
          <w:tcPr>
            <w:tcW w:w="1522" w:type="dxa"/>
            <w:tcBorders>
              <w:top w:val="single" w:sz="18" w:space="0" w:color="auto"/>
              <w:left w:val="nil"/>
              <w:bottom w:val="single" w:sz="18" w:space="0" w:color="auto"/>
              <w:right w:val="nil"/>
            </w:tcBorders>
            <w:shd w:val="clear" w:color="000000" w:fill="FFFFFF"/>
            <w:noWrap/>
            <w:vAlign w:val="center"/>
            <w:hideMark/>
          </w:tcPr>
          <w:p w14:paraId="1CB16BEF" w14:textId="77777777" w:rsidR="006226F5" w:rsidRPr="00D618B7" w:rsidRDefault="006226F5" w:rsidP="004B11B7">
            <w:pPr>
              <w:jc w:val="right"/>
              <w:rPr>
                <w:color w:val="000000"/>
                <w:sz w:val="20"/>
                <w:szCs w:val="20"/>
              </w:rPr>
            </w:pPr>
            <w:r w:rsidRPr="00D618B7">
              <w:rPr>
                <w:color w:val="000000"/>
                <w:sz w:val="20"/>
                <w:szCs w:val="20"/>
              </w:rPr>
              <w:t>Mean</w:t>
            </w:r>
          </w:p>
        </w:tc>
        <w:tc>
          <w:tcPr>
            <w:tcW w:w="1060" w:type="dxa"/>
            <w:tcBorders>
              <w:top w:val="single" w:sz="18" w:space="0" w:color="auto"/>
              <w:left w:val="nil"/>
              <w:bottom w:val="single" w:sz="18" w:space="0" w:color="auto"/>
              <w:right w:val="nil"/>
            </w:tcBorders>
            <w:shd w:val="clear" w:color="000000" w:fill="FFFFFF"/>
            <w:noWrap/>
            <w:vAlign w:val="center"/>
            <w:hideMark/>
          </w:tcPr>
          <w:p w14:paraId="5D866732" w14:textId="77777777" w:rsidR="006226F5" w:rsidRPr="00D618B7" w:rsidRDefault="006226F5" w:rsidP="004B11B7">
            <w:pPr>
              <w:jc w:val="right"/>
              <w:rPr>
                <w:color w:val="000000"/>
                <w:sz w:val="20"/>
                <w:szCs w:val="20"/>
              </w:rPr>
            </w:pPr>
            <w:r w:rsidRPr="00D618B7">
              <w:rPr>
                <w:color w:val="000000"/>
                <w:sz w:val="20"/>
                <w:szCs w:val="20"/>
              </w:rPr>
              <w:t>Std. Error</w:t>
            </w:r>
          </w:p>
        </w:tc>
        <w:tc>
          <w:tcPr>
            <w:tcW w:w="1575" w:type="dxa"/>
            <w:tcBorders>
              <w:top w:val="single" w:sz="18" w:space="0" w:color="auto"/>
              <w:left w:val="nil"/>
              <w:bottom w:val="single" w:sz="18" w:space="0" w:color="auto"/>
              <w:right w:val="nil"/>
            </w:tcBorders>
            <w:shd w:val="clear" w:color="000000" w:fill="FFFFFF"/>
            <w:noWrap/>
            <w:vAlign w:val="center"/>
            <w:hideMark/>
          </w:tcPr>
          <w:p w14:paraId="0831CBEC" w14:textId="77777777" w:rsidR="006226F5" w:rsidRPr="00D618B7" w:rsidRDefault="006226F5" w:rsidP="004B11B7">
            <w:pPr>
              <w:jc w:val="right"/>
              <w:rPr>
                <w:color w:val="000000"/>
                <w:sz w:val="20"/>
                <w:szCs w:val="20"/>
              </w:rPr>
            </w:pPr>
            <w:r w:rsidRPr="00D618B7">
              <w:rPr>
                <w:color w:val="000000"/>
                <w:sz w:val="20"/>
                <w:szCs w:val="20"/>
              </w:rPr>
              <w:t>Mean</w:t>
            </w:r>
          </w:p>
        </w:tc>
        <w:tc>
          <w:tcPr>
            <w:tcW w:w="1098" w:type="dxa"/>
            <w:tcBorders>
              <w:top w:val="single" w:sz="18" w:space="0" w:color="auto"/>
              <w:left w:val="nil"/>
              <w:bottom w:val="single" w:sz="18" w:space="0" w:color="auto"/>
              <w:right w:val="nil"/>
            </w:tcBorders>
            <w:shd w:val="clear" w:color="000000" w:fill="FFFFFF"/>
            <w:noWrap/>
            <w:vAlign w:val="center"/>
            <w:hideMark/>
          </w:tcPr>
          <w:p w14:paraId="7968DFA4" w14:textId="77777777" w:rsidR="006226F5" w:rsidRPr="00D618B7" w:rsidRDefault="006226F5" w:rsidP="004B11B7">
            <w:pPr>
              <w:jc w:val="right"/>
              <w:rPr>
                <w:color w:val="000000"/>
                <w:sz w:val="20"/>
                <w:szCs w:val="20"/>
              </w:rPr>
            </w:pPr>
            <w:r w:rsidRPr="00D618B7">
              <w:rPr>
                <w:color w:val="000000"/>
                <w:sz w:val="20"/>
                <w:szCs w:val="20"/>
              </w:rPr>
              <w:t>Std. Error</w:t>
            </w:r>
          </w:p>
        </w:tc>
      </w:tr>
      <w:tr w:rsidR="006226F5" w:rsidRPr="00D618B7" w14:paraId="71D952CB" w14:textId="77777777" w:rsidTr="00CC17EC">
        <w:trPr>
          <w:trHeight w:val="242"/>
        </w:trPr>
        <w:tc>
          <w:tcPr>
            <w:tcW w:w="1305" w:type="dxa"/>
            <w:tcBorders>
              <w:top w:val="single" w:sz="18" w:space="0" w:color="auto"/>
              <w:left w:val="nil"/>
              <w:bottom w:val="nil"/>
              <w:right w:val="nil"/>
            </w:tcBorders>
            <w:shd w:val="clear" w:color="000000" w:fill="FFFFFF"/>
            <w:noWrap/>
            <w:vAlign w:val="bottom"/>
            <w:hideMark/>
          </w:tcPr>
          <w:p w14:paraId="2DCB1AC0" w14:textId="77777777" w:rsidR="006226F5" w:rsidRPr="00D618B7" w:rsidRDefault="006226F5" w:rsidP="004B11B7">
            <w:pPr>
              <w:rPr>
                <w:color w:val="000000"/>
                <w:sz w:val="20"/>
                <w:szCs w:val="20"/>
              </w:rPr>
            </w:pPr>
            <w:r w:rsidRPr="00D618B7">
              <w:rPr>
                <w:color w:val="000000"/>
                <w:sz w:val="20"/>
                <w:szCs w:val="20"/>
              </w:rPr>
              <w:t> </w:t>
            </w:r>
          </w:p>
        </w:tc>
        <w:tc>
          <w:tcPr>
            <w:tcW w:w="7432" w:type="dxa"/>
            <w:gridSpan w:val="6"/>
            <w:tcBorders>
              <w:top w:val="single" w:sz="18" w:space="0" w:color="auto"/>
              <w:left w:val="nil"/>
              <w:bottom w:val="nil"/>
              <w:right w:val="nil"/>
            </w:tcBorders>
            <w:shd w:val="clear" w:color="000000" w:fill="FFFFFF"/>
            <w:noWrap/>
            <w:vAlign w:val="center"/>
            <w:hideMark/>
          </w:tcPr>
          <w:p w14:paraId="63CE066C" w14:textId="77777777" w:rsidR="006226F5" w:rsidRPr="00D618B7" w:rsidRDefault="006226F5" w:rsidP="004B11B7">
            <w:pPr>
              <w:jc w:val="center"/>
              <w:rPr>
                <w:color w:val="000000"/>
                <w:sz w:val="20"/>
                <w:szCs w:val="20"/>
              </w:rPr>
            </w:pPr>
            <w:r w:rsidRPr="00D618B7">
              <w:rPr>
                <w:color w:val="000000"/>
                <w:sz w:val="20"/>
                <w:szCs w:val="20"/>
              </w:rPr>
              <w:t>Toy-out-of-Reach</w:t>
            </w:r>
          </w:p>
        </w:tc>
      </w:tr>
      <w:tr w:rsidR="00F21D9A" w:rsidRPr="00D618B7" w14:paraId="043F3F50" w14:textId="77777777" w:rsidTr="00CC17EC">
        <w:trPr>
          <w:trHeight w:val="242"/>
        </w:trPr>
        <w:tc>
          <w:tcPr>
            <w:tcW w:w="1305" w:type="dxa"/>
            <w:tcBorders>
              <w:top w:val="nil"/>
              <w:left w:val="nil"/>
              <w:bottom w:val="nil"/>
              <w:right w:val="nil"/>
            </w:tcBorders>
            <w:shd w:val="clear" w:color="000000" w:fill="FFFFFF"/>
            <w:vAlign w:val="center"/>
            <w:hideMark/>
          </w:tcPr>
          <w:p w14:paraId="394A35B9" w14:textId="77777777" w:rsidR="00F21D9A" w:rsidRPr="00D618B7" w:rsidRDefault="00F21D9A" w:rsidP="00F21D9A">
            <w:pPr>
              <w:jc w:val="right"/>
              <w:rPr>
                <w:color w:val="000000"/>
                <w:sz w:val="20"/>
                <w:szCs w:val="20"/>
              </w:rPr>
            </w:pPr>
            <w:r w:rsidRPr="00D618B7">
              <w:rPr>
                <w:color w:val="000000"/>
                <w:sz w:val="20"/>
                <w:szCs w:val="20"/>
              </w:rPr>
              <w:t>-5</w:t>
            </w:r>
          </w:p>
        </w:tc>
        <w:tc>
          <w:tcPr>
            <w:tcW w:w="1093" w:type="dxa"/>
            <w:tcBorders>
              <w:top w:val="nil"/>
              <w:left w:val="nil"/>
              <w:bottom w:val="nil"/>
              <w:right w:val="nil"/>
            </w:tcBorders>
            <w:shd w:val="clear" w:color="000000" w:fill="FFFFFF"/>
            <w:noWrap/>
            <w:hideMark/>
          </w:tcPr>
          <w:p w14:paraId="6EFBDD56" w14:textId="3AF4378B" w:rsidR="00F21D9A" w:rsidRPr="00D618B7" w:rsidRDefault="00F21D9A" w:rsidP="00F21D9A">
            <w:pPr>
              <w:jc w:val="right"/>
              <w:rPr>
                <w:color w:val="000000"/>
                <w:sz w:val="20"/>
                <w:szCs w:val="20"/>
              </w:rPr>
            </w:pPr>
            <w:r w:rsidRPr="00D618B7">
              <w:rPr>
                <w:sz w:val="20"/>
                <w:szCs w:val="20"/>
              </w:rPr>
              <w:t>1007.96</w:t>
            </w:r>
          </w:p>
        </w:tc>
        <w:tc>
          <w:tcPr>
            <w:tcW w:w="1084" w:type="dxa"/>
            <w:tcBorders>
              <w:top w:val="nil"/>
              <w:left w:val="nil"/>
              <w:bottom w:val="nil"/>
              <w:right w:val="nil"/>
            </w:tcBorders>
            <w:shd w:val="clear" w:color="000000" w:fill="FFFFFF"/>
            <w:noWrap/>
            <w:hideMark/>
          </w:tcPr>
          <w:p w14:paraId="4F6711FF" w14:textId="14000B60" w:rsidR="00F21D9A" w:rsidRPr="00D618B7" w:rsidRDefault="00F21D9A" w:rsidP="00F21D9A">
            <w:pPr>
              <w:jc w:val="right"/>
              <w:rPr>
                <w:color w:val="000000"/>
                <w:sz w:val="20"/>
                <w:szCs w:val="20"/>
              </w:rPr>
            </w:pPr>
            <w:r w:rsidRPr="00D618B7">
              <w:rPr>
                <w:sz w:val="20"/>
                <w:szCs w:val="20"/>
              </w:rPr>
              <w:t>140.94</w:t>
            </w:r>
          </w:p>
        </w:tc>
        <w:tc>
          <w:tcPr>
            <w:tcW w:w="1522" w:type="dxa"/>
            <w:tcBorders>
              <w:top w:val="nil"/>
              <w:left w:val="nil"/>
              <w:bottom w:val="nil"/>
              <w:right w:val="nil"/>
            </w:tcBorders>
            <w:shd w:val="clear" w:color="000000" w:fill="FFFFFF"/>
            <w:noWrap/>
            <w:hideMark/>
          </w:tcPr>
          <w:p w14:paraId="402A30E3" w14:textId="6D2E6EE7" w:rsidR="00F21D9A" w:rsidRPr="00D618B7" w:rsidRDefault="00F21D9A" w:rsidP="00F21D9A">
            <w:pPr>
              <w:jc w:val="right"/>
              <w:rPr>
                <w:color w:val="000000"/>
                <w:sz w:val="20"/>
                <w:szCs w:val="20"/>
              </w:rPr>
            </w:pPr>
            <w:r w:rsidRPr="00D618B7">
              <w:rPr>
                <w:sz w:val="20"/>
                <w:szCs w:val="20"/>
              </w:rPr>
              <w:t>-172.50</w:t>
            </w:r>
          </w:p>
        </w:tc>
        <w:tc>
          <w:tcPr>
            <w:tcW w:w="1060" w:type="dxa"/>
            <w:tcBorders>
              <w:top w:val="nil"/>
              <w:left w:val="nil"/>
              <w:bottom w:val="nil"/>
              <w:right w:val="nil"/>
            </w:tcBorders>
            <w:shd w:val="clear" w:color="000000" w:fill="FFFFFF"/>
            <w:noWrap/>
            <w:hideMark/>
          </w:tcPr>
          <w:p w14:paraId="2DA258B8" w14:textId="1FA19941" w:rsidR="00F21D9A" w:rsidRPr="00D618B7" w:rsidRDefault="00F21D9A" w:rsidP="00F21D9A">
            <w:pPr>
              <w:jc w:val="right"/>
              <w:rPr>
                <w:color w:val="000000"/>
                <w:sz w:val="20"/>
                <w:szCs w:val="20"/>
              </w:rPr>
            </w:pPr>
            <w:r w:rsidRPr="00D618B7">
              <w:rPr>
                <w:sz w:val="20"/>
                <w:szCs w:val="20"/>
              </w:rPr>
              <w:t>123.97</w:t>
            </w:r>
          </w:p>
        </w:tc>
        <w:tc>
          <w:tcPr>
            <w:tcW w:w="1575" w:type="dxa"/>
            <w:tcBorders>
              <w:top w:val="nil"/>
              <w:left w:val="nil"/>
              <w:bottom w:val="nil"/>
              <w:right w:val="nil"/>
            </w:tcBorders>
            <w:shd w:val="clear" w:color="000000" w:fill="FFFFFF"/>
            <w:noWrap/>
            <w:hideMark/>
          </w:tcPr>
          <w:p w14:paraId="48326608" w14:textId="153A6AD8" w:rsidR="00F21D9A" w:rsidRPr="00D618B7" w:rsidRDefault="00F21D9A" w:rsidP="00F21D9A">
            <w:pPr>
              <w:jc w:val="right"/>
              <w:rPr>
                <w:color w:val="000000"/>
                <w:sz w:val="20"/>
                <w:szCs w:val="20"/>
              </w:rPr>
            </w:pPr>
            <w:r w:rsidRPr="00D618B7">
              <w:rPr>
                <w:sz w:val="20"/>
                <w:szCs w:val="20"/>
              </w:rPr>
              <w:t>92.35</w:t>
            </w:r>
          </w:p>
        </w:tc>
        <w:tc>
          <w:tcPr>
            <w:tcW w:w="1098" w:type="dxa"/>
            <w:tcBorders>
              <w:top w:val="nil"/>
              <w:left w:val="nil"/>
              <w:bottom w:val="nil"/>
              <w:right w:val="nil"/>
            </w:tcBorders>
            <w:shd w:val="clear" w:color="000000" w:fill="FFFFFF"/>
            <w:noWrap/>
            <w:hideMark/>
          </w:tcPr>
          <w:p w14:paraId="50811CEB" w14:textId="0EBC3F7E" w:rsidR="00F21D9A" w:rsidRPr="00D618B7" w:rsidRDefault="00F21D9A" w:rsidP="00F21D9A">
            <w:pPr>
              <w:jc w:val="right"/>
              <w:rPr>
                <w:color w:val="000000"/>
                <w:sz w:val="20"/>
                <w:szCs w:val="20"/>
              </w:rPr>
            </w:pPr>
            <w:r w:rsidRPr="00D618B7">
              <w:rPr>
                <w:sz w:val="20"/>
                <w:szCs w:val="20"/>
              </w:rPr>
              <w:t>213.73</w:t>
            </w:r>
          </w:p>
        </w:tc>
      </w:tr>
      <w:tr w:rsidR="00F21D9A" w:rsidRPr="00D618B7" w14:paraId="7167D598" w14:textId="77777777" w:rsidTr="00CC17EC">
        <w:trPr>
          <w:trHeight w:val="242"/>
        </w:trPr>
        <w:tc>
          <w:tcPr>
            <w:tcW w:w="1305" w:type="dxa"/>
            <w:tcBorders>
              <w:top w:val="nil"/>
              <w:left w:val="nil"/>
              <w:bottom w:val="nil"/>
              <w:right w:val="nil"/>
            </w:tcBorders>
            <w:shd w:val="clear" w:color="000000" w:fill="FFFFFF"/>
            <w:vAlign w:val="center"/>
            <w:hideMark/>
          </w:tcPr>
          <w:p w14:paraId="096C8EAC" w14:textId="77777777" w:rsidR="00F21D9A" w:rsidRPr="00D618B7" w:rsidRDefault="00F21D9A" w:rsidP="00F21D9A">
            <w:pPr>
              <w:jc w:val="right"/>
              <w:rPr>
                <w:color w:val="000000"/>
                <w:sz w:val="20"/>
                <w:szCs w:val="20"/>
              </w:rPr>
            </w:pPr>
            <w:r w:rsidRPr="00D618B7">
              <w:rPr>
                <w:color w:val="000000"/>
                <w:sz w:val="20"/>
                <w:szCs w:val="20"/>
              </w:rPr>
              <w:t>-4</w:t>
            </w:r>
          </w:p>
        </w:tc>
        <w:tc>
          <w:tcPr>
            <w:tcW w:w="1093" w:type="dxa"/>
            <w:tcBorders>
              <w:top w:val="nil"/>
              <w:left w:val="nil"/>
              <w:bottom w:val="nil"/>
              <w:right w:val="nil"/>
            </w:tcBorders>
            <w:shd w:val="clear" w:color="000000" w:fill="FFFFFF"/>
            <w:noWrap/>
            <w:hideMark/>
          </w:tcPr>
          <w:p w14:paraId="24AA0F36" w14:textId="31F58CD2" w:rsidR="00F21D9A" w:rsidRPr="00D618B7" w:rsidRDefault="00F21D9A" w:rsidP="00F21D9A">
            <w:pPr>
              <w:jc w:val="right"/>
              <w:rPr>
                <w:color w:val="000000"/>
                <w:sz w:val="20"/>
                <w:szCs w:val="20"/>
              </w:rPr>
            </w:pPr>
            <w:r w:rsidRPr="00D618B7">
              <w:rPr>
                <w:sz w:val="20"/>
                <w:szCs w:val="20"/>
              </w:rPr>
              <w:t>70.63</w:t>
            </w:r>
          </w:p>
        </w:tc>
        <w:tc>
          <w:tcPr>
            <w:tcW w:w="1084" w:type="dxa"/>
            <w:tcBorders>
              <w:top w:val="nil"/>
              <w:left w:val="nil"/>
              <w:bottom w:val="nil"/>
              <w:right w:val="nil"/>
            </w:tcBorders>
            <w:shd w:val="clear" w:color="000000" w:fill="FFFFFF"/>
            <w:noWrap/>
            <w:hideMark/>
          </w:tcPr>
          <w:p w14:paraId="2B166355" w14:textId="03C0C233" w:rsidR="00F21D9A" w:rsidRPr="00D618B7" w:rsidRDefault="00F21D9A" w:rsidP="00F21D9A">
            <w:pPr>
              <w:jc w:val="right"/>
              <w:rPr>
                <w:color w:val="000000"/>
                <w:sz w:val="20"/>
                <w:szCs w:val="20"/>
              </w:rPr>
            </w:pPr>
            <w:r w:rsidRPr="00D618B7">
              <w:rPr>
                <w:sz w:val="20"/>
                <w:szCs w:val="20"/>
              </w:rPr>
              <w:t>83.59</w:t>
            </w:r>
          </w:p>
        </w:tc>
        <w:tc>
          <w:tcPr>
            <w:tcW w:w="1522" w:type="dxa"/>
            <w:tcBorders>
              <w:top w:val="nil"/>
              <w:left w:val="nil"/>
              <w:bottom w:val="nil"/>
              <w:right w:val="nil"/>
            </w:tcBorders>
            <w:shd w:val="clear" w:color="000000" w:fill="FFFFFF"/>
            <w:noWrap/>
            <w:hideMark/>
          </w:tcPr>
          <w:p w14:paraId="14ED901E" w14:textId="76863CDC" w:rsidR="00F21D9A" w:rsidRPr="00D618B7" w:rsidRDefault="00F21D9A" w:rsidP="00F21D9A">
            <w:pPr>
              <w:jc w:val="right"/>
              <w:rPr>
                <w:color w:val="000000"/>
                <w:sz w:val="20"/>
                <w:szCs w:val="20"/>
              </w:rPr>
            </w:pPr>
            <w:r w:rsidRPr="00D618B7">
              <w:rPr>
                <w:sz w:val="20"/>
                <w:szCs w:val="20"/>
              </w:rPr>
              <w:t>140.68</w:t>
            </w:r>
          </w:p>
        </w:tc>
        <w:tc>
          <w:tcPr>
            <w:tcW w:w="1060" w:type="dxa"/>
            <w:tcBorders>
              <w:top w:val="nil"/>
              <w:left w:val="nil"/>
              <w:bottom w:val="nil"/>
              <w:right w:val="nil"/>
            </w:tcBorders>
            <w:shd w:val="clear" w:color="000000" w:fill="FFFFFF"/>
            <w:noWrap/>
            <w:hideMark/>
          </w:tcPr>
          <w:p w14:paraId="78BE9960" w14:textId="397FA5CE" w:rsidR="00F21D9A" w:rsidRPr="00D618B7" w:rsidRDefault="00F21D9A" w:rsidP="00F21D9A">
            <w:pPr>
              <w:jc w:val="right"/>
              <w:rPr>
                <w:color w:val="000000"/>
                <w:sz w:val="20"/>
                <w:szCs w:val="20"/>
              </w:rPr>
            </w:pPr>
            <w:r w:rsidRPr="00D618B7">
              <w:rPr>
                <w:sz w:val="20"/>
                <w:szCs w:val="20"/>
              </w:rPr>
              <w:t>122.10</w:t>
            </w:r>
          </w:p>
        </w:tc>
        <w:tc>
          <w:tcPr>
            <w:tcW w:w="1575" w:type="dxa"/>
            <w:tcBorders>
              <w:top w:val="nil"/>
              <w:left w:val="nil"/>
              <w:bottom w:val="nil"/>
              <w:right w:val="nil"/>
            </w:tcBorders>
            <w:shd w:val="clear" w:color="000000" w:fill="FFFFFF"/>
            <w:noWrap/>
            <w:hideMark/>
          </w:tcPr>
          <w:p w14:paraId="430EE6D8" w14:textId="7533FA13" w:rsidR="00F21D9A" w:rsidRPr="00D618B7" w:rsidRDefault="00F21D9A" w:rsidP="00F21D9A">
            <w:pPr>
              <w:jc w:val="right"/>
              <w:rPr>
                <w:color w:val="000000"/>
                <w:sz w:val="20"/>
                <w:szCs w:val="20"/>
              </w:rPr>
            </w:pPr>
            <w:r w:rsidRPr="00D618B7">
              <w:rPr>
                <w:sz w:val="20"/>
                <w:szCs w:val="20"/>
              </w:rPr>
              <w:t>83.29</w:t>
            </w:r>
          </w:p>
        </w:tc>
        <w:tc>
          <w:tcPr>
            <w:tcW w:w="1098" w:type="dxa"/>
            <w:tcBorders>
              <w:top w:val="nil"/>
              <w:left w:val="nil"/>
              <w:bottom w:val="nil"/>
              <w:right w:val="nil"/>
            </w:tcBorders>
            <w:shd w:val="clear" w:color="000000" w:fill="FFFFFF"/>
            <w:noWrap/>
            <w:hideMark/>
          </w:tcPr>
          <w:p w14:paraId="2DBAC6C2" w14:textId="364472BA" w:rsidR="00F21D9A" w:rsidRPr="00D618B7" w:rsidRDefault="00F21D9A" w:rsidP="00F21D9A">
            <w:pPr>
              <w:jc w:val="right"/>
              <w:rPr>
                <w:color w:val="000000"/>
                <w:sz w:val="20"/>
                <w:szCs w:val="20"/>
              </w:rPr>
            </w:pPr>
            <w:r w:rsidRPr="00D618B7">
              <w:rPr>
                <w:sz w:val="20"/>
                <w:szCs w:val="20"/>
              </w:rPr>
              <w:t>97.73</w:t>
            </w:r>
          </w:p>
        </w:tc>
      </w:tr>
      <w:tr w:rsidR="00F21D9A" w:rsidRPr="00D618B7" w14:paraId="11F09C43" w14:textId="77777777" w:rsidTr="00CC17EC">
        <w:trPr>
          <w:trHeight w:val="242"/>
        </w:trPr>
        <w:tc>
          <w:tcPr>
            <w:tcW w:w="1305" w:type="dxa"/>
            <w:tcBorders>
              <w:top w:val="nil"/>
              <w:left w:val="nil"/>
              <w:bottom w:val="nil"/>
              <w:right w:val="nil"/>
            </w:tcBorders>
            <w:shd w:val="clear" w:color="000000" w:fill="FFFFFF"/>
            <w:vAlign w:val="center"/>
            <w:hideMark/>
          </w:tcPr>
          <w:p w14:paraId="377A0F3F" w14:textId="77777777" w:rsidR="00F21D9A" w:rsidRPr="00D618B7" w:rsidRDefault="00F21D9A" w:rsidP="00F21D9A">
            <w:pPr>
              <w:jc w:val="right"/>
              <w:rPr>
                <w:color w:val="000000"/>
                <w:sz w:val="20"/>
                <w:szCs w:val="20"/>
              </w:rPr>
            </w:pPr>
            <w:r w:rsidRPr="00D618B7">
              <w:rPr>
                <w:color w:val="000000"/>
                <w:sz w:val="20"/>
                <w:szCs w:val="20"/>
              </w:rPr>
              <w:t>-3</w:t>
            </w:r>
          </w:p>
        </w:tc>
        <w:tc>
          <w:tcPr>
            <w:tcW w:w="1093" w:type="dxa"/>
            <w:tcBorders>
              <w:top w:val="nil"/>
              <w:left w:val="nil"/>
              <w:bottom w:val="nil"/>
              <w:right w:val="nil"/>
            </w:tcBorders>
            <w:shd w:val="clear" w:color="000000" w:fill="FFFFFF"/>
            <w:noWrap/>
            <w:hideMark/>
          </w:tcPr>
          <w:p w14:paraId="60A7B46F" w14:textId="364DE46E" w:rsidR="00F21D9A" w:rsidRPr="00D618B7" w:rsidRDefault="00F21D9A" w:rsidP="00F21D9A">
            <w:pPr>
              <w:jc w:val="right"/>
              <w:rPr>
                <w:color w:val="000000"/>
                <w:sz w:val="20"/>
                <w:szCs w:val="20"/>
              </w:rPr>
            </w:pPr>
            <w:r w:rsidRPr="00D618B7">
              <w:rPr>
                <w:sz w:val="20"/>
                <w:szCs w:val="20"/>
              </w:rPr>
              <w:t>-19.55</w:t>
            </w:r>
          </w:p>
        </w:tc>
        <w:tc>
          <w:tcPr>
            <w:tcW w:w="1084" w:type="dxa"/>
            <w:tcBorders>
              <w:top w:val="nil"/>
              <w:left w:val="nil"/>
              <w:bottom w:val="nil"/>
              <w:right w:val="nil"/>
            </w:tcBorders>
            <w:shd w:val="clear" w:color="000000" w:fill="FFFFFF"/>
            <w:noWrap/>
            <w:hideMark/>
          </w:tcPr>
          <w:p w14:paraId="1CC1EA48" w14:textId="0E04C522" w:rsidR="00F21D9A" w:rsidRPr="00D618B7" w:rsidRDefault="00F21D9A" w:rsidP="00F21D9A">
            <w:pPr>
              <w:jc w:val="right"/>
              <w:rPr>
                <w:color w:val="000000"/>
                <w:sz w:val="20"/>
                <w:szCs w:val="20"/>
              </w:rPr>
            </w:pPr>
            <w:r w:rsidRPr="00D618B7">
              <w:rPr>
                <w:sz w:val="20"/>
                <w:szCs w:val="20"/>
              </w:rPr>
              <w:t>64.00</w:t>
            </w:r>
          </w:p>
        </w:tc>
        <w:tc>
          <w:tcPr>
            <w:tcW w:w="1522" w:type="dxa"/>
            <w:tcBorders>
              <w:top w:val="nil"/>
              <w:left w:val="nil"/>
              <w:bottom w:val="nil"/>
              <w:right w:val="nil"/>
            </w:tcBorders>
            <w:shd w:val="clear" w:color="000000" w:fill="FFFFFF"/>
            <w:noWrap/>
            <w:hideMark/>
          </w:tcPr>
          <w:p w14:paraId="56458B78" w14:textId="1864F223" w:rsidR="00F21D9A" w:rsidRPr="00D618B7" w:rsidRDefault="00F21D9A" w:rsidP="00F21D9A">
            <w:pPr>
              <w:jc w:val="right"/>
              <w:rPr>
                <w:color w:val="000000"/>
                <w:sz w:val="20"/>
                <w:szCs w:val="20"/>
              </w:rPr>
            </w:pPr>
            <w:r w:rsidRPr="00D618B7">
              <w:rPr>
                <w:sz w:val="20"/>
                <w:szCs w:val="20"/>
              </w:rPr>
              <w:t>203.39</w:t>
            </w:r>
          </w:p>
        </w:tc>
        <w:tc>
          <w:tcPr>
            <w:tcW w:w="1060" w:type="dxa"/>
            <w:tcBorders>
              <w:top w:val="nil"/>
              <w:left w:val="nil"/>
              <w:bottom w:val="nil"/>
              <w:right w:val="nil"/>
            </w:tcBorders>
            <w:shd w:val="clear" w:color="000000" w:fill="FFFFFF"/>
            <w:noWrap/>
            <w:hideMark/>
          </w:tcPr>
          <w:p w14:paraId="45046717" w14:textId="57CFC5B2" w:rsidR="00F21D9A" w:rsidRPr="00D618B7" w:rsidRDefault="00F21D9A" w:rsidP="00F21D9A">
            <w:pPr>
              <w:jc w:val="right"/>
              <w:rPr>
                <w:color w:val="000000"/>
                <w:sz w:val="20"/>
                <w:szCs w:val="20"/>
              </w:rPr>
            </w:pPr>
            <w:r w:rsidRPr="00D618B7">
              <w:rPr>
                <w:sz w:val="20"/>
                <w:szCs w:val="20"/>
              </w:rPr>
              <w:t>31.51</w:t>
            </w:r>
          </w:p>
        </w:tc>
        <w:tc>
          <w:tcPr>
            <w:tcW w:w="1575" w:type="dxa"/>
            <w:tcBorders>
              <w:top w:val="nil"/>
              <w:left w:val="nil"/>
              <w:bottom w:val="nil"/>
              <w:right w:val="nil"/>
            </w:tcBorders>
            <w:shd w:val="clear" w:color="000000" w:fill="FFFFFF"/>
            <w:noWrap/>
            <w:hideMark/>
          </w:tcPr>
          <w:p w14:paraId="54F3B7CB" w14:textId="2746094C" w:rsidR="00F21D9A" w:rsidRPr="00D618B7" w:rsidRDefault="00F21D9A" w:rsidP="00F21D9A">
            <w:pPr>
              <w:jc w:val="right"/>
              <w:rPr>
                <w:color w:val="000000"/>
                <w:sz w:val="20"/>
                <w:szCs w:val="20"/>
              </w:rPr>
            </w:pPr>
            <w:r w:rsidRPr="00D618B7">
              <w:rPr>
                <w:sz w:val="20"/>
                <w:szCs w:val="20"/>
              </w:rPr>
              <w:t>1801.33</w:t>
            </w:r>
          </w:p>
        </w:tc>
        <w:tc>
          <w:tcPr>
            <w:tcW w:w="1098" w:type="dxa"/>
            <w:tcBorders>
              <w:top w:val="nil"/>
              <w:left w:val="nil"/>
              <w:bottom w:val="nil"/>
              <w:right w:val="nil"/>
            </w:tcBorders>
            <w:shd w:val="clear" w:color="000000" w:fill="FFFFFF"/>
            <w:noWrap/>
            <w:hideMark/>
          </w:tcPr>
          <w:p w14:paraId="24DEC9CE" w14:textId="4A5AACF4" w:rsidR="00F21D9A" w:rsidRPr="00D618B7" w:rsidRDefault="00F21D9A" w:rsidP="00F21D9A">
            <w:pPr>
              <w:jc w:val="right"/>
              <w:rPr>
                <w:color w:val="000000"/>
                <w:sz w:val="20"/>
                <w:szCs w:val="20"/>
              </w:rPr>
            </w:pPr>
            <w:r w:rsidRPr="00D618B7">
              <w:rPr>
                <w:sz w:val="20"/>
                <w:szCs w:val="20"/>
              </w:rPr>
              <w:t>138.79</w:t>
            </w:r>
          </w:p>
        </w:tc>
      </w:tr>
      <w:tr w:rsidR="00F21D9A" w:rsidRPr="00D618B7" w14:paraId="595C6B13" w14:textId="77777777" w:rsidTr="00CC17EC">
        <w:trPr>
          <w:trHeight w:val="242"/>
        </w:trPr>
        <w:tc>
          <w:tcPr>
            <w:tcW w:w="1305" w:type="dxa"/>
            <w:tcBorders>
              <w:top w:val="nil"/>
              <w:left w:val="nil"/>
              <w:bottom w:val="nil"/>
              <w:right w:val="nil"/>
            </w:tcBorders>
            <w:shd w:val="clear" w:color="000000" w:fill="FFFFFF"/>
            <w:vAlign w:val="center"/>
            <w:hideMark/>
          </w:tcPr>
          <w:p w14:paraId="56A76133" w14:textId="77777777" w:rsidR="00F21D9A" w:rsidRPr="00D618B7" w:rsidRDefault="00F21D9A" w:rsidP="00F21D9A">
            <w:pPr>
              <w:jc w:val="right"/>
              <w:rPr>
                <w:color w:val="000000"/>
                <w:sz w:val="20"/>
                <w:szCs w:val="20"/>
              </w:rPr>
            </w:pPr>
            <w:r w:rsidRPr="00D618B7">
              <w:rPr>
                <w:color w:val="000000"/>
                <w:sz w:val="20"/>
                <w:szCs w:val="20"/>
              </w:rPr>
              <w:t>-2</w:t>
            </w:r>
          </w:p>
        </w:tc>
        <w:tc>
          <w:tcPr>
            <w:tcW w:w="1093" w:type="dxa"/>
            <w:tcBorders>
              <w:top w:val="nil"/>
              <w:left w:val="nil"/>
              <w:bottom w:val="nil"/>
              <w:right w:val="nil"/>
            </w:tcBorders>
            <w:shd w:val="clear" w:color="000000" w:fill="FFFFFF"/>
            <w:noWrap/>
            <w:hideMark/>
          </w:tcPr>
          <w:p w14:paraId="6E48B778" w14:textId="78CAC50A" w:rsidR="00F21D9A" w:rsidRPr="00D618B7" w:rsidRDefault="00F21D9A" w:rsidP="00F21D9A">
            <w:pPr>
              <w:jc w:val="right"/>
              <w:rPr>
                <w:color w:val="000000"/>
                <w:sz w:val="20"/>
                <w:szCs w:val="20"/>
              </w:rPr>
            </w:pPr>
            <w:r w:rsidRPr="00D618B7">
              <w:rPr>
                <w:sz w:val="20"/>
                <w:szCs w:val="20"/>
              </w:rPr>
              <w:t>1616.92</w:t>
            </w:r>
          </w:p>
        </w:tc>
        <w:tc>
          <w:tcPr>
            <w:tcW w:w="1084" w:type="dxa"/>
            <w:tcBorders>
              <w:top w:val="nil"/>
              <w:left w:val="nil"/>
              <w:bottom w:val="nil"/>
              <w:right w:val="nil"/>
            </w:tcBorders>
            <w:shd w:val="clear" w:color="000000" w:fill="FFFFFF"/>
            <w:noWrap/>
            <w:hideMark/>
          </w:tcPr>
          <w:p w14:paraId="76B35D8B" w14:textId="1D6662AE" w:rsidR="00F21D9A" w:rsidRPr="00D618B7" w:rsidRDefault="00F21D9A" w:rsidP="00F21D9A">
            <w:pPr>
              <w:jc w:val="right"/>
              <w:rPr>
                <w:color w:val="000000"/>
                <w:sz w:val="20"/>
                <w:szCs w:val="20"/>
              </w:rPr>
            </w:pPr>
            <w:r w:rsidRPr="00D618B7">
              <w:rPr>
                <w:sz w:val="20"/>
                <w:szCs w:val="20"/>
              </w:rPr>
              <w:t>1191.38</w:t>
            </w:r>
          </w:p>
        </w:tc>
        <w:tc>
          <w:tcPr>
            <w:tcW w:w="1522" w:type="dxa"/>
            <w:tcBorders>
              <w:top w:val="nil"/>
              <w:left w:val="nil"/>
              <w:bottom w:val="nil"/>
              <w:right w:val="nil"/>
            </w:tcBorders>
            <w:shd w:val="clear" w:color="000000" w:fill="FFFFFF"/>
            <w:noWrap/>
            <w:hideMark/>
          </w:tcPr>
          <w:p w14:paraId="5A188D83" w14:textId="048BE409" w:rsidR="00F21D9A" w:rsidRPr="00D618B7" w:rsidRDefault="00F21D9A" w:rsidP="00F21D9A">
            <w:pPr>
              <w:jc w:val="right"/>
              <w:rPr>
                <w:color w:val="000000"/>
                <w:sz w:val="20"/>
                <w:szCs w:val="20"/>
              </w:rPr>
            </w:pPr>
            <w:r w:rsidRPr="00D618B7">
              <w:rPr>
                <w:sz w:val="20"/>
                <w:szCs w:val="20"/>
              </w:rPr>
              <w:t>-94.50</w:t>
            </w:r>
          </w:p>
        </w:tc>
        <w:tc>
          <w:tcPr>
            <w:tcW w:w="1060" w:type="dxa"/>
            <w:tcBorders>
              <w:top w:val="nil"/>
              <w:left w:val="nil"/>
              <w:bottom w:val="nil"/>
              <w:right w:val="nil"/>
            </w:tcBorders>
            <w:shd w:val="clear" w:color="000000" w:fill="FFFFFF"/>
            <w:noWrap/>
            <w:hideMark/>
          </w:tcPr>
          <w:p w14:paraId="7AF9C9B5" w14:textId="788C6432" w:rsidR="00F21D9A" w:rsidRPr="00D618B7" w:rsidRDefault="00F21D9A" w:rsidP="00F21D9A">
            <w:pPr>
              <w:jc w:val="right"/>
              <w:rPr>
                <w:color w:val="000000"/>
                <w:sz w:val="20"/>
                <w:szCs w:val="20"/>
              </w:rPr>
            </w:pPr>
            <w:r w:rsidRPr="00D618B7">
              <w:rPr>
                <w:sz w:val="20"/>
                <w:szCs w:val="20"/>
              </w:rPr>
              <w:t>65.58</w:t>
            </w:r>
          </w:p>
        </w:tc>
        <w:tc>
          <w:tcPr>
            <w:tcW w:w="1575" w:type="dxa"/>
            <w:tcBorders>
              <w:top w:val="nil"/>
              <w:left w:val="nil"/>
              <w:bottom w:val="nil"/>
              <w:right w:val="nil"/>
            </w:tcBorders>
            <w:shd w:val="clear" w:color="000000" w:fill="FFFFFF"/>
            <w:noWrap/>
            <w:hideMark/>
          </w:tcPr>
          <w:p w14:paraId="5BBC0CE7" w14:textId="63A87965" w:rsidR="00F21D9A" w:rsidRPr="00D618B7" w:rsidRDefault="00F21D9A" w:rsidP="00F21D9A">
            <w:pPr>
              <w:jc w:val="right"/>
              <w:rPr>
                <w:color w:val="000000"/>
                <w:sz w:val="20"/>
                <w:szCs w:val="20"/>
              </w:rPr>
            </w:pPr>
            <w:r w:rsidRPr="00D618B7">
              <w:rPr>
                <w:sz w:val="20"/>
                <w:szCs w:val="20"/>
              </w:rPr>
              <w:t>1139.79</w:t>
            </w:r>
          </w:p>
        </w:tc>
        <w:tc>
          <w:tcPr>
            <w:tcW w:w="1098" w:type="dxa"/>
            <w:tcBorders>
              <w:top w:val="nil"/>
              <w:left w:val="nil"/>
              <w:bottom w:val="nil"/>
              <w:right w:val="nil"/>
            </w:tcBorders>
            <w:shd w:val="clear" w:color="000000" w:fill="FFFFFF"/>
            <w:noWrap/>
            <w:hideMark/>
          </w:tcPr>
          <w:p w14:paraId="5847E657" w14:textId="059D0592" w:rsidR="00F21D9A" w:rsidRPr="00D618B7" w:rsidRDefault="00F21D9A" w:rsidP="00F21D9A">
            <w:pPr>
              <w:jc w:val="right"/>
              <w:rPr>
                <w:color w:val="000000"/>
                <w:sz w:val="20"/>
                <w:szCs w:val="20"/>
              </w:rPr>
            </w:pPr>
            <w:r w:rsidRPr="00D618B7">
              <w:rPr>
                <w:sz w:val="20"/>
                <w:szCs w:val="20"/>
              </w:rPr>
              <w:t>860.27</w:t>
            </w:r>
          </w:p>
        </w:tc>
      </w:tr>
      <w:tr w:rsidR="00F21D9A" w:rsidRPr="00D618B7" w14:paraId="4F53B78B" w14:textId="77777777" w:rsidTr="00CC17EC">
        <w:trPr>
          <w:trHeight w:val="242"/>
        </w:trPr>
        <w:tc>
          <w:tcPr>
            <w:tcW w:w="1305" w:type="dxa"/>
            <w:tcBorders>
              <w:top w:val="nil"/>
              <w:left w:val="nil"/>
              <w:bottom w:val="nil"/>
              <w:right w:val="nil"/>
            </w:tcBorders>
            <w:shd w:val="clear" w:color="000000" w:fill="FFFFFF"/>
            <w:vAlign w:val="center"/>
            <w:hideMark/>
          </w:tcPr>
          <w:p w14:paraId="49849F14" w14:textId="77777777" w:rsidR="00F21D9A" w:rsidRPr="00D618B7" w:rsidRDefault="00F21D9A" w:rsidP="00F21D9A">
            <w:pPr>
              <w:jc w:val="right"/>
              <w:rPr>
                <w:color w:val="000000"/>
                <w:sz w:val="20"/>
                <w:szCs w:val="20"/>
              </w:rPr>
            </w:pPr>
            <w:r w:rsidRPr="00D618B7">
              <w:rPr>
                <w:color w:val="000000"/>
                <w:sz w:val="20"/>
                <w:szCs w:val="20"/>
              </w:rPr>
              <w:t>-1</w:t>
            </w:r>
          </w:p>
        </w:tc>
        <w:tc>
          <w:tcPr>
            <w:tcW w:w="1093" w:type="dxa"/>
            <w:tcBorders>
              <w:top w:val="nil"/>
              <w:left w:val="nil"/>
              <w:bottom w:val="nil"/>
              <w:right w:val="nil"/>
            </w:tcBorders>
            <w:shd w:val="clear" w:color="000000" w:fill="FFFFFF"/>
            <w:noWrap/>
            <w:hideMark/>
          </w:tcPr>
          <w:p w14:paraId="7FD7A0AC" w14:textId="28716CD3" w:rsidR="00F21D9A" w:rsidRPr="00D618B7" w:rsidRDefault="00F21D9A" w:rsidP="00F21D9A">
            <w:pPr>
              <w:jc w:val="right"/>
              <w:rPr>
                <w:color w:val="000000"/>
                <w:sz w:val="20"/>
                <w:szCs w:val="20"/>
              </w:rPr>
            </w:pPr>
            <w:r w:rsidRPr="00D618B7">
              <w:rPr>
                <w:sz w:val="20"/>
                <w:szCs w:val="20"/>
              </w:rPr>
              <w:t>-131.03</w:t>
            </w:r>
          </w:p>
        </w:tc>
        <w:tc>
          <w:tcPr>
            <w:tcW w:w="1084" w:type="dxa"/>
            <w:tcBorders>
              <w:top w:val="nil"/>
              <w:left w:val="nil"/>
              <w:bottom w:val="nil"/>
              <w:right w:val="nil"/>
            </w:tcBorders>
            <w:shd w:val="clear" w:color="000000" w:fill="FFFFFF"/>
            <w:noWrap/>
            <w:hideMark/>
          </w:tcPr>
          <w:p w14:paraId="0E3BE198" w14:textId="24D2E39B" w:rsidR="00F21D9A" w:rsidRPr="00D618B7" w:rsidRDefault="00F21D9A" w:rsidP="00F21D9A">
            <w:pPr>
              <w:jc w:val="right"/>
              <w:rPr>
                <w:color w:val="000000"/>
                <w:sz w:val="20"/>
                <w:szCs w:val="20"/>
              </w:rPr>
            </w:pPr>
            <w:r w:rsidRPr="00D618B7">
              <w:rPr>
                <w:sz w:val="20"/>
                <w:szCs w:val="20"/>
              </w:rPr>
              <w:t>59.73</w:t>
            </w:r>
          </w:p>
        </w:tc>
        <w:tc>
          <w:tcPr>
            <w:tcW w:w="1522" w:type="dxa"/>
            <w:tcBorders>
              <w:top w:val="nil"/>
              <w:left w:val="nil"/>
              <w:bottom w:val="nil"/>
              <w:right w:val="nil"/>
            </w:tcBorders>
            <w:shd w:val="clear" w:color="000000" w:fill="FFFFFF"/>
            <w:noWrap/>
            <w:hideMark/>
          </w:tcPr>
          <w:p w14:paraId="2A4A487B" w14:textId="450FBF00" w:rsidR="00F21D9A" w:rsidRPr="00D618B7" w:rsidRDefault="00F21D9A" w:rsidP="00F21D9A">
            <w:pPr>
              <w:jc w:val="right"/>
              <w:rPr>
                <w:color w:val="000000"/>
                <w:sz w:val="20"/>
                <w:szCs w:val="20"/>
              </w:rPr>
            </w:pPr>
            <w:r w:rsidRPr="00D618B7">
              <w:rPr>
                <w:sz w:val="20"/>
                <w:szCs w:val="20"/>
              </w:rPr>
              <w:t>81.60</w:t>
            </w:r>
          </w:p>
        </w:tc>
        <w:tc>
          <w:tcPr>
            <w:tcW w:w="1060" w:type="dxa"/>
            <w:tcBorders>
              <w:top w:val="nil"/>
              <w:left w:val="nil"/>
              <w:bottom w:val="nil"/>
              <w:right w:val="nil"/>
            </w:tcBorders>
            <w:shd w:val="clear" w:color="000000" w:fill="FFFFFF"/>
            <w:noWrap/>
            <w:hideMark/>
          </w:tcPr>
          <w:p w14:paraId="7ECB5C5D" w14:textId="32EF0473" w:rsidR="00F21D9A" w:rsidRPr="00D618B7" w:rsidRDefault="00F21D9A" w:rsidP="00F21D9A">
            <w:pPr>
              <w:jc w:val="right"/>
              <w:rPr>
                <w:color w:val="000000"/>
                <w:sz w:val="20"/>
                <w:szCs w:val="20"/>
              </w:rPr>
            </w:pPr>
            <w:r w:rsidRPr="00D618B7">
              <w:rPr>
                <w:sz w:val="20"/>
                <w:szCs w:val="20"/>
              </w:rPr>
              <w:t>47.17</w:t>
            </w:r>
          </w:p>
        </w:tc>
        <w:tc>
          <w:tcPr>
            <w:tcW w:w="1575" w:type="dxa"/>
            <w:tcBorders>
              <w:top w:val="nil"/>
              <w:left w:val="nil"/>
              <w:bottom w:val="nil"/>
              <w:right w:val="nil"/>
            </w:tcBorders>
            <w:shd w:val="clear" w:color="000000" w:fill="FFFFFF"/>
            <w:noWrap/>
            <w:hideMark/>
          </w:tcPr>
          <w:p w14:paraId="5AA35924" w14:textId="59785EF8" w:rsidR="00F21D9A" w:rsidRPr="00D618B7" w:rsidRDefault="00F21D9A" w:rsidP="00F21D9A">
            <w:pPr>
              <w:jc w:val="right"/>
              <w:rPr>
                <w:color w:val="000000"/>
                <w:sz w:val="20"/>
                <w:szCs w:val="20"/>
              </w:rPr>
            </w:pPr>
            <w:r w:rsidRPr="00D618B7">
              <w:rPr>
                <w:sz w:val="20"/>
                <w:szCs w:val="20"/>
              </w:rPr>
              <w:t>3550.54</w:t>
            </w:r>
          </w:p>
        </w:tc>
        <w:tc>
          <w:tcPr>
            <w:tcW w:w="1098" w:type="dxa"/>
            <w:tcBorders>
              <w:top w:val="nil"/>
              <w:left w:val="nil"/>
              <w:bottom w:val="nil"/>
              <w:right w:val="nil"/>
            </w:tcBorders>
            <w:shd w:val="clear" w:color="000000" w:fill="FFFFFF"/>
            <w:noWrap/>
            <w:hideMark/>
          </w:tcPr>
          <w:p w14:paraId="479F8F92" w14:textId="299E3183" w:rsidR="00F21D9A" w:rsidRPr="00D618B7" w:rsidRDefault="00F21D9A" w:rsidP="00F21D9A">
            <w:pPr>
              <w:jc w:val="right"/>
              <w:rPr>
                <w:color w:val="000000"/>
                <w:sz w:val="20"/>
                <w:szCs w:val="20"/>
              </w:rPr>
            </w:pPr>
            <w:r w:rsidRPr="00D618B7">
              <w:rPr>
                <w:sz w:val="20"/>
                <w:szCs w:val="20"/>
              </w:rPr>
              <w:t>1492.54</w:t>
            </w:r>
          </w:p>
        </w:tc>
      </w:tr>
      <w:tr w:rsidR="00F21D9A" w:rsidRPr="00D618B7" w14:paraId="6569C2D9" w14:textId="77777777" w:rsidTr="00CC17EC">
        <w:trPr>
          <w:trHeight w:val="242"/>
        </w:trPr>
        <w:tc>
          <w:tcPr>
            <w:tcW w:w="1305" w:type="dxa"/>
            <w:tcBorders>
              <w:top w:val="nil"/>
              <w:left w:val="nil"/>
              <w:bottom w:val="nil"/>
              <w:right w:val="nil"/>
            </w:tcBorders>
            <w:shd w:val="clear" w:color="000000" w:fill="FFFFFF"/>
            <w:vAlign w:val="center"/>
            <w:hideMark/>
          </w:tcPr>
          <w:p w14:paraId="59B531BA" w14:textId="77777777" w:rsidR="00F21D9A" w:rsidRPr="00D618B7" w:rsidRDefault="00F21D9A" w:rsidP="00F21D9A">
            <w:pPr>
              <w:jc w:val="right"/>
              <w:rPr>
                <w:color w:val="000000"/>
                <w:sz w:val="20"/>
                <w:szCs w:val="20"/>
              </w:rPr>
            </w:pPr>
            <w:r w:rsidRPr="00D618B7">
              <w:rPr>
                <w:color w:val="000000"/>
                <w:sz w:val="20"/>
                <w:szCs w:val="20"/>
              </w:rPr>
              <w:t>0</w:t>
            </w:r>
          </w:p>
        </w:tc>
        <w:tc>
          <w:tcPr>
            <w:tcW w:w="1093" w:type="dxa"/>
            <w:tcBorders>
              <w:top w:val="nil"/>
              <w:left w:val="nil"/>
              <w:bottom w:val="nil"/>
              <w:right w:val="nil"/>
            </w:tcBorders>
            <w:shd w:val="clear" w:color="000000" w:fill="FFFFFF"/>
            <w:noWrap/>
            <w:hideMark/>
          </w:tcPr>
          <w:p w14:paraId="17418B6F" w14:textId="4CFB07BD" w:rsidR="00F21D9A" w:rsidRPr="00D618B7" w:rsidRDefault="00F21D9A" w:rsidP="00F21D9A">
            <w:pPr>
              <w:jc w:val="right"/>
              <w:rPr>
                <w:color w:val="000000"/>
                <w:sz w:val="20"/>
                <w:szCs w:val="20"/>
              </w:rPr>
            </w:pPr>
            <w:r w:rsidRPr="00D618B7">
              <w:rPr>
                <w:sz w:val="20"/>
                <w:szCs w:val="20"/>
              </w:rPr>
              <w:t>96.81</w:t>
            </w:r>
          </w:p>
        </w:tc>
        <w:tc>
          <w:tcPr>
            <w:tcW w:w="1084" w:type="dxa"/>
            <w:tcBorders>
              <w:top w:val="nil"/>
              <w:left w:val="nil"/>
              <w:bottom w:val="nil"/>
              <w:right w:val="nil"/>
            </w:tcBorders>
            <w:shd w:val="clear" w:color="000000" w:fill="FFFFFF"/>
            <w:noWrap/>
            <w:hideMark/>
          </w:tcPr>
          <w:p w14:paraId="488ED327" w14:textId="1408B95D" w:rsidR="00F21D9A" w:rsidRPr="00D618B7" w:rsidRDefault="00F21D9A" w:rsidP="00F21D9A">
            <w:pPr>
              <w:jc w:val="right"/>
              <w:rPr>
                <w:color w:val="000000"/>
                <w:sz w:val="20"/>
                <w:szCs w:val="20"/>
              </w:rPr>
            </w:pPr>
            <w:r w:rsidRPr="00D618B7">
              <w:rPr>
                <w:sz w:val="20"/>
                <w:szCs w:val="20"/>
              </w:rPr>
              <w:t>51.23</w:t>
            </w:r>
          </w:p>
        </w:tc>
        <w:tc>
          <w:tcPr>
            <w:tcW w:w="1522" w:type="dxa"/>
            <w:tcBorders>
              <w:top w:val="nil"/>
              <w:left w:val="nil"/>
              <w:bottom w:val="nil"/>
              <w:right w:val="nil"/>
            </w:tcBorders>
            <w:shd w:val="clear" w:color="000000" w:fill="FFFFFF"/>
            <w:noWrap/>
            <w:hideMark/>
          </w:tcPr>
          <w:p w14:paraId="2A4750FE" w14:textId="1D2D33F1" w:rsidR="00F21D9A" w:rsidRPr="00D618B7" w:rsidRDefault="00F21D9A" w:rsidP="00F21D9A">
            <w:pPr>
              <w:jc w:val="right"/>
              <w:rPr>
                <w:color w:val="000000"/>
                <w:sz w:val="20"/>
                <w:szCs w:val="20"/>
              </w:rPr>
            </w:pPr>
            <w:r w:rsidRPr="00D618B7">
              <w:rPr>
                <w:sz w:val="20"/>
                <w:szCs w:val="20"/>
              </w:rPr>
              <w:t>-203.92</w:t>
            </w:r>
          </w:p>
        </w:tc>
        <w:tc>
          <w:tcPr>
            <w:tcW w:w="1060" w:type="dxa"/>
            <w:tcBorders>
              <w:top w:val="nil"/>
              <w:left w:val="nil"/>
              <w:bottom w:val="nil"/>
              <w:right w:val="nil"/>
            </w:tcBorders>
            <w:shd w:val="clear" w:color="000000" w:fill="FFFFFF"/>
            <w:noWrap/>
            <w:hideMark/>
          </w:tcPr>
          <w:p w14:paraId="0CFAE13D" w14:textId="10F37F33" w:rsidR="00F21D9A" w:rsidRPr="00D618B7" w:rsidRDefault="00F21D9A" w:rsidP="00F21D9A">
            <w:pPr>
              <w:jc w:val="right"/>
              <w:rPr>
                <w:color w:val="000000"/>
                <w:sz w:val="20"/>
                <w:szCs w:val="20"/>
              </w:rPr>
            </w:pPr>
            <w:r w:rsidRPr="00D618B7">
              <w:rPr>
                <w:sz w:val="20"/>
                <w:szCs w:val="20"/>
              </w:rPr>
              <w:t>98.80</w:t>
            </w:r>
          </w:p>
        </w:tc>
        <w:tc>
          <w:tcPr>
            <w:tcW w:w="1575" w:type="dxa"/>
            <w:tcBorders>
              <w:top w:val="nil"/>
              <w:left w:val="nil"/>
              <w:bottom w:val="nil"/>
              <w:right w:val="nil"/>
            </w:tcBorders>
            <w:shd w:val="clear" w:color="000000" w:fill="FFFFFF"/>
            <w:noWrap/>
            <w:hideMark/>
          </w:tcPr>
          <w:p w14:paraId="0F9FA725" w14:textId="4AAF2FD4" w:rsidR="00F21D9A" w:rsidRPr="00D618B7" w:rsidRDefault="00F21D9A" w:rsidP="00F21D9A">
            <w:pPr>
              <w:jc w:val="right"/>
              <w:rPr>
                <w:color w:val="000000"/>
                <w:sz w:val="20"/>
                <w:szCs w:val="20"/>
              </w:rPr>
            </w:pPr>
            <w:r w:rsidRPr="00D618B7">
              <w:rPr>
                <w:sz w:val="20"/>
                <w:szCs w:val="20"/>
              </w:rPr>
              <w:t>691.81</w:t>
            </w:r>
          </w:p>
        </w:tc>
        <w:tc>
          <w:tcPr>
            <w:tcW w:w="1098" w:type="dxa"/>
            <w:tcBorders>
              <w:top w:val="nil"/>
              <w:left w:val="nil"/>
              <w:bottom w:val="nil"/>
              <w:right w:val="nil"/>
            </w:tcBorders>
            <w:shd w:val="clear" w:color="000000" w:fill="FFFFFF"/>
            <w:noWrap/>
            <w:hideMark/>
          </w:tcPr>
          <w:p w14:paraId="7ADC02F1" w14:textId="25C51CD5" w:rsidR="00F21D9A" w:rsidRPr="00D618B7" w:rsidRDefault="00F21D9A" w:rsidP="00F21D9A">
            <w:pPr>
              <w:jc w:val="right"/>
              <w:rPr>
                <w:color w:val="000000"/>
                <w:sz w:val="20"/>
                <w:szCs w:val="20"/>
              </w:rPr>
            </w:pPr>
            <w:r w:rsidRPr="00D618B7">
              <w:rPr>
                <w:sz w:val="20"/>
                <w:szCs w:val="20"/>
              </w:rPr>
              <w:t>37.76</w:t>
            </w:r>
          </w:p>
        </w:tc>
      </w:tr>
      <w:tr w:rsidR="00F21D9A" w:rsidRPr="00D618B7" w14:paraId="5780DB35" w14:textId="77777777" w:rsidTr="00CC17EC">
        <w:trPr>
          <w:trHeight w:val="242"/>
        </w:trPr>
        <w:tc>
          <w:tcPr>
            <w:tcW w:w="1305" w:type="dxa"/>
            <w:tcBorders>
              <w:top w:val="nil"/>
              <w:left w:val="nil"/>
              <w:bottom w:val="nil"/>
              <w:right w:val="nil"/>
            </w:tcBorders>
            <w:shd w:val="clear" w:color="000000" w:fill="FFFFFF"/>
            <w:vAlign w:val="center"/>
            <w:hideMark/>
          </w:tcPr>
          <w:p w14:paraId="2564DCDE" w14:textId="77777777" w:rsidR="00F21D9A" w:rsidRPr="00D618B7" w:rsidRDefault="00F21D9A" w:rsidP="00F21D9A">
            <w:pPr>
              <w:jc w:val="right"/>
              <w:rPr>
                <w:color w:val="000000"/>
                <w:sz w:val="20"/>
                <w:szCs w:val="20"/>
              </w:rPr>
            </w:pPr>
            <w:r w:rsidRPr="00D618B7">
              <w:rPr>
                <w:color w:val="000000"/>
                <w:sz w:val="20"/>
                <w:szCs w:val="20"/>
              </w:rPr>
              <w:t>1</w:t>
            </w:r>
          </w:p>
        </w:tc>
        <w:tc>
          <w:tcPr>
            <w:tcW w:w="1093" w:type="dxa"/>
            <w:tcBorders>
              <w:top w:val="nil"/>
              <w:left w:val="nil"/>
              <w:bottom w:val="nil"/>
              <w:right w:val="nil"/>
            </w:tcBorders>
            <w:shd w:val="clear" w:color="000000" w:fill="FFFFFF"/>
            <w:noWrap/>
            <w:hideMark/>
          </w:tcPr>
          <w:p w14:paraId="297A08EA" w14:textId="304DCB4B" w:rsidR="00F21D9A" w:rsidRPr="00D618B7" w:rsidRDefault="00F21D9A" w:rsidP="00F21D9A">
            <w:pPr>
              <w:jc w:val="right"/>
              <w:rPr>
                <w:color w:val="000000"/>
                <w:sz w:val="20"/>
                <w:szCs w:val="20"/>
              </w:rPr>
            </w:pPr>
            <w:r w:rsidRPr="00D618B7">
              <w:rPr>
                <w:sz w:val="20"/>
                <w:szCs w:val="20"/>
              </w:rPr>
              <w:t>-273.47</w:t>
            </w:r>
          </w:p>
        </w:tc>
        <w:tc>
          <w:tcPr>
            <w:tcW w:w="1084" w:type="dxa"/>
            <w:tcBorders>
              <w:top w:val="nil"/>
              <w:left w:val="nil"/>
              <w:bottom w:val="nil"/>
              <w:right w:val="nil"/>
            </w:tcBorders>
            <w:shd w:val="clear" w:color="000000" w:fill="FFFFFF"/>
            <w:noWrap/>
            <w:hideMark/>
          </w:tcPr>
          <w:p w14:paraId="49B4D1CC" w14:textId="5664A4B7" w:rsidR="00F21D9A" w:rsidRPr="00D618B7" w:rsidRDefault="00F21D9A" w:rsidP="00F21D9A">
            <w:pPr>
              <w:jc w:val="right"/>
              <w:rPr>
                <w:color w:val="000000"/>
                <w:sz w:val="20"/>
                <w:szCs w:val="20"/>
              </w:rPr>
            </w:pPr>
            <w:r w:rsidRPr="00D618B7">
              <w:rPr>
                <w:sz w:val="20"/>
                <w:szCs w:val="20"/>
              </w:rPr>
              <w:t>75.42</w:t>
            </w:r>
          </w:p>
        </w:tc>
        <w:tc>
          <w:tcPr>
            <w:tcW w:w="1522" w:type="dxa"/>
            <w:tcBorders>
              <w:top w:val="nil"/>
              <w:left w:val="nil"/>
              <w:bottom w:val="nil"/>
              <w:right w:val="nil"/>
            </w:tcBorders>
            <w:shd w:val="clear" w:color="000000" w:fill="FFFFFF"/>
            <w:noWrap/>
            <w:hideMark/>
          </w:tcPr>
          <w:p w14:paraId="38E16251" w14:textId="7422ABD5" w:rsidR="00F21D9A" w:rsidRPr="00D618B7" w:rsidRDefault="00F21D9A" w:rsidP="00F21D9A">
            <w:pPr>
              <w:jc w:val="right"/>
              <w:rPr>
                <w:color w:val="000000"/>
                <w:sz w:val="20"/>
                <w:szCs w:val="20"/>
              </w:rPr>
            </w:pPr>
            <w:r w:rsidRPr="00D618B7">
              <w:rPr>
                <w:sz w:val="20"/>
                <w:szCs w:val="20"/>
              </w:rPr>
              <w:t>52.18</w:t>
            </w:r>
          </w:p>
        </w:tc>
        <w:tc>
          <w:tcPr>
            <w:tcW w:w="1060" w:type="dxa"/>
            <w:tcBorders>
              <w:top w:val="nil"/>
              <w:left w:val="nil"/>
              <w:bottom w:val="nil"/>
              <w:right w:val="nil"/>
            </w:tcBorders>
            <w:shd w:val="clear" w:color="000000" w:fill="FFFFFF"/>
            <w:noWrap/>
            <w:hideMark/>
          </w:tcPr>
          <w:p w14:paraId="398583C9" w14:textId="0229C3BE" w:rsidR="00F21D9A" w:rsidRPr="00D618B7" w:rsidRDefault="00F21D9A" w:rsidP="00F21D9A">
            <w:pPr>
              <w:jc w:val="right"/>
              <w:rPr>
                <w:color w:val="000000"/>
                <w:sz w:val="20"/>
                <w:szCs w:val="20"/>
              </w:rPr>
            </w:pPr>
            <w:r w:rsidRPr="00D618B7">
              <w:rPr>
                <w:sz w:val="20"/>
                <w:szCs w:val="20"/>
              </w:rPr>
              <w:t>92.72</w:t>
            </w:r>
          </w:p>
        </w:tc>
        <w:tc>
          <w:tcPr>
            <w:tcW w:w="1575" w:type="dxa"/>
            <w:tcBorders>
              <w:top w:val="nil"/>
              <w:left w:val="nil"/>
              <w:bottom w:val="nil"/>
              <w:right w:val="nil"/>
            </w:tcBorders>
            <w:shd w:val="clear" w:color="000000" w:fill="FFFFFF"/>
            <w:noWrap/>
            <w:hideMark/>
          </w:tcPr>
          <w:p w14:paraId="521D7F00" w14:textId="18D728C4" w:rsidR="00F21D9A" w:rsidRPr="00D618B7" w:rsidRDefault="00F21D9A" w:rsidP="00F21D9A">
            <w:pPr>
              <w:jc w:val="right"/>
              <w:rPr>
                <w:color w:val="000000"/>
                <w:sz w:val="20"/>
                <w:szCs w:val="20"/>
              </w:rPr>
            </w:pPr>
            <w:r w:rsidRPr="00D618B7">
              <w:rPr>
                <w:sz w:val="20"/>
                <w:szCs w:val="20"/>
              </w:rPr>
              <w:t>1092.03</w:t>
            </w:r>
          </w:p>
        </w:tc>
        <w:tc>
          <w:tcPr>
            <w:tcW w:w="1098" w:type="dxa"/>
            <w:tcBorders>
              <w:top w:val="nil"/>
              <w:left w:val="nil"/>
              <w:bottom w:val="nil"/>
              <w:right w:val="nil"/>
            </w:tcBorders>
            <w:shd w:val="clear" w:color="000000" w:fill="FFFFFF"/>
            <w:noWrap/>
            <w:hideMark/>
          </w:tcPr>
          <w:p w14:paraId="509DF9B1" w14:textId="6AB429D2" w:rsidR="00F21D9A" w:rsidRPr="00D618B7" w:rsidRDefault="00F21D9A" w:rsidP="00F21D9A">
            <w:pPr>
              <w:jc w:val="right"/>
              <w:rPr>
                <w:color w:val="000000"/>
                <w:sz w:val="20"/>
                <w:szCs w:val="20"/>
              </w:rPr>
            </w:pPr>
            <w:r w:rsidRPr="00D618B7">
              <w:rPr>
                <w:sz w:val="20"/>
                <w:szCs w:val="20"/>
              </w:rPr>
              <w:t>193.46</w:t>
            </w:r>
          </w:p>
        </w:tc>
      </w:tr>
      <w:tr w:rsidR="00F21D9A" w:rsidRPr="00D618B7" w14:paraId="54CFE5B0" w14:textId="77777777" w:rsidTr="00CC17EC">
        <w:trPr>
          <w:trHeight w:val="242"/>
        </w:trPr>
        <w:tc>
          <w:tcPr>
            <w:tcW w:w="1305" w:type="dxa"/>
            <w:tcBorders>
              <w:top w:val="nil"/>
              <w:left w:val="nil"/>
              <w:bottom w:val="nil"/>
              <w:right w:val="nil"/>
            </w:tcBorders>
            <w:shd w:val="clear" w:color="000000" w:fill="FFFFFF"/>
            <w:vAlign w:val="center"/>
            <w:hideMark/>
          </w:tcPr>
          <w:p w14:paraId="05666D47" w14:textId="77777777" w:rsidR="00F21D9A" w:rsidRPr="00D618B7" w:rsidRDefault="00F21D9A" w:rsidP="00F21D9A">
            <w:pPr>
              <w:jc w:val="right"/>
              <w:rPr>
                <w:color w:val="000000"/>
                <w:sz w:val="20"/>
                <w:szCs w:val="20"/>
              </w:rPr>
            </w:pPr>
            <w:r w:rsidRPr="00D618B7">
              <w:rPr>
                <w:color w:val="000000"/>
                <w:sz w:val="20"/>
                <w:szCs w:val="20"/>
              </w:rPr>
              <w:t>2</w:t>
            </w:r>
          </w:p>
        </w:tc>
        <w:tc>
          <w:tcPr>
            <w:tcW w:w="1093" w:type="dxa"/>
            <w:tcBorders>
              <w:top w:val="nil"/>
              <w:left w:val="nil"/>
              <w:bottom w:val="nil"/>
              <w:right w:val="nil"/>
            </w:tcBorders>
            <w:shd w:val="clear" w:color="000000" w:fill="FFFFFF"/>
            <w:noWrap/>
            <w:hideMark/>
          </w:tcPr>
          <w:p w14:paraId="457AFB48" w14:textId="6FDCD57A" w:rsidR="00F21D9A" w:rsidRPr="00D618B7" w:rsidRDefault="00F21D9A" w:rsidP="00F21D9A">
            <w:pPr>
              <w:jc w:val="right"/>
              <w:rPr>
                <w:color w:val="000000"/>
                <w:sz w:val="20"/>
                <w:szCs w:val="20"/>
              </w:rPr>
            </w:pPr>
            <w:r w:rsidRPr="00D618B7">
              <w:rPr>
                <w:sz w:val="20"/>
                <w:szCs w:val="20"/>
              </w:rPr>
              <w:t>127.38</w:t>
            </w:r>
          </w:p>
        </w:tc>
        <w:tc>
          <w:tcPr>
            <w:tcW w:w="1084" w:type="dxa"/>
            <w:tcBorders>
              <w:top w:val="nil"/>
              <w:left w:val="nil"/>
              <w:bottom w:val="nil"/>
              <w:right w:val="nil"/>
            </w:tcBorders>
            <w:shd w:val="clear" w:color="000000" w:fill="FFFFFF"/>
            <w:noWrap/>
            <w:hideMark/>
          </w:tcPr>
          <w:p w14:paraId="1A06E5BB" w14:textId="5F2655A4" w:rsidR="00F21D9A" w:rsidRPr="00D618B7" w:rsidRDefault="00F21D9A" w:rsidP="00F21D9A">
            <w:pPr>
              <w:jc w:val="right"/>
              <w:rPr>
                <w:color w:val="000000"/>
                <w:sz w:val="20"/>
                <w:szCs w:val="20"/>
              </w:rPr>
            </w:pPr>
            <w:r w:rsidRPr="00D618B7">
              <w:rPr>
                <w:sz w:val="20"/>
                <w:szCs w:val="20"/>
              </w:rPr>
              <w:t>100.12</w:t>
            </w:r>
          </w:p>
        </w:tc>
        <w:tc>
          <w:tcPr>
            <w:tcW w:w="1522" w:type="dxa"/>
            <w:tcBorders>
              <w:top w:val="nil"/>
              <w:left w:val="nil"/>
              <w:bottom w:val="nil"/>
              <w:right w:val="nil"/>
            </w:tcBorders>
            <w:shd w:val="clear" w:color="000000" w:fill="FFFFFF"/>
            <w:noWrap/>
            <w:hideMark/>
          </w:tcPr>
          <w:p w14:paraId="15A7F1FB" w14:textId="7366C8E9" w:rsidR="00F21D9A" w:rsidRPr="00D618B7" w:rsidRDefault="00F21D9A" w:rsidP="00F21D9A">
            <w:pPr>
              <w:jc w:val="right"/>
              <w:rPr>
                <w:color w:val="000000"/>
                <w:sz w:val="20"/>
                <w:szCs w:val="20"/>
              </w:rPr>
            </w:pPr>
            <w:r w:rsidRPr="00D618B7">
              <w:rPr>
                <w:sz w:val="20"/>
                <w:szCs w:val="20"/>
              </w:rPr>
              <w:t>90.12</w:t>
            </w:r>
          </w:p>
        </w:tc>
        <w:tc>
          <w:tcPr>
            <w:tcW w:w="1060" w:type="dxa"/>
            <w:tcBorders>
              <w:top w:val="nil"/>
              <w:left w:val="nil"/>
              <w:bottom w:val="nil"/>
              <w:right w:val="nil"/>
            </w:tcBorders>
            <w:shd w:val="clear" w:color="000000" w:fill="FFFFFF"/>
            <w:noWrap/>
            <w:hideMark/>
          </w:tcPr>
          <w:p w14:paraId="66FAE2C1" w14:textId="4BA9D7A7" w:rsidR="00F21D9A" w:rsidRPr="00D618B7" w:rsidRDefault="00F21D9A" w:rsidP="00F21D9A">
            <w:pPr>
              <w:jc w:val="right"/>
              <w:rPr>
                <w:color w:val="000000"/>
                <w:sz w:val="20"/>
                <w:szCs w:val="20"/>
              </w:rPr>
            </w:pPr>
            <w:r w:rsidRPr="00D618B7">
              <w:rPr>
                <w:sz w:val="20"/>
                <w:szCs w:val="20"/>
              </w:rPr>
              <w:t>68.02</w:t>
            </w:r>
          </w:p>
        </w:tc>
        <w:tc>
          <w:tcPr>
            <w:tcW w:w="1575" w:type="dxa"/>
            <w:tcBorders>
              <w:top w:val="nil"/>
              <w:left w:val="nil"/>
              <w:bottom w:val="nil"/>
              <w:right w:val="nil"/>
            </w:tcBorders>
            <w:shd w:val="clear" w:color="000000" w:fill="FFFFFF"/>
            <w:noWrap/>
            <w:hideMark/>
          </w:tcPr>
          <w:p w14:paraId="41D9E546" w14:textId="4D768D8B" w:rsidR="00F21D9A" w:rsidRPr="00D618B7" w:rsidRDefault="00F21D9A" w:rsidP="00F21D9A">
            <w:pPr>
              <w:jc w:val="right"/>
              <w:rPr>
                <w:color w:val="000000"/>
                <w:sz w:val="20"/>
                <w:szCs w:val="20"/>
              </w:rPr>
            </w:pPr>
            <w:r w:rsidRPr="00D618B7">
              <w:rPr>
                <w:sz w:val="20"/>
                <w:szCs w:val="20"/>
              </w:rPr>
              <w:t>-413.39</w:t>
            </w:r>
          </w:p>
        </w:tc>
        <w:tc>
          <w:tcPr>
            <w:tcW w:w="1098" w:type="dxa"/>
            <w:tcBorders>
              <w:top w:val="nil"/>
              <w:left w:val="nil"/>
              <w:bottom w:val="nil"/>
              <w:right w:val="nil"/>
            </w:tcBorders>
            <w:shd w:val="clear" w:color="000000" w:fill="FFFFFF"/>
            <w:noWrap/>
            <w:hideMark/>
          </w:tcPr>
          <w:p w14:paraId="5F3D7C21" w14:textId="01B67BA7" w:rsidR="00F21D9A" w:rsidRPr="00D618B7" w:rsidRDefault="00F21D9A" w:rsidP="00F21D9A">
            <w:pPr>
              <w:jc w:val="right"/>
              <w:rPr>
                <w:color w:val="000000"/>
                <w:sz w:val="20"/>
                <w:szCs w:val="20"/>
              </w:rPr>
            </w:pPr>
            <w:r w:rsidRPr="00D618B7">
              <w:rPr>
                <w:sz w:val="20"/>
                <w:szCs w:val="20"/>
              </w:rPr>
              <w:t>343.86</w:t>
            </w:r>
          </w:p>
        </w:tc>
      </w:tr>
      <w:tr w:rsidR="00F21D9A" w:rsidRPr="00D618B7" w14:paraId="72B27159" w14:textId="77777777" w:rsidTr="00CC17EC">
        <w:trPr>
          <w:trHeight w:val="242"/>
        </w:trPr>
        <w:tc>
          <w:tcPr>
            <w:tcW w:w="1305" w:type="dxa"/>
            <w:tcBorders>
              <w:top w:val="nil"/>
              <w:left w:val="nil"/>
              <w:bottom w:val="nil"/>
              <w:right w:val="nil"/>
            </w:tcBorders>
            <w:shd w:val="clear" w:color="000000" w:fill="FFFFFF"/>
            <w:vAlign w:val="center"/>
            <w:hideMark/>
          </w:tcPr>
          <w:p w14:paraId="46AB79C3" w14:textId="77777777" w:rsidR="00F21D9A" w:rsidRPr="00D618B7" w:rsidRDefault="00F21D9A" w:rsidP="00F21D9A">
            <w:pPr>
              <w:jc w:val="right"/>
              <w:rPr>
                <w:color w:val="000000"/>
                <w:sz w:val="20"/>
                <w:szCs w:val="20"/>
              </w:rPr>
            </w:pPr>
            <w:r w:rsidRPr="00D618B7">
              <w:rPr>
                <w:color w:val="000000"/>
                <w:sz w:val="20"/>
                <w:szCs w:val="20"/>
              </w:rPr>
              <w:t>3</w:t>
            </w:r>
          </w:p>
        </w:tc>
        <w:tc>
          <w:tcPr>
            <w:tcW w:w="1093" w:type="dxa"/>
            <w:tcBorders>
              <w:top w:val="nil"/>
              <w:left w:val="nil"/>
              <w:bottom w:val="nil"/>
              <w:right w:val="nil"/>
            </w:tcBorders>
            <w:shd w:val="clear" w:color="000000" w:fill="FFFFFF"/>
            <w:noWrap/>
            <w:hideMark/>
          </w:tcPr>
          <w:p w14:paraId="3B6B0C1A" w14:textId="644546F9" w:rsidR="00F21D9A" w:rsidRPr="00D618B7" w:rsidRDefault="00F21D9A" w:rsidP="00F21D9A">
            <w:pPr>
              <w:jc w:val="right"/>
              <w:rPr>
                <w:color w:val="000000"/>
                <w:sz w:val="20"/>
                <w:szCs w:val="20"/>
              </w:rPr>
            </w:pPr>
            <w:r w:rsidRPr="00D618B7">
              <w:rPr>
                <w:sz w:val="20"/>
                <w:szCs w:val="20"/>
              </w:rPr>
              <w:t>14.52</w:t>
            </w:r>
          </w:p>
        </w:tc>
        <w:tc>
          <w:tcPr>
            <w:tcW w:w="1084" w:type="dxa"/>
            <w:tcBorders>
              <w:top w:val="nil"/>
              <w:left w:val="nil"/>
              <w:bottom w:val="nil"/>
              <w:right w:val="nil"/>
            </w:tcBorders>
            <w:shd w:val="clear" w:color="000000" w:fill="FFFFFF"/>
            <w:noWrap/>
            <w:hideMark/>
          </w:tcPr>
          <w:p w14:paraId="14BC0841" w14:textId="08CA5FD6" w:rsidR="00F21D9A" w:rsidRPr="00D618B7" w:rsidRDefault="00F21D9A" w:rsidP="00F21D9A">
            <w:pPr>
              <w:jc w:val="right"/>
              <w:rPr>
                <w:color w:val="000000"/>
                <w:sz w:val="20"/>
                <w:szCs w:val="20"/>
              </w:rPr>
            </w:pPr>
            <w:r w:rsidRPr="00D618B7">
              <w:rPr>
                <w:sz w:val="20"/>
                <w:szCs w:val="20"/>
              </w:rPr>
              <w:t>93.71</w:t>
            </w:r>
          </w:p>
        </w:tc>
        <w:tc>
          <w:tcPr>
            <w:tcW w:w="1522" w:type="dxa"/>
            <w:tcBorders>
              <w:top w:val="nil"/>
              <w:left w:val="nil"/>
              <w:bottom w:val="nil"/>
              <w:right w:val="nil"/>
            </w:tcBorders>
            <w:shd w:val="clear" w:color="000000" w:fill="FFFFFF"/>
            <w:noWrap/>
            <w:hideMark/>
          </w:tcPr>
          <w:p w14:paraId="0C95720B" w14:textId="4E902A2C" w:rsidR="00F21D9A" w:rsidRPr="00D618B7" w:rsidRDefault="00F21D9A" w:rsidP="00F21D9A">
            <w:pPr>
              <w:jc w:val="right"/>
              <w:rPr>
                <w:color w:val="000000"/>
                <w:sz w:val="20"/>
                <w:szCs w:val="20"/>
              </w:rPr>
            </w:pPr>
            <w:r w:rsidRPr="00D618B7">
              <w:rPr>
                <w:sz w:val="20"/>
                <w:szCs w:val="20"/>
              </w:rPr>
              <w:t>-161.00</w:t>
            </w:r>
          </w:p>
        </w:tc>
        <w:tc>
          <w:tcPr>
            <w:tcW w:w="1060" w:type="dxa"/>
            <w:tcBorders>
              <w:top w:val="nil"/>
              <w:left w:val="nil"/>
              <w:bottom w:val="nil"/>
              <w:right w:val="nil"/>
            </w:tcBorders>
            <w:shd w:val="clear" w:color="000000" w:fill="FFFFFF"/>
            <w:noWrap/>
            <w:hideMark/>
          </w:tcPr>
          <w:p w14:paraId="5C44CDF6" w14:textId="48B3F1A2" w:rsidR="00F21D9A" w:rsidRPr="00D618B7" w:rsidRDefault="00F21D9A" w:rsidP="00F21D9A">
            <w:pPr>
              <w:jc w:val="right"/>
              <w:rPr>
                <w:color w:val="000000"/>
                <w:sz w:val="20"/>
                <w:szCs w:val="20"/>
              </w:rPr>
            </w:pPr>
            <w:r w:rsidRPr="00D618B7">
              <w:rPr>
                <w:sz w:val="20"/>
                <w:szCs w:val="20"/>
              </w:rPr>
              <w:t>79.51</w:t>
            </w:r>
          </w:p>
        </w:tc>
        <w:tc>
          <w:tcPr>
            <w:tcW w:w="1575" w:type="dxa"/>
            <w:tcBorders>
              <w:top w:val="nil"/>
              <w:left w:val="nil"/>
              <w:bottom w:val="nil"/>
              <w:right w:val="nil"/>
            </w:tcBorders>
            <w:shd w:val="clear" w:color="000000" w:fill="FFFFFF"/>
            <w:noWrap/>
            <w:hideMark/>
          </w:tcPr>
          <w:p w14:paraId="569E3886" w14:textId="391A5FA5" w:rsidR="00F21D9A" w:rsidRPr="00D618B7" w:rsidRDefault="00F21D9A" w:rsidP="00F21D9A">
            <w:pPr>
              <w:jc w:val="right"/>
              <w:rPr>
                <w:color w:val="000000"/>
                <w:sz w:val="20"/>
                <w:szCs w:val="20"/>
              </w:rPr>
            </w:pPr>
            <w:r w:rsidRPr="00D618B7">
              <w:rPr>
                <w:sz w:val="20"/>
                <w:szCs w:val="20"/>
              </w:rPr>
              <w:t>76.02</w:t>
            </w:r>
          </w:p>
        </w:tc>
        <w:tc>
          <w:tcPr>
            <w:tcW w:w="1098" w:type="dxa"/>
            <w:tcBorders>
              <w:top w:val="nil"/>
              <w:left w:val="nil"/>
              <w:bottom w:val="nil"/>
              <w:right w:val="nil"/>
            </w:tcBorders>
            <w:shd w:val="clear" w:color="000000" w:fill="FFFFFF"/>
            <w:noWrap/>
            <w:hideMark/>
          </w:tcPr>
          <w:p w14:paraId="0EEB4493" w14:textId="3824E33B" w:rsidR="00F21D9A" w:rsidRPr="00D618B7" w:rsidRDefault="00F21D9A" w:rsidP="00F21D9A">
            <w:pPr>
              <w:jc w:val="right"/>
              <w:rPr>
                <w:color w:val="000000"/>
                <w:sz w:val="20"/>
                <w:szCs w:val="20"/>
              </w:rPr>
            </w:pPr>
            <w:r w:rsidRPr="00D618B7">
              <w:rPr>
                <w:sz w:val="20"/>
                <w:szCs w:val="20"/>
              </w:rPr>
              <w:t>176.98</w:t>
            </w:r>
          </w:p>
        </w:tc>
      </w:tr>
      <w:tr w:rsidR="00F21D9A" w:rsidRPr="00D618B7" w14:paraId="155C4606" w14:textId="77777777" w:rsidTr="00CC17EC">
        <w:trPr>
          <w:trHeight w:val="242"/>
        </w:trPr>
        <w:tc>
          <w:tcPr>
            <w:tcW w:w="1305" w:type="dxa"/>
            <w:tcBorders>
              <w:top w:val="nil"/>
              <w:left w:val="nil"/>
              <w:right w:val="nil"/>
            </w:tcBorders>
            <w:shd w:val="clear" w:color="000000" w:fill="FFFFFF"/>
            <w:vAlign w:val="center"/>
            <w:hideMark/>
          </w:tcPr>
          <w:p w14:paraId="42B35B24" w14:textId="77777777" w:rsidR="00F21D9A" w:rsidRPr="00D618B7" w:rsidRDefault="00F21D9A" w:rsidP="00F21D9A">
            <w:pPr>
              <w:jc w:val="right"/>
              <w:rPr>
                <w:color w:val="000000"/>
                <w:sz w:val="20"/>
                <w:szCs w:val="20"/>
              </w:rPr>
            </w:pPr>
            <w:r w:rsidRPr="00D618B7">
              <w:rPr>
                <w:color w:val="000000"/>
                <w:sz w:val="20"/>
                <w:szCs w:val="20"/>
              </w:rPr>
              <w:t>4</w:t>
            </w:r>
          </w:p>
        </w:tc>
        <w:tc>
          <w:tcPr>
            <w:tcW w:w="1093" w:type="dxa"/>
            <w:tcBorders>
              <w:top w:val="nil"/>
              <w:left w:val="nil"/>
              <w:right w:val="nil"/>
            </w:tcBorders>
            <w:shd w:val="clear" w:color="000000" w:fill="FFFFFF"/>
            <w:noWrap/>
            <w:hideMark/>
          </w:tcPr>
          <w:p w14:paraId="75BC5EFF" w14:textId="53F4C355" w:rsidR="00F21D9A" w:rsidRPr="00D618B7" w:rsidRDefault="00F21D9A" w:rsidP="00F21D9A">
            <w:pPr>
              <w:jc w:val="right"/>
              <w:rPr>
                <w:color w:val="000000"/>
                <w:sz w:val="20"/>
                <w:szCs w:val="20"/>
              </w:rPr>
            </w:pPr>
            <w:r w:rsidRPr="00D618B7">
              <w:rPr>
                <w:sz w:val="20"/>
                <w:szCs w:val="20"/>
              </w:rPr>
              <w:t>-53.67</w:t>
            </w:r>
          </w:p>
        </w:tc>
        <w:tc>
          <w:tcPr>
            <w:tcW w:w="1084" w:type="dxa"/>
            <w:tcBorders>
              <w:top w:val="nil"/>
              <w:left w:val="nil"/>
              <w:right w:val="nil"/>
            </w:tcBorders>
            <w:shd w:val="clear" w:color="000000" w:fill="FFFFFF"/>
            <w:noWrap/>
            <w:hideMark/>
          </w:tcPr>
          <w:p w14:paraId="5695648E" w14:textId="5A498F9F" w:rsidR="00F21D9A" w:rsidRPr="00D618B7" w:rsidRDefault="00F21D9A" w:rsidP="00F21D9A">
            <w:pPr>
              <w:jc w:val="right"/>
              <w:rPr>
                <w:color w:val="000000"/>
                <w:sz w:val="20"/>
                <w:szCs w:val="20"/>
              </w:rPr>
            </w:pPr>
            <w:r w:rsidRPr="00D618B7">
              <w:rPr>
                <w:sz w:val="20"/>
                <w:szCs w:val="20"/>
              </w:rPr>
              <w:t>69.65</w:t>
            </w:r>
          </w:p>
        </w:tc>
        <w:tc>
          <w:tcPr>
            <w:tcW w:w="1522" w:type="dxa"/>
            <w:tcBorders>
              <w:top w:val="nil"/>
              <w:left w:val="nil"/>
              <w:right w:val="nil"/>
            </w:tcBorders>
            <w:shd w:val="clear" w:color="000000" w:fill="FFFFFF"/>
            <w:noWrap/>
            <w:hideMark/>
          </w:tcPr>
          <w:p w14:paraId="3C3F889B" w14:textId="4CA7038C" w:rsidR="00F21D9A" w:rsidRPr="00D618B7" w:rsidRDefault="00F21D9A" w:rsidP="00F21D9A">
            <w:pPr>
              <w:jc w:val="right"/>
              <w:rPr>
                <w:color w:val="000000"/>
                <w:sz w:val="20"/>
                <w:szCs w:val="20"/>
              </w:rPr>
            </w:pPr>
            <w:r w:rsidRPr="00D618B7">
              <w:rPr>
                <w:sz w:val="20"/>
                <w:szCs w:val="20"/>
              </w:rPr>
              <w:t>19.24</w:t>
            </w:r>
          </w:p>
        </w:tc>
        <w:tc>
          <w:tcPr>
            <w:tcW w:w="1060" w:type="dxa"/>
            <w:tcBorders>
              <w:top w:val="nil"/>
              <w:left w:val="nil"/>
              <w:right w:val="nil"/>
            </w:tcBorders>
            <w:shd w:val="clear" w:color="000000" w:fill="FFFFFF"/>
            <w:noWrap/>
            <w:hideMark/>
          </w:tcPr>
          <w:p w14:paraId="6C688729" w14:textId="36CEB1DA" w:rsidR="00F21D9A" w:rsidRPr="00D618B7" w:rsidRDefault="00F21D9A" w:rsidP="00F21D9A">
            <w:pPr>
              <w:jc w:val="right"/>
              <w:rPr>
                <w:color w:val="000000"/>
                <w:sz w:val="20"/>
                <w:szCs w:val="20"/>
              </w:rPr>
            </w:pPr>
            <w:r w:rsidRPr="00D618B7">
              <w:rPr>
                <w:sz w:val="20"/>
                <w:szCs w:val="20"/>
              </w:rPr>
              <w:t>59.52</w:t>
            </w:r>
          </w:p>
        </w:tc>
        <w:tc>
          <w:tcPr>
            <w:tcW w:w="1575" w:type="dxa"/>
            <w:tcBorders>
              <w:top w:val="nil"/>
              <w:left w:val="nil"/>
              <w:right w:val="nil"/>
            </w:tcBorders>
            <w:shd w:val="clear" w:color="000000" w:fill="FFFFFF"/>
            <w:noWrap/>
            <w:hideMark/>
          </w:tcPr>
          <w:p w14:paraId="01161C78" w14:textId="6D3CEA13" w:rsidR="00F21D9A" w:rsidRPr="00D618B7" w:rsidRDefault="00F21D9A" w:rsidP="00F21D9A">
            <w:pPr>
              <w:jc w:val="right"/>
              <w:rPr>
                <w:color w:val="000000"/>
                <w:sz w:val="20"/>
                <w:szCs w:val="20"/>
              </w:rPr>
            </w:pPr>
            <w:r w:rsidRPr="00D618B7">
              <w:rPr>
                <w:sz w:val="20"/>
                <w:szCs w:val="20"/>
              </w:rPr>
              <w:t>75.52</w:t>
            </w:r>
          </w:p>
        </w:tc>
        <w:tc>
          <w:tcPr>
            <w:tcW w:w="1098" w:type="dxa"/>
            <w:tcBorders>
              <w:top w:val="nil"/>
              <w:left w:val="nil"/>
              <w:right w:val="nil"/>
            </w:tcBorders>
            <w:shd w:val="clear" w:color="000000" w:fill="FFFFFF"/>
            <w:noWrap/>
            <w:hideMark/>
          </w:tcPr>
          <w:p w14:paraId="484EE2B6" w14:textId="1D6AAEE3" w:rsidR="00F21D9A" w:rsidRPr="00D618B7" w:rsidRDefault="00F21D9A" w:rsidP="00F21D9A">
            <w:pPr>
              <w:jc w:val="right"/>
              <w:rPr>
                <w:color w:val="000000"/>
                <w:sz w:val="20"/>
                <w:szCs w:val="20"/>
              </w:rPr>
            </w:pPr>
            <w:r w:rsidRPr="00D618B7">
              <w:rPr>
                <w:sz w:val="20"/>
                <w:szCs w:val="20"/>
              </w:rPr>
              <w:t>225.80</w:t>
            </w:r>
          </w:p>
        </w:tc>
      </w:tr>
      <w:tr w:rsidR="00F21D9A" w:rsidRPr="00D618B7" w14:paraId="2FA75A26" w14:textId="77777777" w:rsidTr="00CC17EC">
        <w:trPr>
          <w:trHeight w:val="253"/>
        </w:trPr>
        <w:tc>
          <w:tcPr>
            <w:tcW w:w="1305" w:type="dxa"/>
            <w:tcBorders>
              <w:top w:val="nil"/>
              <w:left w:val="nil"/>
              <w:bottom w:val="single" w:sz="18" w:space="0" w:color="auto"/>
              <w:right w:val="nil"/>
            </w:tcBorders>
            <w:shd w:val="clear" w:color="000000" w:fill="FFFFFF"/>
            <w:vAlign w:val="center"/>
            <w:hideMark/>
          </w:tcPr>
          <w:p w14:paraId="0FF71452" w14:textId="77777777" w:rsidR="00F21D9A" w:rsidRPr="00D618B7" w:rsidRDefault="00F21D9A" w:rsidP="00F21D9A">
            <w:pPr>
              <w:jc w:val="right"/>
              <w:rPr>
                <w:color w:val="000000"/>
                <w:sz w:val="20"/>
                <w:szCs w:val="20"/>
              </w:rPr>
            </w:pPr>
            <w:r w:rsidRPr="00D618B7">
              <w:rPr>
                <w:color w:val="000000"/>
                <w:sz w:val="20"/>
                <w:szCs w:val="20"/>
              </w:rPr>
              <w:t>5</w:t>
            </w:r>
          </w:p>
        </w:tc>
        <w:tc>
          <w:tcPr>
            <w:tcW w:w="1093" w:type="dxa"/>
            <w:tcBorders>
              <w:top w:val="nil"/>
              <w:left w:val="nil"/>
              <w:bottom w:val="single" w:sz="18" w:space="0" w:color="auto"/>
              <w:right w:val="nil"/>
            </w:tcBorders>
            <w:shd w:val="clear" w:color="000000" w:fill="FFFFFF"/>
            <w:noWrap/>
            <w:hideMark/>
          </w:tcPr>
          <w:p w14:paraId="14D353DA" w14:textId="1824615F" w:rsidR="00F21D9A" w:rsidRPr="00D618B7" w:rsidRDefault="00F21D9A" w:rsidP="00F21D9A">
            <w:pPr>
              <w:jc w:val="right"/>
              <w:rPr>
                <w:color w:val="000000"/>
                <w:sz w:val="20"/>
                <w:szCs w:val="20"/>
              </w:rPr>
            </w:pPr>
            <w:r w:rsidRPr="00D618B7">
              <w:rPr>
                <w:sz w:val="20"/>
                <w:szCs w:val="20"/>
              </w:rPr>
              <w:t>38.57</w:t>
            </w:r>
          </w:p>
        </w:tc>
        <w:tc>
          <w:tcPr>
            <w:tcW w:w="1084" w:type="dxa"/>
            <w:tcBorders>
              <w:top w:val="nil"/>
              <w:left w:val="nil"/>
              <w:bottom w:val="single" w:sz="18" w:space="0" w:color="auto"/>
              <w:right w:val="nil"/>
            </w:tcBorders>
            <w:shd w:val="clear" w:color="000000" w:fill="FFFFFF"/>
            <w:noWrap/>
            <w:hideMark/>
          </w:tcPr>
          <w:p w14:paraId="0A447F4E" w14:textId="2454C40E" w:rsidR="00F21D9A" w:rsidRPr="00D618B7" w:rsidRDefault="00F21D9A" w:rsidP="00F21D9A">
            <w:pPr>
              <w:jc w:val="right"/>
              <w:rPr>
                <w:color w:val="000000"/>
                <w:sz w:val="20"/>
                <w:szCs w:val="20"/>
              </w:rPr>
            </w:pPr>
            <w:r w:rsidRPr="00D618B7">
              <w:rPr>
                <w:sz w:val="20"/>
                <w:szCs w:val="20"/>
              </w:rPr>
              <w:t>61.94</w:t>
            </w:r>
          </w:p>
        </w:tc>
        <w:tc>
          <w:tcPr>
            <w:tcW w:w="1522" w:type="dxa"/>
            <w:tcBorders>
              <w:top w:val="nil"/>
              <w:left w:val="nil"/>
              <w:bottom w:val="single" w:sz="18" w:space="0" w:color="auto"/>
              <w:right w:val="nil"/>
            </w:tcBorders>
            <w:shd w:val="clear" w:color="000000" w:fill="FFFFFF"/>
            <w:noWrap/>
            <w:hideMark/>
          </w:tcPr>
          <w:p w14:paraId="00D49427" w14:textId="7D761328" w:rsidR="00F21D9A" w:rsidRPr="00D618B7" w:rsidRDefault="00F21D9A" w:rsidP="00F21D9A">
            <w:pPr>
              <w:jc w:val="right"/>
              <w:rPr>
                <w:color w:val="000000"/>
                <w:sz w:val="20"/>
                <w:szCs w:val="20"/>
              </w:rPr>
            </w:pPr>
            <w:r w:rsidRPr="00D618B7">
              <w:rPr>
                <w:sz w:val="20"/>
                <w:szCs w:val="20"/>
              </w:rPr>
              <w:t>104.05</w:t>
            </w:r>
          </w:p>
        </w:tc>
        <w:tc>
          <w:tcPr>
            <w:tcW w:w="1060" w:type="dxa"/>
            <w:tcBorders>
              <w:top w:val="nil"/>
              <w:left w:val="nil"/>
              <w:bottom w:val="single" w:sz="18" w:space="0" w:color="auto"/>
              <w:right w:val="nil"/>
            </w:tcBorders>
            <w:shd w:val="clear" w:color="000000" w:fill="FFFFFF"/>
            <w:noWrap/>
            <w:hideMark/>
          </w:tcPr>
          <w:p w14:paraId="76445436" w14:textId="1C2EDE41" w:rsidR="00F21D9A" w:rsidRPr="00D618B7" w:rsidRDefault="00F21D9A" w:rsidP="00F21D9A">
            <w:pPr>
              <w:jc w:val="right"/>
              <w:rPr>
                <w:color w:val="000000"/>
                <w:sz w:val="20"/>
                <w:szCs w:val="20"/>
              </w:rPr>
            </w:pPr>
            <w:r w:rsidRPr="00D618B7">
              <w:rPr>
                <w:sz w:val="20"/>
                <w:szCs w:val="20"/>
              </w:rPr>
              <w:t>15.83</w:t>
            </w:r>
          </w:p>
        </w:tc>
        <w:tc>
          <w:tcPr>
            <w:tcW w:w="1575" w:type="dxa"/>
            <w:tcBorders>
              <w:top w:val="nil"/>
              <w:left w:val="nil"/>
              <w:bottom w:val="single" w:sz="18" w:space="0" w:color="auto"/>
              <w:right w:val="nil"/>
            </w:tcBorders>
            <w:shd w:val="clear" w:color="000000" w:fill="FFFFFF"/>
            <w:noWrap/>
            <w:hideMark/>
          </w:tcPr>
          <w:p w14:paraId="365F96BA" w14:textId="2339C455" w:rsidR="00F21D9A" w:rsidRPr="00D618B7" w:rsidRDefault="00F21D9A" w:rsidP="00F21D9A">
            <w:pPr>
              <w:jc w:val="right"/>
              <w:rPr>
                <w:color w:val="000000"/>
                <w:sz w:val="20"/>
                <w:szCs w:val="20"/>
              </w:rPr>
            </w:pPr>
            <w:r w:rsidRPr="00D618B7">
              <w:rPr>
                <w:sz w:val="20"/>
                <w:szCs w:val="20"/>
              </w:rPr>
              <w:t>-30.47</w:t>
            </w:r>
          </w:p>
        </w:tc>
        <w:tc>
          <w:tcPr>
            <w:tcW w:w="1098" w:type="dxa"/>
            <w:tcBorders>
              <w:top w:val="nil"/>
              <w:left w:val="nil"/>
              <w:bottom w:val="single" w:sz="18" w:space="0" w:color="auto"/>
              <w:right w:val="nil"/>
            </w:tcBorders>
            <w:shd w:val="clear" w:color="000000" w:fill="FFFFFF"/>
            <w:noWrap/>
            <w:hideMark/>
          </w:tcPr>
          <w:p w14:paraId="0C262D5F" w14:textId="4648CEBC" w:rsidR="00F21D9A" w:rsidRPr="00D618B7" w:rsidRDefault="00F21D9A" w:rsidP="00F21D9A">
            <w:pPr>
              <w:jc w:val="right"/>
              <w:rPr>
                <w:color w:val="000000"/>
                <w:sz w:val="20"/>
                <w:szCs w:val="20"/>
              </w:rPr>
            </w:pPr>
            <w:r w:rsidRPr="00D618B7">
              <w:rPr>
                <w:sz w:val="20"/>
                <w:szCs w:val="20"/>
              </w:rPr>
              <w:t>13.28</w:t>
            </w:r>
          </w:p>
        </w:tc>
      </w:tr>
      <w:tr w:rsidR="00F21D9A" w:rsidRPr="00D618B7" w14:paraId="6D420EF9" w14:textId="77777777" w:rsidTr="00CC17EC">
        <w:trPr>
          <w:trHeight w:val="242"/>
        </w:trPr>
        <w:tc>
          <w:tcPr>
            <w:tcW w:w="1305" w:type="dxa"/>
            <w:tcBorders>
              <w:top w:val="single" w:sz="18" w:space="0" w:color="auto"/>
              <w:left w:val="nil"/>
              <w:bottom w:val="nil"/>
              <w:right w:val="nil"/>
            </w:tcBorders>
            <w:shd w:val="clear" w:color="000000" w:fill="FFFFFF"/>
            <w:noWrap/>
            <w:vAlign w:val="bottom"/>
            <w:hideMark/>
          </w:tcPr>
          <w:p w14:paraId="423A25F7" w14:textId="77777777" w:rsidR="00F21D9A" w:rsidRPr="00D618B7" w:rsidRDefault="00F21D9A" w:rsidP="00F21D9A">
            <w:pPr>
              <w:rPr>
                <w:color w:val="000000"/>
                <w:sz w:val="20"/>
                <w:szCs w:val="20"/>
              </w:rPr>
            </w:pPr>
            <w:r w:rsidRPr="00D618B7">
              <w:rPr>
                <w:color w:val="000000"/>
                <w:sz w:val="20"/>
                <w:szCs w:val="20"/>
              </w:rPr>
              <w:t> </w:t>
            </w:r>
          </w:p>
        </w:tc>
        <w:tc>
          <w:tcPr>
            <w:tcW w:w="7432" w:type="dxa"/>
            <w:gridSpan w:val="6"/>
            <w:tcBorders>
              <w:top w:val="single" w:sz="18" w:space="0" w:color="auto"/>
              <w:left w:val="nil"/>
              <w:bottom w:val="nil"/>
              <w:right w:val="nil"/>
            </w:tcBorders>
            <w:shd w:val="clear" w:color="000000" w:fill="FFFFFF"/>
            <w:noWrap/>
            <w:vAlign w:val="center"/>
            <w:hideMark/>
          </w:tcPr>
          <w:p w14:paraId="4BCF5D7B" w14:textId="77777777" w:rsidR="00F21D9A" w:rsidRPr="00D618B7" w:rsidRDefault="00F21D9A" w:rsidP="00F21D9A">
            <w:pPr>
              <w:jc w:val="center"/>
              <w:rPr>
                <w:color w:val="000000"/>
                <w:sz w:val="20"/>
                <w:szCs w:val="20"/>
              </w:rPr>
            </w:pPr>
            <w:r w:rsidRPr="00D618B7">
              <w:rPr>
                <w:color w:val="000000"/>
                <w:sz w:val="20"/>
                <w:szCs w:val="20"/>
              </w:rPr>
              <w:t>Toy-Moving-into-Reach</w:t>
            </w:r>
          </w:p>
        </w:tc>
      </w:tr>
      <w:tr w:rsidR="00CC17EC" w:rsidRPr="00D618B7" w14:paraId="05E20350" w14:textId="77777777" w:rsidTr="00CC17EC">
        <w:trPr>
          <w:trHeight w:val="242"/>
        </w:trPr>
        <w:tc>
          <w:tcPr>
            <w:tcW w:w="1305" w:type="dxa"/>
            <w:tcBorders>
              <w:top w:val="nil"/>
              <w:left w:val="nil"/>
              <w:bottom w:val="nil"/>
              <w:right w:val="nil"/>
            </w:tcBorders>
            <w:shd w:val="clear" w:color="000000" w:fill="FFFFFF"/>
            <w:vAlign w:val="center"/>
            <w:hideMark/>
          </w:tcPr>
          <w:p w14:paraId="1A4557C0" w14:textId="77777777" w:rsidR="00CC17EC" w:rsidRPr="00D618B7" w:rsidRDefault="00CC17EC" w:rsidP="00CC17EC">
            <w:pPr>
              <w:jc w:val="right"/>
              <w:rPr>
                <w:color w:val="000000"/>
                <w:sz w:val="20"/>
                <w:szCs w:val="20"/>
              </w:rPr>
            </w:pPr>
            <w:r w:rsidRPr="00D618B7">
              <w:rPr>
                <w:color w:val="000000"/>
                <w:sz w:val="20"/>
                <w:szCs w:val="20"/>
              </w:rPr>
              <w:t>-5</w:t>
            </w:r>
          </w:p>
        </w:tc>
        <w:tc>
          <w:tcPr>
            <w:tcW w:w="1093" w:type="dxa"/>
            <w:tcBorders>
              <w:top w:val="nil"/>
              <w:left w:val="nil"/>
              <w:bottom w:val="nil"/>
              <w:right w:val="nil"/>
            </w:tcBorders>
            <w:shd w:val="clear" w:color="000000" w:fill="FFFFFF"/>
            <w:noWrap/>
            <w:hideMark/>
          </w:tcPr>
          <w:p w14:paraId="71442CCD" w14:textId="52382CE5" w:rsidR="00CC17EC" w:rsidRPr="00D618B7" w:rsidRDefault="00CC17EC" w:rsidP="00CC17EC">
            <w:pPr>
              <w:jc w:val="right"/>
              <w:rPr>
                <w:color w:val="000000"/>
                <w:sz w:val="20"/>
                <w:szCs w:val="20"/>
              </w:rPr>
            </w:pPr>
            <w:r w:rsidRPr="00D618B7">
              <w:rPr>
                <w:sz w:val="20"/>
                <w:szCs w:val="20"/>
              </w:rPr>
              <w:t>105.09</w:t>
            </w:r>
          </w:p>
        </w:tc>
        <w:tc>
          <w:tcPr>
            <w:tcW w:w="1084" w:type="dxa"/>
            <w:tcBorders>
              <w:top w:val="nil"/>
              <w:left w:val="nil"/>
              <w:bottom w:val="nil"/>
              <w:right w:val="nil"/>
            </w:tcBorders>
            <w:shd w:val="clear" w:color="000000" w:fill="FFFFFF"/>
            <w:noWrap/>
            <w:hideMark/>
          </w:tcPr>
          <w:p w14:paraId="5F779C52" w14:textId="59200D6F" w:rsidR="00CC17EC" w:rsidRPr="00D618B7" w:rsidRDefault="00CC17EC" w:rsidP="00CC17EC">
            <w:pPr>
              <w:jc w:val="right"/>
              <w:rPr>
                <w:color w:val="000000"/>
                <w:sz w:val="20"/>
                <w:szCs w:val="20"/>
              </w:rPr>
            </w:pPr>
            <w:r w:rsidRPr="00D618B7">
              <w:rPr>
                <w:sz w:val="20"/>
                <w:szCs w:val="20"/>
              </w:rPr>
              <w:t>156.43</w:t>
            </w:r>
          </w:p>
        </w:tc>
        <w:tc>
          <w:tcPr>
            <w:tcW w:w="1522" w:type="dxa"/>
            <w:tcBorders>
              <w:top w:val="nil"/>
              <w:left w:val="nil"/>
              <w:bottom w:val="nil"/>
              <w:right w:val="nil"/>
            </w:tcBorders>
            <w:shd w:val="clear" w:color="000000" w:fill="FFFFFF"/>
            <w:noWrap/>
            <w:hideMark/>
          </w:tcPr>
          <w:p w14:paraId="0AB4ECB4" w14:textId="2F91F44A" w:rsidR="00CC17EC" w:rsidRPr="00D618B7" w:rsidRDefault="00CC17EC" w:rsidP="00CC17EC">
            <w:pPr>
              <w:jc w:val="right"/>
              <w:rPr>
                <w:color w:val="000000"/>
                <w:sz w:val="20"/>
                <w:szCs w:val="20"/>
              </w:rPr>
            </w:pPr>
            <w:r w:rsidRPr="00D618B7">
              <w:rPr>
                <w:sz w:val="20"/>
                <w:szCs w:val="20"/>
              </w:rPr>
              <w:t>-163.66</w:t>
            </w:r>
          </w:p>
        </w:tc>
        <w:tc>
          <w:tcPr>
            <w:tcW w:w="1060" w:type="dxa"/>
            <w:tcBorders>
              <w:top w:val="nil"/>
              <w:left w:val="nil"/>
              <w:bottom w:val="nil"/>
              <w:right w:val="nil"/>
            </w:tcBorders>
            <w:shd w:val="clear" w:color="000000" w:fill="FFFFFF"/>
            <w:noWrap/>
            <w:hideMark/>
          </w:tcPr>
          <w:p w14:paraId="59E972FB" w14:textId="23C1F6B7" w:rsidR="00CC17EC" w:rsidRPr="00D618B7" w:rsidRDefault="00CC17EC" w:rsidP="00CC17EC">
            <w:pPr>
              <w:jc w:val="right"/>
              <w:rPr>
                <w:color w:val="000000"/>
                <w:sz w:val="20"/>
                <w:szCs w:val="20"/>
              </w:rPr>
            </w:pPr>
            <w:r w:rsidRPr="00D618B7">
              <w:rPr>
                <w:sz w:val="20"/>
                <w:szCs w:val="20"/>
              </w:rPr>
              <w:t>182.09</w:t>
            </w:r>
          </w:p>
        </w:tc>
        <w:tc>
          <w:tcPr>
            <w:tcW w:w="1575" w:type="dxa"/>
            <w:tcBorders>
              <w:top w:val="nil"/>
              <w:left w:val="nil"/>
              <w:bottom w:val="nil"/>
              <w:right w:val="nil"/>
            </w:tcBorders>
            <w:shd w:val="clear" w:color="000000" w:fill="FFFFFF"/>
            <w:noWrap/>
            <w:hideMark/>
          </w:tcPr>
          <w:p w14:paraId="6BECECDC" w14:textId="3DB42CC3" w:rsidR="00CC17EC" w:rsidRPr="00D618B7" w:rsidRDefault="00CC17EC" w:rsidP="00CC17EC">
            <w:pPr>
              <w:jc w:val="right"/>
              <w:rPr>
                <w:color w:val="000000"/>
                <w:sz w:val="20"/>
                <w:szCs w:val="20"/>
              </w:rPr>
            </w:pPr>
            <w:r w:rsidRPr="00D618B7">
              <w:rPr>
                <w:sz w:val="20"/>
                <w:szCs w:val="20"/>
              </w:rPr>
              <w:t>708.61</w:t>
            </w:r>
          </w:p>
        </w:tc>
        <w:tc>
          <w:tcPr>
            <w:tcW w:w="1098" w:type="dxa"/>
            <w:tcBorders>
              <w:top w:val="nil"/>
              <w:left w:val="nil"/>
              <w:bottom w:val="nil"/>
              <w:right w:val="nil"/>
            </w:tcBorders>
            <w:shd w:val="clear" w:color="000000" w:fill="FFFFFF"/>
            <w:noWrap/>
            <w:hideMark/>
          </w:tcPr>
          <w:p w14:paraId="7B47A06A" w14:textId="02840118" w:rsidR="00CC17EC" w:rsidRPr="00D618B7" w:rsidRDefault="00CC17EC" w:rsidP="00CC17EC">
            <w:pPr>
              <w:jc w:val="right"/>
              <w:rPr>
                <w:color w:val="000000"/>
                <w:sz w:val="20"/>
                <w:szCs w:val="20"/>
              </w:rPr>
            </w:pPr>
            <w:r w:rsidRPr="00D618B7">
              <w:rPr>
                <w:sz w:val="20"/>
                <w:szCs w:val="20"/>
              </w:rPr>
              <w:t>259.11</w:t>
            </w:r>
          </w:p>
        </w:tc>
      </w:tr>
      <w:tr w:rsidR="00CC17EC" w:rsidRPr="00D618B7" w14:paraId="5CB4E444" w14:textId="77777777" w:rsidTr="00CC17EC">
        <w:trPr>
          <w:trHeight w:val="242"/>
        </w:trPr>
        <w:tc>
          <w:tcPr>
            <w:tcW w:w="1305" w:type="dxa"/>
            <w:tcBorders>
              <w:top w:val="nil"/>
              <w:left w:val="nil"/>
              <w:bottom w:val="nil"/>
              <w:right w:val="nil"/>
            </w:tcBorders>
            <w:shd w:val="clear" w:color="000000" w:fill="FFFFFF"/>
            <w:vAlign w:val="center"/>
            <w:hideMark/>
          </w:tcPr>
          <w:p w14:paraId="4AA5D0D4" w14:textId="77777777" w:rsidR="00CC17EC" w:rsidRPr="00D618B7" w:rsidRDefault="00CC17EC" w:rsidP="00CC17EC">
            <w:pPr>
              <w:jc w:val="right"/>
              <w:rPr>
                <w:color w:val="000000"/>
                <w:sz w:val="20"/>
                <w:szCs w:val="20"/>
              </w:rPr>
            </w:pPr>
            <w:r w:rsidRPr="00D618B7">
              <w:rPr>
                <w:color w:val="000000"/>
                <w:sz w:val="20"/>
                <w:szCs w:val="20"/>
              </w:rPr>
              <w:t>-4</w:t>
            </w:r>
          </w:p>
        </w:tc>
        <w:tc>
          <w:tcPr>
            <w:tcW w:w="1093" w:type="dxa"/>
            <w:tcBorders>
              <w:top w:val="nil"/>
              <w:left w:val="nil"/>
              <w:bottom w:val="nil"/>
              <w:right w:val="nil"/>
            </w:tcBorders>
            <w:shd w:val="clear" w:color="000000" w:fill="FFFFFF"/>
            <w:noWrap/>
            <w:hideMark/>
          </w:tcPr>
          <w:p w14:paraId="56493AC4" w14:textId="097E6B46" w:rsidR="00CC17EC" w:rsidRPr="00D618B7" w:rsidRDefault="00CC17EC" w:rsidP="00CC17EC">
            <w:pPr>
              <w:jc w:val="right"/>
              <w:rPr>
                <w:color w:val="000000"/>
                <w:sz w:val="20"/>
                <w:szCs w:val="20"/>
              </w:rPr>
            </w:pPr>
            <w:r w:rsidRPr="00D618B7">
              <w:rPr>
                <w:sz w:val="20"/>
                <w:szCs w:val="20"/>
              </w:rPr>
              <w:t>-260.70</w:t>
            </w:r>
          </w:p>
        </w:tc>
        <w:tc>
          <w:tcPr>
            <w:tcW w:w="1084" w:type="dxa"/>
            <w:tcBorders>
              <w:top w:val="nil"/>
              <w:left w:val="nil"/>
              <w:bottom w:val="nil"/>
              <w:right w:val="nil"/>
            </w:tcBorders>
            <w:shd w:val="clear" w:color="000000" w:fill="FFFFFF"/>
            <w:noWrap/>
            <w:hideMark/>
          </w:tcPr>
          <w:p w14:paraId="526064AB" w14:textId="7FE940E0" w:rsidR="00CC17EC" w:rsidRPr="00D618B7" w:rsidRDefault="00CC17EC" w:rsidP="00CC17EC">
            <w:pPr>
              <w:jc w:val="right"/>
              <w:rPr>
                <w:color w:val="000000"/>
                <w:sz w:val="20"/>
                <w:szCs w:val="20"/>
              </w:rPr>
            </w:pPr>
            <w:r w:rsidRPr="00D618B7">
              <w:rPr>
                <w:sz w:val="20"/>
                <w:szCs w:val="20"/>
              </w:rPr>
              <w:t>30.24</w:t>
            </w:r>
          </w:p>
        </w:tc>
        <w:tc>
          <w:tcPr>
            <w:tcW w:w="1522" w:type="dxa"/>
            <w:tcBorders>
              <w:top w:val="nil"/>
              <w:left w:val="nil"/>
              <w:bottom w:val="nil"/>
              <w:right w:val="nil"/>
            </w:tcBorders>
            <w:shd w:val="clear" w:color="000000" w:fill="FFFFFF"/>
            <w:noWrap/>
            <w:hideMark/>
          </w:tcPr>
          <w:p w14:paraId="5702CA70" w14:textId="462AD59F" w:rsidR="00CC17EC" w:rsidRPr="00D618B7" w:rsidRDefault="00CC17EC" w:rsidP="00CC17EC">
            <w:pPr>
              <w:jc w:val="right"/>
              <w:rPr>
                <w:color w:val="000000"/>
                <w:sz w:val="20"/>
                <w:szCs w:val="20"/>
              </w:rPr>
            </w:pPr>
            <w:r w:rsidRPr="00D618B7">
              <w:rPr>
                <w:sz w:val="20"/>
                <w:szCs w:val="20"/>
              </w:rPr>
              <w:t>120.11</w:t>
            </w:r>
          </w:p>
        </w:tc>
        <w:tc>
          <w:tcPr>
            <w:tcW w:w="1060" w:type="dxa"/>
            <w:tcBorders>
              <w:top w:val="nil"/>
              <w:left w:val="nil"/>
              <w:bottom w:val="nil"/>
              <w:right w:val="nil"/>
            </w:tcBorders>
            <w:shd w:val="clear" w:color="000000" w:fill="FFFFFF"/>
            <w:noWrap/>
            <w:hideMark/>
          </w:tcPr>
          <w:p w14:paraId="211D0E1F" w14:textId="08D0B519" w:rsidR="00CC17EC" w:rsidRPr="00D618B7" w:rsidRDefault="00CC17EC" w:rsidP="00CC17EC">
            <w:pPr>
              <w:jc w:val="right"/>
              <w:rPr>
                <w:color w:val="000000"/>
                <w:sz w:val="20"/>
                <w:szCs w:val="20"/>
              </w:rPr>
            </w:pPr>
            <w:r w:rsidRPr="00D618B7">
              <w:rPr>
                <w:sz w:val="20"/>
                <w:szCs w:val="20"/>
              </w:rPr>
              <w:t>28.35</w:t>
            </w:r>
          </w:p>
        </w:tc>
        <w:tc>
          <w:tcPr>
            <w:tcW w:w="1575" w:type="dxa"/>
            <w:tcBorders>
              <w:top w:val="nil"/>
              <w:left w:val="nil"/>
              <w:bottom w:val="nil"/>
              <w:right w:val="nil"/>
            </w:tcBorders>
            <w:shd w:val="clear" w:color="000000" w:fill="FFFFFF"/>
            <w:noWrap/>
            <w:hideMark/>
          </w:tcPr>
          <w:p w14:paraId="72B37029" w14:textId="6E66FC88" w:rsidR="00CC17EC" w:rsidRPr="00D618B7" w:rsidRDefault="00CC17EC" w:rsidP="00CC17EC">
            <w:pPr>
              <w:jc w:val="right"/>
              <w:rPr>
                <w:color w:val="000000"/>
                <w:sz w:val="20"/>
                <w:szCs w:val="20"/>
              </w:rPr>
            </w:pPr>
            <w:r w:rsidRPr="00D618B7">
              <w:rPr>
                <w:sz w:val="20"/>
                <w:szCs w:val="20"/>
              </w:rPr>
              <w:t>-514.86</w:t>
            </w:r>
          </w:p>
        </w:tc>
        <w:tc>
          <w:tcPr>
            <w:tcW w:w="1098" w:type="dxa"/>
            <w:tcBorders>
              <w:top w:val="nil"/>
              <w:left w:val="nil"/>
              <w:bottom w:val="nil"/>
              <w:right w:val="nil"/>
            </w:tcBorders>
            <w:shd w:val="clear" w:color="000000" w:fill="FFFFFF"/>
            <w:noWrap/>
            <w:hideMark/>
          </w:tcPr>
          <w:p w14:paraId="68E2B7DF" w14:textId="23536549" w:rsidR="00CC17EC" w:rsidRPr="00D618B7" w:rsidRDefault="00CC17EC" w:rsidP="00CC17EC">
            <w:pPr>
              <w:jc w:val="right"/>
              <w:rPr>
                <w:color w:val="000000"/>
                <w:sz w:val="20"/>
                <w:szCs w:val="20"/>
              </w:rPr>
            </w:pPr>
            <w:r w:rsidRPr="00D618B7">
              <w:rPr>
                <w:sz w:val="20"/>
                <w:szCs w:val="20"/>
              </w:rPr>
              <w:t>257.55</w:t>
            </w:r>
          </w:p>
        </w:tc>
      </w:tr>
      <w:tr w:rsidR="00CC17EC" w:rsidRPr="00D618B7" w14:paraId="0850585E" w14:textId="77777777" w:rsidTr="00CC17EC">
        <w:trPr>
          <w:trHeight w:val="242"/>
        </w:trPr>
        <w:tc>
          <w:tcPr>
            <w:tcW w:w="1305" w:type="dxa"/>
            <w:tcBorders>
              <w:top w:val="nil"/>
              <w:left w:val="nil"/>
              <w:bottom w:val="nil"/>
              <w:right w:val="nil"/>
            </w:tcBorders>
            <w:shd w:val="clear" w:color="000000" w:fill="FFFFFF"/>
            <w:vAlign w:val="center"/>
            <w:hideMark/>
          </w:tcPr>
          <w:p w14:paraId="22A5E104" w14:textId="77777777" w:rsidR="00CC17EC" w:rsidRPr="00D618B7" w:rsidRDefault="00CC17EC" w:rsidP="00CC17EC">
            <w:pPr>
              <w:jc w:val="right"/>
              <w:rPr>
                <w:color w:val="000000"/>
                <w:sz w:val="20"/>
                <w:szCs w:val="20"/>
              </w:rPr>
            </w:pPr>
            <w:r w:rsidRPr="00D618B7">
              <w:rPr>
                <w:color w:val="000000"/>
                <w:sz w:val="20"/>
                <w:szCs w:val="20"/>
              </w:rPr>
              <w:t>-3</w:t>
            </w:r>
          </w:p>
        </w:tc>
        <w:tc>
          <w:tcPr>
            <w:tcW w:w="1093" w:type="dxa"/>
            <w:tcBorders>
              <w:top w:val="nil"/>
              <w:left w:val="nil"/>
              <w:bottom w:val="nil"/>
              <w:right w:val="nil"/>
            </w:tcBorders>
            <w:shd w:val="clear" w:color="000000" w:fill="FFFFFF"/>
            <w:noWrap/>
            <w:hideMark/>
          </w:tcPr>
          <w:p w14:paraId="50B627E6" w14:textId="21CC60DB" w:rsidR="00CC17EC" w:rsidRPr="00D618B7" w:rsidRDefault="00CC17EC" w:rsidP="00CC17EC">
            <w:pPr>
              <w:jc w:val="right"/>
              <w:rPr>
                <w:color w:val="000000"/>
                <w:sz w:val="20"/>
                <w:szCs w:val="20"/>
              </w:rPr>
            </w:pPr>
            <w:r w:rsidRPr="00D618B7">
              <w:rPr>
                <w:sz w:val="20"/>
                <w:szCs w:val="20"/>
              </w:rPr>
              <w:t>448.02</w:t>
            </w:r>
          </w:p>
        </w:tc>
        <w:tc>
          <w:tcPr>
            <w:tcW w:w="1084" w:type="dxa"/>
            <w:tcBorders>
              <w:top w:val="nil"/>
              <w:left w:val="nil"/>
              <w:bottom w:val="nil"/>
              <w:right w:val="nil"/>
            </w:tcBorders>
            <w:shd w:val="clear" w:color="000000" w:fill="FFFFFF"/>
            <w:noWrap/>
            <w:hideMark/>
          </w:tcPr>
          <w:p w14:paraId="77258D66" w14:textId="4DD160B6" w:rsidR="00CC17EC" w:rsidRPr="00D618B7" w:rsidRDefault="00CC17EC" w:rsidP="00CC17EC">
            <w:pPr>
              <w:jc w:val="right"/>
              <w:rPr>
                <w:color w:val="000000"/>
                <w:sz w:val="20"/>
                <w:szCs w:val="20"/>
              </w:rPr>
            </w:pPr>
            <w:r w:rsidRPr="00D618B7">
              <w:rPr>
                <w:sz w:val="20"/>
                <w:szCs w:val="20"/>
              </w:rPr>
              <w:t>38.80</w:t>
            </w:r>
          </w:p>
        </w:tc>
        <w:tc>
          <w:tcPr>
            <w:tcW w:w="1522" w:type="dxa"/>
            <w:tcBorders>
              <w:top w:val="nil"/>
              <w:left w:val="nil"/>
              <w:bottom w:val="nil"/>
              <w:right w:val="nil"/>
            </w:tcBorders>
            <w:shd w:val="clear" w:color="000000" w:fill="FFFFFF"/>
            <w:noWrap/>
            <w:hideMark/>
          </w:tcPr>
          <w:p w14:paraId="76AE8301" w14:textId="396CB9A5" w:rsidR="00CC17EC" w:rsidRPr="00D618B7" w:rsidRDefault="00CC17EC" w:rsidP="00CC17EC">
            <w:pPr>
              <w:jc w:val="right"/>
              <w:rPr>
                <w:color w:val="000000"/>
                <w:sz w:val="20"/>
                <w:szCs w:val="20"/>
              </w:rPr>
            </w:pPr>
            <w:r w:rsidRPr="00D618B7">
              <w:rPr>
                <w:sz w:val="20"/>
                <w:szCs w:val="20"/>
              </w:rPr>
              <w:t>-58.78</w:t>
            </w:r>
          </w:p>
        </w:tc>
        <w:tc>
          <w:tcPr>
            <w:tcW w:w="1060" w:type="dxa"/>
            <w:tcBorders>
              <w:top w:val="nil"/>
              <w:left w:val="nil"/>
              <w:bottom w:val="nil"/>
              <w:right w:val="nil"/>
            </w:tcBorders>
            <w:shd w:val="clear" w:color="000000" w:fill="FFFFFF"/>
            <w:noWrap/>
            <w:hideMark/>
          </w:tcPr>
          <w:p w14:paraId="1FE4AE6F" w14:textId="6B3F8D3A" w:rsidR="00CC17EC" w:rsidRPr="00D618B7" w:rsidRDefault="00CC17EC" w:rsidP="00CC17EC">
            <w:pPr>
              <w:jc w:val="right"/>
              <w:rPr>
                <w:color w:val="000000"/>
                <w:sz w:val="20"/>
                <w:szCs w:val="20"/>
              </w:rPr>
            </w:pPr>
            <w:r w:rsidRPr="00D618B7">
              <w:rPr>
                <w:sz w:val="20"/>
                <w:szCs w:val="20"/>
              </w:rPr>
              <w:t>50.14</w:t>
            </w:r>
          </w:p>
        </w:tc>
        <w:tc>
          <w:tcPr>
            <w:tcW w:w="1575" w:type="dxa"/>
            <w:tcBorders>
              <w:top w:val="nil"/>
              <w:left w:val="nil"/>
              <w:bottom w:val="nil"/>
              <w:right w:val="nil"/>
            </w:tcBorders>
            <w:shd w:val="clear" w:color="000000" w:fill="FFFFFF"/>
            <w:noWrap/>
            <w:hideMark/>
          </w:tcPr>
          <w:p w14:paraId="23048F8C" w14:textId="79663D67" w:rsidR="00CC17EC" w:rsidRPr="00D618B7" w:rsidRDefault="00CC17EC" w:rsidP="00CC17EC">
            <w:pPr>
              <w:jc w:val="right"/>
              <w:rPr>
                <w:color w:val="000000"/>
                <w:sz w:val="20"/>
                <w:szCs w:val="20"/>
              </w:rPr>
            </w:pPr>
            <w:r w:rsidRPr="00D618B7">
              <w:rPr>
                <w:sz w:val="20"/>
                <w:szCs w:val="20"/>
              </w:rPr>
              <w:t>284.84</w:t>
            </w:r>
          </w:p>
        </w:tc>
        <w:tc>
          <w:tcPr>
            <w:tcW w:w="1098" w:type="dxa"/>
            <w:tcBorders>
              <w:top w:val="nil"/>
              <w:left w:val="nil"/>
              <w:bottom w:val="nil"/>
              <w:right w:val="nil"/>
            </w:tcBorders>
            <w:shd w:val="clear" w:color="000000" w:fill="FFFFFF"/>
            <w:noWrap/>
            <w:hideMark/>
          </w:tcPr>
          <w:p w14:paraId="0103C2AF" w14:textId="7BBAD14C" w:rsidR="00CC17EC" w:rsidRPr="00D618B7" w:rsidRDefault="00CC17EC" w:rsidP="00CC17EC">
            <w:pPr>
              <w:jc w:val="right"/>
              <w:rPr>
                <w:color w:val="000000"/>
                <w:sz w:val="20"/>
                <w:szCs w:val="20"/>
              </w:rPr>
            </w:pPr>
            <w:r w:rsidRPr="00D618B7">
              <w:rPr>
                <w:sz w:val="20"/>
                <w:szCs w:val="20"/>
              </w:rPr>
              <w:t>192.60</w:t>
            </w:r>
          </w:p>
        </w:tc>
      </w:tr>
      <w:tr w:rsidR="00CC17EC" w:rsidRPr="00D618B7" w14:paraId="0F353E9F" w14:textId="77777777" w:rsidTr="00CC17EC">
        <w:trPr>
          <w:trHeight w:val="242"/>
        </w:trPr>
        <w:tc>
          <w:tcPr>
            <w:tcW w:w="1305" w:type="dxa"/>
            <w:tcBorders>
              <w:top w:val="nil"/>
              <w:left w:val="nil"/>
              <w:bottom w:val="nil"/>
              <w:right w:val="nil"/>
            </w:tcBorders>
            <w:shd w:val="clear" w:color="000000" w:fill="FFFFFF"/>
            <w:vAlign w:val="center"/>
            <w:hideMark/>
          </w:tcPr>
          <w:p w14:paraId="0D5AC8BF" w14:textId="77777777" w:rsidR="00CC17EC" w:rsidRPr="00D618B7" w:rsidRDefault="00CC17EC" w:rsidP="00CC17EC">
            <w:pPr>
              <w:jc w:val="right"/>
              <w:rPr>
                <w:color w:val="000000"/>
                <w:sz w:val="20"/>
                <w:szCs w:val="20"/>
              </w:rPr>
            </w:pPr>
            <w:r w:rsidRPr="00D618B7">
              <w:rPr>
                <w:color w:val="000000"/>
                <w:sz w:val="20"/>
                <w:szCs w:val="20"/>
              </w:rPr>
              <w:t>-2</w:t>
            </w:r>
          </w:p>
        </w:tc>
        <w:tc>
          <w:tcPr>
            <w:tcW w:w="1093" w:type="dxa"/>
            <w:tcBorders>
              <w:top w:val="nil"/>
              <w:left w:val="nil"/>
              <w:bottom w:val="nil"/>
              <w:right w:val="nil"/>
            </w:tcBorders>
            <w:shd w:val="clear" w:color="000000" w:fill="FFFFFF"/>
            <w:noWrap/>
            <w:hideMark/>
          </w:tcPr>
          <w:p w14:paraId="6ED40803" w14:textId="0F98D136" w:rsidR="00CC17EC" w:rsidRPr="00D618B7" w:rsidRDefault="00CC17EC" w:rsidP="00CC17EC">
            <w:pPr>
              <w:jc w:val="right"/>
              <w:rPr>
                <w:color w:val="000000"/>
                <w:sz w:val="20"/>
                <w:szCs w:val="20"/>
              </w:rPr>
            </w:pPr>
            <w:r w:rsidRPr="00D618B7">
              <w:rPr>
                <w:sz w:val="20"/>
                <w:szCs w:val="20"/>
              </w:rPr>
              <w:t>-267.50</w:t>
            </w:r>
          </w:p>
        </w:tc>
        <w:tc>
          <w:tcPr>
            <w:tcW w:w="1084" w:type="dxa"/>
            <w:tcBorders>
              <w:top w:val="nil"/>
              <w:left w:val="nil"/>
              <w:bottom w:val="nil"/>
              <w:right w:val="nil"/>
            </w:tcBorders>
            <w:shd w:val="clear" w:color="000000" w:fill="FFFFFF"/>
            <w:noWrap/>
            <w:hideMark/>
          </w:tcPr>
          <w:p w14:paraId="57443B42" w14:textId="08A75B48" w:rsidR="00CC17EC" w:rsidRPr="00D618B7" w:rsidRDefault="00CC17EC" w:rsidP="00CC17EC">
            <w:pPr>
              <w:jc w:val="right"/>
              <w:rPr>
                <w:color w:val="000000"/>
                <w:sz w:val="20"/>
                <w:szCs w:val="20"/>
              </w:rPr>
            </w:pPr>
            <w:r w:rsidRPr="00D618B7">
              <w:rPr>
                <w:sz w:val="20"/>
                <w:szCs w:val="20"/>
              </w:rPr>
              <w:t>112.40</w:t>
            </w:r>
          </w:p>
        </w:tc>
        <w:tc>
          <w:tcPr>
            <w:tcW w:w="1522" w:type="dxa"/>
            <w:tcBorders>
              <w:top w:val="nil"/>
              <w:left w:val="nil"/>
              <w:bottom w:val="nil"/>
              <w:right w:val="nil"/>
            </w:tcBorders>
            <w:shd w:val="clear" w:color="000000" w:fill="FFFFFF"/>
            <w:noWrap/>
            <w:hideMark/>
          </w:tcPr>
          <w:p w14:paraId="6FA2453D" w14:textId="2E49AF18" w:rsidR="00CC17EC" w:rsidRPr="00D618B7" w:rsidRDefault="00CC17EC" w:rsidP="00CC17EC">
            <w:pPr>
              <w:jc w:val="right"/>
              <w:rPr>
                <w:color w:val="000000"/>
                <w:sz w:val="20"/>
                <w:szCs w:val="20"/>
              </w:rPr>
            </w:pPr>
            <w:r w:rsidRPr="00D618B7">
              <w:rPr>
                <w:sz w:val="20"/>
                <w:szCs w:val="20"/>
              </w:rPr>
              <w:t>-39.46</w:t>
            </w:r>
          </w:p>
        </w:tc>
        <w:tc>
          <w:tcPr>
            <w:tcW w:w="1060" w:type="dxa"/>
            <w:tcBorders>
              <w:top w:val="nil"/>
              <w:left w:val="nil"/>
              <w:bottom w:val="nil"/>
              <w:right w:val="nil"/>
            </w:tcBorders>
            <w:shd w:val="clear" w:color="000000" w:fill="FFFFFF"/>
            <w:noWrap/>
            <w:hideMark/>
          </w:tcPr>
          <w:p w14:paraId="3F473570" w14:textId="2D12B348" w:rsidR="00CC17EC" w:rsidRPr="00D618B7" w:rsidRDefault="00CC17EC" w:rsidP="00CC17EC">
            <w:pPr>
              <w:jc w:val="right"/>
              <w:rPr>
                <w:color w:val="000000"/>
                <w:sz w:val="20"/>
                <w:szCs w:val="20"/>
              </w:rPr>
            </w:pPr>
            <w:r w:rsidRPr="00D618B7">
              <w:rPr>
                <w:sz w:val="20"/>
                <w:szCs w:val="20"/>
              </w:rPr>
              <w:t>78.54</w:t>
            </w:r>
          </w:p>
        </w:tc>
        <w:tc>
          <w:tcPr>
            <w:tcW w:w="1575" w:type="dxa"/>
            <w:tcBorders>
              <w:top w:val="nil"/>
              <w:left w:val="nil"/>
              <w:bottom w:val="nil"/>
              <w:right w:val="nil"/>
            </w:tcBorders>
            <w:shd w:val="clear" w:color="000000" w:fill="FFFFFF"/>
            <w:noWrap/>
            <w:hideMark/>
          </w:tcPr>
          <w:p w14:paraId="29D9E254" w14:textId="3289190E" w:rsidR="00CC17EC" w:rsidRPr="00D618B7" w:rsidRDefault="00CC17EC" w:rsidP="00CC17EC">
            <w:pPr>
              <w:jc w:val="right"/>
              <w:rPr>
                <w:color w:val="000000"/>
                <w:sz w:val="20"/>
                <w:szCs w:val="20"/>
              </w:rPr>
            </w:pPr>
            <w:r w:rsidRPr="00D618B7">
              <w:rPr>
                <w:sz w:val="20"/>
                <w:szCs w:val="20"/>
              </w:rPr>
              <w:t>-171.69</w:t>
            </w:r>
          </w:p>
        </w:tc>
        <w:tc>
          <w:tcPr>
            <w:tcW w:w="1098" w:type="dxa"/>
            <w:tcBorders>
              <w:top w:val="nil"/>
              <w:left w:val="nil"/>
              <w:bottom w:val="nil"/>
              <w:right w:val="nil"/>
            </w:tcBorders>
            <w:shd w:val="clear" w:color="000000" w:fill="FFFFFF"/>
            <w:noWrap/>
            <w:hideMark/>
          </w:tcPr>
          <w:p w14:paraId="26CC85C9" w14:textId="2F3D1377" w:rsidR="00CC17EC" w:rsidRPr="00D618B7" w:rsidRDefault="00CC17EC" w:rsidP="00CC17EC">
            <w:pPr>
              <w:jc w:val="right"/>
              <w:rPr>
                <w:color w:val="000000"/>
                <w:sz w:val="20"/>
                <w:szCs w:val="20"/>
              </w:rPr>
            </w:pPr>
            <w:r w:rsidRPr="00D618B7">
              <w:rPr>
                <w:sz w:val="20"/>
                <w:szCs w:val="20"/>
              </w:rPr>
              <w:t>90.91</w:t>
            </w:r>
          </w:p>
        </w:tc>
      </w:tr>
      <w:tr w:rsidR="00CC17EC" w:rsidRPr="00D618B7" w14:paraId="7FED321B" w14:textId="77777777" w:rsidTr="00CC17EC">
        <w:trPr>
          <w:trHeight w:val="242"/>
        </w:trPr>
        <w:tc>
          <w:tcPr>
            <w:tcW w:w="1305" w:type="dxa"/>
            <w:tcBorders>
              <w:top w:val="nil"/>
              <w:left w:val="nil"/>
              <w:bottom w:val="nil"/>
              <w:right w:val="nil"/>
            </w:tcBorders>
            <w:shd w:val="clear" w:color="000000" w:fill="FFFFFF"/>
            <w:vAlign w:val="center"/>
            <w:hideMark/>
          </w:tcPr>
          <w:p w14:paraId="08B021FF" w14:textId="77777777" w:rsidR="00CC17EC" w:rsidRPr="00D618B7" w:rsidRDefault="00CC17EC" w:rsidP="00CC17EC">
            <w:pPr>
              <w:jc w:val="right"/>
              <w:rPr>
                <w:color w:val="000000"/>
                <w:sz w:val="20"/>
                <w:szCs w:val="20"/>
              </w:rPr>
            </w:pPr>
            <w:r w:rsidRPr="00D618B7">
              <w:rPr>
                <w:color w:val="000000"/>
                <w:sz w:val="20"/>
                <w:szCs w:val="20"/>
              </w:rPr>
              <w:t>-1</w:t>
            </w:r>
          </w:p>
        </w:tc>
        <w:tc>
          <w:tcPr>
            <w:tcW w:w="1093" w:type="dxa"/>
            <w:tcBorders>
              <w:top w:val="nil"/>
              <w:left w:val="nil"/>
              <w:bottom w:val="nil"/>
              <w:right w:val="nil"/>
            </w:tcBorders>
            <w:shd w:val="clear" w:color="000000" w:fill="FFFFFF"/>
            <w:noWrap/>
            <w:hideMark/>
          </w:tcPr>
          <w:p w14:paraId="6814EB02" w14:textId="5EB9BBBE" w:rsidR="00CC17EC" w:rsidRPr="00D618B7" w:rsidRDefault="00CC17EC" w:rsidP="00CC17EC">
            <w:pPr>
              <w:jc w:val="right"/>
              <w:rPr>
                <w:color w:val="000000"/>
                <w:sz w:val="20"/>
                <w:szCs w:val="20"/>
              </w:rPr>
            </w:pPr>
            <w:r w:rsidRPr="00D618B7">
              <w:rPr>
                <w:sz w:val="20"/>
                <w:szCs w:val="20"/>
              </w:rPr>
              <w:t>46.11</w:t>
            </w:r>
          </w:p>
        </w:tc>
        <w:tc>
          <w:tcPr>
            <w:tcW w:w="1084" w:type="dxa"/>
            <w:tcBorders>
              <w:top w:val="nil"/>
              <w:left w:val="nil"/>
              <w:bottom w:val="nil"/>
              <w:right w:val="nil"/>
            </w:tcBorders>
            <w:shd w:val="clear" w:color="000000" w:fill="FFFFFF"/>
            <w:noWrap/>
            <w:hideMark/>
          </w:tcPr>
          <w:p w14:paraId="05888E7C" w14:textId="22CBE418" w:rsidR="00CC17EC" w:rsidRPr="00D618B7" w:rsidRDefault="00CC17EC" w:rsidP="00CC17EC">
            <w:pPr>
              <w:jc w:val="right"/>
              <w:rPr>
                <w:color w:val="000000"/>
                <w:sz w:val="20"/>
                <w:szCs w:val="20"/>
              </w:rPr>
            </w:pPr>
            <w:r w:rsidRPr="00D618B7">
              <w:rPr>
                <w:sz w:val="20"/>
                <w:szCs w:val="20"/>
              </w:rPr>
              <w:t>48.77</w:t>
            </w:r>
          </w:p>
        </w:tc>
        <w:tc>
          <w:tcPr>
            <w:tcW w:w="1522" w:type="dxa"/>
            <w:tcBorders>
              <w:top w:val="nil"/>
              <w:left w:val="nil"/>
              <w:bottom w:val="nil"/>
              <w:right w:val="nil"/>
            </w:tcBorders>
            <w:shd w:val="clear" w:color="000000" w:fill="FFFFFF"/>
            <w:noWrap/>
            <w:hideMark/>
          </w:tcPr>
          <w:p w14:paraId="62CEEDF5" w14:textId="50F12CFD" w:rsidR="00CC17EC" w:rsidRPr="00D618B7" w:rsidRDefault="00CC17EC" w:rsidP="00CC17EC">
            <w:pPr>
              <w:jc w:val="right"/>
              <w:rPr>
                <w:color w:val="000000"/>
                <w:sz w:val="20"/>
                <w:szCs w:val="20"/>
              </w:rPr>
            </w:pPr>
            <w:r w:rsidRPr="00D618B7">
              <w:rPr>
                <w:sz w:val="20"/>
                <w:szCs w:val="20"/>
              </w:rPr>
              <w:t>91.80</w:t>
            </w:r>
          </w:p>
        </w:tc>
        <w:tc>
          <w:tcPr>
            <w:tcW w:w="1060" w:type="dxa"/>
            <w:tcBorders>
              <w:top w:val="nil"/>
              <w:left w:val="nil"/>
              <w:bottom w:val="nil"/>
              <w:right w:val="nil"/>
            </w:tcBorders>
            <w:shd w:val="clear" w:color="000000" w:fill="FFFFFF"/>
            <w:noWrap/>
            <w:hideMark/>
          </w:tcPr>
          <w:p w14:paraId="378BB1B6" w14:textId="77FBE80A" w:rsidR="00CC17EC" w:rsidRPr="00D618B7" w:rsidRDefault="00CC17EC" w:rsidP="00CC17EC">
            <w:pPr>
              <w:jc w:val="right"/>
              <w:rPr>
                <w:color w:val="000000"/>
                <w:sz w:val="20"/>
                <w:szCs w:val="20"/>
              </w:rPr>
            </w:pPr>
            <w:r w:rsidRPr="00D618B7">
              <w:rPr>
                <w:sz w:val="20"/>
                <w:szCs w:val="20"/>
              </w:rPr>
              <w:t>12.41</w:t>
            </w:r>
          </w:p>
        </w:tc>
        <w:tc>
          <w:tcPr>
            <w:tcW w:w="1575" w:type="dxa"/>
            <w:tcBorders>
              <w:top w:val="nil"/>
              <w:left w:val="nil"/>
              <w:bottom w:val="nil"/>
              <w:right w:val="nil"/>
            </w:tcBorders>
            <w:shd w:val="clear" w:color="000000" w:fill="FFFFFF"/>
            <w:noWrap/>
            <w:hideMark/>
          </w:tcPr>
          <w:p w14:paraId="052D6791" w14:textId="59C737AB" w:rsidR="00CC17EC" w:rsidRPr="00D618B7" w:rsidRDefault="00CC17EC" w:rsidP="00CC17EC">
            <w:pPr>
              <w:jc w:val="right"/>
              <w:rPr>
                <w:color w:val="000000"/>
                <w:sz w:val="20"/>
                <w:szCs w:val="20"/>
              </w:rPr>
            </w:pPr>
            <w:r w:rsidRPr="00D618B7">
              <w:rPr>
                <w:sz w:val="20"/>
                <w:szCs w:val="20"/>
              </w:rPr>
              <w:t>3164.97</w:t>
            </w:r>
          </w:p>
        </w:tc>
        <w:tc>
          <w:tcPr>
            <w:tcW w:w="1098" w:type="dxa"/>
            <w:tcBorders>
              <w:top w:val="nil"/>
              <w:left w:val="nil"/>
              <w:bottom w:val="nil"/>
              <w:right w:val="nil"/>
            </w:tcBorders>
            <w:shd w:val="clear" w:color="000000" w:fill="FFFFFF"/>
            <w:noWrap/>
            <w:hideMark/>
          </w:tcPr>
          <w:p w14:paraId="39EACDFD" w14:textId="499F6219" w:rsidR="00CC17EC" w:rsidRPr="00D618B7" w:rsidRDefault="00CC17EC" w:rsidP="00CC17EC">
            <w:pPr>
              <w:jc w:val="right"/>
              <w:rPr>
                <w:color w:val="000000"/>
                <w:sz w:val="20"/>
                <w:szCs w:val="20"/>
              </w:rPr>
            </w:pPr>
            <w:r w:rsidRPr="00D618B7">
              <w:rPr>
                <w:sz w:val="20"/>
                <w:szCs w:val="20"/>
              </w:rPr>
              <w:t>1294.87</w:t>
            </w:r>
          </w:p>
        </w:tc>
      </w:tr>
      <w:tr w:rsidR="00CC17EC" w:rsidRPr="00D618B7" w14:paraId="6C04D215" w14:textId="77777777" w:rsidTr="00CC17EC">
        <w:trPr>
          <w:trHeight w:val="242"/>
        </w:trPr>
        <w:tc>
          <w:tcPr>
            <w:tcW w:w="1305" w:type="dxa"/>
            <w:tcBorders>
              <w:top w:val="nil"/>
              <w:left w:val="nil"/>
              <w:bottom w:val="nil"/>
              <w:right w:val="nil"/>
            </w:tcBorders>
            <w:shd w:val="clear" w:color="000000" w:fill="FFFFFF"/>
            <w:vAlign w:val="center"/>
            <w:hideMark/>
          </w:tcPr>
          <w:p w14:paraId="49A835C9" w14:textId="77777777" w:rsidR="00CC17EC" w:rsidRPr="00D618B7" w:rsidRDefault="00CC17EC" w:rsidP="00CC17EC">
            <w:pPr>
              <w:jc w:val="right"/>
              <w:rPr>
                <w:color w:val="000000"/>
                <w:sz w:val="20"/>
                <w:szCs w:val="20"/>
              </w:rPr>
            </w:pPr>
            <w:r w:rsidRPr="00D618B7">
              <w:rPr>
                <w:color w:val="000000"/>
                <w:sz w:val="20"/>
                <w:szCs w:val="20"/>
              </w:rPr>
              <w:t>0</w:t>
            </w:r>
          </w:p>
        </w:tc>
        <w:tc>
          <w:tcPr>
            <w:tcW w:w="1093" w:type="dxa"/>
            <w:tcBorders>
              <w:top w:val="nil"/>
              <w:left w:val="nil"/>
              <w:bottom w:val="nil"/>
              <w:right w:val="nil"/>
            </w:tcBorders>
            <w:shd w:val="clear" w:color="000000" w:fill="FFFFFF"/>
            <w:noWrap/>
            <w:hideMark/>
          </w:tcPr>
          <w:p w14:paraId="55244326" w14:textId="7DC9BEF7" w:rsidR="00CC17EC" w:rsidRPr="00D618B7" w:rsidRDefault="00CC17EC" w:rsidP="00CC17EC">
            <w:pPr>
              <w:jc w:val="right"/>
              <w:rPr>
                <w:color w:val="000000"/>
                <w:sz w:val="20"/>
                <w:szCs w:val="20"/>
              </w:rPr>
            </w:pPr>
            <w:r w:rsidRPr="00D618B7">
              <w:rPr>
                <w:sz w:val="20"/>
                <w:szCs w:val="20"/>
              </w:rPr>
              <w:t>24.58</w:t>
            </w:r>
          </w:p>
        </w:tc>
        <w:tc>
          <w:tcPr>
            <w:tcW w:w="1084" w:type="dxa"/>
            <w:tcBorders>
              <w:top w:val="nil"/>
              <w:left w:val="nil"/>
              <w:bottom w:val="nil"/>
              <w:right w:val="nil"/>
            </w:tcBorders>
            <w:shd w:val="clear" w:color="000000" w:fill="FFFFFF"/>
            <w:noWrap/>
            <w:hideMark/>
          </w:tcPr>
          <w:p w14:paraId="6B30EE8E" w14:textId="5D383891" w:rsidR="00CC17EC" w:rsidRPr="00D618B7" w:rsidRDefault="00CC17EC" w:rsidP="00CC17EC">
            <w:pPr>
              <w:jc w:val="right"/>
              <w:rPr>
                <w:color w:val="000000"/>
                <w:sz w:val="20"/>
                <w:szCs w:val="20"/>
              </w:rPr>
            </w:pPr>
            <w:r w:rsidRPr="00D618B7">
              <w:rPr>
                <w:sz w:val="20"/>
                <w:szCs w:val="20"/>
              </w:rPr>
              <w:t>45.75</w:t>
            </w:r>
          </w:p>
        </w:tc>
        <w:tc>
          <w:tcPr>
            <w:tcW w:w="1522" w:type="dxa"/>
            <w:tcBorders>
              <w:top w:val="nil"/>
              <w:left w:val="nil"/>
              <w:bottom w:val="nil"/>
              <w:right w:val="nil"/>
            </w:tcBorders>
            <w:shd w:val="clear" w:color="000000" w:fill="FFFFFF"/>
            <w:noWrap/>
            <w:hideMark/>
          </w:tcPr>
          <w:p w14:paraId="4F3CB10D" w14:textId="162992D7" w:rsidR="00CC17EC" w:rsidRPr="00D618B7" w:rsidRDefault="00CC17EC" w:rsidP="00CC17EC">
            <w:pPr>
              <w:jc w:val="right"/>
              <w:rPr>
                <w:color w:val="000000"/>
                <w:sz w:val="20"/>
                <w:szCs w:val="20"/>
              </w:rPr>
            </w:pPr>
            <w:r w:rsidRPr="00D618B7">
              <w:rPr>
                <w:sz w:val="20"/>
                <w:szCs w:val="20"/>
              </w:rPr>
              <w:t>-136.95</w:t>
            </w:r>
          </w:p>
        </w:tc>
        <w:tc>
          <w:tcPr>
            <w:tcW w:w="1060" w:type="dxa"/>
            <w:tcBorders>
              <w:top w:val="nil"/>
              <w:left w:val="nil"/>
              <w:bottom w:val="nil"/>
              <w:right w:val="nil"/>
            </w:tcBorders>
            <w:shd w:val="clear" w:color="000000" w:fill="FFFFFF"/>
            <w:noWrap/>
            <w:hideMark/>
          </w:tcPr>
          <w:p w14:paraId="6661161D" w14:textId="2B4B40B9" w:rsidR="00CC17EC" w:rsidRPr="00D618B7" w:rsidRDefault="00CC17EC" w:rsidP="00CC17EC">
            <w:pPr>
              <w:jc w:val="right"/>
              <w:rPr>
                <w:color w:val="000000"/>
                <w:sz w:val="20"/>
                <w:szCs w:val="20"/>
              </w:rPr>
            </w:pPr>
            <w:r w:rsidRPr="00D618B7">
              <w:rPr>
                <w:sz w:val="20"/>
                <w:szCs w:val="20"/>
              </w:rPr>
              <w:t>75.99</w:t>
            </w:r>
          </w:p>
        </w:tc>
        <w:tc>
          <w:tcPr>
            <w:tcW w:w="1575" w:type="dxa"/>
            <w:tcBorders>
              <w:top w:val="nil"/>
              <w:left w:val="nil"/>
              <w:bottom w:val="nil"/>
              <w:right w:val="nil"/>
            </w:tcBorders>
            <w:shd w:val="clear" w:color="000000" w:fill="FFFFFF"/>
            <w:noWrap/>
            <w:hideMark/>
          </w:tcPr>
          <w:p w14:paraId="359A40EF" w14:textId="4A9A290A" w:rsidR="00CC17EC" w:rsidRPr="00D618B7" w:rsidRDefault="00CC17EC" w:rsidP="00CC17EC">
            <w:pPr>
              <w:jc w:val="right"/>
              <w:rPr>
                <w:color w:val="000000"/>
                <w:sz w:val="20"/>
                <w:szCs w:val="20"/>
              </w:rPr>
            </w:pPr>
            <w:r w:rsidRPr="00D618B7">
              <w:rPr>
                <w:sz w:val="20"/>
                <w:szCs w:val="20"/>
              </w:rPr>
              <w:t>-366.21</w:t>
            </w:r>
          </w:p>
        </w:tc>
        <w:tc>
          <w:tcPr>
            <w:tcW w:w="1098" w:type="dxa"/>
            <w:tcBorders>
              <w:top w:val="nil"/>
              <w:left w:val="nil"/>
              <w:bottom w:val="nil"/>
              <w:right w:val="nil"/>
            </w:tcBorders>
            <w:shd w:val="clear" w:color="000000" w:fill="FFFFFF"/>
            <w:noWrap/>
            <w:hideMark/>
          </w:tcPr>
          <w:p w14:paraId="79B9E7F6" w14:textId="0CAF1004" w:rsidR="00CC17EC" w:rsidRPr="00D618B7" w:rsidRDefault="00CC17EC" w:rsidP="00CC17EC">
            <w:pPr>
              <w:jc w:val="right"/>
              <w:rPr>
                <w:color w:val="000000"/>
                <w:sz w:val="20"/>
                <w:szCs w:val="20"/>
              </w:rPr>
            </w:pPr>
            <w:r w:rsidRPr="00D618B7">
              <w:rPr>
                <w:sz w:val="20"/>
                <w:szCs w:val="20"/>
              </w:rPr>
              <w:t>246.02</w:t>
            </w:r>
          </w:p>
        </w:tc>
      </w:tr>
      <w:tr w:rsidR="00CC17EC" w:rsidRPr="00D618B7" w14:paraId="76543291" w14:textId="77777777" w:rsidTr="00CC17EC">
        <w:trPr>
          <w:trHeight w:val="242"/>
        </w:trPr>
        <w:tc>
          <w:tcPr>
            <w:tcW w:w="1305" w:type="dxa"/>
            <w:tcBorders>
              <w:top w:val="nil"/>
              <w:left w:val="nil"/>
              <w:bottom w:val="nil"/>
              <w:right w:val="nil"/>
            </w:tcBorders>
            <w:shd w:val="clear" w:color="000000" w:fill="FFFFFF"/>
            <w:vAlign w:val="center"/>
            <w:hideMark/>
          </w:tcPr>
          <w:p w14:paraId="0FFC6A71" w14:textId="77777777" w:rsidR="00CC17EC" w:rsidRPr="00D618B7" w:rsidRDefault="00CC17EC" w:rsidP="00CC17EC">
            <w:pPr>
              <w:jc w:val="right"/>
              <w:rPr>
                <w:color w:val="000000"/>
                <w:sz w:val="20"/>
                <w:szCs w:val="20"/>
              </w:rPr>
            </w:pPr>
            <w:r w:rsidRPr="00D618B7">
              <w:rPr>
                <w:color w:val="000000"/>
                <w:sz w:val="20"/>
                <w:szCs w:val="20"/>
              </w:rPr>
              <w:t>1</w:t>
            </w:r>
          </w:p>
        </w:tc>
        <w:tc>
          <w:tcPr>
            <w:tcW w:w="1093" w:type="dxa"/>
            <w:tcBorders>
              <w:top w:val="nil"/>
              <w:left w:val="nil"/>
              <w:bottom w:val="nil"/>
              <w:right w:val="nil"/>
            </w:tcBorders>
            <w:shd w:val="clear" w:color="000000" w:fill="FFFFFF"/>
            <w:noWrap/>
            <w:hideMark/>
          </w:tcPr>
          <w:p w14:paraId="618C196F" w14:textId="0E1D564A" w:rsidR="00CC17EC" w:rsidRPr="00D618B7" w:rsidRDefault="00CC17EC" w:rsidP="00CC17EC">
            <w:pPr>
              <w:jc w:val="right"/>
              <w:rPr>
                <w:color w:val="000000"/>
                <w:sz w:val="20"/>
                <w:szCs w:val="20"/>
              </w:rPr>
            </w:pPr>
            <w:r w:rsidRPr="00D618B7">
              <w:rPr>
                <w:sz w:val="20"/>
                <w:szCs w:val="20"/>
              </w:rPr>
              <w:t>-135.96</w:t>
            </w:r>
          </w:p>
        </w:tc>
        <w:tc>
          <w:tcPr>
            <w:tcW w:w="1084" w:type="dxa"/>
            <w:tcBorders>
              <w:top w:val="nil"/>
              <w:left w:val="nil"/>
              <w:bottom w:val="nil"/>
              <w:right w:val="nil"/>
            </w:tcBorders>
            <w:shd w:val="clear" w:color="000000" w:fill="FFFFFF"/>
            <w:noWrap/>
            <w:hideMark/>
          </w:tcPr>
          <w:p w14:paraId="56B8B3DB" w14:textId="6332F83B" w:rsidR="00CC17EC" w:rsidRPr="00D618B7" w:rsidRDefault="00CC17EC" w:rsidP="00CC17EC">
            <w:pPr>
              <w:jc w:val="right"/>
              <w:rPr>
                <w:color w:val="000000"/>
                <w:sz w:val="20"/>
                <w:szCs w:val="20"/>
              </w:rPr>
            </w:pPr>
            <w:r w:rsidRPr="00D618B7">
              <w:rPr>
                <w:sz w:val="20"/>
                <w:szCs w:val="20"/>
              </w:rPr>
              <w:t>97.06</w:t>
            </w:r>
          </w:p>
        </w:tc>
        <w:tc>
          <w:tcPr>
            <w:tcW w:w="1522" w:type="dxa"/>
            <w:tcBorders>
              <w:top w:val="nil"/>
              <w:left w:val="nil"/>
              <w:bottom w:val="nil"/>
              <w:right w:val="nil"/>
            </w:tcBorders>
            <w:shd w:val="clear" w:color="000000" w:fill="FFFFFF"/>
            <w:noWrap/>
            <w:hideMark/>
          </w:tcPr>
          <w:p w14:paraId="06D8AE0E" w14:textId="3627966E" w:rsidR="00CC17EC" w:rsidRPr="00D618B7" w:rsidRDefault="00CC17EC" w:rsidP="00CC17EC">
            <w:pPr>
              <w:jc w:val="right"/>
              <w:rPr>
                <w:color w:val="000000"/>
                <w:sz w:val="20"/>
                <w:szCs w:val="20"/>
              </w:rPr>
            </w:pPr>
            <w:r w:rsidRPr="00D618B7">
              <w:rPr>
                <w:sz w:val="20"/>
                <w:szCs w:val="20"/>
              </w:rPr>
              <w:t>237.95</w:t>
            </w:r>
          </w:p>
        </w:tc>
        <w:tc>
          <w:tcPr>
            <w:tcW w:w="1060" w:type="dxa"/>
            <w:tcBorders>
              <w:top w:val="nil"/>
              <w:left w:val="nil"/>
              <w:bottom w:val="nil"/>
              <w:right w:val="nil"/>
            </w:tcBorders>
            <w:shd w:val="clear" w:color="000000" w:fill="FFFFFF"/>
            <w:noWrap/>
            <w:hideMark/>
          </w:tcPr>
          <w:p w14:paraId="419A0C3A" w14:textId="77D13650" w:rsidR="00CC17EC" w:rsidRPr="00D618B7" w:rsidRDefault="00CC17EC" w:rsidP="00CC17EC">
            <w:pPr>
              <w:jc w:val="right"/>
              <w:rPr>
                <w:color w:val="000000"/>
                <w:sz w:val="20"/>
                <w:szCs w:val="20"/>
              </w:rPr>
            </w:pPr>
            <w:r w:rsidRPr="00D618B7">
              <w:rPr>
                <w:sz w:val="20"/>
                <w:szCs w:val="20"/>
              </w:rPr>
              <w:t>34.98</w:t>
            </w:r>
          </w:p>
        </w:tc>
        <w:tc>
          <w:tcPr>
            <w:tcW w:w="1575" w:type="dxa"/>
            <w:tcBorders>
              <w:top w:val="nil"/>
              <w:left w:val="nil"/>
              <w:bottom w:val="nil"/>
              <w:right w:val="nil"/>
            </w:tcBorders>
            <w:shd w:val="clear" w:color="000000" w:fill="FFFFFF"/>
            <w:noWrap/>
            <w:hideMark/>
          </w:tcPr>
          <w:p w14:paraId="4DD3EF4D" w14:textId="7C7DFE91" w:rsidR="00CC17EC" w:rsidRPr="00D618B7" w:rsidRDefault="00CC17EC" w:rsidP="00CC17EC">
            <w:pPr>
              <w:jc w:val="right"/>
              <w:rPr>
                <w:color w:val="000000"/>
                <w:sz w:val="20"/>
                <w:szCs w:val="20"/>
              </w:rPr>
            </w:pPr>
            <w:r w:rsidRPr="00D618B7">
              <w:rPr>
                <w:sz w:val="20"/>
                <w:szCs w:val="20"/>
              </w:rPr>
              <w:t>783.90</w:t>
            </w:r>
          </w:p>
        </w:tc>
        <w:tc>
          <w:tcPr>
            <w:tcW w:w="1098" w:type="dxa"/>
            <w:tcBorders>
              <w:top w:val="nil"/>
              <w:left w:val="nil"/>
              <w:bottom w:val="nil"/>
              <w:right w:val="nil"/>
            </w:tcBorders>
            <w:shd w:val="clear" w:color="000000" w:fill="FFFFFF"/>
            <w:noWrap/>
            <w:hideMark/>
          </w:tcPr>
          <w:p w14:paraId="56903BD5" w14:textId="60E68B6C" w:rsidR="00CC17EC" w:rsidRPr="00D618B7" w:rsidRDefault="00CC17EC" w:rsidP="00CC17EC">
            <w:pPr>
              <w:jc w:val="right"/>
              <w:rPr>
                <w:color w:val="000000"/>
                <w:sz w:val="20"/>
                <w:szCs w:val="20"/>
              </w:rPr>
            </w:pPr>
            <w:r w:rsidRPr="00D618B7">
              <w:rPr>
                <w:sz w:val="20"/>
                <w:szCs w:val="20"/>
              </w:rPr>
              <w:t>201.26</w:t>
            </w:r>
          </w:p>
        </w:tc>
      </w:tr>
      <w:tr w:rsidR="00CC17EC" w:rsidRPr="00D618B7" w14:paraId="26599E9D" w14:textId="77777777" w:rsidTr="00CC17EC">
        <w:trPr>
          <w:trHeight w:val="242"/>
        </w:trPr>
        <w:tc>
          <w:tcPr>
            <w:tcW w:w="1305" w:type="dxa"/>
            <w:tcBorders>
              <w:top w:val="nil"/>
              <w:left w:val="nil"/>
              <w:bottom w:val="nil"/>
              <w:right w:val="nil"/>
            </w:tcBorders>
            <w:shd w:val="clear" w:color="000000" w:fill="FFFFFF"/>
            <w:vAlign w:val="center"/>
            <w:hideMark/>
          </w:tcPr>
          <w:p w14:paraId="1724DCDD" w14:textId="77777777" w:rsidR="00CC17EC" w:rsidRPr="00D618B7" w:rsidRDefault="00CC17EC" w:rsidP="00CC17EC">
            <w:pPr>
              <w:jc w:val="right"/>
              <w:rPr>
                <w:color w:val="000000"/>
                <w:sz w:val="20"/>
                <w:szCs w:val="20"/>
              </w:rPr>
            </w:pPr>
            <w:r w:rsidRPr="00D618B7">
              <w:rPr>
                <w:color w:val="000000"/>
                <w:sz w:val="20"/>
                <w:szCs w:val="20"/>
              </w:rPr>
              <w:t>2</w:t>
            </w:r>
          </w:p>
        </w:tc>
        <w:tc>
          <w:tcPr>
            <w:tcW w:w="1093" w:type="dxa"/>
            <w:tcBorders>
              <w:top w:val="nil"/>
              <w:left w:val="nil"/>
              <w:bottom w:val="nil"/>
              <w:right w:val="nil"/>
            </w:tcBorders>
            <w:shd w:val="clear" w:color="000000" w:fill="FFFFFF"/>
            <w:noWrap/>
            <w:hideMark/>
          </w:tcPr>
          <w:p w14:paraId="7C39CB3F" w14:textId="43F5A2AB" w:rsidR="00CC17EC" w:rsidRPr="00D618B7" w:rsidRDefault="00CC17EC" w:rsidP="00CC17EC">
            <w:pPr>
              <w:jc w:val="right"/>
              <w:rPr>
                <w:color w:val="000000"/>
                <w:sz w:val="20"/>
                <w:szCs w:val="20"/>
              </w:rPr>
            </w:pPr>
            <w:r w:rsidRPr="00D618B7">
              <w:rPr>
                <w:sz w:val="20"/>
                <w:szCs w:val="20"/>
              </w:rPr>
              <w:t>205.08</w:t>
            </w:r>
          </w:p>
        </w:tc>
        <w:tc>
          <w:tcPr>
            <w:tcW w:w="1084" w:type="dxa"/>
            <w:tcBorders>
              <w:top w:val="nil"/>
              <w:left w:val="nil"/>
              <w:bottom w:val="nil"/>
              <w:right w:val="nil"/>
            </w:tcBorders>
            <w:shd w:val="clear" w:color="000000" w:fill="FFFFFF"/>
            <w:noWrap/>
            <w:hideMark/>
          </w:tcPr>
          <w:p w14:paraId="50371C3B" w14:textId="3F4D44E9" w:rsidR="00CC17EC" w:rsidRPr="00D618B7" w:rsidRDefault="00CC17EC" w:rsidP="00CC17EC">
            <w:pPr>
              <w:jc w:val="right"/>
              <w:rPr>
                <w:color w:val="000000"/>
                <w:sz w:val="20"/>
                <w:szCs w:val="20"/>
              </w:rPr>
            </w:pPr>
            <w:r w:rsidRPr="00D618B7">
              <w:rPr>
                <w:sz w:val="20"/>
                <w:szCs w:val="20"/>
              </w:rPr>
              <w:t>57.68</w:t>
            </w:r>
          </w:p>
        </w:tc>
        <w:tc>
          <w:tcPr>
            <w:tcW w:w="1522" w:type="dxa"/>
            <w:tcBorders>
              <w:top w:val="nil"/>
              <w:left w:val="nil"/>
              <w:bottom w:val="nil"/>
              <w:right w:val="nil"/>
            </w:tcBorders>
            <w:shd w:val="clear" w:color="000000" w:fill="FFFFFF"/>
            <w:noWrap/>
            <w:hideMark/>
          </w:tcPr>
          <w:p w14:paraId="6D42F672" w14:textId="0F670817" w:rsidR="00CC17EC" w:rsidRPr="00D618B7" w:rsidRDefault="00CC17EC" w:rsidP="00CC17EC">
            <w:pPr>
              <w:jc w:val="right"/>
              <w:rPr>
                <w:color w:val="000000"/>
                <w:sz w:val="20"/>
                <w:szCs w:val="20"/>
              </w:rPr>
            </w:pPr>
            <w:r w:rsidRPr="00D618B7">
              <w:rPr>
                <w:sz w:val="20"/>
                <w:szCs w:val="20"/>
              </w:rPr>
              <w:t>8.68</w:t>
            </w:r>
          </w:p>
        </w:tc>
        <w:tc>
          <w:tcPr>
            <w:tcW w:w="1060" w:type="dxa"/>
            <w:tcBorders>
              <w:top w:val="nil"/>
              <w:left w:val="nil"/>
              <w:bottom w:val="nil"/>
              <w:right w:val="nil"/>
            </w:tcBorders>
            <w:shd w:val="clear" w:color="000000" w:fill="FFFFFF"/>
            <w:noWrap/>
            <w:hideMark/>
          </w:tcPr>
          <w:p w14:paraId="3CF56CA6" w14:textId="776C4981" w:rsidR="00CC17EC" w:rsidRPr="00D618B7" w:rsidRDefault="00CC17EC" w:rsidP="00CC17EC">
            <w:pPr>
              <w:jc w:val="right"/>
              <w:rPr>
                <w:color w:val="000000"/>
                <w:sz w:val="20"/>
                <w:szCs w:val="20"/>
              </w:rPr>
            </w:pPr>
            <w:r w:rsidRPr="00D618B7">
              <w:rPr>
                <w:sz w:val="20"/>
                <w:szCs w:val="20"/>
              </w:rPr>
              <w:t>164.66</w:t>
            </w:r>
          </w:p>
        </w:tc>
        <w:tc>
          <w:tcPr>
            <w:tcW w:w="1575" w:type="dxa"/>
            <w:tcBorders>
              <w:top w:val="nil"/>
              <w:left w:val="nil"/>
              <w:bottom w:val="nil"/>
              <w:right w:val="nil"/>
            </w:tcBorders>
            <w:shd w:val="clear" w:color="000000" w:fill="FFFFFF"/>
            <w:noWrap/>
            <w:hideMark/>
          </w:tcPr>
          <w:p w14:paraId="2E55F240" w14:textId="6CDE2C5F" w:rsidR="00CC17EC" w:rsidRPr="00D618B7" w:rsidRDefault="00CC17EC" w:rsidP="00CC17EC">
            <w:pPr>
              <w:jc w:val="right"/>
              <w:rPr>
                <w:color w:val="000000"/>
                <w:sz w:val="20"/>
                <w:szCs w:val="20"/>
              </w:rPr>
            </w:pPr>
            <w:r w:rsidRPr="00D618B7">
              <w:rPr>
                <w:sz w:val="20"/>
                <w:szCs w:val="20"/>
              </w:rPr>
              <w:t>-1248.06</w:t>
            </w:r>
          </w:p>
        </w:tc>
        <w:tc>
          <w:tcPr>
            <w:tcW w:w="1098" w:type="dxa"/>
            <w:tcBorders>
              <w:top w:val="nil"/>
              <w:left w:val="nil"/>
              <w:bottom w:val="nil"/>
              <w:right w:val="nil"/>
            </w:tcBorders>
            <w:shd w:val="clear" w:color="000000" w:fill="FFFFFF"/>
            <w:noWrap/>
            <w:hideMark/>
          </w:tcPr>
          <w:p w14:paraId="323B41D7" w14:textId="52BF435D" w:rsidR="00CC17EC" w:rsidRPr="00D618B7" w:rsidRDefault="00CC17EC" w:rsidP="00CC17EC">
            <w:pPr>
              <w:jc w:val="right"/>
              <w:rPr>
                <w:color w:val="000000"/>
                <w:sz w:val="20"/>
                <w:szCs w:val="20"/>
              </w:rPr>
            </w:pPr>
            <w:r w:rsidRPr="00D618B7">
              <w:rPr>
                <w:sz w:val="20"/>
                <w:szCs w:val="20"/>
              </w:rPr>
              <w:t>296.12</w:t>
            </w:r>
          </w:p>
        </w:tc>
      </w:tr>
      <w:tr w:rsidR="00CC17EC" w:rsidRPr="00D618B7" w14:paraId="11B039B8" w14:textId="77777777" w:rsidTr="00CC17EC">
        <w:trPr>
          <w:trHeight w:val="242"/>
        </w:trPr>
        <w:tc>
          <w:tcPr>
            <w:tcW w:w="1305" w:type="dxa"/>
            <w:tcBorders>
              <w:top w:val="nil"/>
              <w:left w:val="nil"/>
              <w:bottom w:val="nil"/>
              <w:right w:val="nil"/>
            </w:tcBorders>
            <w:shd w:val="clear" w:color="000000" w:fill="FFFFFF"/>
            <w:vAlign w:val="center"/>
            <w:hideMark/>
          </w:tcPr>
          <w:p w14:paraId="5726A7C7" w14:textId="77777777" w:rsidR="00CC17EC" w:rsidRPr="00D618B7" w:rsidRDefault="00CC17EC" w:rsidP="00CC17EC">
            <w:pPr>
              <w:jc w:val="right"/>
              <w:rPr>
                <w:color w:val="000000"/>
                <w:sz w:val="20"/>
                <w:szCs w:val="20"/>
              </w:rPr>
            </w:pPr>
            <w:r w:rsidRPr="00D618B7">
              <w:rPr>
                <w:color w:val="000000"/>
                <w:sz w:val="20"/>
                <w:szCs w:val="20"/>
              </w:rPr>
              <w:t>3</w:t>
            </w:r>
          </w:p>
        </w:tc>
        <w:tc>
          <w:tcPr>
            <w:tcW w:w="1093" w:type="dxa"/>
            <w:tcBorders>
              <w:top w:val="nil"/>
              <w:left w:val="nil"/>
              <w:bottom w:val="nil"/>
              <w:right w:val="nil"/>
            </w:tcBorders>
            <w:shd w:val="clear" w:color="000000" w:fill="FFFFFF"/>
            <w:noWrap/>
            <w:hideMark/>
          </w:tcPr>
          <w:p w14:paraId="00FF66B9" w14:textId="18807E7B" w:rsidR="00CC17EC" w:rsidRPr="00D618B7" w:rsidRDefault="00CC17EC" w:rsidP="00CC17EC">
            <w:pPr>
              <w:jc w:val="right"/>
              <w:rPr>
                <w:color w:val="000000"/>
                <w:sz w:val="20"/>
                <w:szCs w:val="20"/>
              </w:rPr>
            </w:pPr>
            <w:r w:rsidRPr="00D618B7">
              <w:rPr>
                <w:sz w:val="20"/>
                <w:szCs w:val="20"/>
              </w:rPr>
              <w:t>27.77</w:t>
            </w:r>
          </w:p>
        </w:tc>
        <w:tc>
          <w:tcPr>
            <w:tcW w:w="1084" w:type="dxa"/>
            <w:tcBorders>
              <w:top w:val="nil"/>
              <w:left w:val="nil"/>
              <w:bottom w:val="nil"/>
              <w:right w:val="nil"/>
            </w:tcBorders>
            <w:shd w:val="clear" w:color="000000" w:fill="FFFFFF"/>
            <w:noWrap/>
            <w:hideMark/>
          </w:tcPr>
          <w:p w14:paraId="61146A1F" w14:textId="2FE7239D" w:rsidR="00CC17EC" w:rsidRPr="00D618B7" w:rsidRDefault="00CC17EC" w:rsidP="00CC17EC">
            <w:pPr>
              <w:jc w:val="right"/>
              <w:rPr>
                <w:color w:val="000000"/>
                <w:sz w:val="20"/>
                <w:szCs w:val="20"/>
              </w:rPr>
            </w:pPr>
            <w:r w:rsidRPr="00D618B7">
              <w:rPr>
                <w:sz w:val="20"/>
                <w:szCs w:val="20"/>
              </w:rPr>
              <w:t>36.40</w:t>
            </w:r>
          </w:p>
        </w:tc>
        <w:tc>
          <w:tcPr>
            <w:tcW w:w="1522" w:type="dxa"/>
            <w:tcBorders>
              <w:top w:val="nil"/>
              <w:left w:val="nil"/>
              <w:bottom w:val="nil"/>
              <w:right w:val="nil"/>
            </w:tcBorders>
            <w:shd w:val="clear" w:color="000000" w:fill="FFFFFF"/>
            <w:noWrap/>
            <w:hideMark/>
          </w:tcPr>
          <w:p w14:paraId="673819D4" w14:textId="373C947E" w:rsidR="00CC17EC" w:rsidRPr="00D618B7" w:rsidRDefault="00CC17EC" w:rsidP="00CC17EC">
            <w:pPr>
              <w:jc w:val="right"/>
              <w:rPr>
                <w:color w:val="000000"/>
                <w:sz w:val="20"/>
                <w:szCs w:val="20"/>
              </w:rPr>
            </w:pPr>
            <w:r w:rsidRPr="00D618B7">
              <w:rPr>
                <w:sz w:val="20"/>
                <w:szCs w:val="20"/>
              </w:rPr>
              <w:t>-115.39</w:t>
            </w:r>
          </w:p>
        </w:tc>
        <w:tc>
          <w:tcPr>
            <w:tcW w:w="1060" w:type="dxa"/>
            <w:tcBorders>
              <w:top w:val="nil"/>
              <w:left w:val="nil"/>
              <w:bottom w:val="nil"/>
              <w:right w:val="nil"/>
            </w:tcBorders>
            <w:shd w:val="clear" w:color="000000" w:fill="FFFFFF"/>
            <w:noWrap/>
            <w:hideMark/>
          </w:tcPr>
          <w:p w14:paraId="6E43B4E7" w14:textId="307ACD9D" w:rsidR="00CC17EC" w:rsidRPr="00D618B7" w:rsidRDefault="00CC17EC" w:rsidP="00CC17EC">
            <w:pPr>
              <w:jc w:val="right"/>
              <w:rPr>
                <w:color w:val="000000"/>
                <w:sz w:val="20"/>
                <w:szCs w:val="20"/>
              </w:rPr>
            </w:pPr>
            <w:r w:rsidRPr="00D618B7">
              <w:rPr>
                <w:sz w:val="20"/>
                <w:szCs w:val="20"/>
              </w:rPr>
              <w:t>145.86</w:t>
            </w:r>
          </w:p>
        </w:tc>
        <w:tc>
          <w:tcPr>
            <w:tcW w:w="1575" w:type="dxa"/>
            <w:tcBorders>
              <w:top w:val="nil"/>
              <w:left w:val="nil"/>
              <w:bottom w:val="nil"/>
              <w:right w:val="nil"/>
            </w:tcBorders>
            <w:shd w:val="clear" w:color="000000" w:fill="FFFFFF"/>
            <w:noWrap/>
            <w:hideMark/>
          </w:tcPr>
          <w:p w14:paraId="367FE86C" w14:textId="064487C6" w:rsidR="00CC17EC" w:rsidRPr="00D618B7" w:rsidRDefault="00CC17EC" w:rsidP="00CC17EC">
            <w:pPr>
              <w:jc w:val="right"/>
              <w:rPr>
                <w:color w:val="000000"/>
                <w:sz w:val="20"/>
                <w:szCs w:val="20"/>
              </w:rPr>
            </w:pPr>
            <w:r w:rsidRPr="00D618B7">
              <w:rPr>
                <w:sz w:val="20"/>
                <w:szCs w:val="20"/>
              </w:rPr>
              <w:t>1147.02</w:t>
            </w:r>
          </w:p>
        </w:tc>
        <w:tc>
          <w:tcPr>
            <w:tcW w:w="1098" w:type="dxa"/>
            <w:tcBorders>
              <w:top w:val="nil"/>
              <w:left w:val="nil"/>
              <w:bottom w:val="nil"/>
              <w:right w:val="nil"/>
            </w:tcBorders>
            <w:shd w:val="clear" w:color="000000" w:fill="FFFFFF"/>
            <w:noWrap/>
            <w:hideMark/>
          </w:tcPr>
          <w:p w14:paraId="64043D4A" w14:textId="7DF1C206" w:rsidR="00CC17EC" w:rsidRPr="00D618B7" w:rsidRDefault="00CC17EC" w:rsidP="00CC17EC">
            <w:pPr>
              <w:jc w:val="right"/>
              <w:rPr>
                <w:color w:val="000000"/>
                <w:sz w:val="20"/>
                <w:szCs w:val="20"/>
              </w:rPr>
            </w:pPr>
            <w:r w:rsidRPr="00D618B7">
              <w:rPr>
                <w:sz w:val="20"/>
                <w:szCs w:val="20"/>
              </w:rPr>
              <w:t>143.47</w:t>
            </w:r>
          </w:p>
        </w:tc>
      </w:tr>
      <w:tr w:rsidR="00CC17EC" w:rsidRPr="00D618B7" w14:paraId="25642CD1" w14:textId="77777777" w:rsidTr="00CC17EC">
        <w:trPr>
          <w:trHeight w:val="242"/>
        </w:trPr>
        <w:tc>
          <w:tcPr>
            <w:tcW w:w="1305" w:type="dxa"/>
            <w:tcBorders>
              <w:top w:val="nil"/>
              <w:left w:val="nil"/>
              <w:right w:val="nil"/>
            </w:tcBorders>
            <w:shd w:val="clear" w:color="000000" w:fill="FFFFFF"/>
            <w:vAlign w:val="center"/>
            <w:hideMark/>
          </w:tcPr>
          <w:p w14:paraId="30A308A8" w14:textId="77777777" w:rsidR="00CC17EC" w:rsidRPr="00D618B7" w:rsidRDefault="00CC17EC" w:rsidP="00CC17EC">
            <w:pPr>
              <w:jc w:val="right"/>
              <w:rPr>
                <w:color w:val="000000"/>
                <w:sz w:val="20"/>
                <w:szCs w:val="20"/>
              </w:rPr>
            </w:pPr>
            <w:r w:rsidRPr="00D618B7">
              <w:rPr>
                <w:color w:val="000000"/>
                <w:sz w:val="20"/>
                <w:szCs w:val="20"/>
              </w:rPr>
              <w:t>4</w:t>
            </w:r>
          </w:p>
        </w:tc>
        <w:tc>
          <w:tcPr>
            <w:tcW w:w="1093" w:type="dxa"/>
            <w:tcBorders>
              <w:top w:val="nil"/>
              <w:left w:val="nil"/>
              <w:right w:val="nil"/>
            </w:tcBorders>
            <w:shd w:val="clear" w:color="000000" w:fill="FFFFFF"/>
            <w:noWrap/>
            <w:hideMark/>
          </w:tcPr>
          <w:p w14:paraId="798FF370" w14:textId="18E2092F" w:rsidR="00CC17EC" w:rsidRPr="00D618B7" w:rsidRDefault="00CC17EC" w:rsidP="00CC17EC">
            <w:pPr>
              <w:jc w:val="right"/>
              <w:rPr>
                <w:color w:val="000000"/>
                <w:sz w:val="20"/>
                <w:szCs w:val="20"/>
              </w:rPr>
            </w:pPr>
            <w:r w:rsidRPr="00D618B7">
              <w:rPr>
                <w:sz w:val="20"/>
                <w:szCs w:val="20"/>
              </w:rPr>
              <w:t>166.03</w:t>
            </w:r>
          </w:p>
        </w:tc>
        <w:tc>
          <w:tcPr>
            <w:tcW w:w="1084" w:type="dxa"/>
            <w:tcBorders>
              <w:top w:val="nil"/>
              <w:left w:val="nil"/>
              <w:right w:val="nil"/>
            </w:tcBorders>
            <w:shd w:val="clear" w:color="000000" w:fill="FFFFFF"/>
            <w:noWrap/>
            <w:hideMark/>
          </w:tcPr>
          <w:p w14:paraId="227B0ACC" w14:textId="021898F5" w:rsidR="00CC17EC" w:rsidRPr="00D618B7" w:rsidRDefault="00CC17EC" w:rsidP="00CC17EC">
            <w:pPr>
              <w:jc w:val="right"/>
              <w:rPr>
                <w:color w:val="000000"/>
                <w:sz w:val="20"/>
                <w:szCs w:val="20"/>
              </w:rPr>
            </w:pPr>
            <w:r w:rsidRPr="00D618B7">
              <w:rPr>
                <w:sz w:val="20"/>
                <w:szCs w:val="20"/>
              </w:rPr>
              <w:t>89.37</w:t>
            </w:r>
          </w:p>
        </w:tc>
        <w:tc>
          <w:tcPr>
            <w:tcW w:w="1522" w:type="dxa"/>
            <w:tcBorders>
              <w:top w:val="nil"/>
              <w:left w:val="nil"/>
              <w:right w:val="nil"/>
            </w:tcBorders>
            <w:shd w:val="clear" w:color="000000" w:fill="FFFFFF"/>
            <w:noWrap/>
            <w:hideMark/>
          </w:tcPr>
          <w:p w14:paraId="6559F85E" w14:textId="06DA7FEC" w:rsidR="00CC17EC" w:rsidRPr="00D618B7" w:rsidRDefault="00CC17EC" w:rsidP="00CC17EC">
            <w:pPr>
              <w:jc w:val="right"/>
              <w:rPr>
                <w:color w:val="000000"/>
                <w:sz w:val="20"/>
                <w:szCs w:val="20"/>
              </w:rPr>
            </w:pPr>
            <w:r w:rsidRPr="00D618B7">
              <w:rPr>
                <w:sz w:val="20"/>
                <w:szCs w:val="20"/>
              </w:rPr>
              <w:t>-77.17</w:t>
            </w:r>
          </w:p>
        </w:tc>
        <w:tc>
          <w:tcPr>
            <w:tcW w:w="1060" w:type="dxa"/>
            <w:tcBorders>
              <w:top w:val="nil"/>
              <w:left w:val="nil"/>
              <w:right w:val="nil"/>
            </w:tcBorders>
            <w:shd w:val="clear" w:color="000000" w:fill="FFFFFF"/>
            <w:noWrap/>
            <w:hideMark/>
          </w:tcPr>
          <w:p w14:paraId="479A1A32" w14:textId="1192239A" w:rsidR="00CC17EC" w:rsidRPr="00D618B7" w:rsidRDefault="00CC17EC" w:rsidP="00CC17EC">
            <w:pPr>
              <w:jc w:val="right"/>
              <w:rPr>
                <w:color w:val="000000"/>
                <w:sz w:val="20"/>
                <w:szCs w:val="20"/>
              </w:rPr>
            </w:pPr>
            <w:r w:rsidRPr="00D618B7">
              <w:rPr>
                <w:sz w:val="20"/>
                <w:szCs w:val="20"/>
              </w:rPr>
              <w:t>177.26</w:t>
            </w:r>
          </w:p>
        </w:tc>
        <w:tc>
          <w:tcPr>
            <w:tcW w:w="1575" w:type="dxa"/>
            <w:tcBorders>
              <w:top w:val="nil"/>
              <w:left w:val="nil"/>
              <w:right w:val="nil"/>
            </w:tcBorders>
            <w:shd w:val="clear" w:color="000000" w:fill="FFFFFF"/>
            <w:noWrap/>
            <w:hideMark/>
          </w:tcPr>
          <w:p w14:paraId="7DEBC727" w14:textId="11BC1C23" w:rsidR="00CC17EC" w:rsidRPr="00D618B7" w:rsidRDefault="00CC17EC" w:rsidP="00CC17EC">
            <w:pPr>
              <w:jc w:val="right"/>
              <w:rPr>
                <w:color w:val="000000"/>
                <w:sz w:val="20"/>
                <w:szCs w:val="20"/>
              </w:rPr>
            </w:pPr>
            <w:r w:rsidRPr="00D618B7">
              <w:rPr>
                <w:sz w:val="20"/>
                <w:szCs w:val="20"/>
              </w:rPr>
              <w:t>-246.13</w:t>
            </w:r>
          </w:p>
        </w:tc>
        <w:tc>
          <w:tcPr>
            <w:tcW w:w="1098" w:type="dxa"/>
            <w:tcBorders>
              <w:top w:val="nil"/>
              <w:left w:val="nil"/>
              <w:right w:val="nil"/>
            </w:tcBorders>
            <w:shd w:val="clear" w:color="000000" w:fill="FFFFFF"/>
            <w:noWrap/>
            <w:hideMark/>
          </w:tcPr>
          <w:p w14:paraId="59441EF3" w14:textId="4ACDABF4" w:rsidR="00CC17EC" w:rsidRPr="00D618B7" w:rsidRDefault="00CC17EC" w:rsidP="00CC17EC">
            <w:pPr>
              <w:jc w:val="right"/>
              <w:rPr>
                <w:color w:val="000000"/>
                <w:sz w:val="20"/>
                <w:szCs w:val="20"/>
              </w:rPr>
            </w:pPr>
            <w:r w:rsidRPr="00D618B7">
              <w:rPr>
                <w:sz w:val="20"/>
                <w:szCs w:val="20"/>
              </w:rPr>
              <w:t>82.07</w:t>
            </w:r>
          </w:p>
        </w:tc>
      </w:tr>
      <w:tr w:rsidR="00CC17EC" w:rsidRPr="00D618B7" w14:paraId="2913C1E3" w14:textId="77777777" w:rsidTr="00CC17EC">
        <w:trPr>
          <w:trHeight w:val="92"/>
        </w:trPr>
        <w:tc>
          <w:tcPr>
            <w:tcW w:w="1305" w:type="dxa"/>
            <w:tcBorders>
              <w:top w:val="nil"/>
              <w:left w:val="nil"/>
              <w:bottom w:val="single" w:sz="18" w:space="0" w:color="auto"/>
              <w:right w:val="nil"/>
            </w:tcBorders>
            <w:shd w:val="clear" w:color="000000" w:fill="FFFFFF"/>
            <w:vAlign w:val="center"/>
            <w:hideMark/>
          </w:tcPr>
          <w:p w14:paraId="0F180DEB" w14:textId="77777777" w:rsidR="00CC17EC" w:rsidRPr="00D618B7" w:rsidRDefault="00CC17EC" w:rsidP="00CC17EC">
            <w:pPr>
              <w:jc w:val="right"/>
              <w:rPr>
                <w:color w:val="000000"/>
                <w:sz w:val="20"/>
                <w:szCs w:val="20"/>
              </w:rPr>
            </w:pPr>
            <w:r w:rsidRPr="00D618B7">
              <w:rPr>
                <w:color w:val="000000"/>
                <w:sz w:val="20"/>
                <w:szCs w:val="20"/>
              </w:rPr>
              <w:t>5</w:t>
            </w:r>
          </w:p>
        </w:tc>
        <w:tc>
          <w:tcPr>
            <w:tcW w:w="1093" w:type="dxa"/>
            <w:tcBorders>
              <w:top w:val="nil"/>
              <w:left w:val="nil"/>
              <w:bottom w:val="single" w:sz="18" w:space="0" w:color="auto"/>
              <w:right w:val="nil"/>
            </w:tcBorders>
            <w:shd w:val="clear" w:color="000000" w:fill="FFFFFF"/>
            <w:noWrap/>
            <w:hideMark/>
          </w:tcPr>
          <w:p w14:paraId="28DAA87E" w14:textId="78B44EEC" w:rsidR="00CC17EC" w:rsidRPr="00D618B7" w:rsidRDefault="00CC17EC" w:rsidP="00CC17EC">
            <w:pPr>
              <w:jc w:val="right"/>
              <w:rPr>
                <w:color w:val="000000"/>
                <w:sz w:val="20"/>
                <w:szCs w:val="20"/>
              </w:rPr>
            </w:pPr>
            <w:r w:rsidRPr="00D618B7">
              <w:rPr>
                <w:sz w:val="20"/>
                <w:szCs w:val="20"/>
              </w:rPr>
              <w:t>-33.91</w:t>
            </w:r>
          </w:p>
        </w:tc>
        <w:tc>
          <w:tcPr>
            <w:tcW w:w="1084" w:type="dxa"/>
            <w:tcBorders>
              <w:top w:val="nil"/>
              <w:left w:val="nil"/>
              <w:bottom w:val="single" w:sz="18" w:space="0" w:color="auto"/>
              <w:right w:val="nil"/>
            </w:tcBorders>
            <w:shd w:val="clear" w:color="000000" w:fill="FFFFFF"/>
            <w:noWrap/>
            <w:hideMark/>
          </w:tcPr>
          <w:p w14:paraId="677EC57C" w14:textId="3E5BD413" w:rsidR="00CC17EC" w:rsidRPr="00D618B7" w:rsidRDefault="00CC17EC" w:rsidP="00CC17EC">
            <w:pPr>
              <w:jc w:val="right"/>
              <w:rPr>
                <w:color w:val="000000"/>
                <w:sz w:val="20"/>
                <w:szCs w:val="20"/>
              </w:rPr>
            </w:pPr>
            <w:r w:rsidRPr="00D618B7">
              <w:rPr>
                <w:sz w:val="20"/>
                <w:szCs w:val="20"/>
              </w:rPr>
              <w:t>67.40</w:t>
            </w:r>
          </w:p>
        </w:tc>
        <w:tc>
          <w:tcPr>
            <w:tcW w:w="1522" w:type="dxa"/>
            <w:tcBorders>
              <w:top w:val="nil"/>
              <w:left w:val="nil"/>
              <w:bottom w:val="single" w:sz="18" w:space="0" w:color="auto"/>
              <w:right w:val="nil"/>
            </w:tcBorders>
            <w:shd w:val="clear" w:color="000000" w:fill="FFFFFF"/>
            <w:noWrap/>
            <w:hideMark/>
          </w:tcPr>
          <w:p w14:paraId="056B0C7A" w14:textId="2FA4A2B1" w:rsidR="00CC17EC" w:rsidRPr="00D618B7" w:rsidRDefault="00CC17EC" w:rsidP="00CC17EC">
            <w:pPr>
              <w:jc w:val="right"/>
              <w:rPr>
                <w:color w:val="000000"/>
                <w:sz w:val="20"/>
                <w:szCs w:val="20"/>
              </w:rPr>
            </w:pPr>
            <w:r w:rsidRPr="00D618B7">
              <w:rPr>
                <w:sz w:val="20"/>
                <w:szCs w:val="20"/>
              </w:rPr>
              <w:t>282.88</w:t>
            </w:r>
          </w:p>
        </w:tc>
        <w:tc>
          <w:tcPr>
            <w:tcW w:w="1060" w:type="dxa"/>
            <w:tcBorders>
              <w:top w:val="nil"/>
              <w:left w:val="nil"/>
              <w:bottom w:val="single" w:sz="18" w:space="0" w:color="auto"/>
              <w:right w:val="nil"/>
            </w:tcBorders>
            <w:shd w:val="clear" w:color="000000" w:fill="FFFFFF"/>
            <w:noWrap/>
            <w:hideMark/>
          </w:tcPr>
          <w:p w14:paraId="76CA6368" w14:textId="2013448F" w:rsidR="00CC17EC" w:rsidRPr="00D618B7" w:rsidRDefault="00CC17EC" w:rsidP="00CC17EC">
            <w:pPr>
              <w:jc w:val="right"/>
              <w:rPr>
                <w:color w:val="000000"/>
                <w:sz w:val="20"/>
                <w:szCs w:val="20"/>
              </w:rPr>
            </w:pPr>
            <w:r w:rsidRPr="00D618B7">
              <w:rPr>
                <w:sz w:val="20"/>
                <w:szCs w:val="20"/>
              </w:rPr>
              <w:t>84.93</w:t>
            </w:r>
          </w:p>
        </w:tc>
        <w:tc>
          <w:tcPr>
            <w:tcW w:w="1575" w:type="dxa"/>
            <w:tcBorders>
              <w:top w:val="nil"/>
              <w:left w:val="nil"/>
              <w:bottom w:val="single" w:sz="18" w:space="0" w:color="auto"/>
              <w:right w:val="nil"/>
            </w:tcBorders>
            <w:shd w:val="clear" w:color="000000" w:fill="FFFFFF"/>
            <w:noWrap/>
            <w:hideMark/>
          </w:tcPr>
          <w:p w14:paraId="4D548ABC" w14:textId="2C3922B6" w:rsidR="00CC17EC" w:rsidRPr="00D618B7" w:rsidRDefault="00CC17EC" w:rsidP="00CC17EC">
            <w:pPr>
              <w:jc w:val="right"/>
              <w:rPr>
                <w:color w:val="000000"/>
                <w:sz w:val="20"/>
                <w:szCs w:val="20"/>
              </w:rPr>
            </w:pPr>
            <w:r w:rsidRPr="00D618B7">
              <w:rPr>
                <w:sz w:val="20"/>
                <w:szCs w:val="20"/>
              </w:rPr>
              <w:t>-419.79</w:t>
            </w:r>
          </w:p>
        </w:tc>
        <w:tc>
          <w:tcPr>
            <w:tcW w:w="1098" w:type="dxa"/>
            <w:tcBorders>
              <w:top w:val="nil"/>
              <w:left w:val="nil"/>
              <w:bottom w:val="single" w:sz="18" w:space="0" w:color="auto"/>
              <w:right w:val="nil"/>
            </w:tcBorders>
            <w:shd w:val="clear" w:color="000000" w:fill="FFFFFF"/>
            <w:noWrap/>
            <w:hideMark/>
          </w:tcPr>
          <w:p w14:paraId="3F5B352C" w14:textId="2EB40773" w:rsidR="00CC17EC" w:rsidRPr="00D618B7" w:rsidRDefault="00CC17EC" w:rsidP="00CC17EC">
            <w:pPr>
              <w:jc w:val="right"/>
              <w:rPr>
                <w:color w:val="000000"/>
                <w:sz w:val="20"/>
                <w:szCs w:val="20"/>
              </w:rPr>
            </w:pPr>
            <w:r w:rsidRPr="00D618B7">
              <w:rPr>
                <w:sz w:val="20"/>
                <w:szCs w:val="20"/>
              </w:rPr>
              <w:t>89.32</w:t>
            </w:r>
          </w:p>
        </w:tc>
      </w:tr>
      <w:tr w:rsidR="00CC17EC" w:rsidRPr="00D618B7" w14:paraId="66188AA0" w14:textId="77777777" w:rsidTr="00CC17EC">
        <w:trPr>
          <w:trHeight w:val="242"/>
        </w:trPr>
        <w:tc>
          <w:tcPr>
            <w:tcW w:w="1305" w:type="dxa"/>
            <w:tcBorders>
              <w:top w:val="single" w:sz="18" w:space="0" w:color="auto"/>
              <w:left w:val="nil"/>
              <w:bottom w:val="nil"/>
              <w:right w:val="nil"/>
            </w:tcBorders>
            <w:shd w:val="clear" w:color="000000" w:fill="FFFFFF"/>
            <w:noWrap/>
            <w:vAlign w:val="bottom"/>
            <w:hideMark/>
          </w:tcPr>
          <w:p w14:paraId="7601E054" w14:textId="77777777" w:rsidR="00CC17EC" w:rsidRPr="00D618B7" w:rsidRDefault="00CC17EC" w:rsidP="00CC17EC">
            <w:pPr>
              <w:rPr>
                <w:color w:val="000000"/>
                <w:sz w:val="20"/>
                <w:szCs w:val="20"/>
              </w:rPr>
            </w:pPr>
            <w:r w:rsidRPr="00D618B7">
              <w:rPr>
                <w:color w:val="000000"/>
                <w:sz w:val="20"/>
                <w:szCs w:val="20"/>
              </w:rPr>
              <w:t> </w:t>
            </w:r>
          </w:p>
        </w:tc>
        <w:tc>
          <w:tcPr>
            <w:tcW w:w="7432" w:type="dxa"/>
            <w:gridSpan w:val="6"/>
            <w:tcBorders>
              <w:top w:val="single" w:sz="18" w:space="0" w:color="auto"/>
              <w:left w:val="nil"/>
              <w:bottom w:val="nil"/>
              <w:right w:val="nil"/>
            </w:tcBorders>
            <w:shd w:val="clear" w:color="000000" w:fill="FFFFFF"/>
            <w:noWrap/>
            <w:vAlign w:val="center"/>
            <w:hideMark/>
          </w:tcPr>
          <w:p w14:paraId="4107DF91" w14:textId="77777777" w:rsidR="00CC17EC" w:rsidRPr="00D618B7" w:rsidRDefault="00CC17EC" w:rsidP="00CC17EC">
            <w:pPr>
              <w:jc w:val="center"/>
              <w:rPr>
                <w:color w:val="000000"/>
                <w:sz w:val="20"/>
                <w:szCs w:val="20"/>
              </w:rPr>
            </w:pPr>
            <w:r w:rsidRPr="00D618B7">
              <w:rPr>
                <w:color w:val="000000"/>
                <w:sz w:val="20"/>
                <w:szCs w:val="20"/>
              </w:rPr>
              <w:t>Toy-in-Reach</w:t>
            </w:r>
          </w:p>
        </w:tc>
      </w:tr>
      <w:tr w:rsidR="00C744BC" w:rsidRPr="00D618B7" w14:paraId="0A5FDD00" w14:textId="77777777" w:rsidTr="00CC17EC">
        <w:trPr>
          <w:trHeight w:val="242"/>
        </w:trPr>
        <w:tc>
          <w:tcPr>
            <w:tcW w:w="1305" w:type="dxa"/>
            <w:tcBorders>
              <w:top w:val="nil"/>
              <w:left w:val="nil"/>
              <w:bottom w:val="nil"/>
              <w:right w:val="nil"/>
            </w:tcBorders>
            <w:shd w:val="clear" w:color="000000" w:fill="FFFFFF"/>
            <w:vAlign w:val="center"/>
            <w:hideMark/>
          </w:tcPr>
          <w:p w14:paraId="568B0ADE" w14:textId="77777777" w:rsidR="00C744BC" w:rsidRPr="00D618B7" w:rsidRDefault="00C744BC" w:rsidP="00C744BC">
            <w:pPr>
              <w:jc w:val="right"/>
              <w:rPr>
                <w:color w:val="000000"/>
                <w:sz w:val="20"/>
                <w:szCs w:val="20"/>
              </w:rPr>
            </w:pPr>
            <w:r w:rsidRPr="00D618B7">
              <w:rPr>
                <w:color w:val="000000"/>
                <w:sz w:val="20"/>
                <w:szCs w:val="20"/>
              </w:rPr>
              <w:t>-5</w:t>
            </w:r>
          </w:p>
        </w:tc>
        <w:tc>
          <w:tcPr>
            <w:tcW w:w="1093" w:type="dxa"/>
            <w:tcBorders>
              <w:top w:val="nil"/>
              <w:left w:val="nil"/>
              <w:bottom w:val="nil"/>
              <w:right w:val="nil"/>
            </w:tcBorders>
            <w:shd w:val="clear" w:color="000000" w:fill="FFFFFF"/>
            <w:noWrap/>
            <w:vAlign w:val="center"/>
            <w:hideMark/>
          </w:tcPr>
          <w:p w14:paraId="2F2CD252" w14:textId="232AADF7" w:rsidR="00C744BC" w:rsidRPr="00D618B7" w:rsidRDefault="00C744BC" w:rsidP="00C744BC">
            <w:pPr>
              <w:jc w:val="right"/>
              <w:rPr>
                <w:color w:val="000000"/>
                <w:sz w:val="20"/>
                <w:szCs w:val="20"/>
              </w:rPr>
            </w:pPr>
            <w:r w:rsidRPr="00D618B7">
              <w:rPr>
                <w:color w:val="000000"/>
                <w:sz w:val="20"/>
                <w:szCs w:val="20"/>
              </w:rPr>
              <w:t>1670.05</w:t>
            </w:r>
          </w:p>
        </w:tc>
        <w:tc>
          <w:tcPr>
            <w:tcW w:w="1084" w:type="dxa"/>
            <w:tcBorders>
              <w:top w:val="nil"/>
              <w:left w:val="nil"/>
              <w:bottom w:val="nil"/>
              <w:right w:val="nil"/>
            </w:tcBorders>
            <w:shd w:val="clear" w:color="000000" w:fill="FFFFFF"/>
            <w:noWrap/>
            <w:vAlign w:val="center"/>
            <w:hideMark/>
          </w:tcPr>
          <w:p w14:paraId="658D6E4D" w14:textId="0EC57037" w:rsidR="00C744BC" w:rsidRPr="00D618B7" w:rsidRDefault="00C744BC" w:rsidP="00C744BC">
            <w:pPr>
              <w:jc w:val="right"/>
              <w:rPr>
                <w:color w:val="000000"/>
                <w:sz w:val="20"/>
                <w:szCs w:val="20"/>
              </w:rPr>
            </w:pPr>
            <w:r w:rsidRPr="00D618B7">
              <w:rPr>
                <w:color w:val="000000"/>
                <w:sz w:val="20"/>
                <w:szCs w:val="20"/>
              </w:rPr>
              <w:t>153.14</w:t>
            </w:r>
          </w:p>
        </w:tc>
        <w:tc>
          <w:tcPr>
            <w:tcW w:w="1522" w:type="dxa"/>
            <w:tcBorders>
              <w:top w:val="nil"/>
              <w:left w:val="nil"/>
              <w:bottom w:val="nil"/>
              <w:right w:val="nil"/>
            </w:tcBorders>
            <w:shd w:val="clear" w:color="000000" w:fill="FFFFFF"/>
            <w:noWrap/>
            <w:vAlign w:val="center"/>
            <w:hideMark/>
          </w:tcPr>
          <w:p w14:paraId="7DCD69FE" w14:textId="78AB08E4" w:rsidR="00C744BC" w:rsidRPr="00D618B7" w:rsidRDefault="00C744BC" w:rsidP="00C744BC">
            <w:pPr>
              <w:jc w:val="right"/>
              <w:rPr>
                <w:color w:val="000000"/>
                <w:sz w:val="20"/>
                <w:szCs w:val="20"/>
              </w:rPr>
            </w:pPr>
            <w:r w:rsidRPr="00D618B7">
              <w:rPr>
                <w:color w:val="000000"/>
                <w:sz w:val="20"/>
                <w:szCs w:val="20"/>
              </w:rPr>
              <w:t>-19.10</w:t>
            </w:r>
          </w:p>
        </w:tc>
        <w:tc>
          <w:tcPr>
            <w:tcW w:w="1060" w:type="dxa"/>
            <w:tcBorders>
              <w:top w:val="nil"/>
              <w:left w:val="nil"/>
              <w:bottom w:val="nil"/>
              <w:right w:val="nil"/>
            </w:tcBorders>
            <w:shd w:val="clear" w:color="000000" w:fill="FFFFFF"/>
            <w:noWrap/>
            <w:vAlign w:val="center"/>
            <w:hideMark/>
          </w:tcPr>
          <w:p w14:paraId="4C68364D" w14:textId="7511DF1A" w:rsidR="00C744BC" w:rsidRPr="00D618B7" w:rsidRDefault="00C744BC" w:rsidP="00C744BC">
            <w:pPr>
              <w:jc w:val="right"/>
              <w:rPr>
                <w:color w:val="000000"/>
                <w:sz w:val="20"/>
                <w:szCs w:val="20"/>
              </w:rPr>
            </w:pPr>
            <w:r w:rsidRPr="00D618B7">
              <w:rPr>
                <w:color w:val="000000"/>
                <w:sz w:val="20"/>
                <w:szCs w:val="20"/>
              </w:rPr>
              <w:t>213.14</w:t>
            </w:r>
          </w:p>
        </w:tc>
        <w:tc>
          <w:tcPr>
            <w:tcW w:w="1575" w:type="dxa"/>
            <w:tcBorders>
              <w:top w:val="nil"/>
              <w:left w:val="nil"/>
              <w:bottom w:val="nil"/>
              <w:right w:val="nil"/>
            </w:tcBorders>
            <w:shd w:val="clear" w:color="000000" w:fill="FFFFFF"/>
            <w:noWrap/>
            <w:vAlign w:val="center"/>
            <w:hideMark/>
          </w:tcPr>
          <w:p w14:paraId="54F7F9B8" w14:textId="71258C49" w:rsidR="00C744BC" w:rsidRPr="00D618B7" w:rsidRDefault="00C744BC" w:rsidP="00C744BC">
            <w:pPr>
              <w:jc w:val="right"/>
              <w:rPr>
                <w:color w:val="000000"/>
                <w:sz w:val="20"/>
                <w:szCs w:val="20"/>
              </w:rPr>
            </w:pPr>
            <w:r w:rsidRPr="00D618B7">
              <w:rPr>
                <w:color w:val="000000"/>
                <w:sz w:val="20"/>
                <w:szCs w:val="20"/>
              </w:rPr>
              <w:t>1612.18</w:t>
            </w:r>
          </w:p>
        </w:tc>
        <w:tc>
          <w:tcPr>
            <w:tcW w:w="1098" w:type="dxa"/>
            <w:tcBorders>
              <w:top w:val="nil"/>
              <w:left w:val="nil"/>
              <w:bottom w:val="nil"/>
              <w:right w:val="nil"/>
            </w:tcBorders>
            <w:shd w:val="clear" w:color="000000" w:fill="FFFFFF"/>
            <w:noWrap/>
            <w:vAlign w:val="center"/>
            <w:hideMark/>
          </w:tcPr>
          <w:p w14:paraId="4833E834" w14:textId="027FD079" w:rsidR="00C744BC" w:rsidRPr="00D618B7" w:rsidRDefault="00C744BC" w:rsidP="00C744BC">
            <w:pPr>
              <w:jc w:val="right"/>
              <w:rPr>
                <w:color w:val="000000"/>
                <w:sz w:val="20"/>
                <w:szCs w:val="20"/>
              </w:rPr>
            </w:pPr>
            <w:r w:rsidRPr="00D618B7">
              <w:rPr>
                <w:color w:val="000000"/>
                <w:sz w:val="20"/>
                <w:szCs w:val="20"/>
              </w:rPr>
              <w:t>444.31</w:t>
            </w:r>
          </w:p>
        </w:tc>
      </w:tr>
      <w:tr w:rsidR="00C744BC" w:rsidRPr="00D618B7" w14:paraId="59EAEC7C" w14:textId="77777777" w:rsidTr="00CC17EC">
        <w:trPr>
          <w:trHeight w:val="242"/>
        </w:trPr>
        <w:tc>
          <w:tcPr>
            <w:tcW w:w="1305" w:type="dxa"/>
            <w:tcBorders>
              <w:top w:val="nil"/>
              <w:left w:val="nil"/>
              <w:bottom w:val="nil"/>
              <w:right w:val="nil"/>
            </w:tcBorders>
            <w:shd w:val="clear" w:color="000000" w:fill="FFFFFF"/>
            <w:vAlign w:val="center"/>
            <w:hideMark/>
          </w:tcPr>
          <w:p w14:paraId="1AADEEC4" w14:textId="77777777" w:rsidR="00C744BC" w:rsidRPr="00D618B7" w:rsidRDefault="00C744BC" w:rsidP="00C744BC">
            <w:pPr>
              <w:jc w:val="right"/>
              <w:rPr>
                <w:color w:val="000000"/>
                <w:sz w:val="20"/>
                <w:szCs w:val="20"/>
              </w:rPr>
            </w:pPr>
            <w:r w:rsidRPr="00D618B7">
              <w:rPr>
                <w:color w:val="000000"/>
                <w:sz w:val="20"/>
                <w:szCs w:val="20"/>
              </w:rPr>
              <w:t>-4</w:t>
            </w:r>
          </w:p>
        </w:tc>
        <w:tc>
          <w:tcPr>
            <w:tcW w:w="1093" w:type="dxa"/>
            <w:tcBorders>
              <w:top w:val="nil"/>
              <w:left w:val="nil"/>
              <w:bottom w:val="nil"/>
              <w:right w:val="nil"/>
            </w:tcBorders>
            <w:shd w:val="clear" w:color="000000" w:fill="FFFFFF"/>
            <w:noWrap/>
            <w:vAlign w:val="center"/>
            <w:hideMark/>
          </w:tcPr>
          <w:p w14:paraId="1DAD9DA9" w14:textId="0CF5B833" w:rsidR="00C744BC" w:rsidRPr="00D618B7" w:rsidRDefault="00C744BC" w:rsidP="00C744BC">
            <w:pPr>
              <w:jc w:val="right"/>
              <w:rPr>
                <w:color w:val="000000"/>
                <w:sz w:val="20"/>
                <w:szCs w:val="20"/>
              </w:rPr>
            </w:pPr>
            <w:r w:rsidRPr="00D618B7">
              <w:rPr>
                <w:color w:val="000000"/>
                <w:sz w:val="20"/>
                <w:szCs w:val="20"/>
              </w:rPr>
              <w:t>43.46</w:t>
            </w:r>
          </w:p>
        </w:tc>
        <w:tc>
          <w:tcPr>
            <w:tcW w:w="1084" w:type="dxa"/>
            <w:tcBorders>
              <w:top w:val="nil"/>
              <w:left w:val="nil"/>
              <w:bottom w:val="nil"/>
              <w:right w:val="nil"/>
            </w:tcBorders>
            <w:shd w:val="clear" w:color="000000" w:fill="FFFFFF"/>
            <w:noWrap/>
            <w:vAlign w:val="center"/>
            <w:hideMark/>
          </w:tcPr>
          <w:p w14:paraId="288628AC" w14:textId="54016B23" w:rsidR="00C744BC" w:rsidRPr="00D618B7" w:rsidRDefault="00C744BC" w:rsidP="00C744BC">
            <w:pPr>
              <w:jc w:val="right"/>
              <w:rPr>
                <w:color w:val="000000"/>
                <w:sz w:val="20"/>
                <w:szCs w:val="20"/>
              </w:rPr>
            </w:pPr>
            <w:r w:rsidRPr="00D618B7">
              <w:rPr>
                <w:color w:val="000000"/>
                <w:sz w:val="20"/>
                <w:szCs w:val="20"/>
              </w:rPr>
              <w:t>106.48</w:t>
            </w:r>
          </w:p>
        </w:tc>
        <w:tc>
          <w:tcPr>
            <w:tcW w:w="1522" w:type="dxa"/>
            <w:tcBorders>
              <w:top w:val="nil"/>
              <w:left w:val="nil"/>
              <w:bottom w:val="nil"/>
              <w:right w:val="nil"/>
            </w:tcBorders>
            <w:shd w:val="clear" w:color="000000" w:fill="FFFFFF"/>
            <w:noWrap/>
            <w:vAlign w:val="center"/>
            <w:hideMark/>
          </w:tcPr>
          <w:p w14:paraId="3DD324E1" w14:textId="79A26EC0" w:rsidR="00C744BC" w:rsidRPr="00D618B7" w:rsidRDefault="00C744BC" w:rsidP="00C744BC">
            <w:pPr>
              <w:jc w:val="right"/>
              <w:rPr>
                <w:color w:val="000000"/>
                <w:sz w:val="20"/>
                <w:szCs w:val="20"/>
              </w:rPr>
            </w:pPr>
            <w:r w:rsidRPr="00D618B7">
              <w:rPr>
                <w:color w:val="000000"/>
                <w:sz w:val="20"/>
                <w:szCs w:val="20"/>
              </w:rPr>
              <w:t>51.97</w:t>
            </w:r>
          </w:p>
        </w:tc>
        <w:tc>
          <w:tcPr>
            <w:tcW w:w="1060" w:type="dxa"/>
            <w:tcBorders>
              <w:top w:val="nil"/>
              <w:left w:val="nil"/>
              <w:bottom w:val="nil"/>
              <w:right w:val="nil"/>
            </w:tcBorders>
            <w:shd w:val="clear" w:color="000000" w:fill="FFFFFF"/>
            <w:noWrap/>
            <w:vAlign w:val="center"/>
            <w:hideMark/>
          </w:tcPr>
          <w:p w14:paraId="683A8FC5" w14:textId="2968DC41" w:rsidR="00C744BC" w:rsidRPr="00D618B7" w:rsidRDefault="00C744BC" w:rsidP="00C744BC">
            <w:pPr>
              <w:jc w:val="right"/>
              <w:rPr>
                <w:color w:val="000000"/>
                <w:sz w:val="20"/>
                <w:szCs w:val="20"/>
              </w:rPr>
            </w:pPr>
            <w:r w:rsidRPr="00D618B7">
              <w:rPr>
                <w:color w:val="000000"/>
                <w:sz w:val="20"/>
                <w:szCs w:val="20"/>
              </w:rPr>
              <w:t>33.55</w:t>
            </w:r>
          </w:p>
        </w:tc>
        <w:tc>
          <w:tcPr>
            <w:tcW w:w="1575" w:type="dxa"/>
            <w:tcBorders>
              <w:top w:val="nil"/>
              <w:left w:val="nil"/>
              <w:bottom w:val="nil"/>
              <w:right w:val="nil"/>
            </w:tcBorders>
            <w:shd w:val="clear" w:color="000000" w:fill="FFFFFF"/>
            <w:noWrap/>
            <w:vAlign w:val="center"/>
            <w:hideMark/>
          </w:tcPr>
          <w:p w14:paraId="29AA7613" w14:textId="59DAA039" w:rsidR="00C744BC" w:rsidRPr="00D618B7" w:rsidRDefault="00C744BC" w:rsidP="00C744BC">
            <w:pPr>
              <w:jc w:val="right"/>
              <w:rPr>
                <w:color w:val="000000"/>
                <w:sz w:val="20"/>
                <w:szCs w:val="20"/>
              </w:rPr>
            </w:pPr>
            <w:r w:rsidRPr="00D618B7">
              <w:rPr>
                <w:color w:val="000000"/>
                <w:sz w:val="20"/>
                <w:szCs w:val="20"/>
              </w:rPr>
              <w:t>-190.50</w:t>
            </w:r>
          </w:p>
        </w:tc>
        <w:tc>
          <w:tcPr>
            <w:tcW w:w="1098" w:type="dxa"/>
            <w:tcBorders>
              <w:top w:val="nil"/>
              <w:left w:val="nil"/>
              <w:bottom w:val="nil"/>
              <w:right w:val="nil"/>
            </w:tcBorders>
            <w:shd w:val="clear" w:color="000000" w:fill="FFFFFF"/>
            <w:noWrap/>
            <w:vAlign w:val="center"/>
            <w:hideMark/>
          </w:tcPr>
          <w:p w14:paraId="0B8073E6" w14:textId="758F091F" w:rsidR="00C744BC" w:rsidRPr="00D618B7" w:rsidRDefault="00C744BC" w:rsidP="00C744BC">
            <w:pPr>
              <w:jc w:val="right"/>
              <w:rPr>
                <w:color w:val="000000"/>
                <w:sz w:val="20"/>
                <w:szCs w:val="20"/>
              </w:rPr>
            </w:pPr>
            <w:r w:rsidRPr="00D618B7">
              <w:rPr>
                <w:color w:val="000000"/>
                <w:sz w:val="20"/>
                <w:szCs w:val="20"/>
              </w:rPr>
              <w:t>169.94</w:t>
            </w:r>
          </w:p>
        </w:tc>
      </w:tr>
      <w:tr w:rsidR="00C744BC" w:rsidRPr="00D618B7" w14:paraId="48F14E6A" w14:textId="77777777" w:rsidTr="00CC17EC">
        <w:trPr>
          <w:trHeight w:val="242"/>
        </w:trPr>
        <w:tc>
          <w:tcPr>
            <w:tcW w:w="1305" w:type="dxa"/>
            <w:tcBorders>
              <w:top w:val="nil"/>
              <w:left w:val="nil"/>
              <w:bottom w:val="nil"/>
              <w:right w:val="nil"/>
            </w:tcBorders>
            <w:shd w:val="clear" w:color="000000" w:fill="FFFFFF"/>
            <w:vAlign w:val="center"/>
            <w:hideMark/>
          </w:tcPr>
          <w:p w14:paraId="247F3826" w14:textId="77777777" w:rsidR="00C744BC" w:rsidRPr="00D618B7" w:rsidRDefault="00C744BC" w:rsidP="00C744BC">
            <w:pPr>
              <w:jc w:val="right"/>
              <w:rPr>
                <w:color w:val="000000"/>
                <w:sz w:val="20"/>
                <w:szCs w:val="20"/>
              </w:rPr>
            </w:pPr>
            <w:r w:rsidRPr="00D618B7">
              <w:rPr>
                <w:color w:val="000000"/>
                <w:sz w:val="20"/>
                <w:szCs w:val="20"/>
              </w:rPr>
              <w:t>-3</w:t>
            </w:r>
          </w:p>
        </w:tc>
        <w:tc>
          <w:tcPr>
            <w:tcW w:w="1093" w:type="dxa"/>
            <w:tcBorders>
              <w:top w:val="nil"/>
              <w:left w:val="nil"/>
              <w:bottom w:val="nil"/>
              <w:right w:val="nil"/>
            </w:tcBorders>
            <w:shd w:val="clear" w:color="000000" w:fill="FFFFFF"/>
            <w:noWrap/>
            <w:vAlign w:val="center"/>
            <w:hideMark/>
          </w:tcPr>
          <w:p w14:paraId="3F99E13F" w14:textId="2A5AE730" w:rsidR="00C744BC" w:rsidRPr="00D618B7" w:rsidRDefault="00C744BC" w:rsidP="00C744BC">
            <w:pPr>
              <w:jc w:val="right"/>
              <w:rPr>
                <w:color w:val="000000"/>
                <w:sz w:val="20"/>
                <w:szCs w:val="20"/>
              </w:rPr>
            </w:pPr>
            <w:r w:rsidRPr="00D618B7">
              <w:rPr>
                <w:color w:val="000000"/>
                <w:sz w:val="20"/>
                <w:szCs w:val="20"/>
              </w:rPr>
              <w:t>1146.83</w:t>
            </w:r>
          </w:p>
        </w:tc>
        <w:tc>
          <w:tcPr>
            <w:tcW w:w="1084" w:type="dxa"/>
            <w:tcBorders>
              <w:top w:val="nil"/>
              <w:left w:val="nil"/>
              <w:bottom w:val="nil"/>
              <w:right w:val="nil"/>
            </w:tcBorders>
            <w:shd w:val="clear" w:color="000000" w:fill="FFFFFF"/>
            <w:noWrap/>
            <w:vAlign w:val="center"/>
            <w:hideMark/>
          </w:tcPr>
          <w:p w14:paraId="0D6306C1" w14:textId="1E5C9C77" w:rsidR="00C744BC" w:rsidRPr="00D618B7" w:rsidRDefault="00C744BC" w:rsidP="00C744BC">
            <w:pPr>
              <w:jc w:val="right"/>
              <w:rPr>
                <w:color w:val="000000"/>
                <w:sz w:val="20"/>
                <w:szCs w:val="20"/>
              </w:rPr>
            </w:pPr>
            <w:r w:rsidRPr="00D618B7">
              <w:rPr>
                <w:color w:val="000000"/>
                <w:sz w:val="20"/>
                <w:szCs w:val="20"/>
              </w:rPr>
              <w:t>816.65</w:t>
            </w:r>
          </w:p>
        </w:tc>
        <w:tc>
          <w:tcPr>
            <w:tcW w:w="1522" w:type="dxa"/>
            <w:tcBorders>
              <w:top w:val="nil"/>
              <w:left w:val="nil"/>
              <w:bottom w:val="nil"/>
              <w:right w:val="nil"/>
            </w:tcBorders>
            <w:shd w:val="clear" w:color="000000" w:fill="FFFFFF"/>
            <w:noWrap/>
            <w:vAlign w:val="center"/>
            <w:hideMark/>
          </w:tcPr>
          <w:p w14:paraId="2B06DDED" w14:textId="17911295" w:rsidR="00C744BC" w:rsidRPr="00D618B7" w:rsidRDefault="00C744BC" w:rsidP="00C744BC">
            <w:pPr>
              <w:jc w:val="right"/>
              <w:rPr>
                <w:color w:val="000000"/>
                <w:sz w:val="20"/>
                <w:szCs w:val="20"/>
              </w:rPr>
            </w:pPr>
            <w:r w:rsidRPr="00D618B7">
              <w:rPr>
                <w:color w:val="000000"/>
                <w:sz w:val="20"/>
                <w:szCs w:val="20"/>
              </w:rPr>
              <w:t>-87.82</w:t>
            </w:r>
          </w:p>
        </w:tc>
        <w:tc>
          <w:tcPr>
            <w:tcW w:w="1060" w:type="dxa"/>
            <w:tcBorders>
              <w:top w:val="nil"/>
              <w:left w:val="nil"/>
              <w:bottom w:val="nil"/>
              <w:right w:val="nil"/>
            </w:tcBorders>
            <w:shd w:val="clear" w:color="000000" w:fill="FFFFFF"/>
            <w:noWrap/>
            <w:vAlign w:val="center"/>
            <w:hideMark/>
          </w:tcPr>
          <w:p w14:paraId="417C8F56" w14:textId="36B08F99" w:rsidR="00C744BC" w:rsidRPr="00D618B7" w:rsidRDefault="00C744BC" w:rsidP="00C744BC">
            <w:pPr>
              <w:jc w:val="right"/>
              <w:rPr>
                <w:color w:val="000000"/>
                <w:sz w:val="20"/>
                <w:szCs w:val="20"/>
              </w:rPr>
            </w:pPr>
            <w:r w:rsidRPr="00D618B7">
              <w:rPr>
                <w:color w:val="000000"/>
                <w:sz w:val="20"/>
                <w:szCs w:val="20"/>
              </w:rPr>
              <w:t>35.49</w:t>
            </w:r>
          </w:p>
        </w:tc>
        <w:tc>
          <w:tcPr>
            <w:tcW w:w="1575" w:type="dxa"/>
            <w:tcBorders>
              <w:top w:val="nil"/>
              <w:left w:val="nil"/>
              <w:bottom w:val="nil"/>
              <w:right w:val="nil"/>
            </w:tcBorders>
            <w:shd w:val="clear" w:color="000000" w:fill="FFFFFF"/>
            <w:noWrap/>
            <w:vAlign w:val="center"/>
            <w:hideMark/>
          </w:tcPr>
          <w:p w14:paraId="62939F98" w14:textId="3FA06C83" w:rsidR="00C744BC" w:rsidRPr="00D618B7" w:rsidRDefault="00C744BC" w:rsidP="00C744BC">
            <w:pPr>
              <w:jc w:val="right"/>
              <w:rPr>
                <w:color w:val="000000"/>
                <w:sz w:val="20"/>
                <w:szCs w:val="20"/>
              </w:rPr>
            </w:pPr>
            <w:r w:rsidRPr="00D618B7">
              <w:rPr>
                <w:color w:val="000000"/>
                <w:sz w:val="20"/>
                <w:szCs w:val="20"/>
              </w:rPr>
              <w:t>2807.76</w:t>
            </w:r>
          </w:p>
        </w:tc>
        <w:tc>
          <w:tcPr>
            <w:tcW w:w="1098" w:type="dxa"/>
            <w:tcBorders>
              <w:top w:val="nil"/>
              <w:left w:val="nil"/>
              <w:bottom w:val="nil"/>
              <w:right w:val="nil"/>
            </w:tcBorders>
            <w:shd w:val="clear" w:color="000000" w:fill="FFFFFF"/>
            <w:noWrap/>
            <w:vAlign w:val="center"/>
            <w:hideMark/>
          </w:tcPr>
          <w:p w14:paraId="545E83C0" w14:textId="42583790" w:rsidR="00C744BC" w:rsidRPr="00D618B7" w:rsidRDefault="00C744BC" w:rsidP="00C744BC">
            <w:pPr>
              <w:jc w:val="right"/>
              <w:rPr>
                <w:color w:val="000000"/>
                <w:sz w:val="20"/>
                <w:szCs w:val="20"/>
              </w:rPr>
            </w:pPr>
            <w:r w:rsidRPr="00D618B7">
              <w:rPr>
                <w:color w:val="000000"/>
                <w:sz w:val="20"/>
                <w:szCs w:val="20"/>
              </w:rPr>
              <w:t>1049.50</w:t>
            </w:r>
          </w:p>
        </w:tc>
      </w:tr>
      <w:tr w:rsidR="00C744BC" w:rsidRPr="00D618B7" w14:paraId="23183802" w14:textId="77777777" w:rsidTr="00CC17EC">
        <w:trPr>
          <w:trHeight w:val="242"/>
        </w:trPr>
        <w:tc>
          <w:tcPr>
            <w:tcW w:w="1305" w:type="dxa"/>
            <w:tcBorders>
              <w:top w:val="nil"/>
              <w:left w:val="nil"/>
              <w:bottom w:val="nil"/>
              <w:right w:val="nil"/>
            </w:tcBorders>
            <w:shd w:val="clear" w:color="000000" w:fill="FFFFFF"/>
            <w:vAlign w:val="center"/>
            <w:hideMark/>
          </w:tcPr>
          <w:p w14:paraId="6C5A2766" w14:textId="77777777" w:rsidR="00C744BC" w:rsidRPr="00D618B7" w:rsidRDefault="00C744BC" w:rsidP="00C744BC">
            <w:pPr>
              <w:jc w:val="right"/>
              <w:rPr>
                <w:color w:val="000000"/>
                <w:sz w:val="20"/>
                <w:szCs w:val="20"/>
              </w:rPr>
            </w:pPr>
            <w:r w:rsidRPr="00D618B7">
              <w:rPr>
                <w:color w:val="000000"/>
                <w:sz w:val="20"/>
                <w:szCs w:val="20"/>
              </w:rPr>
              <w:t>-2</w:t>
            </w:r>
          </w:p>
        </w:tc>
        <w:tc>
          <w:tcPr>
            <w:tcW w:w="1093" w:type="dxa"/>
            <w:tcBorders>
              <w:top w:val="nil"/>
              <w:left w:val="nil"/>
              <w:bottom w:val="nil"/>
              <w:right w:val="nil"/>
            </w:tcBorders>
            <w:shd w:val="clear" w:color="000000" w:fill="FFFFFF"/>
            <w:noWrap/>
            <w:vAlign w:val="center"/>
            <w:hideMark/>
          </w:tcPr>
          <w:p w14:paraId="59A66DA9" w14:textId="52AD1B83" w:rsidR="00C744BC" w:rsidRPr="00D618B7" w:rsidRDefault="00C744BC" w:rsidP="00C744BC">
            <w:pPr>
              <w:jc w:val="right"/>
              <w:rPr>
                <w:color w:val="000000"/>
                <w:sz w:val="20"/>
                <w:szCs w:val="20"/>
              </w:rPr>
            </w:pPr>
            <w:r w:rsidRPr="00D618B7">
              <w:rPr>
                <w:color w:val="000000"/>
                <w:sz w:val="20"/>
                <w:szCs w:val="20"/>
              </w:rPr>
              <w:t>54.73</w:t>
            </w:r>
          </w:p>
        </w:tc>
        <w:tc>
          <w:tcPr>
            <w:tcW w:w="1084" w:type="dxa"/>
            <w:tcBorders>
              <w:top w:val="nil"/>
              <w:left w:val="nil"/>
              <w:bottom w:val="nil"/>
              <w:right w:val="nil"/>
            </w:tcBorders>
            <w:shd w:val="clear" w:color="000000" w:fill="FFFFFF"/>
            <w:noWrap/>
            <w:vAlign w:val="center"/>
            <w:hideMark/>
          </w:tcPr>
          <w:p w14:paraId="60C9E51A" w14:textId="26FC0D7E" w:rsidR="00C744BC" w:rsidRPr="00D618B7" w:rsidRDefault="00C744BC" w:rsidP="00C744BC">
            <w:pPr>
              <w:jc w:val="right"/>
              <w:rPr>
                <w:color w:val="000000"/>
                <w:sz w:val="20"/>
                <w:szCs w:val="20"/>
              </w:rPr>
            </w:pPr>
            <w:r w:rsidRPr="00D618B7">
              <w:rPr>
                <w:color w:val="000000"/>
                <w:sz w:val="20"/>
                <w:szCs w:val="20"/>
              </w:rPr>
              <w:t>92.68</w:t>
            </w:r>
          </w:p>
        </w:tc>
        <w:tc>
          <w:tcPr>
            <w:tcW w:w="1522" w:type="dxa"/>
            <w:tcBorders>
              <w:top w:val="nil"/>
              <w:left w:val="nil"/>
              <w:bottom w:val="nil"/>
              <w:right w:val="nil"/>
            </w:tcBorders>
            <w:shd w:val="clear" w:color="000000" w:fill="FFFFFF"/>
            <w:noWrap/>
            <w:vAlign w:val="center"/>
            <w:hideMark/>
          </w:tcPr>
          <w:p w14:paraId="3C670830" w14:textId="0DCA5548" w:rsidR="00C744BC" w:rsidRPr="00D618B7" w:rsidRDefault="00C744BC" w:rsidP="00C744BC">
            <w:pPr>
              <w:jc w:val="right"/>
              <w:rPr>
                <w:color w:val="000000"/>
                <w:sz w:val="20"/>
                <w:szCs w:val="20"/>
              </w:rPr>
            </w:pPr>
            <w:r w:rsidRPr="00D618B7">
              <w:rPr>
                <w:color w:val="000000"/>
                <w:sz w:val="20"/>
                <w:szCs w:val="20"/>
              </w:rPr>
              <w:t>45.60</w:t>
            </w:r>
          </w:p>
        </w:tc>
        <w:tc>
          <w:tcPr>
            <w:tcW w:w="1060" w:type="dxa"/>
            <w:tcBorders>
              <w:top w:val="nil"/>
              <w:left w:val="nil"/>
              <w:bottom w:val="nil"/>
              <w:right w:val="nil"/>
            </w:tcBorders>
            <w:shd w:val="clear" w:color="000000" w:fill="FFFFFF"/>
            <w:noWrap/>
            <w:vAlign w:val="center"/>
            <w:hideMark/>
          </w:tcPr>
          <w:p w14:paraId="57B1E8EF" w14:textId="1123A425" w:rsidR="00C744BC" w:rsidRPr="00D618B7" w:rsidRDefault="00C744BC" w:rsidP="00C744BC">
            <w:pPr>
              <w:jc w:val="right"/>
              <w:rPr>
                <w:color w:val="000000"/>
                <w:sz w:val="20"/>
                <w:szCs w:val="20"/>
              </w:rPr>
            </w:pPr>
            <w:r w:rsidRPr="00D618B7">
              <w:rPr>
                <w:color w:val="000000"/>
                <w:sz w:val="20"/>
                <w:szCs w:val="20"/>
              </w:rPr>
              <w:t>85.85</w:t>
            </w:r>
          </w:p>
        </w:tc>
        <w:tc>
          <w:tcPr>
            <w:tcW w:w="1575" w:type="dxa"/>
            <w:tcBorders>
              <w:top w:val="nil"/>
              <w:left w:val="nil"/>
              <w:bottom w:val="nil"/>
              <w:right w:val="nil"/>
            </w:tcBorders>
            <w:shd w:val="clear" w:color="000000" w:fill="FFFFFF"/>
            <w:noWrap/>
            <w:vAlign w:val="center"/>
            <w:hideMark/>
          </w:tcPr>
          <w:p w14:paraId="5F420E4F" w14:textId="47818E21" w:rsidR="00C744BC" w:rsidRPr="00D618B7" w:rsidRDefault="00C744BC" w:rsidP="00C744BC">
            <w:pPr>
              <w:jc w:val="right"/>
              <w:rPr>
                <w:color w:val="000000"/>
                <w:sz w:val="20"/>
                <w:szCs w:val="20"/>
              </w:rPr>
            </w:pPr>
            <w:r w:rsidRPr="00D618B7">
              <w:rPr>
                <w:color w:val="000000"/>
                <w:sz w:val="20"/>
                <w:szCs w:val="20"/>
              </w:rPr>
              <w:t>983.47</w:t>
            </w:r>
          </w:p>
        </w:tc>
        <w:tc>
          <w:tcPr>
            <w:tcW w:w="1098" w:type="dxa"/>
            <w:tcBorders>
              <w:top w:val="nil"/>
              <w:left w:val="nil"/>
              <w:bottom w:val="nil"/>
              <w:right w:val="nil"/>
            </w:tcBorders>
            <w:shd w:val="clear" w:color="000000" w:fill="FFFFFF"/>
            <w:noWrap/>
            <w:vAlign w:val="center"/>
            <w:hideMark/>
          </w:tcPr>
          <w:p w14:paraId="042BE5B6" w14:textId="50C9D9E5" w:rsidR="00C744BC" w:rsidRPr="00D618B7" w:rsidRDefault="00C744BC" w:rsidP="00C744BC">
            <w:pPr>
              <w:jc w:val="right"/>
              <w:rPr>
                <w:color w:val="000000"/>
                <w:sz w:val="20"/>
                <w:szCs w:val="20"/>
              </w:rPr>
            </w:pPr>
            <w:r w:rsidRPr="00D618B7">
              <w:rPr>
                <w:color w:val="000000"/>
                <w:sz w:val="20"/>
                <w:szCs w:val="20"/>
              </w:rPr>
              <w:t>702.00</w:t>
            </w:r>
          </w:p>
        </w:tc>
      </w:tr>
      <w:tr w:rsidR="00C744BC" w:rsidRPr="00D618B7" w14:paraId="2C4AE873" w14:textId="77777777" w:rsidTr="00CC17EC">
        <w:trPr>
          <w:trHeight w:val="242"/>
        </w:trPr>
        <w:tc>
          <w:tcPr>
            <w:tcW w:w="1305" w:type="dxa"/>
            <w:tcBorders>
              <w:top w:val="nil"/>
              <w:left w:val="nil"/>
              <w:bottom w:val="nil"/>
              <w:right w:val="nil"/>
            </w:tcBorders>
            <w:shd w:val="clear" w:color="000000" w:fill="FFFFFF"/>
            <w:vAlign w:val="center"/>
            <w:hideMark/>
          </w:tcPr>
          <w:p w14:paraId="732963BD" w14:textId="77777777" w:rsidR="00C744BC" w:rsidRPr="00D618B7" w:rsidRDefault="00C744BC" w:rsidP="00C744BC">
            <w:pPr>
              <w:jc w:val="right"/>
              <w:rPr>
                <w:color w:val="000000"/>
                <w:sz w:val="20"/>
                <w:szCs w:val="20"/>
              </w:rPr>
            </w:pPr>
            <w:r w:rsidRPr="00D618B7">
              <w:rPr>
                <w:color w:val="000000"/>
                <w:sz w:val="20"/>
                <w:szCs w:val="20"/>
              </w:rPr>
              <w:t>-1</w:t>
            </w:r>
          </w:p>
        </w:tc>
        <w:tc>
          <w:tcPr>
            <w:tcW w:w="1093" w:type="dxa"/>
            <w:tcBorders>
              <w:top w:val="nil"/>
              <w:left w:val="nil"/>
              <w:bottom w:val="nil"/>
              <w:right w:val="nil"/>
            </w:tcBorders>
            <w:shd w:val="clear" w:color="000000" w:fill="FFFFFF"/>
            <w:noWrap/>
            <w:vAlign w:val="center"/>
            <w:hideMark/>
          </w:tcPr>
          <w:p w14:paraId="15E440A6" w14:textId="5717BB02" w:rsidR="00C744BC" w:rsidRPr="00D618B7" w:rsidRDefault="00C744BC" w:rsidP="00C744BC">
            <w:pPr>
              <w:jc w:val="right"/>
              <w:rPr>
                <w:color w:val="000000"/>
                <w:sz w:val="20"/>
                <w:szCs w:val="20"/>
              </w:rPr>
            </w:pPr>
            <w:r w:rsidRPr="00D618B7">
              <w:rPr>
                <w:color w:val="000000"/>
                <w:sz w:val="20"/>
                <w:szCs w:val="20"/>
              </w:rPr>
              <w:t>-2.96</w:t>
            </w:r>
          </w:p>
        </w:tc>
        <w:tc>
          <w:tcPr>
            <w:tcW w:w="1084" w:type="dxa"/>
            <w:tcBorders>
              <w:top w:val="nil"/>
              <w:left w:val="nil"/>
              <w:bottom w:val="nil"/>
              <w:right w:val="nil"/>
            </w:tcBorders>
            <w:shd w:val="clear" w:color="000000" w:fill="FFFFFF"/>
            <w:noWrap/>
            <w:vAlign w:val="center"/>
            <w:hideMark/>
          </w:tcPr>
          <w:p w14:paraId="7090E4DD" w14:textId="4E77AAC3" w:rsidR="00C744BC" w:rsidRPr="00D618B7" w:rsidRDefault="00C744BC" w:rsidP="00C744BC">
            <w:pPr>
              <w:jc w:val="right"/>
              <w:rPr>
                <w:color w:val="000000"/>
                <w:sz w:val="20"/>
                <w:szCs w:val="20"/>
              </w:rPr>
            </w:pPr>
            <w:r w:rsidRPr="00D618B7">
              <w:rPr>
                <w:color w:val="000000"/>
                <w:sz w:val="20"/>
                <w:szCs w:val="20"/>
              </w:rPr>
              <w:t>67.53</w:t>
            </w:r>
          </w:p>
        </w:tc>
        <w:tc>
          <w:tcPr>
            <w:tcW w:w="1522" w:type="dxa"/>
            <w:tcBorders>
              <w:top w:val="nil"/>
              <w:left w:val="nil"/>
              <w:bottom w:val="nil"/>
              <w:right w:val="nil"/>
            </w:tcBorders>
            <w:shd w:val="clear" w:color="000000" w:fill="FFFFFF"/>
            <w:noWrap/>
            <w:vAlign w:val="center"/>
            <w:hideMark/>
          </w:tcPr>
          <w:p w14:paraId="01A8D3D9" w14:textId="01A6337E" w:rsidR="00C744BC" w:rsidRPr="00D618B7" w:rsidRDefault="00C744BC" w:rsidP="00C744BC">
            <w:pPr>
              <w:jc w:val="right"/>
              <w:rPr>
                <w:color w:val="000000"/>
                <w:sz w:val="20"/>
                <w:szCs w:val="20"/>
              </w:rPr>
            </w:pPr>
            <w:r w:rsidRPr="00D618B7">
              <w:rPr>
                <w:color w:val="000000"/>
                <w:sz w:val="20"/>
                <w:szCs w:val="20"/>
              </w:rPr>
              <w:t>69.45</w:t>
            </w:r>
          </w:p>
        </w:tc>
        <w:tc>
          <w:tcPr>
            <w:tcW w:w="1060" w:type="dxa"/>
            <w:tcBorders>
              <w:top w:val="nil"/>
              <w:left w:val="nil"/>
              <w:bottom w:val="nil"/>
              <w:right w:val="nil"/>
            </w:tcBorders>
            <w:shd w:val="clear" w:color="000000" w:fill="FFFFFF"/>
            <w:noWrap/>
            <w:vAlign w:val="center"/>
            <w:hideMark/>
          </w:tcPr>
          <w:p w14:paraId="44D3CC20" w14:textId="30A7A260" w:rsidR="00C744BC" w:rsidRPr="00D618B7" w:rsidRDefault="00C744BC" w:rsidP="00C744BC">
            <w:pPr>
              <w:jc w:val="right"/>
              <w:rPr>
                <w:color w:val="000000"/>
                <w:sz w:val="20"/>
                <w:szCs w:val="20"/>
              </w:rPr>
            </w:pPr>
            <w:r w:rsidRPr="00D618B7">
              <w:rPr>
                <w:color w:val="000000"/>
                <w:sz w:val="20"/>
                <w:szCs w:val="20"/>
              </w:rPr>
              <w:t>146.23</w:t>
            </w:r>
          </w:p>
        </w:tc>
        <w:tc>
          <w:tcPr>
            <w:tcW w:w="1575" w:type="dxa"/>
            <w:tcBorders>
              <w:top w:val="nil"/>
              <w:left w:val="nil"/>
              <w:bottom w:val="nil"/>
              <w:right w:val="nil"/>
            </w:tcBorders>
            <w:shd w:val="clear" w:color="000000" w:fill="FFFFFF"/>
            <w:noWrap/>
            <w:vAlign w:val="center"/>
            <w:hideMark/>
          </w:tcPr>
          <w:p w14:paraId="0C4ACC7C" w14:textId="5010FFFA" w:rsidR="00C744BC" w:rsidRPr="00D618B7" w:rsidRDefault="00C744BC" w:rsidP="00C744BC">
            <w:pPr>
              <w:jc w:val="right"/>
              <w:rPr>
                <w:color w:val="000000"/>
                <w:sz w:val="20"/>
                <w:szCs w:val="20"/>
              </w:rPr>
            </w:pPr>
            <w:r w:rsidRPr="00D618B7">
              <w:rPr>
                <w:color w:val="000000"/>
                <w:sz w:val="20"/>
                <w:szCs w:val="20"/>
              </w:rPr>
              <w:t>5465.58</w:t>
            </w:r>
          </w:p>
        </w:tc>
        <w:tc>
          <w:tcPr>
            <w:tcW w:w="1098" w:type="dxa"/>
            <w:tcBorders>
              <w:top w:val="nil"/>
              <w:left w:val="nil"/>
              <w:bottom w:val="nil"/>
              <w:right w:val="nil"/>
            </w:tcBorders>
            <w:shd w:val="clear" w:color="000000" w:fill="FFFFFF"/>
            <w:noWrap/>
            <w:vAlign w:val="center"/>
            <w:hideMark/>
          </w:tcPr>
          <w:p w14:paraId="2C935C5B" w14:textId="1D6FDD03" w:rsidR="00C744BC" w:rsidRPr="00D618B7" w:rsidRDefault="00C744BC" w:rsidP="00C744BC">
            <w:pPr>
              <w:jc w:val="right"/>
              <w:rPr>
                <w:color w:val="000000"/>
                <w:sz w:val="20"/>
                <w:szCs w:val="20"/>
              </w:rPr>
            </w:pPr>
            <w:r w:rsidRPr="00D618B7">
              <w:rPr>
                <w:color w:val="000000"/>
                <w:sz w:val="20"/>
                <w:szCs w:val="20"/>
              </w:rPr>
              <w:t>1187.75</w:t>
            </w:r>
          </w:p>
        </w:tc>
      </w:tr>
      <w:tr w:rsidR="00C744BC" w:rsidRPr="00D618B7" w14:paraId="3D71EA49" w14:textId="77777777" w:rsidTr="00CC17EC">
        <w:trPr>
          <w:trHeight w:val="242"/>
        </w:trPr>
        <w:tc>
          <w:tcPr>
            <w:tcW w:w="1305" w:type="dxa"/>
            <w:tcBorders>
              <w:top w:val="nil"/>
              <w:left w:val="nil"/>
              <w:bottom w:val="nil"/>
              <w:right w:val="nil"/>
            </w:tcBorders>
            <w:shd w:val="clear" w:color="000000" w:fill="FFFFFF"/>
            <w:vAlign w:val="center"/>
            <w:hideMark/>
          </w:tcPr>
          <w:p w14:paraId="50C45200" w14:textId="77777777" w:rsidR="00C744BC" w:rsidRPr="00D618B7" w:rsidRDefault="00C744BC" w:rsidP="00C744BC">
            <w:pPr>
              <w:jc w:val="right"/>
              <w:rPr>
                <w:color w:val="000000"/>
                <w:sz w:val="20"/>
                <w:szCs w:val="20"/>
              </w:rPr>
            </w:pPr>
            <w:r w:rsidRPr="00D618B7">
              <w:rPr>
                <w:color w:val="000000"/>
                <w:sz w:val="20"/>
                <w:szCs w:val="20"/>
              </w:rPr>
              <w:t>0</w:t>
            </w:r>
          </w:p>
        </w:tc>
        <w:tc>
          <w:tcPr>
            <w:tcW w:w="1093" w:type="dxa"/>
            <w:tcBorders>
              <w:top w:val="nil"/>
              <w:left w:val="nil"/>
              <w:bottom w:val="nil"/>
              <w:right w:val="nil"/>
            </w:tcBorders>
            <w:shd w:val="clear" w:color="000000" w:fill="FFFFFF"/>
            <w:noWrap/>
            <w:vAlign w:val="center"/>
            <w:hideMark/>
          </w:tcPr>
          <w:p w14:paraId="168ABC1E" w14:textId="78E3FB56" w:rsidR="00C744BC" w:rsidRPr="00D618B7" w:rsidRDefault="00C744BC" w:rsidP="00C744BC">
            <w:pPr>
              <w:jc w:val="right"/>
              <w:rPr>
                <w:color w:val="000000"/>
                <w:sz w:val="20"/>
                <w:szCs w:val="20"/>
              </w:rPr>
            </w:pPr>
            <w:r w:rsidRPr="00D618B7">
              <w:rPr>
                <w:color w:val="000000"/>
                <w:sz w:val="20"/>
                <w:szCs w:val="20"/>
              </w:rPr>
              <w:t>15.99</w:t>
            </w:r>
          </w:p>
        </w:tc>
        <w:tc>
          <w:tcPr>
            <w:tcW w:w="1084" w:type="dxa"/>
            <w:tcBorders>
              <w:top w:val="nil"/>
              <w:left w:val="nil"/>
              <w:bottom w:val="nil"/>
              <w:right w:val="nil"/>
            </w:tcBorders>
            <w:shd w:val="clear" w:color="000000" w:fill="FFFFFF"/>
            <w:noWrap/>
            <w:vAlign w:val="center"/>
            <w:hideMark/>
          </w:tcPr>
          <w:p w14:paraId="635F96E0" w14:textId="498F67B8" w:rsidR="00C744BC" w:rsidRPr="00D618B7" w:rsidRDefault="00C744BC" w:rsidP="00C744BC">
            <w:pPr>
              <w:jc w:val="right"/>
              <w:rPr>
                <w:color w:val="000000"/>
                <w:sz w:val="20"/>
                <w:szCs w:val="20"/>
              </w:rPr>
            </w:pPr>
            <w:r w:rsidRPr="00D618B7">
              <w:rPr>
                <w:color w:val="000000"/>
                <w:sz w:val="20"/>
                <w:szCs w:val="20"/>
              </w:rPr>
              <w:t>39.26</w:t>
            </w:r>
          </w:p>
        </w:tc>
        <w:tc>
          <w:tcPr>
            <w:tcW w:w="1522" w:type="dxa"/>
            <w:tcBorders>
              <w:top w:val="nil"/>
              <w:left w:val="nil"/>
              <w:bottom w:val="nil"/>
              <w:right w:val="nil"/>
            </w:tcBorders>
            <w:shd w:val="clear" w:color="000000" w:fill="FFFFFF"/>
            <w:noWrap/>
            <w:vAlign w:val="center"/>
            <w:hideMark/>
          </w:tcPr>
          <w:p w14:paraId="652BF041" w14:textId="7147D457" w:rsidR="00C744BC" w:rsidRPr="00D618B7" w:rsidRDefault="00C744BC" w:rsidP="00C744BC">
            <w:pPr>
              <w:jc w:val="right"/>
              <w:rPr>
                <w:color w:val="000000"/>
                <w:sz w:val="20"/>
                <w:szCs w:val="20"/>
              </w:rPr>
            </w:pPr>
            <w:r w:rsidRPr="00D618B7">
              <w:rPr>
                <w:color w:val="000000"/>
                <w:sz w:val="20"/>
                <w:szCs w:val="20"/>
              </w:rPr>
              <w:t>-508.62</w:t>
            </w:r>
          </w:p>
        </w:tc>
        <w:tc>
          <w:tcPr>
            <w:tcW w:w="1060" w:type="dxa"/>
            <w:tcBorders>
              <w:top w:val="nil"/>
              <w:left w:val="nil"/>
              <w:bottom w:val="nil"/>
              <w:right w:val="nil"/>
            </w:tcBorders>
            <w:shd w:val="clear" w:color="000000" w:fill="FFFFFF"/>
            <w:noWrap/>
            <w:vAlign w:val="center"/>
            <w:hideMark/>
          </w:tcPr>
          <w:p w14:paraId="61ACE87E" w14:textId="742303EA" w:rsidR="00C744BC" w:rsidRPr="00D618B7" w:rsidRDefault="00C744BC" w:rsidP="00C744BC">
            <w:pPr>
              <w:jc w:val="right"/>
              <w:rPr>
                <w:color w:val="000000"/>
                <w:sz w:val="20"/>
                <w:szCs w:val="20"/>
              </w:rPr>
            </w:pPr>
            <w:r w:rsidRPr="00D618B7">
              <w:rPr>
                <w:color w:val="000000"/>
                <w:sz w:val="20"/>
                <w:szCs w:val="20"/>
              </w:rPr>
              <w:t>102.90</w:t>
            </w:r>
          </w:p>
        </w:tc>
        <w:tc>
          <w:tcPr>
            <w:tcW w:w="1575" w:type="dxa"/>
            <w:tcBorders>
              <w:top w:val="nil"/>
              <w:left w:val="nil"/>
              <w:bottom w:val="nil"/>
              <w:right w:val="nil"/>
            </w:tcBorders>
            <w:shd w:val="clear" w:color="000000" w:fill="FFFFFF"/>
            <w:noWrap/>
            <w:vAlign w:val="center"/>
            <w:hideMark/>
          </w:tcPr>
          <w:p w14:paraId="416025C8" w14:textId="61B48928" w:rsidR="00C744BC" w:rsidRPr="00D618B7" w:rsidRDefault="00C744BC" w:rsidP="00C744BC">
            <w:pPr>
              <w:jc w:val="right"/>
              <w:rPr>
                <w:color w:val="000000"/>
                <w:sz w:val="20"/>
                <w:szCs w:val="20"/>
              </w:rPr>
            </w:pPr>
            <w:r w:rsidRPr="00D618B7">
              <w:rPr>
                <w:color w:val="000000"/>
                <w:sz w:val="20"/>
                <w:szCs w:val="20"/>
              </w:rPr>
              <w:t>3710.35</w:t>
            </w:r>
          </w:p>
        </w:tc>
        <w:tc>
          <w:tcPr>
            <w:tcW w:w="1098" w:type="dxa"/>
            <w:tcBorders>
              <w:top w:val="nil"/>
              <w:left w:val="nil"/>
              <w:bottom w:val="nil"/>
              <w:right w:val="nil"/>
            </w:tcBorders>
            <w:shd w:val="clear" w:color="000000" w:fill="FFFFFF"/>
            <w:noWrap/>
            <w:vAlign w:val="center"/>
            <w:hideMark/>
          </w:tcPr>
          <w:p w14:paraId="209634BD" w14:textId="794BD91B" w:rsidR="00C744BC" w:rsidRPr="00D618B7" w:rsidRDefault="00C744BC" w:rsidP="00C744BC">
            <w:pPr>
              <w:jc w:val="right"/>
              <w:rPr>
                <w:color w:val="000000"/>
                <w:sz w:val="20"/>
                <w:szCs w:val="20"/>
              </w:rPr>
            </w:pPr>
            <w:r w:rsidRPr="00D618B7">
              <w:rPr>
                <w:color w:val="000000"/>
                <w:sz w:val="20"/>
                <w:szCs w:val="20"/>
              </w:rPr>
              <w:t>2183.18</w:t>
            </w:r>
          </w:p>
        </w:tc>
      </w:tr>
      <w:tr w:rsidR="00C744BC" w:rsidRPr="00D618B7" w14:paraId="042437E8" w14:textId="77777777" w:rsidTr="00CC17EC">
        <w:trPr>
          <w:trHeight w:val="242"/>
        </w:trPr>
        <w:tc>
          <w:tcPr>
            <w:tcW w:w="1305" w:type="dxa"/>
            <w:tcBorders>
              <w:top w:val="nil"/>
              <w:left w:val="nil"/>
              <w:bottom w:val="nil"/>
              <w:right w:val="nil"/>
            </w:tcBorders>
            <w:shd w:val="clear" w:color="000000" w:fill="FFFFFF"/>
            <w:vAlign w:val="center"/>
            <w:hideMark/>
          </w:tcPr>
          <w:p w14:paraId="5635D221" w14:textId="77777777" w:rsidR="00C744BC" w:rsidRPr="00D618B7" w:rsidRDefault="00C744BC" w:rsidP="00C744BC">
            <w:pPr>
              <w:jc w:val="right"/>
              <w:rPr>
                <w:color w:val="000000"/>
                <w:sz w:val="20"/>
                <w:szCs w:val="20"/>
              </w:rPr>
            </w:pPr>
            <w:r w:rsidRPr="00D618B7">
              <w:rPr>
                <w:color w:val="000000"/>
                <w:sz w:val="20"/>
                <w:szCs w:val="20"/>
              </w:rPr>
              <w:t>1</w:t>
            </w:r>
          </w:p>
        </w:tc>
        <w:tc>
          <w:tcPr>
            <w:tcW w:w="1093" w:type="dxa"/>
            <w:tcBorders>
              <w:top w:val="nil"/>
              <w:left w:val="nil"/>
              <w:bottom w:val="nil"/>
              <w:right w:val="nil"/>
            </w:tcBorders>
            <w:shd w:val="clear" w:color="000000" w:fill="FFFFFF"/>
            <w:noWrap/>
            <w:vAlign w:val="center"/>
            <w:hideMark/>
          </w:tcPr>
          <w:p w14:paraId="69CB0D22" w14:textId="177BE7DC" w:rsidR="00C744BC" w:rsidRPr="00D618B7" w:rsidRDefault="00C744BC" w:rsidP="00C744BC">
            <w:pPr>
              <w:jc w:val="right"/>
              <w:rPr>
                <w:color w:val="000000"/>
                <w:sz w:val="20"/>
                <w:szCs w:val="20"/>
              </w:rPr>
            </w:pPr>
            <w:r w:rsidRPr="00D618B7">
              <w:rPr>
                <w:color w:val="000000"/>
                <w:sz w:val="20"/>
                <w:szCs w:val="20"/>
              </w:rPr>
              <w:t>418.70</w:t>
            </w:r>
          </w:p>
        </w:tc>
        <w:tc>
          <w:tcPr>
            <w:tcW w:w="1084" w:type="dxa"/>
            <w:tcBorders>
              <w:top w:val="nil"/>
              <w:left w:val="nil"/>
              <w:bottom w:val="nil"/>
              <w:right w:val="nil"/>
            </w:tcBorders>
            <w:shd w:val="clear" w:color="000000" w:fill="FFFFFF"/>
            <w:noWrap/>
            <w:vAlign w:val="center"/>
            <w:hideMark/>
          </w:tcPr>
          <w:p w14:paraId="2DC3C6B1" w14:textId="093E26CF" w:rsidR="00C744BC" w:rsidRPr="00D618B7" w:rsidRDefault="00C744BC" w:rsidP="00C744BC">
            <w:pPr>
              <w:jc w:val="right"/>
              <w:rPr>
                <w:color w:val="000000"/>
                <w:sz w:val="20"/>
                <w:szCs w:val="20"/>
              </w:rPr>
            </w:pPr>
            <w:r w:rsidRPr="00D618B7">
              <w:rPr>
                <w:color w:val="000000"/>
                <w:sz w:val="20"/>
                <w:szCs w:val="20"/>
              </w:rPr>
              <w:t>315.54</w:t>
            </w:r>
          </w:p>
        </w:tc>
        <w:tc>
          <w:tcPr>
            <w:tcW w:w="1522" w:type="dxa"/>
            <w:tcBorders>
              <w:top w:val="nil"/>
              <w:left w:val="nil"/>
              <w:bottom w:val="nil"/>
              <w:right w:val="nil"/>
            </w:tcBorders>
            <w:shd w:val="clear" w:color="000000" w:fill="FFFFFF"/>
            <w:noWrap/>
            <w:vAlign w:val="center"/>
            <w:hideMark/>
          </w:tcPr>
          <w:p w14:paraId="4AAA3902" w14:textId="7834C9DB" w:rsidR="00C744BC" w:rsidRPr="00D618B7" w:rsidRDefault="00C744BC" w:rsidP="00C744BC">
            <w:pPr>
              <w:jc w:val="right"/>
              <w:rPr>
                <w:color w:val="000000"/>
                <w:sz w:val="20"/>
                <w:szCs w:val="20"/>
              </w:rPr>
            </w:pPr>
            <w:r w:rsidRPr="00D618B7">
              <w:rPr>
                <w:color w:val="000000"/>
                <w:sz w:val="20"/>
                <w:szCs w:val="20"/>
              </w:rPr>
              <w:t>503.20</w:t>
            </w:r>
          </w:p>
        </w:tc>
        <w:tc>
          <w:tcPr>
            <w:tcW w:w="1060" w:type="dxa"/>
            <w:tcBorders>
              <w:top w:val="nil"/>
              <w:left w:val="nil"/>
              <w:bottom w:val="nil"/>
              <w:right w:val="nil"/>
            </w:tcBorders>
            <w:shd w:val="clear" w:color="000000" w:fill="FFFFFF"/>
            <w:noWrap/>
            <w:vAlign w:val="center"/>
            <w:hideMark/>
          </w:tcPr>
          <w:p w14:paraId="7F59F137" w14:textId="19D0FB66" w:rsidR="00C744BC" w:rsidRPr="00D618B7" w:rsidRDefault="00C744BC" w:rsidP="00C744BC">
            <w:pPr>
              <w:jc w:val="right"/>
              <w:rPr>
                <w:color w:val="000000"/>
                <w:sz w:val="20"/>
                <w:szCs w:val="20"/>
              </w:rPr>
            </w:pPr>
            <w:r w:rsidRPr="00D618B7">
              <w:rPr>
                <w:color w:val="000000"/>
                <w:sz w:val="20"/>
                <w:szCs w:val="20"/>
              </w:rPr>
              <w:t>63.41</w:t>
            </w:r>
          </w:p>
        </w:tc>
        <w:tc>
          <w:tcPr>
            <w:tcW w:w="1575" w:type="dxa"/>
            <w:tcBorders>
              <w:top w:val="nil"/>
              <w:left w:val="nil"/>
              <w:bottom w:val="nil"/>
              <w:right w:val="nil"/>
            </w:tcBorders>
            <w:shd w:val="clear" w:color="000000" w:fill="FFFFFF"/>
            <w:noWrap/>
            <w:vAlign w:val="center"/>
            <w:hideMark/>
          </w:tcPr>
          <w:p w14:paraId="3887D5F9" w14:textId="705123FB" w:rsidR="00C744BC" w:rsidRPr="00D618B7" w:rsidRDefault="00C744BC" w:rsidP="00C744BC">
            <w:pPr>
              <w:jc w:val="right"/>
              <w:rPr>
                <w:color w:val="000000"/>
                <w:sz w:val="20"/>
                <w:szCs w:val="20"/>
              </w:rPr>
            </w:pPr>
            <w:r w:rsidRPr="00D618B7">
              <w:rPr>
                <w:color w:val="000000"/>
                <w:sz w:val="20"/>
                <w:szCs w:val="20"/>
              </w:rPr>
              <w:t>598.87</w:t>
            </w:r>
          </w:p>
        </w:tc>
        <w:tc>
          <w:tcPr>
            <w:tcW w:w="1098" w:type="dxa"/>
            <w:tcBorders>
              <w:top w:val="nil"/>
              <w:left w:val="nil"/>
              <w:bottom w:val="nil"/>
              <w:right w:val="nil"/>
            </w:tcBorders>
            <w:shd w:val="clear" w:color="000000" w:fill="FFFFFF"/>
            <w:noWrap/>
            <w:vAlign w:val="center"/>
            <w:hideMark/>
          </w:tcPr>
          <w:p w14:paraId="4E288933" w14:textId="2F3386E6" w:rsidR="00C744BC" w:rsidRPr="00D618B7" w:rsidRDefault="00C744BC" w:rsidP="00C744BC">
            <w:pPr>
              <w:jc w:val="right"/>
              <w:rPr>
                <w:color w:val="000000"/>
                <w:sz w:val="20"/>
                <w:szCs w:val="20"/>
              </w:rPr>
            </w:pPr>
            <w:r w:rsidRPr="00D618B7">
              <w:rPr>
                <w:color w:val="000000"/>
                <w:sz w:val="20"/>
                <w:szCs w:val="20"/>
              </w:rPr>
              <w:t>213.05</w:t>
            </w:r>
          </w:p>
        </w:tc>
      </w:tr>
      <w:tr w:rsidR="00C744BC" w:rsidRPr="00D618B7" w14:paraId="5FD91B79" w14:textId="77777777" w:rsidTr="00CC17EC">
        <w:trPr>
          <w:trHeight w:val="242"/>
        </w:trPr>
        <w:tc>
          <w:tcPr>
            <w:tcW w:w="1305" w:type="dxa"/>
            <w:tcBorders>
              <w:top w:val="nil"/>
              <w:left w:val="nil"/>
              <w:bottom w:val="nil"/>
              <w:right w:val="nil"/>
            </w:tcBorders>
            <w:shd w:val="clear" w:color="000000" w:fill="FFFFFF"/>
            <w:vAlign w:val="center"/>
            <w:hideMark/>
          </w:tcPr>
          <w:p w14:paraId="7C81729B" w14:textId="77777777" w:rsidR="00C744BC" w:rsidRPr="00D618B7" w:rsidRDefault="00C744BC" w:rsidP="00C744BC">
            <w:pPr>
              <w:jc w:val="right"/>
              <w:rPr>
                <w:color w:val="000000"/>
                <w:sz w:val="20"/>
                <w:szCs w:val="20"/>
              </w:rPr>
            </w:pPr>
            <w:r w:rsidRPr="00D618B7">
              <w:rPr>
                <w:color w:val="000000"/>
                <w:sz w:val="20"/>
                <w:szCs w:val="20"/>
              </w:rPr>
              <w:t>2</w:t>
            </w:r>
          </w:p>
        </w:tc>
        <w:tc>
          <w:tcPr>
            <w:tcW w:w="1093" w:type="dxa"/>
            <w:tcBorders>
              <w:top w:val="nil"/>
              <w:left w:val="nil"/>
              <w:bottom w:val="nil"/>
              <w:right w:val="nil"/>
            </w:tcBorders>
            <w:shd w:val="clear" w:color="000000" w:fill="FFFFFF"/>
            <w:noWrap/>
            <w:vAlign w:val="center"/>
            <w:hideMark/>
          </w:tcPr>
          <w:p w14:paraId="0D168E69" w14:textId="126A31C0" w:rsidR="00C744BC" w:rsidRPr="00D618B7" w:rsidRDefault="00C744BC" w:rsidP="00C744BC">
            <w:pPr>
              <w:jc w:val="right"/>
              <w:rPr>
                <w:color w:val="000000"/>
                <w:sz w:val="20"/>
                <w:szCs w:val="20"/>
              </w:rPr>
            </w:pPr>
            <w:r w:rsidRPr="00D618B7">
              <w:rPr>
                <w:color w:val="000000"/>
                <w:sz w:val="20"/>
                <w:szCs w:val="20"/>
              </w:rPr>
              <w:t>111.82</w:t>
            </w:r>
          </w:p>
        </w:tc>
        <w:tc>
          <w:tcPr>
            <w:tcW w:w="1084" w:type="dxa"/>
            <w:tcBorders>
              <w:top w:val="nil"/>
              <w:left w:val="nil"/>
              <w:bottom w:val="nil"/>
              <w:right w:val="nil"/>
            </w:tcBorders>
            <w:shd w:val="clear" w:color="000000" w:fill="FFFFFF"/>
            <w:noWrap/>
            <w:vAlign w:val="center"/>
            <w:hideMark/>
          </w:tcPr>
          <w:p w14:paraId="35620D6A" w14:textId="0B1A3736" w:rsidR="00C744BC" w:rsidRPr="00D618B7" w:rsidRDefault="00C744BC" w:rsidP="00C744BC">
            <w:pPr>
              <w:jc w:val="right"/>
              <w:rPr>
                <w:color w:val="000000"/>
                <w:sz w:val="20"/>
                <w:szCs w:val="20"/>
              </w:rPr>
            </w:pPr>
            <w:r w:rsidRPr="00D618B7">
              <w:rPr>
                <w:color w:val="000000"/>
                <w:sz w:val="20"/>
                <w:szCs w:val="20"/>
              </w:rPr>
              <w:t>24.41</w:t>
            </w:r>
          </w:p>
        </w:tc>
        <w:tc>
          <w:tcPr>
            <w:tcW w:w="1522" w:type="dxa"/>
            <w:tcBorders>
              <w:top w:val="nil"/>
              <w:left w:val="nil"/>
              <w:bottom w:val="nil"/>
              <w:right w:val="nil"/>
            </w:tcBorders>
            <w:shd w:val="clear" w:color="000000" w:fill="FFFFFF"/>
            <w:noWrap/>
            <w:vAlign w:val="center"/>
            <w:hideMark/>
          </w:tcPr>
          <w:p w14:paraId="0DA968FD" w14:textId="25014099" w:rsidR="00C744BC" w:rsidRPr="00D618B7" w:rsidRDefault="00C744BC" w:rsidP="00C744BC">
            <w:pPr>
              <w:jc w:val="right"/>
              <w:rPr>
                <w:color w:val="000000"/>
                <w:sz w:val="20"/>
                <w:szCs w:val="20"/>
              </w:rPr>
            </w:pPr>
            <w:r w:rsidRPr="00D618B7">
              <w:rPr>
                <w:color w:val="000000"/>
                <w:sz w:val="20"/>
                <w:szCs w:val="20"/>
              </w:rPr>
              <w:t>-553.32</w:t>
            </w:r>
          </w:p>
        </w:tc>
        <w:tc>
          <w:tcPr>
            <w:tcW w:w="1060" w:type="dxa"/>
            <w:tcBorders>
              <w:top w:val="nil"/>
              <w:left w:val="nil"/>
              <w:bottom w:val="nil"/>
              <w:right w:val="nil"/>
            </w:tcBorders>
            <w:shd w:val="clear" w:color="000000" w:fill="FFFFFF"/>
            <w:noWrap/>
            <w:vAlign w:val="center"/>
            <w:hideMark/>
          </w:tcPr>
          <w:p w14:paraId="372D5E58" w14:textId="7C697F60" w:rsidR="00C744BC" w:rsidRPr="00D618B7" w:rsidRDefault="00C744BC" w:rsidP="00C744BC">
            <w:pPr>
              <w:jc w:val="right"/>
              <w:rPr>
                <w:color w:val="000000"/>
                <w:sz w:val="20"/>
                <w:szCs w:val="20"/>
              </w:rPr>
            </w:pPr>
            <w:r w:rsidRPr="00D618B7">
              <w:rPr>
                <w:color w:val="000000"/>
                <w:sz w:val="20"/>
                <w:szCs w:val="20"/>
              </w:rPr>
              <w:t>167.06</w:t>
            </w:r>
          </w:p>
        </w:tc>
        <w:tc>
          <w:tcPr>
            <w:tcW w:w="1575" w:type="dxa"/>
            <w:tcBorders>
              <w:top w:val="nil"/>
              <w:left w:val="nil"/>
              <w:bottom w:val="nil"/>
              <w:right w:val="nil"/>
            </w:tcBorders>
            <w:shd w:val="clear" w:color="000000" w:fill="FFFFFF"/>
            <w:noWrap/>
            <w:vAlign w:val="center"/>
            <w:hideMark/>
          </w:tcPr>
          <w:p w14:paraId="628924CB" w14:textId="55D11015" w:rsidR="00C744BC" w:rsidRPr="00D618B7" w:rsidRDefault="00C744BC" w:rsidP="00C744BC">
            <w:pPr>
              <w:jc w:val="right"/>
              <w:rPr>
                <w:color w:val="000000"/>
                <w:sz w:val="20"/>
                <w:szCs w:val="20"/>
              </w:rPr>
            </w:pPr>
            <w:r w:rsidRPr="00D618B7">
              <w:rPr>
                <w:color w:val="000000"/>
                <w:sz w:val="20"/>
                <w:szCs w:val="20"/>
              </w:rPr>
              <w:t>349.53</w:t>
            </w:r>
          </w:p>
        </w:tc>
        <w:tc>
          <w:tcPr>
            <w:tcW w:w="1098" w:type="dxa"/>
            <w:tcBorders>
              <w:top w:val="nil"/>
              <w:left w:val="nil"/>
              <w:bottom w:val="nil"/>
              <w:right w:val="nil"/>
            </w:tcBorders>
            <w:shd w:val="clear" w:color="000000" w:fill="FFFFFF"/>
            <w:noWrap/>
            <w:vAlign w:val="center"/>
            <w:hideMark/>
          </w:tcPr>
          <w:p w14:paraId="42555CE2" w14:textId="7BC368FC" w:rsidR="00C744BC" w:rsidRPr="00D618B7" w:rsidRDefault="00C744BC" w:rsidP="00C744BC">
            <w:pPr>
              <w:jc w:val="right"/>
              <w:rPr>
                <w:color w:val="000000"/>
                <w:sz w:val="20"/>
                <w:szCs w:val="20"/>
              </w:rPr>
            </w:pPr>
            <w:r w:rsidRPr="00D618B7">
              <w:rPr>
                <w:color w:val="000000"/>
                <w:sz w:val="20"/>
                <w:szCs w:val="20"/>
              </w:rPr>
              <w:t>143.18</w:t>
            </w:r>
          </w:p>
        </w:tc>
      </w:tr>
      <w:tr w:rsidR="00C744BC" w:rsidRPr="00D618B7" w14:paraId="58B547D6" w14:textId="77777777" w:rsidTr="00CC17EC">
        <w:trPr>
          <w:trHeight w:val="242"/>
        </w:trPr>
        <w:tc>
          <w:tcPr>
            <w:tcW w:w="1305" w:type="dxa"/>
            <w:tcBorders>
              <w:top w:val="nil"/>
              <w:left w:val="nil"/>
              <w:bottom w:val="nil"/>
              <w:right w:val="nil"/>
            </w:tcBorders>
            <w:shd w:val="clear" w:color="000000" w:fill="FFFFFF"/>
            <w:vAlign w:val="center"/>
            <w:hideMark/>
          </w:tcPr>
          <w:p w14:paraId="26FFD4D7" w14:textId="77777777" w:rsidR="00C744BC" w:rsidRPr="00D618B7" w:rsidRDefault="00C744BC" w:rsidP="00C744BC">
            <w:pPr>
              <w:jc w:val="right"/>
              <w:rPr>
                <w:color w:val="000000"/>
                <w:sz w:val="20"/>
                <w:szCs w:val="20"/>
              </w:rPr>
            </w:pPr>
            <w:r w:rsidRPr="00D618B7">
              <w:rPr>
                <w:color w:val="000000"/>
                <w:sz w:val="20"/>
                <w:szCs w:val="20"/>
              </w:rPr>
              <w:t>3</w:t>
            </w:r>
          </w:p>
        </w:tc>
        <w:tc>
          <w:tcPr>
            <w:tcW w:w="1093" w:type="dxa"/>
            <w:tcBorders>
              <w:top w:val="nil"/>
              <w:left w:val="nil"/>
              <w:bottom w:val="nil"/>
              <w:right w:val="nil"/>
            </w:tcBorders>
            <w:shd w:val="clear" w:color="000000" w:fill="FFFFFF"/>
            <w:noWrap/>
            <w:vAlign w:val="center"/>
            <w:hideMark/>
          </w:tcPr>
          <w:p w14:paraId="3F94F474" w14:textId="0BC16D85" w:rsidR="00C744BC" w:rsidRPr="00D618B7" w:rsidRDefault="00C744BC" w:rsidP="00C744BC">
            <w:pPr>
              <w:jc w:val="right"/>
              <w:rPr>
                <w:color w:val="000000"/>
                <w:sz w:val="20"/>
                <w:szCs w:val="20"/>
              </w:rPr>
            </w:pPr>
            <w:r w:rsidRPr="00D618B7">
              <w:rPr>
                <w:color w:val="000000"/>
                <w:sz w:val="20"/>
                <w:szCs w:val="20"/>
              </w:rPr>
              <w:t>-18.53</w:t>
            </w:r>
          </w:p>
        </w:tc>
        <w:tc>
          <w:tcPr>
            <w:tcW w:w="1084" w:type="dxa"/>
            <w:tcBorders>
              <w:top w:val="nil"/>
              <w:left w:val="nil"/>
              <w:bottom w:val="nil"/>
              <w:right w:val="nil"/>
            </w:tcBorders>
            <w:shd w:val="clear" w:color="000000" w:fill="FFFFFF"/>
            <w:noWrap/>
            <w:vAlign w:val="center"/>
            <w:hideMark/>
          </w:tcPr>
          <w:p w14:paraId="5072D065" w14:textId="2AEF9C26" w:rsidR="00C744BC" w:rsidRPr="00D618B7" w:rsidRDefault="00C744BC" w:rsidP="00C744BC">
            <w:pPr>
              <w:jc w:val="right"/>
              <w:rPr>
                <w:color w:val="000000"/>
                <w:sz w:val="20"/>
                <w:szCs w:val="20"/>
              </w:rPr>
            </w:pPr>
            <w:r w:rsidRPr="00D618B7">
              <w:rPr>
                <w:color w:val="000000"/>
                <w:sz w:val="20"/>
                <w:szCs w:val="20"/>
              </w:rPr>
              <w:t>10.66</w:t>
            </w:r>
          </w:p>
        </w:tc>
        <w:tc>
          <w:tcPr>
            <w:tcW w:w="1522" w:type="dxa"/>
            <w:tcBorders>
              <w:top w:val="nil"/>
              <w:left w:val="nil"/>
              <w:bottom w:val="nil"/>
              <w:right w:val="nil"/>
            </w:tcBorders>
            <w:shd w:val="clear" w:color="000000" w:fill="FFFFFF"/>
            <w:noWrap/>
            <w:vAlign w:val="center"/>
            <w:hideMark/>
          </w:tcPr>
          <w:p w14:paraId="5FB18CC1" w14:textId="31B7A7C7" w:rsidR="00C744BC" w:rsidRPr="00D618B7" w:rsidRDefault="00C744BC" w:rsidP="00C744BC">
            <w:pPr>
              <w:jc w:val="right"/>
              <w:rPr>
                <w:color w:val="000000"/>
                <w:sz w:val="20"/>
                <w:szCs w:val="20"/>
              </w:rPr>
            </w:pPr>
            <w:r w:rsidRPr="00D618B7">
              <w:rPr>
                <w:color w:val="000000"/>
                <w:sz w:val="20"/>
                <w:szCs w:val="20"/>
              </w:rPr>
              <w:t>229.45</w:t>
            </w:r>
          </w:p>
        </w:tc>
        <w:tc>
          <w:tcPr>
            <w:tcW w:w="1060" w:type="dxa"/>
            <w:tcBorders>
              <w:top w:val="nil"/>
              <w:left w:val="nil"/>
              <w:bottom w:val="nil"/>
              <w:right w:val="nil"/>
            </w:tcBorders>
            <w:shd w:val="clear" w:color="000000" w:fill="FFFFFF"/>
            <w:noWrap/>
            <w:vAlign w:val="center"/>
            <w:hideMark/>
          </w:tcPr>
          <w:p w14:paraId="3971AEB1" w14:textId="07556800" w:rsidR="00C744BC" w:rsidRPr="00D618B7" w:rsidRDefault="00C744BC" w:rsidP="00C744BC">
            <w:pPr>
              <w:jc w:val="right"/>
              <w:rPr>
                <w:color w:val="000000"/>
                <w:sz w:val="20"/>
                <w:szCs w:val="20"/>
              </w:rPr>
            </w:pPr>
            <w:r w:rsidRPr="00D618B7">
              <w:rPr>
                <w:color w:val="000000"/>
                <w:sz w:val="20"/>
                <w:szCs w:val="20"/>
              </w:rPr>
              <w:t>75.83</w:t>
            </w:r>
          </w:p>
        </w:tc>
        <w:tc>
          <w:tcPr>
            <w:tcW w:w="1575" w:type="dxa"/>
            <w:tcBorders>
              <w:top w:val="nil"/>
              <w:left w:val="nil"/>
              <w:bottom w:val="nil"/>
              <w:right w:val="nil"/>
            </w:tcBorders>
            <w:shd w:val="clear" w:color="000000" w:fill="FFFFFF"/>
            <w:noWrap/>
            <w:vAlign w:val="center"/>
            <w:hideMark/>
          </w:tcPr>
          <w:p w14:paraId="59478953" w14:textId="3BCB2A79" w:rsidR="00C744BC" w:rsidRPr="00D618B7" w:rsidRDefault="00C744BC" w:rsidP="00C744BC">
            <w:pPr>
              <w:jc w:val="right"/>
              <w:rPr>
                <w:color w:val="000000"/>
                <w:sz w:val="20"/>
                <w:szCs w:val="20"/>
              </w:rPr>
            </w:pPr>
            <w:r w:rsidRPr="00D618B7">
              <w:rPr>
                <w:color w:val="000000"/>
                <w:sz w:val="20"/>
                <w:szCs w:val="20"/>
              </w:rPr>
              <w:t>506.67</w:t>
            </w:r>
          </w:p>
        </w:tc>
        <w:tc>
          <w:tcPr>
            <w:tcW w:w="1098" w:type="dxa"/>
            <w:tcBorders>
              <w:top w:val="nil"/>
              <w:left w:val="nil"/>
              <w:bottom w:val="nil"/>
              <w:right w:val="nil"/>
            </w:tcBorders>
            <w:shd w:val="clear" w:color="000000" w:fill="FFFFFF"/>
            <w:noWrap/>
            <w:vAlign w:val="center"/>
            <w:hideMark/>
          </w:tcPr>
          <w:p w14:paraId="286C2ADE" w14:textId="5323A494" w:rsidR="00C744BC" w:rsidRPr="00D618B7" w:rsidRDefault="00C744BC" w:rsidP="00C744BC">
            <w:pPr>
              <w:jc w:val="right"/>
              <w:rPr>
                <w:color w:val="000000"/>
                <w:sz w:val="20"/>
                <w:szCs w:val="20"/>
              </w:rPr>
            </w:pPr>
            <w:r w:rsidRPr="00D618B7">
              <w:rPr>
                <w:color w:val="000000"/>
                <w:sz w:val="20"/>
                <w:szCs w:val="20"/>
              </w:rPr>
              <w:t>326.74</w:t>
            </w:r>
          </w:p>
        </w:tc>
      </w:tr>
      <w:tr w:rsidR="00C744BC" w:rsidRPr="00D618B7" w14:paraId="2735F7B3" w14:textId="77777777" w:rsidTr="00CC17EC">
        <w:trPr>
          <w:trHeight w:val="242"/>
        </w:trPr>
        <w:tc>
          <w:tcPr>
            <w:tcW w:w="1305" w:type="dxa"/>
            <w:tcBorders>
              <w:top w:val="nil"/>
              <w:left w:val="nil"/>
              <w:right w:val="nil"/>
            </w:tcBorders>
            <w:shd w:val="clear" w:color="000000" w:fill="FFFFFF"/>
            <w:vAlign w:val="center"/>
            <w:hideMark/>
          </w:tcPr>
          <w:p w14:paraId="3D91B7A1" w14:textId="77777777" w:rsidR="00C744BC" w:rsidRPr="00D618B7" w:rsidRDefault="00C744BC" w:rsidP="00C744BC">
            <w:pPr>
              <w:jc w:val="right"/>
              <w:rPr>
                <w:color w:val="000000"/>
                <w:sz w:val="20"/>
                <w:szCs w:val="20"/>
              </w:rPr>
            </w:pPr>
            <w:r w:rsidRPr="00D618B7">
              <w:rPr>
                <w:color w:val="000000"/>
                <w:sz w:val="20"/>
                <w:szCs w:val="20"/>
              </w:rPr>
              <w:t>4</w:t>
            </w:r>
          </w:p>
        </w:tc>
        <w:tc>
          <w:tcPr>
            <w:tcW w:w="1093" w:type="dxa"/>
            <w:tcBorders>
              <w:top w:val="nil"/>
              <w:left w:val="nil"/>
              <w:right w:val="nil"/>
            </w:tcBorders>
            <w:shd w:val="clear" w:color="000000" w:fill="FFFFFF"/>
            <w:noWrap/>
            <w:vAlign w:val="center"/>
            <w:hideMark/>
          </w:tcPr>
          <w:p w14:paraId="1A3E81FE" w14:textId="1B92EB05" w:rsidR="00C744BC" w:rsidRPr="00D618B7" w:rsidRDefault="00C744BC" w:rsidP="00C744BC">
            <w:pPr>
              <w:jc w:val="right"/>
              <w:rPr>
                <w:color w:val="000000"/>
                <w:sz w:val="20"/>
                <w:szCs w:val="20"/>
              </w:rPr>
            </w:pPr>
            <w:r w:rsidRPr="00D618B7">
              <w:rPr>
                <w:color w:val="000000"/>
                <w:sz w:val="20"/>
                <w:szCs w:val="20"/>
              </w:rPr>
              <w:t>-199.85</w:t>
            </w:r>
          </w:p>
        </w:tc>
        <w:tc>
          <w:tcPr>
            <w:tcW w:w="1084" w:type="dxa"/>
            <w:tcBorders>
              <w:top w:val="nil"/>
              <w:left w:val="nil"/>
              <w:right w:val="nil"/>
            </w:tcBorders>
            <w:shd w:val="clear" w:color="000000" w:fill="FFFFFF"/>
            <w:noWrap/>
            <w:vAlign w:val="center"/>
            <w:hideMark/>
          </w:tcPr>
          <w:p w14:paraId="6B0DB354" w14:textId="62AC847C" w:rsidR="00C744BC" w:rsidRPr="00D618B7" w:rsidRDefault="00C744BC" w:rsidP="00C744BC">
            <w:pPr>
              <w:jc w:val="right"/>
              <w:rPr>
                <w:color w:val="000000"/>
                <w:sz w:val="20"/>
                <w:szCs w:val="20"/>
              </w:rPr>
            </w:pPr>
            <w:r w:rsidRPr="00D618B7">
              <w:rPr>
                <w:color w:val="000000"/>
                <w:sz w:val="20"/>
                <w:szCs w:val="20"/>
              </w:rPr>
              <w:t>184.71</w:t>
            </w:r>
          </w:p>
        </w:tc>
        <w:tc>
          <w:tcPr>
            <w:tcW w:w="1522" w:type="dxa"/>
            <w:tcBorders>
              <w:top w:val="nil"/>
              <w:left w:val="nil"/>
              <w:right w:val="nil"/>
            </w:tcBorders>
            <w:shd w:val="clear" w:color="000000" w:fill="FFFFFF"/>
            <w:noWrap/>
            <w:vAlign w:val="center"/>
            <w:hideMark/>
          </w:tcPr>
          <w:p w14:paraId="07A5975A" w14:textId="72EC6F19" w:rsidR="00C744BC" w:rsidRPr="00D618B7" w:rsidRDefault="00C744BC" w:rsidP="00C744BC">
            <w:pPr>
              <w:jc w:val="right"/>
              <w:rPr>
                <w:color w:val="000000"/>
                <w:sz w:val="20"/>
                <w:szCs w:val="20"/>
              </w:rPr>
            </w:pPr>
            <w:r w:rsidRPr="00D618B7">
              <w:rPr>
                <w:color w:val="000000"/>
                <w:sz w:val="20"/>
                <w:szCs w:val="20"/>
              </w:rPr>
              <w:t>-279.12</w:t>
            </w:r>
          </w:p>
        </w:tc>
        <w:tc>
          <w:tcPr>
            <w:tcW w:w="1060" w:type="dxa"/>
            <w:tcBorders>
              <w:top w:val="nil"/>
              <w:left w:val="nil"/>
              <w:right w:val="nil"/>
            </w:tcBorders>
            <w:shd w:val="clear" w:color="000000" w:fill="FFFFFF"/>
            <w:noWrap/>
            <w:vAlign w:val="center"/>
            <w:hideMark/>
          </w:tcPr>
          <w:p w14:paraId="76AC18A8" w14:textId="07DB03BC" w:rsidR="00C744BC" w:rsidRPr="00D618B7" w:rsidRDefault="00C744BC" w:rsidP="00C744BC">
            <w:pPr>
              <w:jc w:val="right"/>
              <w:rPr>
                <w:color w:val="000000"/>
                <w:sz w:val="20"/>
                <w:szCs w:val="20"/>
              </w:rPr>
            </w:pPr>
            <w:r w:rsidRPr="00D618B7">
              <w:rPr>
                <w:color w:val="000000"/>
                <w:sz w:val="20"/>
                <w:szCs w:val="20"/>
              </w:rPr>
              <w:t>215.78</w:t>
            </w:r>
          </w:p>
        </w:tc>
        <w:tc>
          <w:tcPr>
            <w:tcW w:w="1575" w:type="dxa"/>
            <w:tcBorders>
              <w:top w:val="nil"/>
              <w:left w:val="nil"/>
              <w:right w:val="nil"/>
            </w:tcBorders>
            <w:shd w:val="clear" w:color="000000" w:fill="FFFFFF"/>
            <w:noWrap/>
            <w:vAlign w:val="center"/>
            <w:hideMark/>
          </w:tcPr>
          <w:p w14:paraId="433AD161" w14:textId="23C2962C" w:rsidR="00C744BC" w:rsidRPr="00D618B7" w:rsidRDefault="00C744BC" w:rsidP="00C744BC">
            <w:pPr>
              <w:jc w:val="right"/>
              <w:rPr>
                <w:color w:val="000000"/>
                <w:sz w:val="20"/>
                <w:szCs w:val="20"/>
              </w:rPr>
            </w:pPr>
            <w:r w:rsidRPr="00D618B7">
              <w:rPr>
                <w:color w:val="000000"/>
                <w:sz w:val="20"/>
                <w:szCs w:val="20"/>
              </w:rPr>
              <w:t>921.29</w:t>
            </w:r>
          </w:p>
        </w:tc>
        <w:tc>
          <w:tcPr>
            <w:tcW w:w="1098" w:type="dxa"/>
            <w:tcBorders>
              <w:top w:val="nil"/>
              <w:left w:val="nil"/>
              <w:right w:val="nil"/>
            </w:tcBorders>
            <w:shd w:val="clear" w:color="000000" w:fill="FFFFFF"/>
            <w:noWrap/>
            <w:vAlign w:val="center"/>
            <w:hideMark/>
          </w:tcPr>
          <w:p w14:paraId="427F42E4" w14:textId="7785E5FB" w:rsidR="00C744BC" w:rsidRPr="00D618B7" w:rsidRDefault="00C744BC" w:rsidP="00C744BC">
            <w:pPr>
              <w:jc w:val="right"/>
              <w:rPr>
                <w:color w:val="000000"/>
                <w:sz w:val="20"/>
                <w:szCs w:val="20"/>
              </w:rPr>
            </w:pPr>
            <w:r w:rsidRPr="00D618B7">
              <w:rPr>
                <w:color w:val="000000"/>
                <w:sz w:val="20"/>
                <w:szCs w:val="20"/>
              </w:rPr>
              <w:t>442.12</w:t>
            </w:r>
          </w:p>
        </w:tc>
      </w:tr>
      <w:tr w:rsidR="00C744BC" w:rsidRPr="00D618B7" w14:paraId="29CC3906" w14:textId="77777777" w:rsidTr="00CC17EC">
        <w:trPr>
          <w:trHeight w:val="253"/>
        </w:trPr>
        <w:tc>
          <w:tcPr>
            <w:tcW w:w="1305" w:type="dxa"/>
            <w:tcBorders>
              <w:top w:val="nil"/>
              <w:left w:val="nil"/>
              <w:bottom w:val="single" w:sz="18" w:space="0" w:color="auto"/>
              <w:right w:val="nil"/>
            </w:tcBorders>
            <w:shd w:val="clear" w:color="000000" w:fill="FFFFFF"/>
            <w:vAlign w:val="center"/>
            <w:hideMark/>
          </w:tcPr>
          <w:p w14:paraId="5C6C63D2" w14:textId="77777777" w:rsidR="00C744BC" w:rsidRPr="00D618B7" w:rsidRDefault="00C744BC" w:rsidP="00C744BC">
            <w:pPr>
              <w:jc w:val="right"/>
              <w:rPr>
                <w:color w:val="000000"/>
                <w:sz w:val="20"/>
                <w:szCs w:val="20"/>
              </w:rPr>
            </w:pPr>
            <w:r w:rsidRPr="00D618B7">
              <w:rPr>
                <w:color w:val="000000"/>
                <w:sz w:val="20"/>
                <w:szCs w:val="20"/>
              </w:rPr>
              <w:t>5</w:t>
            </w:r>
          </w:p>
        </w:tc>
        <w:tc>
          <w:tcPr>
            <w:tcW w:w="1093" w:type="dxa"/>
            <w:tcBorders>
              <w:top w:val="nil"/>
              <w:left w:val="nil"/>
              <w:bottom w:val="single" w:sz="18" w:space="0" w:color="auto"/>
              <w:right w:val="nil"/>
            </w:tcBorders>
            <w:shd w:val="clear" w:color="000000" w:fill="FFFFFF"/>
            <w:noWrap/>
            <w:vAlign w:val="center"/>
            <w:hideMark/>
          </w:tcPr>
          <w:p w14:paraId="453E484E" w14:textId="0BBC8C33" w:rsidR="00C744BC" w:rsidRPr="00D618B7" w:rsidRDefault="00C744BC" w:rsidP="00C744BC">
            <w:pPr>
              <w:jc w:val="right"/>
              <w:rPr>
                <w:color w:val="000000"/>
                <w:sz w:val="20"/>
                <w:szCs w:val="20"/>
              </w:rPr>
            </w:pPr>
            <w:r w:rsidRPr="00D618B7">
              <w:rPr>
                <w:color w:val="000000"/>
                <w:sz w:val="20"/>
                <w:szCs w:val="20"/>
              </w:rPr>
              <w:t>95.49</w:t>
            </w:r>
          </w:p>
        </w:tc>
        <w:tc>
          <w:tcPr>
            <w:tcW w:w="1084" w:type="dxa"/>
            <w:tcBorders>
              <w:top w:val="nil"/>
              <w:left w:val="nil"/>
              <w:bottom w:val="single" w:sz="18" w:space="0" w:color="auto"/>
              <w:right w:val="nil"/>
            </w:tcBorders>
            <w:shd w:val="clear" w:color="000000" w:fill="FFFFFF"/>
            <w:noWrap/>
            <w:vAlign w:val="center"/>
            <w:hideMark/>
          </w:tcPr>
          <w:p w14:paraId="0168AA16" w14:textId="560EEEB7" w:rsidR="00C744BC" w:rsidRPr="00D618B7" w:rsidRDefault="00C744BC" w:rsidP="00C744BC">
            <w:pPr>
              <w:jc w:val="right"/>
              <w:rPr>
                <w:color w:val="000000"/>
                <w:sz w:val="20"/>
                <w:szCs w:val="20"/>
              </w:rPr>
            </w:pPr>
            <w:r w:rsidRPr="00D618B7">
              <w:rPr>
                <w:color w:val="000000"/>
                <w:sz w:val="20"/>
                <w:szCs w:val="20"/>
              </w:rPr>
              <w:t>95.06</w:t>
            </w:r>
          </w:p>
        </w:tc>
        <w:tc>
          <w:tcPr>
            <w:tcW w:w="1522" w:type="dxa"/>
            <w:tcBorders>
              <w:top w:val="nil"/>
              <w:left w:val="nil"/>
              <w:bottom w:val="single" w:sz="18" w:space="0" w:color="auto"/>
              <w:right w:val="nil"/>
            </w:tcBorders>
            <w:shd w:val="clear" w:color="000000" w:fill="FFFFFF"/>
            <w:noWrap/>
            <w:vAlign w:val="center"/>
            <w:hideMark/>
          </w:tcPr>
          <w:p w14:paraId="2751C7FD" w14:textId="1C1D4C82" w:rsidR="00C744BC" w:rsidRPr="00D618B7" w:rsidRDefault="00C744BC" w:rsidP="00C744BC">
            <w:pPr>
              <w:jc w:val="right"/>
              <w:rPr>
                <w:color w:val="000000"/>
                <w:sz w:val="20"/>
                <w:szCs w:val="20"/>
              </w:rPr>
            </w:pPr>
            <w:r w:rsidRPr="00D618B7">
              <w:rPr>
                <w:color w:val="000000"/>
                <w:sz w:val="20"/>
                <w:szCs w:val="20"/>
              </w:rPr>
              <w:t>268.74</w:t>
            </w:r>
          </w:p>
        </w:tc>
        <w:tc>
          <w:tcPr>
            <w:tcW w:w="1060" w:type="dxa"/>
            <w:tcBorders>
              <w:top w:val="nil"/>
              <w:left w:val="nil"/>
              <w:bottom w:val="single" w:sz="18" w:space="0" w:color="auto"/>
              <w:right w:val="nil"/>
            </w:tcBorders>
            <w:shd w:val="clear" w:color="000000" w:fill="FFFFFF"/>
            <w:noWrap/>
            <w:vAlign w:val="center"/>
            <w:hideMark/>
          </w:tcPr>
          <w:p w14:paraId="0771FF05" w14:textId="25CEC14C" w:rsidR="00C744BC" w:rsidRPr="00D618B7" w:rsidRDefault="00C744BC" w:rsidP="00C744BC">
            <w:pPr>
              <w:jc w:val="right"/>
              <w:rPr>
                <w:color w:val="000000"/>
                <w:sz w:val="20"/>
                <w:szCs w:val="20"/>
              </w:rPr>
            </w:pPr>
            <w:r w:rsidRPr="00D618B7">
              <w:rPr>
                <w:color w:val="000000"/>
                <w:sz w:val="20"/>
                <w:szCs w:val="20"/>
              </w:rPr>
              <w:t>165.90</w:t>
            </w:r>
          </w:p>
        </w:tc>
        <w:tc>
          <w:tcPr>
            <w:tcW w:w="1575" w:type="dxa"/>
            <w:tcBorders>
              <w:top w:val="nil"/>
              <w:left w:val="nil"/>
              <w:bottom w:val="single" w:sz="18" w:space="0" w:color="auto"/>
              <w:right w:val="nil"/>
            </w:tcBorders>
            <w:shd w:val="clear" w:color="000000" w:fill="FFFFFF"/>
            <w:noWrap/>
            <w:vAlign w:val="center"/>
            <w:hideMark/>
          </w:tcPr>
          <w:p w14:paraId="3B511415" w14:textId="5A465391" w:rsidR="00C744BC" w:rsidRPr="00D618B7" w:rsidRDefault="00C744BC" w:rsidP="00C744BC">
            <w:pPr>
              <w:jc w:val="right"/>
              <w:rPr>
                <w:color w:val="000000"/>
                <w:sz w:val="20"/>
                <w:szCs w:val="20"/>
              </w:rPr>
            </w:pPr>
            <w:r w:rsidRPr="00D618B7">
              <w:rPr>
                <w:color w:val="000000"/>
                <w:sz w:val="20"/>
                <w:szCs w:val="20"/>
              </w:rPr>
              <w:t>105.31</w:t>
            </w:r>
          </w:p>
        </w:tc>
        <w:tc>
          <w:tcPr>
            <w:tcW w:w="1098" w:type="dxa"/>
            <w:tcBorders>
              <w:top w:val="nil"/>
              <w:left w:val="nil"/>
              <w:bottom w:val="single" w:sz="18" w:space="0" w:color="auto"/>
              <w:right w:val="nil"/>
            </w:tcBorders>
            <w:shd w:val="clear" w:color="000000" w:fill="FFFFFF"/>
            <w:noWrap/>
            <w:vAlign w:val="center"/>
            <w:hideMark/>
          </w:tcPr>
          <w:p w14:paraId="307C40BC" w14:textId="53C19621" w:rsidR="00C744BC" w:rsidRPr="00D618B7" w:rsidRDefault="00C744BC" w:rsidP="00C744BC">
            <w:pPr>
              <w:jc w:val="right"/>
              <w:rPr>
                <w:color w:val="000000"/>
                <w:sz w:val="20"/>
                <w:szCs w:val="20"/>
              </w:rPr>
            </w:pPr>
            <w:r w:rsidRPr="00D618B7">
              <w:rPr>
                <w:color w:val="000000"/>
                <w:sz w:val="20"/>
                <w:szCs w:val="20"/>
              </w:rPr>
              <w:t>134.81</w:t>
            </w:r>
          </w:p>
        </w:tc>
      </w:tr>
    </w:tbl>
    <w:p w14:paraId="1255D121" w14:textId="6ED1E61C" w:rsidR="00990BE1" w:rsidRDefault="006226F5" w:rsidP="00990BE1">
      <w:r w:rsidRPr="00D618B7">
        <w:rPr>
          <w:i/>
          <w:iCs/>
        </w:rPr>
        <w:t>Note</w:t>
      </w:r>
      <w:r w:rsidRPr="00D618B7">
        <w:t xml:space="preserve">: </w:t>
      </w:r>
      <w:r w:rsidR="0062306E" w:rsidRPr="00D618B7">
        <w:t>This table lists the estimated mean average duration and standard error in milliseconds for face, hand, and mouth events for toy-out-of-reach, toy-moving-into-reach, and toy-in-reach by reach group for each week of observation around reach-onset.</w:t>
      </w:r>
      <w:bookmarkStart w:id="225" w:name="_Toc172716906"/>
    </w:p>
    <w:p w14:paraId="1B05DD36" w14:textId="77777777" w:rsidR="00990BE1" w:rsidRDefault="00990BE1" w:rsidP="007C5074">
      <w:pPr>
        <w:pStyle w:val="Caption"/>
      </w:pPr>
    </w:p>
    <w:p w14:paraId="7AA85EAB" w14:textId="77777777" w:rsidR="00990BE1" w:rsidRPr="00990BE1" w:rsidRDefault="00990BE1" w:rsidP="00990BE1"/>
    <w:p w14:paraId="17FA127E" w14:textId="09263D2F" w:rsidR="006226F5" w:rsidRPr="00D618B7" w:rsidRDefault="006226F5" w:rsidP="007C5074">
      <w:pPr>
        <w:pStyle w:val="Caption"/>
      </w:pPr>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78</w:t>
      </w:r>
      <w:r w:rsidR="00000000">
        <w:rPr>
          <w:noProof/>
        </w:rPr>
        <w:fldChar w:fldCharType="end"/>
      </w:r>
      <w:r w:rsidR="00AE3927">
        <w:rPr>
          <w:noProof/>
        </w:rPr>
        <w:t>:</w:t>
      </w:r>
      <w:r w:rsidR="005171ED" w:rsidRPr="005171ED">
        <w:t xml:space="preserve"> </w:t>
      </w:r>
      <w:r w:rsidR="005171ED">
        <w:t>Event average duration</w:t>
      </w:r>
      <w:r w:rsidR="005171ED" w:rsidRPr="00BA36EF">
        <w:t xml:space="preserve"> by </w:t>
      </w:r>
      <w:r w:rsidR="005171ED">
        <w:t>type, proximity, and week for late group</w:t>
      </w:r>
      <w:bookmarkEnd w:id="225"/>
    </w:p>
    <w:p w14:paraId="46DE8E08" w14:textId="77777777" w:rsidR="006976BB" w:rsidRPr="00D618B7" w:rsidRDefault="006976BB" w:rsidP="006976BB">
      <w:r w:rsidRPr="00D618B7">
        <w:t>Estimated Mean Average Duration of Events by Type, Proximity, and Week Late Reach Group</w:t>
      </w:r>
    </w:p>
    <w:tbl>
      <w:tblPr>
        <w:tblW w:w="5000" w:type="pct"/>
        <w:tblLook w:val="04A0" w:firstRow="1" w:lastRow="0" w:firstColumn="1" w:lastColumn="0" w:noHBand="0" w:noVBand="1"/>
      </w:tblPr>
      <w:tblGrid>
        <w:gridCol w:w="1298"/>
        <w:gridCol w:w="1000"/>
        <w:gridCol w:w="1084"/>
        <w:gridCol w:w="1515"/>
        <w:gridCol w:w="1084"/>
        <w:gridCol w:w="1569"/>
        <w:gridCol w:w="1090"/>
      </w:tblGrid>
      <w:tr w:rsidR="006976BB" w:rsidRPr="00D618B7" w14:paraId="4E12B0FA" w14:textId="77777777" w:rsidTr="00990BE1">
        <w:trPr>
          <w:trHeight w:val="264"/>
        </w:trPr>
        <w:tc>
          <w:tcPr>
            <w:tcW w:w="755" w:type="pct"/>
            <w:tcBorders>
              <w:top w:val="single" w:sz="18" w:space="0" w:color="auto"/>
              <w:left w:val="nil"/>
              <w:bottom w:val="nil"/>
              <w:right w:val="nil"/>
            </w:tcBorders>
            <w:shd w:val="clear" w:color="000000" w:fill="FFFFFF"/>
            <w:vAlign w:val="center"/>
            <w:hideMark/>
          </w:tcPr>
          <w:p w14:paraId="62FBA717" w14:textId="77777777" w:rsidR="006976BB" w:rsidRPr="00D618B7" w:rsidRDefault="006976BB" w:rsidP="004B11B7">
            <w:pPr>
              <w:rPr>
                <w:color w:val="000000"/>
                <w:sz w:val="22"/>
                <w:szCs w:val="22"/>
              </w:rPr>
            </w:pPr>
            <w:r w:rsidRPr="00D618B7">
              <w:rPr>
                <w:color w:val="000000"/>
                <w:sz w:val="22"/>
                <w:szCs w:val="22"/>
              </w:rPr>
              <w:t>Week</w:t>
            </w:r>
          </w:p>
        </w:tc>
        <w:tc>
          <w:tcPr>
            <w:tcW w:w="1203" w:type="pct"/>
            <w:gridSpan w:val="2"/>
            <w:tcBorders>
              <w:top w:val="single" w:sz="18" w:space="0" w:color="auto"/>
              <w:left w:val="nil"/>
              <w:bottom w:val="single" w:sz="18" w:space="0" w:color="auto"/>
              <w:right w:val="nil"/>
            </w:tcBorders>
            <w:shd w:val="clear" w:color="000000" w:fill="FFFFFF"/>
            <w:vAlign w:val="center"/>
            <w:hideMark/>
          </w:tcPr>
          <w:p w14:paraId="6B46038E" w14:textId="77777777" w:rsidR="006976BB" w:rsidRPr="00D618B7" w:rsidRDefault="006976BB" w:rsidP="004B11B7">
            <w:pPr>
              <w:jc w:val="center"/>
              <w:rPr>
                <w:color w:val="000000"/>
                <w:sz w:val="22"/>
                <w:szCs w:val="22"/>
              </w:rPr>
            </w:pPr>
            <w:r w:rsidRPr="00D618B7">
              <w:rPr>
                <w:color w:val="000000"/>
                <w:sz w:val="22"/>
                <w:szCs w:val="22"/>
              </w:rPr>
              <w:t>Face</w:t>
            </w:r>
          </w:p>
        </w:tc>
        <w:tc>
          <w:tcPr>
            <w:tcW w:w="1495" w:type="pct"/>
            <w:gridSpan w:val="2"/>
            <w:tcBorders>
              <w:top w:val="single" w:sz="18" w:space="0" w:color="auto"/>
              <w:left w:val="nil"/>
              <w:bottom w:val="single" w:sz="18" w:space="0" w:color="auto"/>
              <w:right w:val="nil"/>
            </w:tcBorders>
            <w:shd w:val="clear" w:color="000000" w:fill="FFFFFF"/>
            <w:vAlign w:val="center"/>
            <w:hideMark/>
          </w:tcPr>
          <w:p w14:paraId="7803557E" w14:textId="77777777" w:rsidR="006976BB" w:rsidRPr="00D618B7" w:rsidRDefault="006976BB" w:rsidP="004B11B7">
            <w:pPr>
              <w:jc w:val="center"/>
              <w:rPr>
                <w:color w:val="000000"/>
                <w:sz w:val="22"/>
                <w:szCs w:val="22"/>
              </w:rPr>
            </w:pPr>
            <w:r w:rsidRPr="00D618B7">
              <w:rPr>
                <w:color w:val="000000"/>
                <w:sz w:val="22"/>
                <w:szCs w:val="22"/>
              </w:rPr>
              <w:t xml:space="preserve">              Hand</w:t>
            </w:r>
          </w:p>
        </w:tc>
        <w:tc>
          <w:tcPr>
            <w:tcW w:w="1547" w:type="pct"/>
            <w:gridSpan w:val="2"/>
            <w:tcBorders>
              <w:top w:val="single" w:sz="18" w:space="0" w:color="auto"/>
              <w:left w:val="nil"/>
              <w:bottom w:val="single" w:sz="18" w:space="0" w:color="auto"/>
              <w:right w:val="nil"/>
            </w:tcBorders>
            <w:shd w:val="clear" w:color="000000" w:fill="FFFFFF"/>
            <w:vAlign w:val="center"/>
            <w:hideMark/>
          </w:tcPr>
          <w:p w14:paraId="32F3CD2B" w14:textId="77777777" w:rsidR="006976BB" w:rsidRPr="00D618B7" w:rsidRDefault="006976BB" w:rsidP="004B11B7">
            <w:pPr>
              <w:jc w:val="center"/>
              <w:rPr>
                <w:color w:val="000000"/>
                <w:sz w:val="22"/>
                <w:szCs w:val="22"/>
              </w:rPr>
            </w:pPr>
            <w:r w:rsidRPr="00D618B7">
              <w:rPr>
                <w:color w:val="000000"/>
                <w:sz w:val="22"/>
                <w:szCs w:val="22"/>
              </w:rPr>
              <w:t xml:space="preserve">                Mouth</w:t>
            </w:r>
          </w:p>
        </w:tc>
      </w:tr>
      <w:tr w:rsidR="006976BB" w:rsidRPr="00D618B7" w14:paraId="36487F33" w14:textId="77777777" w:rsidTr="00990BE1">
        <w:trPr>
          <w:trHeight w:val="264"/>
        </w:trPr>
        <w:tc>
          <w:tcPr>
            <w:tcW w:w="755" w:type="pct"/>
            <w:tcBorders>
              <w:top w:val="nil"/>
              <w:left w:val="nil"/>
              <w:bottom w:val="single" w:sz="18" w:space="0" w:color="auto"/>
              <w:right w:val="nil"/>
            </w:tcBorders>
            <w:shd w:val="clear" w:color="000000" w:fill="FFFFFF"/>
            <w:noWrap/>
            <w:vAlign w:val="bottom"/>
            <w:hideMark/>
          </w:tcPr>
          <w:p w14:paraId="3E1C562A" w14:textId="77777777" w:rsidR="006976BB" w:rsidRPr="00D618B7" w:rsidRDefault="006976BB" w:rsidP="004B11B7">
            <w:pPr>
              <w:rPr>
                <w:color w:val="000000"/>
                <w:sz w:val="22"/>
                <w:szCs w:val="22"/>
              </w:rPr>
            </w:pPr>
            <w:r w:rsidRPr="00D618B7">
              <w:rPr>
                <w:color w:val="000000"/>
                <w:sz w:val="22"/>
                <w:szCs w:val="22"/>
              </w:rPr>
              <w:t> </w:t>
            </w:r>
          </w:p>
        </w:tc>
        <w:tc>
          <w:tcPr>
            <w:tcW w:w="583" w:type="pct"/>
            <w:tcBorders>
              <w:top w:val="single" w:sz="18" w:space="0" w:color="auto"/>
              <w:left w:val="nil"/>
              <w:bottom w:val="single" w:sz="18" w:space="0" w:color="auto"/>
              <w:right w:val="nil"/>
            </w:tcBorders>
            <w:shd w:val="clear" w:color="000000" w:fill="FFFFFF"/>
            <w:noWrap/>
            <w:vAlign w:val="center"/>
            <w:hideMark/>
          </w:tcPr>
          <w:p w14:paraId="60225FF3" w14:textId="77777777" w:rsidR="006976BB" w:rsidRPr="00D618B7" w:rsidRDefault="006976BB" w:rsidP="004B11B7">
            <w:pPr>
              <w:jc w:val="right"/>
              <w:rPr>
                <w:color w:val="000000"/>
                <w:sz w:val="22"/>
                <w:szCs w:val="22"/>
              </w:rPr>
            </w:pPr>
            <w:r w:rsidRPr="00D618B7">
              <w:rPr>
                <w:color w:val="000000"/>
                <w:sz w:val="22"/>
                <w:szCs w:val="22"/>
              </w:rPr>
              <w:t>Mean</w:t>
            </w:r>
          </w:p>
        </w:tc>
        <w:tc>
          <w:tcPr>
            <w:tcW w:w="620" w:type="pct"/>
            <w:tcBorders>
              <w:top w:val="single" w:sz="18" w:space="0" w:color="auto"/>
              <w:left w:val="nil"/>
              <w:bottom w:val="single" w:sz="18" w:space="0" w:color="auto"/>
              <w:right w:val="nil"/>
            </w:tcBorders>
            <w:shd w:val="clear" w:color="000000" w:fill="FFFFFF"/>
            <w:noWrap/>
            <w:vAlign w:val="center"/>
            <w:hideMark/>
          </w:tcPr>
          <w:p w14:paraId="21C7CD30" w14:textId="77777777" w:rsidR="006976BB" w:rsidRPr="00D618B7" w:rsidRDefault="006976BB" w:rsidP="004B11B7">
            <w:pPr>
              <w:jc w:val="right"/>
              <w:rPr>
                <w:color w:val="000000"/>
                <w:sz w:val="22"/>
                <w:szCs w:val="22"/>
              </w:rPr>
            </w:pPr>
            <w:r w:rsidRPr="00D618B7">
              <w:rPr>
                <w:color w:val="000000"/>
                <w:sz w:val="22"/>
                <w:szCs w:val="22"/>
              </w:rPr>
              <w:t>Std. Error</w:t>
            </w:r>
          </w:p>
        </w:tc>
        <w:tc>
          <w:tcPr>
            <w:tcW w:w="881" w:type="pct"/>
            <w:tcBorders>
              <w:top w:val="single" w:sz="18" w:space="0" w:color="auto"/>
              <w:left w:val="nil"/>
              <w:bottom w:val="single" w:sz="18" w:space="0" w:color="auto"/>
              <w:right w:val="nil"/>
            </w:tcBorders>
            <w:shd w:val="clear" w:color="000000" w:fill="FFFFFF"/>
            <w:noWrap/>
            <w:vAlign w:val="center"/>
            <w:hideMark/>
          </w:tcPr>
          <w:p w14:paraId="09177119" w14:textId="77777777" w:rsidR="006976BB" w:rsidRPr="00D618B7" w:rsidRDefault="006976BB" w:rsidP="004B11B7">
            <w:pPr>
              <w:jc w:val="right"/>
              <w:rPr>
                <w:color w:val="000000"/>
                <w:sz w:val="22"/>
                <w:szCs w:val="22"/>
              </w:rPr>
            </w:pPr>
            <w:r w:rsidRPr="00D618B7">
              <w:rPr>
                <w:color w:val="000000"/>
                <w:sz w:val="22"/>
                <w:szCs w:val="22"/>
              </w:rPr>
              <w:t>Mean</w:t>
            </w:r>
          </w:p>
        </w:tc>
        <w:tc>
          <w:tcPr>
            <w:tcW w:w="614" w:type="pct"/>
            <w:tcBorders>
              <w:top w:val="single" w:sz="18" w:space="0" w:color="auto"/>
              <w:left w:val="nil"/>
              <w:bottom w:val="single" w:sz="18" w:space="0" w:color="auto"/>
              <w:right w:val="nil"/>
            </w:tcBorders>
            <w:shd w:val="clear" w:color="000000" w:fill="FFFFFF"/>
            <w:noWrap/>
            <w:vAlign w:val="center"/>
            <w:hideMark/>
          </w:tcPr>
          <w:p w14:paraId="635A8A92" w14:textId="77777777" w:rsidR="006976BB" w:rsidRPr="00D618B7" w:rsidRDefault="006976BB" w:rsidP="004B11B7">
            <w:pPr>
              <w:jc w:val="right"/>
              <w:rPr>
                <w:color w:val="000000"/>
                <w:sz w:val="22"/>
                <w:szCs w:val="22"/>
              </w:rPr>
            </w:pPr>
            <w:r w:rsidRPr="00D618B7">
              <w:rPr>
                <w:color w:val="000000"/>
                <w:sz w:val="22"/>
                <w:szCs w:val="22"/>
              </w:rPr>
              <w:t>Std. Error</w:t>
            </w:r>
          </w:p>
        </w:tc>
        <w:tc>
          <w:tcPr>
            <w:tcW w:w="912" w:type="pct"/>
            <w:tcBorders>
              <w:top w:val="single" w:sz="18" w:space="0" w:color="auto"/>
              <w:left w:val="nil"/>
              <w:bottom w:val="single" w:sz="18" w:space="0" w:color="auto"/>
              <w:right w:val="nil"/>
            </w:tcBorders>
            <w:shd w:val="clear" w:color="000000" w:fill="FFFFFF"/>
            <w:noWrap/>
            <w:vAlign w:val="center"/>
            <w:hideMark/>
          </w:tcPr>
          <w:p w14:paraId="2382EF9D" w14:textId="77777777" w:rsidR="006976BB" w:rsidRPr="00D618B7" w:rsidRDefault="006976BB" w:rsidP="004B11B7">
            <w:pPr>
              <w:jc w:val="right"/>
              <w:rPr>
                <w:color w:val="000000"/>
                <w:sz w:val="22"/>
                <w:szCs w:val="22"/>
              </w:rPr>
            </w:pPr>
            <w:r w:rsidRPr="00D618B7">
              <w:rPr>
                <w:color w:val="000000"/>
                <w:sz w:val="22"/>
                <w:szCs w:val="22"/>
              </w:rPr>
              <w:t>Mean</w:t>
            </w:r>
          </w:p>
        </w:tc>
        <w:tc>
          <w:tcPr>
            <w:tcW w:w="635" w:type="pct"/>
            <w:tcBorders>
              <w:top w:val="single" w:sz="18" w:space="0" w:color="auto"/>
              <w:left w:val="nil"/>
              <w:bottom w:val="single" w:sz="18" w:space="0" w:color="auto"/>
              <w:right w:val="nil"/>
            </w:tcBorders>
            <w:shd w:val="clear" w:color="000000" w:fill="FFFFFF"/>
            <w:noWrap/>
            <w:vAlign w:val="center"/>
            <w:hideMark/>
          </w:tcPr>
          <w:p w14:paraId="712F1513" w14:textId="77777777" w:rsidR="006976BB" w:rsidRPr="00D618B7" w:rsidRDefault="006976BB" w:rsidP="004B11B7">
            <w:pPr>
              <w:jc w:val="right"/>
              <w:rPr>
                <w:color w:val="000000"/>
                <w:sz w:val="22"/>
                <w:szCs w:val="22"/>
              </w:rPr>
            </w:pPr>
            <w:r w:rsidRPr="00D618B7">
              <w:rPr>
                <w:color w:val="000000"/>
                <w:sz w:val="22"/>
                <w:szCs w:val="22"/>
              </w:rPr>
              <w:t>Std. Error</w:t>
            </w:r>
          </w:p>
        </w:tc>
      </w:tr>
      <w:tr w:rsidR="006976BB" w:rsidRPr="00D618B7" w14:paraId="3BC96DCF" w14:textId="77777777" w:rsidTr="00990BE1">
        <w:trPr>
          <w:trHeight w:val="264"/>
        </w:trPr>
        <w:tc>
          <w:tcPr>
            <w:tcW w:w="755" w:type="pct"/>
            <w:tcBorders>
              <w:top w:val="single" w:sz="18" w:space="0" w:color="auto"/>
              <w:left w:val="nil"/>
              <w:bottom w:val="nil"/>
              <w:right w:val="nil"/>
            </w:tcBorders>
            <w:shd w:val="clear" w:color="000000" w:fill="FFFFFF"/>
            <w:noWrap/>
            <w:vAlign w:val="bottom"/>
            <w:hideMark/>
          </w:tcPr>
          <w:p w14:paraId="1644A6C4" w14:textId="77777777" w:rsidR="006976BB" w:rsidRPr="00D618B7" w:rsidRDefault="006976BB" w:rsidP="004B11B7">
            <w:pPr>
              <w:rPr>
                <w:color w:val="000000"/>
                <w:sz w:val="22"/>
                <w:szCs w:val="22"/>
              </w:rPr>
            </w:pPr>
            <w:r w:rsidRPr="00D618B7">
              <w:rPr>
                <w:color w:val="000000"/>
                <w:sz w:val="22"/>
                <w:szCs w:val="22"/>
              </w:rPr>
              <w:t> </w:t>
            </w:r>
          </w:p>
        </w:tc>
        <w:tc>
          <w:tcPr>
            <w:tcW w:w="4245" w:type="pct"/>
            <w:gridSpan w:val="6"/>
            <w:tcBorders>
              <w:top w:val="single" w:sz="18" w:space="0" w:color="auto"/>
              <w:left w:val="nil"/>
              <w:bottom w:val="nil"/>
              <w:right w:val="nil"/>
            </w:tcBorders>
            <w:shd w:val="clear" w:color="000000" w:fill="FFFFFF"/>
            <w:noWrap/>
            <w:vAlign w:val="center"/>
            <w:hideMark/>
          </w:tcPr>
          <w:p w14:paraId="62BE5B82" w14:textId="77777777" w:rsidR="006976BB" w:rsidRPr="00D618B7" w:rsidRDefault="006976BB" w:rsidP="004B11B7">
            <w:pPr>
              <w:jc w:val="center"/>
              <w:rPr>
                <w:color w:val="000000"/>
                <w:sz w:val="22"/>
                <w:szCs w:val="22"/>
              </w:rPr>
            </w:pPr>
            <w:r w:rsidRPr="00D618B7">
              <w:rPr>
                <w:color w:val="000000"/>
                <w:sz w:val="22"/>
                <w:szCs w:val="22"/>
              </w:rPr>
              <w:t>Toy-out-of-Reach</w:t>
            </w:r>
          </w:p>
        </w:tc>
      </w:tr>
      <w:tr w:rsidR="006976BB" w:rsidRPr="00D618B7" w14:paraId="16053F5B" w14:textId="77777777" w:rsidTr="00990BE1">
        <w:trPr>
          <w:trHeight w:val="264"/>
        </w:trPr>
        <w:tc>
          <w:tcPr>
            <w:tcW w:w="755" w:type="pct"/>
            <w:tcBorders>
              <w:top w:val="nil"/>
              <w:left w:val="nil"/>
              <w:bottom w:val="nil"/>
              <w:right w:val="nil"/>
            </w:tcBorders>
            <w:shd w:val="clear" w:color="000000" w:fill="FFFFFF"/>
            <w:vAlign w:val="center"/>
            <w:hideMark/>
          </w:tcPr>
          <w:p w14:paraId="39866109" w14:textId="77777777" w:rsidR="006976BB" w:rsidRPr="00D618B7" w:rsidRDefault="006976BB" w:rsidP="004B11B7">
            <w:pPr>
              <w:jc w:val="right"/>
              <w:rPr>
                <w:color w:val="000000"/>
                <w:sz w:val="22"/>
                <w:szCs w:val="22"/>
              </w:rPr>
            </w:pPr>
            <w:r w:rsidRPr="00D618B7">
              <w:rPr>
                <w:color w:val="000000"/>
                <w:sz w:val="22"/>
                <w:szCs w:val="22"/>
              </w:rPr>
              <w:t>-5</w:t>
            </w:r>
          </w:p>
        </w:tc>
        <w:tc>
          <w:tcPr>
            <w:tcW w:w="583" w:type="pct"/>
            <w:tcBorders>
              <w:top w:val="nil"/>
              <w:left w:val="nil"/>
              <w:bottom w:val="nil"/>
              <w:right w:val="nil"/>
            </w:tcBorders>
            <w:shd w:val="clear" w:color="000000" w:fill="FFFFFF"/>
            <w:noWrap/>
            <w:vAlign w:val="center"/>
            <w:hideMark/>
          </w:tcPr>
          <w:p w14:paraId="73457101" w14:textId="77777777" w:rsidR="006976BB" w:rsidRPr="00D618B7" w:rsidRDefault="006976BB" w:rsidP="004B11B7">
            <w:pPr>
              <w:jc w:val="right"/>
              <w:rPr>
                <w:color w:val="000000"/>
                <w:sz w:val="22"/>
                <w:szCs w:val="22"/>
              </w:rPr>
            </w:pPr>
            <w:r w:rsidRPr="00D618B7">
              <w:rPr>
                <w:color w:val="000000"/>
                <w:sz w:val="22"/>
                <w:szCs w:val="22"/>
              </w:rPr>
              <w:t>-5.51</w:t>
            </w:r>
          </w:p>
        </w:tc>
        <w:tc>
          <w:tcPr>
            <w:tcW w:w="620" w:type="pct"/>
            <w:tcBorders>
              <w:top w:val="nil"/>
              <w:left w:val="nil"/>
              <w:bottom w:val="nil"/>
              <w:right w:val="nil"/>
            </w:tcBorders>
            <w:shd w:val="clear" w:color="000000" w:fill="FFFFFF"/>
            <w:noWrap/>
            <w:vAlign w:val="center"/>
            <w:hideMark/>
          </w:tcPr>
          <w:p w14:paraId="4A0D324B" w14:textId="77777777" w:rsidR="006976BB" w:rsidRPr="00D618B7" w:rsidRDefault="006976BB" w:rsidP="004B11B7">
            <w:pPr>
              <w:jc w:val="right"/>
              <w:rPr>
                <w:color w:val="000000"/>
                <w:sz w:val="22"/>
                <w:szCs w:val="22"/>
              </w:rPr>
            </w:pPr>
            <w:r w:rsidRPr="00D618B7">
              <w:rPr>
                <w:color w:val="000000"/>
                <w:sz w:val="22"/>
                <w:szCs w:val="22"/>
              </w:rPr>
              <w:t>2.41</w:t>
            </w:r>
          </w:p>
        </w:tc>
        <w:tc>
          <w:tcPr>
            <w:tcW w:w="881" w:type="pct"/>
            <w:tcBorders>
              <w:top w:val="nil"/>
              <w:left w:val="nil"/>
              <w:bottom w:val="nil"/>
              <w:right w:val="nil"/>
            </w:tcBorders>
            <w:shd w:val="clear" w:color="000000" w:fill="FFFFFF"/>
            <w:noWrap/>
            <w:vAlign w:val="center"/>
            <w:hideMark/>
          </w:tcPr>
          <w:p w14:paraId="774F35B1" w14:textId="77777777" w:rsidR="006976BB" w:rsidRPr="00D618B7" w:rsidRDefault="006976BB" w:rsidP="004B11B7">
            <w:pPr>
              <w:jc w:val="right"/>
              <w:rPr>
                <w:color w:val="000000"/>
                <w:sz w:val="22"/>
                <w:szCs w:val="22"/>
              </w:rPr>
            </w:pPr>
            <w:r w:rsidRPr="00D618B7">
              <w:rPr>
                <w:color w:val="000000"/>
                <w:sz w:val="22"/>
                <w:szCs w:val="22"/>
              </w:rPr>
              <w:t>2.39</w:t>
            </w:r>
          </w:p>
        </w:tc>
        <w:tc>
          <w:tcPr>
            <w:tcW w:w="614" w:type="pct"/>
            <w:tcBorders>
              <w:top w:val="nil"/>
              <w:left w:val="nil"/>
              <w:bottom w:val="nil"/>
              <w:right w:val="nil"/>
            </w:tcBorders>
            <w:shd w:val="clear" w:color="000000" w:fill="FFFFFF"/>
            <w:noWrap/>
            <w:vAlign w:val="center"/>
            <w:hideMark/>
          </w:tcPr>
          <w:p w14:paraId="34CBCE53" w14:textId="77777777" w:rsidR="006976BB" w:rsidRPr="00D618B7" w:rsidRDefault="006976BB" w:rsidP="004B11B7">
            <w:pPr>
              <w:jc w:val="right"/>
              <w:rPr>
                <w:color w:val="000000"/>
                <w:sz w:val="22"/>
                <w:szCs w:val="22"/>
              </w:rPr>
            </w:pPr>
            <w:r w:rsidRPr="00D618B7">
              <w:rPr>
                <w:color w:val="000000"/>
                <w:sz w:val="22"/>
                <w:szCs w:val="22"/>
              </w:rPr>
              <w:t>20.95</w:t>
            </w:r>
          </w:p>
        </w:tc>
        <w:tc>
          <w:tcPr>
            <w:tcW w:w="912" w:type="pct"/>
            <w:tcBorders>
              <w:top w:val="nil"/>
              <w:left w:val="nil"/>
              <w:bottom w:val="nil"/>
              <w:right w:val="nil"/>
            </w:tcBorders>
            <w:shd w:val="clear" w:color="000000" w:fill="FFFFFF"/>
            <w:noWrap/>
            <w:vAlign w:val="center"/>
            <w:hideMark/>
          </w:tcPr>
          <w:p w14:paraId="09B705EC" w14:textId="77777777" w:rsidR="006976BB" w:rsidRPr="00D618B7" w:rsidRDefault="006976BB" w:rsidP="004B11B7">
            <w:pPr>
              <w:jc w:val="right"/>
              <w:rPr>
                <w:color w:val="000000"/>
                <w:sz w:val="22"/>
                <w:szCs w:val="22"/>
              </w:rPr>
            </w:pPr>
            <w:r w:rsidRPr="00D618B7">
              <w:rPr>
                <w:color w:val="000000"/>
                <w:sz w:val="22"/>
                <w:szCs w:val="22"/>
              </w:rPr>
              <w:t>196.01</w:t>
            </w:r>
          </w:p>
        </w:tc>
        <w:tc>
          <w:tcPr>
            <w:tcW w:w="635" w:type="pct"/>
            <w:tcBorders>
              <w:top w:val="nil"/>
              <w:left w:val="nil"/>
              <w:bottom w:val="nil"/>
              <w:right w:val="nil"/>
            </w:tcBorders>
            <w:shd w:val="clear" w:color="000000" w:fill="FFFFFF"/>
            <w:noWrap/>
            <w:vAlign w:val="center"/>
            <w:hideMark/>
          </w:tcPr>
          <w:p w14:paraId="4D6AD1F3" w14:textId="77777777" w:rsidR="006976BB" w:rsidRPr="00D618B7" w:rsidRDefault="006976BB" w:rsidP="004B11B7">
            <w:pPr>
              <w:jc w:val="right"/>
              <w:rPr>
                <w:color w:val="000000"/>
                <w:sz w:val="22"/>
                <w:szCs w:val="22"/>
              </w:rPr>
            </w:pPr>
            <w:r w:rsidRPr="00D618B7">
              <w:rPr>
                <w:color w:val="000000"/>
                <w:sz w:val="22"/>
                <w:szCs w:val="22"/>
              </w:rPr>
              <w:t>101.71</w:t>
            </w:r>
          </w:p>
        </w:tc>
      </w:tr>
      <w:tr w:rsidR="006976BB" w:rsidRPr="00D618B7" w14:paraId="732085E0" w14:textId="77777777" w:rsidTr="00990BE1">
        <w:trPr>
          <w:trHeight w:val="264"/>
        </w:trPr>
        <w:tc>
          <w:tcPr>
            <w:tcW w:w="755" w:type="pct"/>
            <w:tcBorders>
              <w:top w:val="nil"/>
              <w:left w:val="nil"/>
              <w:bottom w:val="nil"/>
              <w:right w:val="nil"/>
            </w:tcBorders>
            <w:shd w:val="clear" w:color="000000" w:fill="FFFFFF"/>
            <w:vAlign w:val="center"/>
            <w:hideMark/>
          </w:tcPr>
          <w:p w14:paraId="625C44FF" w14:textId="77777777" w:rsidR="006976BB" w:rsidRPr="00D618B7" w:rsidRDefault="006976BB" w:rsidP="004B11B7">
            <w:pPr>
              <w:jc w:val="right"/>
              <w:rPr>
                <w:color w:val="000000"/>
                <w:sz w:val="22"/>
                <w:szCs w:val="22"/>
              </w:rPr>
            </w:pPr>
            <w:r w:rsidRPr="00D618B7">
              <w:rPr>
                <w:color w:val="000000"/>
                <w:sz w:val="22"/>
                <w:szCs w:val="22"/>
              </w:rPr>
              <w:t>-4</w:t>
            </w:r>
          </w:p>
        </w:tc>
        <w:tc>
          <w:tcPr>
            <w:tcW w:w="583" w:type="pct"/>
            <w:tcBorders>
              <w:top w:val="nil"/>
              <w:left w:val="nil"/>
              <w:bottom w:val="nil"/>
              <w:right w:val="nil"/>
            </w:tcBorders>
            <w:shd w:val="clear" w:color="000000" w:fill="FFFFFF"/>
            <w:noWrap/>
            <w:vAlign w:val="center"/>
            <w:hideMark/>
          </w:tcPr>
          <w:p w14:paraId="08CFDAA9" w14:textId="77777777" w:rsidR="006976BB" w:rsidRPr="00D618B7" w:rsidRDefault="006976BB" w:rsidP="004B11B7">
            <w:pPr>
              <w:jc w:val="right"/>
              <w:rPr>
                <w:color w:val="000000"/>
                <w:sz w:val="22"/>
                <w:szCs w:val="22"/>
              </w:rPr>
            </w:pPr>
            <w:r w:rsidRPr="00D618B7">
              <w:rPr>
                <w:color w:val="000000"/>
                <w:sz w:val="22"/>
                <w:szCs w:val="22"/>
              </w:rPr>
              <w:t>1.20</w:t>
            </w:r>
          </w:p>
        </w:tc>
        <w:tc>
          <w:tcPr>
            <w:tcW w:w="620" w:type="pct"/>
            <w:tcBorders>
              <w:top w:val="nil"/>
              <w:left w:val="nil"/>
              <w:bottom w:val="nil"/>
              <w:right w:val="nil"/>
            </w:tcBorders>
            <w:shd w:val="clear" w:color="000000" w:fill="FFFFFF"/>
            <w:noWrap/>
            <w:vAlign w:val="center"/>
            <w:hideMark/>
          </w:tcPr>
          <w:p w14:paraId="290427B7" w14:textId="77777777" w:rsidR="006976BB" w:rsidRPr="00D618B7" w:rsidRDefault="006976BB" w:rsidP="004B11B7">
            <w:pPr>
              <w:jc w:val="right"/>
              <w:rPr>
                <w:color w:val="000000"/>
                <w:sz w:val="22"/>
                <w:szCs w:val="22"/>
              </w:rPr>
            </w:pPr>
            <w:r w:rsidRPr="00D618B7">
              <w:rPr>
                <w:color w:val="000000"/>
                <w:sz w:val="22"/>
                <w:szCs w:val="22"/>
              </w:rPr>
              <w:t>4.46</w:t>
            </w:r>
          </w:p>
        </w:tc>
        <w:tc>
          <w:tcPr>
            <w:tcW w:w="881" w:type="pct"/>
            <w:tcBorders>
              <w:top w:val="nil"/>
              <w:left w:val="nil"/>
              <w:bottom w:val="nil"/>
              <w:right w:val="nil"/>
            </w:tcBorders>
            <w:shd w:val="clear" w:color="000000" w:fill="FFFFFF"/>
            <w:noWrap/>
            <w:vAlign w:val="center"/>
            <w:hideMark/>
          </w:tcPr>
          <w:p w14:paraId="1F74524D" w14:textId="77777777" w:rsidR="006976BB" w:rsidRPr="00D618B7" w:rsidRDefault="006976BB" w:rsidP="004B11B7">
            <w:pPr>
              <w:jc w:val="right"/>
              <w:rPr>
                <w:color w:val="000000"/>
                <w:sz w:val="22"/>
                <w:szCs w:val="22"/>
              </w:rPr>
            </w:pPr>
            <w:r w:rsidRPr="00D618B7">
              <w:rPr>
                <w:color w:val="000000"/>
                <w:sz w:val="22"/>
                <w:szCs w:val="22"/>
              </w:rPr>
              <w:t>0.11</w:t>
            </w:r>
          </w:p>
        </w:tc>
        <w:tc>
          <w:tcPr>
            <w:tcW w:w="614" w:type="pct"/>
            <w:tcBorders>
              <w:top w:val="nil"/>
              <w:left w:val="nil"/>
              <w:bottom w:val="nil"/>
              <w:right w:val="nil"/>
            </w:tcBorders>
            <w:shd w:val="clear" w:color="000000" w:fill="FFFFFF"/>
            <w:noWrap/>
            <w:vAlign w:val="center"/>
            <w:hideMark/>
          </w:tcPr>
          <w:p w14:paraId="4C861E00" w14:textId="77777777" w:rsidR="006976BB" w:rsidRPr="00D618B7" w:rsidRDefault="006976BB" w:rsidP="004B11B7">
            <w:pPr>
              <w:jc w:val="right"/>
              <w:rPr>
                <w:color w:val="000000"/>
                <w:sz w:val="22"/>
                <w:szCs w:val="22"/>
              </w:rPr>
            </w:pPr>
            <w:r w:rsidRPr="00D618B7">
              <w:rPr>
                <w:color w:val="000000"/>
                <w:sz w:val="22"/>
                <w:szCs w:val="22"/>
              </w:rPr>
              <w:t>32.60</w:t>
            </w:r>
          </w:p>
        </w:tc>
        <w:tc>
          <w:tcPr>
            <w:tcW w:w="912" w:type="pct"/>
            <w:tcBorders>
              <w:top w:val="nil"/>
              <w:left w:val="nil"/>
              <w:bottom w:val="nil"/>
              <w:right w:val="nil"/>
            </w:tcBorders>
            <w:shd w:val="clear" w:color="000000" w:fill="FFFFFF"/>
            <w:noWrap/>
            <w:vAlign w:val="center"/>
            <w:hideMark/>
          </w:tcPr>
          <w:p w14:paraId="5039D185" w14:textId="77777777" w:rsidR="006976BB" w:rsidRPr="00D618B7" w:rsidRDefault="006976BB" w:rsidP="004B11B7">
            <w:pPr>
              <w:jc w:val="right"/>
              <w:rPr>
                <w:color w:val="000000"/>
                <w:sz w:val="22"/>
                <w:szCs w:val="22"/>
              </w:rPr>
            </w:pPr>
            <w:r w:rsidRPr="00D618B7">
              <w:rPr>
                <w:color w:val="000000"/>
                <w:sz w:val="22"/>
                <w:szCs w:val="22"/>
              </w:rPr>
              <w:t>99.31</w:t>
            </w:r>
          </w:p>
        </w:tc>
        <w:tc>
          <w:tcPr>
            <w:tcW w:w="635" w:type="pct"/>
            <w:tcBorders>
              <w:top w:val="nil"/>
              <w:left w:val="nil"/>
              <w:bottom w:val="nil"/>
              <w:right w:val="nil"/>
            </w:tcBorders>
            <w:shd w:val="clear" w:color="000000" w:fill="FFFFFF"/>
            <w:noWrap/>
            <w:vAlign w:val="center"/>
            <w:hideMark/>
          </w:tcPr>
          <w:p w14:paraId="5527CE41" w14:textId="77777777" w:rsidR="006976BB" w:rsidRPr="00D618B7" w:rsidRDefault="006976BB" w:rsidP="004B11B7">
            <w:pPr>
              <w:jc w:val="right"/>
              <w:rPr>
                <w:color w:val="000000"/>
                <w:sz w:val="22"/>
                <w:szCs w:val="22"/>
              </w:rPr>
            </w:pPr>
            <w:r w:rsidRPr="00D618B7">
              <w:rPr>
                <w:color w:val="000000"/>
                <w:sz w:val="22"/>
                <w:szCs w:val="22"/>
              </w:rPr>
              <w:t>154.07</w:t>
            </w:r>
          </w:p>
        </w:tc>
      </w:tr>
      <w:tr w:rsidR="006976BB" w:rsidRPr="00D618B7" w14:paraId="516A1C78" w14:textId="77777777" w:rsidTr="00990BE1">
        <w:trPr>
          <w:trHeight w:val="264"/>
        </w:trPr>
        <w:tc>
          <w:tcPr>
            <w:tcW w:w="755" w:type="pct"/>
            <w:tcBorders>
              <w:top w:val="nil"/>
              <w:left w:val="nil"/>
              <w:bottom w:val="nil"/>
              <w:right w:val="nil"/>
            </w:tcBorders>
            <w:shd w:val="clear" w:color="000000" w:fill="FFFFFF"/>
            <w:vAlign w:val="center"/>
            <w:hideMark/>
          </w:tcPr>
          <w:p w14:paraId="41BCE2A7" w14:textId="77777777" w:rsidR="006976BB" w:rsidRPr="00D618B7" w:rsidRDefault="006976BB"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064FF950" w14:textId="77777777" w:rsidR="006976BB" w:rsidRPr="00D618B7" w:rsidRDefault="006976BB" w:rsidP="004B11B7">
            <w:pPr>
              <w:jc w:val="right"/>
              <w:rPr>
                <w:color w:val="000000"/>
                <w:sz w:val="22"/>
                <w:szCs w:val="22"/>
              </w:rPr>
            </w:pPr>
            <w:r w:rsidRPr="00D618B7">
              <w:rPr>
                <w:color w:val="000000"/>
                <w:sz w:val="22"/>
                <w:szCs w:val="22"/>
              </w:rPr>
              <w:t>0.21</w:t>
            </w:r>
          </w:p>
        </w:tc>
        <w:tc>
          <w:tcPr>
            <w:tcW w:w="620" w:type="pct"/>
            <w:tcBorders>
              <w:top w:val="nil"/>
              <w:left w:val="nil"/>
              <w:bottom w:val="nil"/>
              <w:right w:val="nil"/>
            </w:tcBorders>
            <w:shd w:val="clear" w:color="000000" w:fill="FFFFFF"/>
            <w:noWrap/>
            <w:vAlign w:val="center"/>
            <w:hideMark/>
          </w:tcPr>
          <w:p w14:paraId="451C20F8" w14:textId="77777777" w:rsidR="006976BB" w:rsidRPr="00D618B7" w:rsidRDefault="006976BB" w:rsidP="004B11B7">
            <w:pPr>
              <w:jc w:val="right"/>
              <w:rPr>
                <w:color w:val="000000"/>
                <w:sz w:val="22"/>
                <w:szCs w:val="22"/>
              </w:rPr>
            </w:pPr>
            <w:r w:rsidRPr="00D618B7">
              <w:rPr>
                <w:color w:val="000000"/>
                <w:sz w:val="22"/>
                <w:szCs w:val="22"/>
              </w:rPr>
              <w:t>1.59</w:t>
            </w:r>
          </w:p>
        </w:tc>
        <w:tc>
          <w:tcPr>
            <w:tcW w:w="881" w:type="pct"/>
            <w:tcBorders>
              <w:top w:val="nil"/>
              <w:left w:val="nil"/>
              <w:bottom w:val="nil"/>
              <w:right w:val="nil"/>
            </w:tcBorders>
            <w:shd w:val="clear" w:color="000000" w:fill="FFFFFF"/>
            <w:noWrap/>
            <w:vAlign w:val="center"/>
            <w:hideMark/>
          </w:tcPr>
          <w:p w14:paraId="632998B1" w14:textId="77777777" w:rsidR="006976BB" w:rsidRPr="00D618B7" w:rsidRDefault="006976BB" w:rsidP="004B11B7">
            <w:pPr>
              <w:jc w:val="right"/>
              <w:rPr>
                <w:color w:val="000000"/>
                <w:sz w:val="22"/>
                <w:szCs w:val="22"/>
              </w:rPr>
            </w:pPr>
            <w:r w:rsidRPr="00D618B7">
              <w:rPr>
                <w:color w:val="000000"/>
                <w:sz w:val="22"/>
                <w:szCs w:val="22"/>
              </w:rPr>
              <w:t>6.61</w:t>
            </w:r>
          </w:p>
        </w:tc>
        <w:tc>
          <w:tcPr>
            <w:tcW w:w="614" w:type="pct"/>
            <w:tcBorders>
              <w:top w:val="nil"/>
              <w:left w:val="nil"/>
              <w:bottom w:val="nil"/>
              <w:right w:val="nil"/>
            </w:tcBorders>
            <w:shd w:val="clear" w:color="000000" w:fill="FFFFFF"/>
            <w:noWrap/>
            <w:vAlign w:val="center"/>
            <w:hideMark/>
          </w:tcPr>
          <w:p w14:paraId="4DD3ACE5" w14:textId="77777777" w:rsidR="006976BB" w:rsidRPr="00D618B7" w:rsidRDefault="006976BB" w:rsidP="004B11B7">
            <w:pPr>
              <w:jc w:val="right"/>
              <w:rPr>
                <w:color w:val="000000"/>
                <w:sz w:val="22"/>
                <w:szCs w:val="22"/>
              </w:rPr>
            </w:pPr>
            <w:r w:rsidRPr="00D618B7">
              <w:rPr>
                <w:color w:val="000000"/>
                <w:sz w:val="22"/>
                <w:szCs w:val="22"/>
              </w:rPr>
              <w:t>10.05</w:t>
            </w:r>
          </w:p>
        </w:tc>
        <w:tc>
          <w:tcPr>
            <w:tcW w:w="912" w:type="pct"/>
            <w:tcBorders>
              <w:top w:val="nil"/>
              <w:left w:val="nil"/>
              <w:bottom w:val="nil"/>
              <w:right w:val="nil"/>
            </w:tcBorders>
            <w:shd w:val="clear" w:color="000000" w:fill="FFFFFF"/>
            <w:noWrap/>
            <w:vAlign w:val="center"/>
            <w:hideMark/>
          </w:tcPr>
          <w:p w14:paraId="4C9CAAED" w14:textId="77777777" w:rsidR="006976BB" w:rsidRPr="00D618B7" w:rsidRDefault="006976BB" w:rsidP="004B11B7">
            <w:pPr>
              <w:jc w:val="right"/>
              <w:rPr>
                <w:color w:val="000000"/>
                <w:sz w:val="22"/>
                <w:szCs w:val="22"/>
              </w:rPr>
            </w:pPr>
            <w:r w:rsidRPr="00D618B7">
              <w:rPr>
                <w:color w:val="000000"/>
                <w:sz w:val="22"/>
                <w:szCs w:val="22"/>
              </w:rPr>
              <w:t>-31.26</w:t>
            </w:r>
          </w:p>
        </w:tc>
        <w:tc>
          <w:tcPr>
            <w:tcW w:w="635" w:type="pct"/>
            <w:tcBorders>
              <w:top w:val="nil"/>
              <w:left w:val="nil"/>
              <w:bottom w:val="nil"/>
              <w:right w:val="nil"/>
            </w:tcBorders>
            <w:shd w:val="clear" w:color="000000" w:fill="FFFFFF"/>
            <w:noWrap/>
            <w:vAlign w:val="center"/>
            <w:hideMark/>
          </w:tcPr>
          <w:p w14:paraId="315628DB" w14:textId="77777777" w:rsidR="006976BB" w:rsidRPr="00D618B7" w:rsidRDefault="006976BB" w:rsidP="004B11B7">
            <w:pPr>
              <w:jc w:val="right"/>
              <w:rPr>
                <w:color w:val="000000"/>
                <w:sz w:val="22"/>
                <w:szCs w:val="22"/>
              </w:rPr>
            </w:pPr>
            <w:r w:rsidRPr="00D618B7">
              <w:rPr>
                <w:color w:val="000000"/>
                <w:sz w:val="22"/>
                <w:szCs w:val="22"/>
              </w:rPr>
              <w:t>13.85</w:t>
            </w:r>
          </w:p>
        </w:tc>
      </w:tr>
      <w:tr w:rsidR="006976BB" w:rsidRPr="00D618B7" w14:paraId="1F04BC59" w14:textId="77777777" w:rsidTr="00990BE1">
        <w:trPr>
          <w:trHeight w:val="264"/>
        </w:trPr>
        <w:tc>
          <w:tcPr>
            <w:tcW w:w="755" w:type="pct"/>
            <w:tcBorders>
              <w:top w:val="nil"/>
              <w:left w:val="nil"/>
              <w:bottom w:val="nil"/>
              <w:right w:val="nil"/>
            </w:tcBorders>
            <w:shd w:val="clear" w:color="000000" w:fill="FFFFFF"/>
            <w:vAlign w:val="center"/>
            <w:hideMark/>
          </w:tcPr>
          <w:p w14:paraId="6ED3094C" w14:textId="77777777" w:rsidR="006976BB" w:rsidRPr="00D618B7" w:rsidRDefault="006976BB"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3118A36B" w14:textId="77777777" w:rsidR="006976BB" w:rsidRPr="00D618B7" w:rsidRDefault="006976BB" w:rsidP="004B11B7">
            <w:pPr>
              <w:jc w:val="right"/>
              <w:rPr>
                <w:color w:val="000000"/>
                <w:sz w:val="22"/>
                <w:szCs w:val="22"/>
              </w:rPr>
            </w:pPr>
            <w:r w:rsidRPr="00D618B7">
              <w:rPr>
                <w:color w:val="000000"/>
                <w:sz w:val="22"/>
                <w:szCs w:val="22"/>
              </w:rPr>
              <w:t>-1.75</w:t>
            </w:r>
          </w:p>
        </w:tc>
        <w:tc>
          <w:tcPr>
            <w:tcW w:w="620" w:type="pct"/>
            <w:tcBorders>
              <w:top w:val="nil"/>
              <w:left w:val="nil"/>
              <w:bottom w:val="nil"/>
              <w:right w:val="nil"/>
            </w:tcBorders>
            <w:shd w:val="clear" w:color="000000" w:fill="FFFFFF"/>
            <w:noWrap/>
            <w:vAlign w:val="center"/>
            <w:hideMark/>
          </w:tcPr>
          <w:p w14:paraId="19420EA0" w14:textId="77777777" w:rsidR="006976BB" w:rsidRPr="00D618B7" w:rsidRDefault="006976BB" w:rsidP="004B11B7">
            <w:pPr>
              <w:jc w:val="right"/>
              <w:rPr>
                <w:color w:val="000000"/>
                <w:sz w:val="22"/>
                <w:szCs w:val="22"/>
              </w:rPr>
            </w:pPr>
            <w:r w:rsidRPr="00D618B7">
              <w:rPr>
                <w:color w:val="000000"/>
                <w:sz w:val="22"/>
                <w:szCs w:val="22"/>
              </w:rPr>
              <w:t>3.36</w:t>
            </w:r>
          </w:p>
        </w:tc>
        <w:tc>
          <w:tcPr>
            <w:tcW w:w="881" w:type="pct"/>
            <w:tcBorders>
              <w:top w:val="nil"/>
              <w:left w:val="nil"/>
              <w:bottom w:val="nil"/>
              <w:right w:val="nil"/>
            </w:tcBorders>
            <w:shd w:val="clear" w:color="000000" w:fill="FFFFFF"/>
            <w:noWrap/>
            <w:vAlign w:val="center"/>
            <w:hideMark/>
          </w:tcPr>
          <w:p w14:paraId="1637BFEF" w14:textId="77777777" w:rsidR="006976BB" w:rsidRPr="00D618B7" w:rsidRDefault="006976BB" w:rsidP="004B11B7">
            <w:pPr>
              <w:jc w:val="right"/>
              <w:rPr>
                <w:color w:val="000000"/>
                <w:sz w:val="22"/>
                <w:szCs w:val="22"/>
              </w:rPr>
            </w:pPr>
            <w:r w:rsidRPr="00D618B7">
              <w:rPr>
                <w:color w:val="000000"/>
                <w:sz w:val="22"/>
                <w:szCs w:val="22"/>
              </w:rPr>
              <w:t>-6.25</w:t>
            </w:r>
          </w:p>
        </w:tc>
        <w:tc>
          <w:tcPr>
            <w:tcW w:w="614" w:type="pct"/>
            <w:tcBorders>
              <w:top w:val="nil"/>
              <w:left w:val="nil"/>
              <w:bottom w:val="nil"/>
              <w:right w:val="nil"/>
            </w:tcBorders>
            <w:shd w:val="clear" w:color="000000" w:fill="FFFFFF"/>
            <w:noWrap/>
            <w:vAlign w:val="center"/>
            <w:hideMark/>
          </w:tcPr>
          <w:p w14:paraId="73CAE2F4" w14:textId="77777777" w:rsidR="006976BB" w:rsidRPr="00D618B7" w:rsidRDefault="006976BB" w:rsidP="004B11B7">
            <w:pPr>
              <w:jc w:val="right"/>
              <w:rPr>
                <w:color w:val="000000"/>
                <w:sz w:val="22"/>
                <w:szCs w:val="22"/>
              </w:rPr>
            </w:pPr>
            <w:r w:rsidRPr="00D618B7">
              <w:rPr>
                <w:color w:val="000000"/>
                <w:sz w:val="22"/>
                <w:szCs w:val="22"/>
              </w:rPr>
              <w:t>21.11</w:t>
            </w:r>
          </w:p>
        </w:tc>
        <w:tc>
          <w:tcPr>
            <w:tcW w:w="912" w:type="pct"/>
            <w:tcBorders>
              <w:top w:val="nil"/>
              <w:left w:val="nil"/>
              <w:bottom w:val="nil"/>
              <w:right w:val="nil"/>
            </w:tcBorders>
            <w:shd w:val="clear" w:color="000000" w:fill="FFFFFF"/>
            <w:noWrap/>
            <w:vAlign w:val="center"/>
            <w:hideMark/>
          </w:tcPr>
          <w:p w14:paraId="49718E25" w14:textId="77777777" w:rsidR="006976BB" w:rsidRPr="00D618B7" w:rsidRDefault="006976BB" w:rsidP="004B11B7">
            <w:pPr>
              <w:jc w:val="right"/>
              <w:rPr>
                <w:color w:val="000000"/>
                <w:sz w:val="22"/>
                <w:szCs w:val="22"/>
              </w:rPr>
            </w:pPr>
            <w:r w:rsidRPr="00D618B7">
              <w:rPr>
                <w:color w:val="000000"/>
                <w:sz w:val="22"/>
                <w:szCs w:val="22"/>
              </w:rPr>
              <w:t>22.41</w:t>
            </w:r>
          </w:p>
        </w:tc>
        <w:tc>
          <w:tcPr>
            <w:tcW w:w="635" w:type="pct"/>
            <w:tcBorders>
              <w:top w:val="nil"/>
              <w:left w:val="nil"/>
              <w:bottom w:val="nil"/>
              <w:right w:val="nil"/>
            </w:tcBorders>
            <w:shd w:val="clear" w:color="000000" w:fill="FFFFFF"/>
            <w:noWrap/>
            <w:vAlign w:val="center"/>
            <w:hideMark/>
          </w:tcPr>
          <w:p w14:paraId="246703AD" w14:textId="77777777" w:rsidR="006976BB" w:rsidRPr="00D618B7" w:rsidRDefault="006976BB" w:rsidP="004B11B7">
            <w:pPr>
              <w:jc w:val="right"/>
              <w:rPr>
                <w:color w:val="000000"/>
                <w:sz w:val="22"/>
                <w:szCs w:val="22"/>
              </w:rPr>
            </w:pPr>
            <w:r w:rsidRPr="00D618B7">
              <w:rPr>
                <w:color w:val="000000"/>
                <w:sz w:val="22"/>
                <w:szCs w:val="22"/>
              </w:rPr>
              <w:t>48.20</w:t>
            </w:r>
          </w:p>
        </w:tc>
      </w:tr>
      <w:tr w:rsidR="006976BB" w:rsidRPr="00D618B7" w14:paraId="0C0ECD8B" w14:textId="77777777" w:rsidTr="00990BE1">
        <w:trPr>
          <w:trHeight w:val="264"/>
        </w:trPr>
        <w:tc>
          <w:tcPr>
            <w:tcW w:w="755" w:type="pct"/>
            <w:tcBorders>
              <w:top w:val="nil"/>
              <w:left w:val="nil"/>
              <w:bottom w:val="nil"/>
              <w:right w:val="nil"/>
            </w:tcBorders>
            <w:shd w:val="clear" w:color="000000" w:fill="FFFFFF"/>
            <w:vAlign w:val="center"/>
            <w:hideMark/>
          </w:tcPr>
          <w:p w14:paraId="13BA542A" w14:textId="77777777" w:rsidR="006976BB" w:rsidRPr="00D618B7" w:rsidRDefault="006976BB"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6E3B7AB7" w14:textId="77777777" w:rsidR="006976BB" w:rsidRPr="00D618B7" w:rsidRDefault="006976BB" w:rsidP="004B11B7">
            <w:pPr>
              <w:jc w:val="right"/>
              <w:rPr>
                <w:color w:val="000000"/>
                <w:sz w:val="22"/>
                <w:szCs w:val="22"/>
              </w:rPr>
            </w:pPr>
            <w:r w:rsidRPr="00D618B7">
              <w:rPr>
                <w:color w:val="000000"/>
                <w:sz w:val="22"/>
                <w:szCs w:val="22"/>
              </w:rPr>
              <w:t>8.82</w:t>
            </w:r>
          </w:p>
        </w:tc>
        <w:tc>
          <w:tcPr>
            <w:tcW w:w="620" w:type="pct"/>
            <w:tcBorders>
              <w:top w:val="nil"/>
              <w:left w:val="nil"/>
              <w:bottom w:val="nil"/>
              <w:right w:val="nil"/>
            </w:tcBorders>
            <w:shd w:val="clear" w:color="000000" w:fill="FFFFFF"/>
            <w:noWrap/>
            <w:vAlign w:val="center"/>
            <w:hideMark/>
          </w:tcPr>
          <w:p w14:paraId="7ADFA5CE" w14:textId="77777777" w:rsidR="006976BB" w:rsidRPr="00D618B7" w:rsidRDefault="006976BB" w:rsidP="004B11B7">
            <w:pPr>
              <w:jc w:val="right"/>
              <w:rPr>
                <w:color w:val="000000"/>
                <w:sz w:val="22"/>
                <w:szCs w:val="22"/>
              </w:rPr>
            </w:pPr>
            <w:r w:rsidRPr="00D618B7">
              <w:rPr>
                <w:color w:val="000000"/>
                <w:sz w:val="22"/>
                <w:szCs w:val="22"/>
              </w:rPr>
              <w:t>5.93</w:t>
            </w:r>
          </w:p>
        </w:tc>
        <w:tc>
          <w:tcPr>
            <w:tcW w:w="881" w:type="pct"/>
            <w:tcBorders>
              <w:top w:val="nil"/>
              <w:left w:val="nil"/>
              <w:bottom w:val="nil"/>
              <w:right w:val="nil"/>
            </w:tcBorders>
            <w:shd w:val="clear" w:color="000000" w:fill="FFFFFF"/>
            <w:noWrap/>
            <w:vAlign w:val="center"/>
            <w:hideMark/>
          </w:tcPr>
          <w:p w14:paraId="70E8BC41" w14:textId="77777777" w:rsidR="006976BB" w:rsidRPr="00D618B7" w:rsidRDefault="006976BB" w:rsidP="004B11B7">
            <w:pPr>
              <w:jc w:val="right"/>
              <w:rPr>
                <w:color w:val="000000"/>
                <w:sz w:val="22"/>
                <w:szCs w:val="22"/>
              </w:rPr>
            </w:pPr>
            <w:r w:rsidRPr="00D618B7">
              <w:rPr>
                <w:color w:val="000000"/>
                <w:sz w:val="22"/>
                <w:szCs w:val="22"/>
              </w:rPr>
              <w:t>-16.50</w:t>
            </w:r>
          </w:p>
        </w:tc>
        <w:tc>
          <w:tcPr>
            <w:tcW w:w="614" w:type="pct"/>
            <w:tcBorders>
              <w:top w:val="nil"/>
              <w:left w:val="nil"/>
              <w:bottom w:val="nil"/>
              <w:right w:val="nil"/>
            </w:tcBorders>
            <w:shd w:val="clear" w:color="000000" w:fill="FFFFFF"/>
            <w:noWrap/>
            <w:vAlign w:val="center"/>
            <w:hideMark/>
          </w:tcPr>
          <w:p w14:paraId="2B8B0386" w14:textId="77777777" w:rsidR="006976BB" w:rsidRPr="00D618B7" w:rsidRDefault="006976BB" w:rsidP="004B11B7">
            <w:pPr>
              <w:jc w:val="right"/>
              <w:rPr>
                <w:color w:val="000000"/>
                <w:sz w:val="22"/>
                <w:szCs w:val="22"/>
              </w:rPr>
            </w:pPr>
            <w:r w:rsidRPr="00D618B7">
              <w:rPr>
                <w:color w:val="000000"/>
                <w:sz w:val="22"/>
                <w:szCs w:val="22"/>
              </w:rPr>
              <w:t>5.00</w:t>
            </w:r>
          </w:p>
        </w:tc>
        <w:tc>
          <w:tcPr>
            <w:tcW w:w="912" w:type="pct"/>
            <w:tcBorders>
              <w:top w:val="nil"/>
              <w:left w:val="nil"/>
              <w:bottom w:val="nil"/>
              <w:right w:val="nil"/>
            </w:tcBorders>
            <w:shd w:val="clear" w:color="000000" w:fill="FFFFFF"/>
            <w:noWrap/>
            <w:vAlign w:val="center"/>
            <w:hideMark/>
          </w:tcPr>
          <w:p w14:paraId="0F12F38A" w14:textId="77777777" w:rsidR="006976BB" w:rsidRPr="00D618B7" w:rsidRDefault="006976BB" w:rsidP="004B11B7">
            <w:pPr>
              <w:jc w:val="right"/>
              <w:rPr>
                <w:color w:val="000000"/>
                <w:sz w:val="22"/>
                <w:szCs w:val="22"/>
              </w:rPr>
            </w:pPr>
            <w:r w:rsidRPr="00D618B7">
              <w:rPr>
                <w:color w:val="000000"/>
                <w:sz w:val="22"/>
                <w:szCs w:val="22"/>
              </w:rPr>
              <w:t>196.04</w:t>
            </w:r>
          </w:p>
        </w:tc>
        <w:tc>
          <w:tcPr>
            <w:tcW w:w="635" w:type="pct"/>
            <w:tcBorders>
              <w:top w:val="nil"/>
              <w:left w:val="nil"/>
              <w:bottom w:val="nil"/>
              <w:right w:val="nil"/>
            </w:tcBorders>
            <w:shd w:val="clear" w:color="000000" w:fill="FFFFFF"/>
            <w:noWrap/>
            <w:vAlign w:val="center"/>
            <w:hideMark/>
          </w:tcPr>
          <w:p w14:paraId="6515B006" w14:textId="77777777" w:rsidR="006976BB" w:rsidRPr="00D618B7" w:rsidRDefault="006976BB" w:rsidP="004B11B7">
            <w:pPr>
              <w:jc w:val="right"/>
              <w:rPr>
                <w:color w:val="000000"/>
                <w:sz w:val="22"/>
                <w:szCs w:val="22"/>
              </w:rPr>
            </w:pPr>
            <w:r w:rsidRPr="00D618B7">
              <w:rPr>
                <w:color w:val="000000"/>
                <w:sz w:val="22"/>
                <w:szCs w:val="22"/>
              </w:rPr>
              <w:t>102.47</w:t>
            </w:r>
          </w:p>
        </w:tc>
      </w:tr>
      <w:tr w:rsidR="006976BB" w:rsidRPr="00D618B7" w14:paraId="36CEAC1E" w14:textId="77777777" w:rsidTr="00990BE1">
        <w:trPr>
          <w:trHeight w:val="264"/>
        </w:trPr>
        <w:tc>
          <w:tcPr>
            <w:tcW w:w="755" w:type="pct"/>
            <w:tcBorders>
              <w:top w:val="nil"/>
              <w:left w:val="nil"/>
              <w:bottom w:val="nil"/>
              <w:right w:val="nil"/>
            </w:tcBorders>
            <w:shd w:val="clear" w:color="000000" w:fill="FFFFFF"/>
            <w:vAlign w:val="center"/>
            <w:hideMark/>
          </w:tcPr>
          <w:p w14:paraId="2EF00E89" w14:textId="77777777" w:rsidR="006976BB" w:rsidRPr="00D618B7" w:rsidRDefault="006976BB" w:rsidP="004B11B7">
            <w:pPr>
              <w:jc w:val="right"/>
              <w:rPr>
                <w:color w:val="000000"/>
                <w:sz w:val="22"/>
                <w:szCs w:val="22"/>
              </w:rPr>
            </w:pPr>
            <w:r w:rsidRPr="00D618B7">
              <w:rPr>
                <w:color w:val="000000"/>
                <w:sz w:val="22"/>
                <w:szCs w:val="22"/>
              </w:rPr>
              <w:t>0</w:t>
            </w:r>
          </w:p>
        </w:tc>
        <w:tc>
          <w:tcPr>
            <w:tcW w:w="583" w:type="pct"/>
            <w:tcBorders>
              <w:top w:val="nil"/>
              <w:left w:val="nil"/>
              <w:bottom w:val="nil"/>
              <w:right w:val="nil"/>
            </w:tcBorders>
            <w:shd w:val="clear" w:color="000000" w:fill="FFFFFF"/>
            <w:noWrap/>
            <w:vAlign w:val="center"/>
            <w:hideMark/>
          </w:tcPr>
          <w:p w14:paraId="4A6A6AB8" w14:textId="77777777" w:rsidR="006976BB" w:rsidRPr="00D618B7" w:rsidRDefault="006976BB" w:rsidP="004B11B7">
            <w:pPr>
              <w:jc w:val="right"/>
              <w:rPr>
                <w:color w:val="000000"/>
                <w:sz w:val="22"/>
                <w:szCs w:val="22"/>
              </w:rPr>
            </w:pPr>
            <w:r w:rsidRPr="00D618B7">
              <w:rPr>
                <w:color w:val="000000"/>
                <w:sz w:val="22"/>
                <w:szCs w:val="22"/>
              </w:rPr>
              <w:t>6.78</w:t>
            </w:r>
          </w:p>
        </w:tc>
        <w:tc>
          <w:tcPr>
            <w:tcW w:w="620" w:type="pct"/>
            <w:tcBorders>
              <w:top w:val="nil"/>
              <w:left w:val="nil"/>
              <w:bottom w:val="nil"/>
              <w:right w:val="nil"/>
            </w:tcBorders>
            <w:shd w:val="clear" w:color="000000" w:fill="FFFFFF"/>
            <w:noWrap/>
            <w:vAlign w:val="center"/>
            <w:hideMark/>
          </w:tcPr>
          <w:p w14:paraId="6F8D0396" w14:textId="77777777" w:rsidR="006976BB" w:rsidRPr="00D618B7" w:rsidRDefault="006976BB" w:rsidP="004B11B7">
            <w:pPr>
              <w:jc w:val="right"/>
              <w:rPr>
                <w:color w:val="000000"/>
                <w:sz w:val="22"/>
                <w:szCs w:val="22"/>
              </w:rPr>
            </w:pPr>
            <w:r w:rsidRPr="00D618B7">
              <w:rPr>
                <w:color w:val="000000"/>
                <w:sz w:val="22"/>
                <w:szCs w:val="22"/>
              </w:rPr>
              <w:t>4.92</w:t>
            </w:r>
          </w:p>
        </w:tc>
        <w:tc>
          <w:tcPr>
            <w:tcW w:w="881" w:type="pct"/>
            <w:tcBorders>
              <w:top w:val="nil"/>
              <w:left w:val="nil"/>
              <w:bottom w:val="nil"/>
              <w:right w:val="nil"/>
            </w:tcBorders>
            <w:shd w:val="clear" w:color="000000" w:fill="FFFFFF"/>
            <w:noWrap/>
            <w:vAlign w:val="center"/>
            <w:hideMark/>
          </w:tcPr>
          <w:p w14:paraId="0FCF7D2B" w14:textId="77777777" w:rsidR="006976BB" w:rsidRPr="00D618B7" w:rsidRDefault="006976BB" w:rsidP="004B11B7">
            <w:pPr>
              <w:jc w:val="right"/>
              <w:rPr>
                <w:color w:val="000000"/>
                <w:sz w:val="22"/>
                <w:szCs w:val="22"/>
              </w:rPr>
            </w:pPr>
            <w:r w:rsidRPr="00D618B7">
              <w:rPr>
                <w:color w:val="000000"/>
                <w:sz w:val="22"/>
                <w:szCs w:val="22"/>
              </w:rPr>
              <w:t>5.06</w:t>
            </w:r>
          </w:p>
        </w:tc>
        <w:tc>
          <w:tcPr>
            <w:tcW w:w="614" w:type="pct"/>
            <w:tcBorders>
              <w:top w:val="nil"/>
              <w:left w:val="nil"/>
              <w:bottom w:val="nil"/>
              <w:right w:val="nil"/>
            </w:tcBorders>
            <w:shd w:val="clear" w:color="000000" w:fill="FFFFFF"/>
            <w:noWrap/>
            <w:vAlign w:val="center"/>
            <w:hideMark/>
          </w:tcPr>
          <w:p w14:paraId="26018ED9" w14:textId="77777777" w:rsidR="006976BB" w:rsidRPr="00D618B7" w:rsidRDefault="006976BB" w:rsidP="004B11B7">
            <w:pPr>
              <w:jc w:val="right"/>
              <w:rPr>
                <w:color w:val="000000"/>
                <w:sz w:val="22"/>
                <w:szCs w:val="22"/>
              </w:rPr>
            </w:pPr>
            <w:r w:rsidRPr="00D618B7">
              <w:rPr>
                <w:color w:val="000000"/>
                <w:sz w:val="22"/>
                <w:szCs w:val="22"/>
              </w:rPr>
              <w:t>6.33</w:t>
            </w:r>
          </w:p>
        </w:tc>
        <w:tc>
          <w:tcPr>
            <w:tcW w:w="912" w:type="pct"/>
            <w:tcBorders>
              <w:top w:val="nil"/>
              <w:left w:val="nil"/>
              <w:bottom w:val="nil"/>
              <w:right w:val="nil"/>
            </w:tcBorders>
            <w:shd w:val="clear" w:color="000000" w:fill="FFFFFF"/>
            <w:noWrap/>
            <w:vAlign w:val="center"/>
            <w:hideMark/>
          </w:tcPr>
          <w:p w14:paraId="24D1E576" w14:textId="77777777" w:rsidR="006976BB" w:rsidRPr="00D618B7" w:rsidRDefault="006976BB" w:rsidP="004B11B7">
            <w:pPr>
              <w:jc w:val="right"/>
              <w:rPr>
                <w:color w:val="000000"/>
                <w:sz w:val="22"/>
                <w:szCs w:val="22"/>
              </w:rPr>
            </w:pPr>
            <w:r w:rsidRPr="00D618B7">
              <w:rPr>
                <w:color w:val="000000"/>
                <w:sz w:val="22"/>
                <w:szCs w:val="22"/>
              </w:rPr>
              <w:t>217.98</w:t>
            </w:r>
          </w:p>
        </w:tc>
        <w:tc>
          <w:tcPr>
            <w:tcW w:w="635" w:type="pct"/>
            <w:tcBorders>
              <w:top w:val="nil"/>
              <w:left w:val="nil"/>
              <w:bottom w:val="nil"/>
              <w:right w:val="nil"/>
            </w:tcBorders>
            <w:shd w:val="clear" w:color="000000" w:fill="FFFFFF"/>
            <w:noWrap/>
            <w:vAlign w:val="center"/>
            <w:hideMark/>
          </w:tcPr>
          <w:p w14:paraId="235CB669" w14:textId="77777777" w:rsidR="006976BB" w:rsidRPr="00D618B7" w:rsidRDefault="006976BB" w:rsidP="004B11B7">
            <w:pPr>
              <w:jc w:val="right"/>
              <w:rPr>
                <w:color w:val="000000"/>
                <w:sz w:val="22"/>
                <w:szCs w:val="22"/>
              </w:rPr>
            </w:pPr>
            <w:r w:rsidRPr="00D618B7">
              <w:rPr>
                <w:color w:val="000000"/>
                <w:sz w:val="22"/>
                <w:szCs w:val="22"/>
              </w:rPr>
              <w:t>192.65</w:t>
            </w:r>
          </w:p>
        </w:tc>
      </w:tr>
      <w:tr w:rsidR="006976BB" w:rsidRPr="00D618B7" w14:paraId="49960049" w14:textId="77777777" w:rsidTr="00990BE1">
        <w:trPr>
          <w:trHeight w:val="264"/>
        </w:trPr>
        <w:tc>
          <w:tcPr>
            <w:tcW w:w="755" w:type="pct"/>
            <w:tcBorders>
              <w:top w:val="nil"/>
              <w:left w:val="nil"/>
              <w:bottom w:val="nil"/>
              <w:right w:val="nil"/>
            </w:tcBorders>
            <w:shd w:val="clear" w:color="000000" w:fill="FFFFFF"/>
            <w:vAlign w:val="center"/>
            <w:hideMark/>
          </w:tcPr>
          <w:p w14:paraId="31ADC9CD" w14:textId="77777777" w:rsidR="006976BB" w:rsidRPr="00D618B7" w:rsidRDefault="006976BB"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73237B36" w14:textId="77777777" w:rsidR="006976BB" w:rsidRPr="00D618B7" w:rsidRDefault="006976BB" w:rsidP="004B11B7">
            <w:pPr>
              <w:jc w:val="right"/>
              <w:rPr>
                <w:color w:val="000000"/>
                <w:sz w:val="22"/>
                <w:szCs w:val="22"/>
              </w:rPr>
            </w:pPr>
            <w:r w:rsidRPr="00D618B7">
              <w:rPr>
                <w:color w:val="000000"/>
                <w:sz w:val="22"/>
                <w:szCs w:val="22"/>
              </w:rPr>
              <w:t>-1.28</w:t>
            </w:r>
          </w:p>
        </w:tc>
        <w:tc>
          <w:tcPr>
            <w:tcW w:w="620" w:type="pct"/>
            <w:tcBorders>
              <w:top w:val="nil"/>
              <w:left w:val="nil"/>
              <w:bottom w:val="nil"/>
              <w:right w:val="nil"/>
            </w:tcBorders>
            <w:shd w:val="clear" w:color="000000" w:fill="FFFFFF"/>
            <w:noWrap/>
            <w:vAlign w:val="center"/>
            <w:hideMark/>
          </w:tcPr>
          <w:p w14:paraId="333ABA3C" w14:textId="77777777" w:rsidR="006976BB" w:rsidRPr="00D618B7" w:rsidRDefault="006976BB" w:rsidP="004B11B7">
            <w:pPr>
              <w:jc w:val="right"/>
              <w:rPr>
                <w:color w:val="000000"/>
                <w:sz w:val="22"/>
                <w:szCs w:val="22"/>
              </w:rPr>
            </w:pPr>
            <w:r w:rsidRPr="00D618B7">
              <w:rPr>
                <w:color w:val="000000"/>
                <w:sz w:val="22"/>
                <w:szCs w:val="22"/>
              </w:rPr>
              <w:t>3.83</w:t>
            </w:r>
          </w:p>
        </w:tc>
        <w:tc>
          <w:tcPr>
            <w:tcW w:w="881" w:type="pct"/>
            <w:tcBorders>
              <w:top w:val="nil"/>
              <w:left w:val="nil"/>
              <w:bottom w:val="nil"/>
              <w:right w:val="nil"/>
            </w:tcBorders>
            <w:shd w:val="clear" w:color="000000" w:fill="FFFFFF"/>
            <w:noWrap/>
            <w:vAlign w:val="center"/>
            <w:hideMark/>
          </w:tcPr>
          <w:p w14:paraId="6F074DC3" w14:textId="77777777" w:rsidR="006976BB" w:rsidRPr="00D618B7" w:rsidRDefault="006976BB" w:rsidP="004B11B7">
            <w:pPr>
              <w:jc w:val="right"/>
              <w:rPr>
                <w:color w:val="000000"/>
                <w:sz w:val="22"/>
                <w:szCs w:val="22"/>
              </w:rPr>
            </w:pPr>
            <w:r w:rsidRPr="00D618B7">
              <w:rPr>
                <w:color w:val="000000"/>
                <w:sz w:val="22"/>
                <w:szCs w:val="22"/>
              </w:rPr>
              <w:t>1.45</w:t>
            </w:r>
          </w:p>
        </w:tc>
        <w:tc>
          <w:tcPr>
            <w:tcW w:w="614" w:type="pct"/>
            <w:tcBorders>
              <w:top w:val="nil"/>
              <w:left w:val="nil"/>
              <w:bottom w:val="nil"/>
              <w:right w:val="nil"/>
            </w:tcBorders>
            <w:shd w:val="clear" w:color="000000" w:fill="FFFFFF"/>
            <w:noWrap/>
            <w:vAlign w:val="center"/>
            <w:hideMark/>
          </w:tcPr>
          <w:p w14:paraId="063F1400" w14:textId="77777777" w:rsidR="006976BB" w:rsidRPr="00D618B7" w:rsidRDefault="006976BB" w:rsidP="004B11B7">
            <w:pPr>
              <w:jc w:val="right"/>
              <w:rPr>
                <w:color w:val="000000"/>
                <w:sz w:val="22"/>
                <w:szCs w:val="22"/>
              </w:rPr>
            </w:pPr>
            <w:r w:rsidRPr="00D618B7">
              <w:rPr>
                <w:color w:val="000000"/>
                <w:sz w:val="22"/>
                <w:szCs w:val="22"/>
              </w:rPr>
              <w:t>5.86</w:t>
            </w:r>
          </w:p>
        </w:tc>
        <w:tc>
          <w:tcPr>
            <w:tcW w:w="912" w:type="pct"/>
            <w:tcBorders>
              <w:top w:val="nil"/>
              <w:left w:val="nil"/>
              <w:bottom w:val="nil"/>
              <w:right w:val="nil"/>
            </w:tcBorders>
            <w:shd w:val="clear" w:color="000000" w:fill="FFFFFF"/>
            <w:noWrap/>
            <w:vAlign w:val="center"/>
            <w:hideMark/>
          </w:tcPr>
          <w:p w14:paraId="3CEEF5AE" w14:textId="77777777" w:rsidR="006976BB" w:rsidRPr="00D618B7" w:rsidRDefault="006976BB" w:rsidP="004B11B7">
            <w:pPr>
              <w:jc w:val="right"/>
              <w:rPr>
                <w:color w:val="000000"/>
                <w:sz w:val="22"/>
                <w:szCs w:val="22"/>
              </w:rPr>
            </w:pPr>
            <w:r w:rsidRPr="00D618B7">
              <w:rPr>
                <w:color w:val="000000"/>
                <w:sz w:val="22"/>
                <w:szCs w:val="22"/>
              </w:rPr>
              <w:t>145.47</w:t>
            </w:r>
          </w:p>
        </w:tc>
        <w:tc>
          <w:tcPr>
            <w:tcW w:w="635" w:type="pct"/>
            <w:tcBorders>
              <w:top w:val="nil"/>
              <w:left w:val="nil"/>
              <w:bottom w:val="nil"/>
              <w:right w:val="nil"/>
            </w:tcBorders>
            <w:shd w:val="clear" w:color="000000" w:fill="FFFFFF"/>
            <w:noWrap/>
            <w:vAlign w:val="center"/>
            <w:hideMark/>
          </w:tcPr>
          <w:p w14:paraId="3653D819" w14:textId="77777777" w:rsidR="006976BB" w:rsidRPr="00D618B7" w:rsidRDefault="006976BB" w:rsidP="004B11B7">
            <w:pPr>
              <w:jc w:val="right"/>
              <w:rPr>
                <w:color w:val="000000"/>
                <w:sz w:val="22"/>
                <w:szCs w:val="22"/>
              </w:rPr>
            </w:pPr>
            <w:r w:rsidRPr="00D618B7">
              <w:rPr>
                <w:color w:val="000000"/>
                <w:sz w:val="22"/>
                <w:szCs w:val="22"/>
              </w:rPr>
              <w:t>25.13</w:t>
            </w:r>
          </w:p>
        </w:tc>
      </w:tr>
      <w:tr w:rsidR="006976BB" w:rsidRPr="00D618B7" w14:paraId="1DB3700E" w14:textId="77777777" w:rsidTr="00990BE1">
        <w:trPr>
          <w:trHeight w:val="264"/>
        </w:trPr>
        <w:tc>
          <w:tcPr>
            <w:tcW w:w="755" w:type="pct"/>
            <w:tcBorders>
              <w:top w:val="nil"/>
              <w:left w:val="nil"/>
              <w:bottom w:val="nil"/>
              <w:right w:val="nil"/>
            </w:tcBorders>
            <w:shd w:val="clear" w:color="000000" w:fill="FFFFFF"/>
            <w:vAlign w:val="center"/>
            <w:hideMark/>
          </w:tcPr>
          <w:p w14:paraId="1A95DC1F" w14:textId="77777777" w:rsidR="006976BB" w:rsidRPr="00D618B7" w:rsidRDefault="006976BB"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022A3E73" w14:textId="77777777" w:rsidR="006976BB" w:rsidRPr="00D618B7" w:rsidRDefault="006976BB" w:rsidP="004B11B7">
            <w:pPr>
              <w:jc w:val="right"/>
              <w:rPr>
                <w:color w:val="000000"/>
                <w:sz w:val="22"/>
                <w:szCs w:val="22"/>
              </w:rPr>
            </w:pPr>
            <w:r w:rsidRPr="00D618B7">
              <w:rPr>
                <w:color w:val="000000"/>
                <w:sz w:val="22"/>
                <w:szCs w:val="22"/>
              </w:rPr>
              <w:t>9.95</w:t>
            </w:r>
          </w:p>
        </w:tc>
        <w:tc>
          <w:tcPr>
            <w:tcW w:w="620" w:type="pct"/>
            <w:tcBorders>
              <w:top w:val="nil"/>
              <w:left w:val="nil"/>
              <w:bottom w:val="nil"/>
              <w:right w:val="nil"/>
            </w:tcBorders>
            <w:shd w:val="clear" w:color="000000" w:fill="FFFFFF"/>
            <w:noWrap/>
            <w:vAlign w:val="center"/>
            <w:hideMark/>
          </w:tcPr>
          <w:p w14:paraId="29AA6332" w14:textId="77777777" w:rsidR="006976BB" w:rsidRPr="00D618B7" w:rsidRDefault="006976BB" w:rsidP="004B11B7">
            <w:pPr>
              <w:jc w:val="right"/>
              <w:rPr>
                <w:color w:val="000000"/>
                <w:sz w:val="22"/>
                <w:szCs w:val="22"/>
              </w:rPr>
            </w:pPr>
            <w:r w:rsidRPr="00D618B7">
              <w:rPr>
                <w:color w:val="000000"/>
                <w:sz w:val="22"/>
                <w:szCs w:val="22"/>
              </w:rPr>
              <w:t>2.87</w:t>
            </w:r>
          </w:p>
        </w:tc>
        <w:tc>
          <w:tcPr>
            <w:tcW w:w="881" w:type="pct"/>
            <w:tcBorders>
              <w:top w:val="nil"/>
              <w:left w:val="nil"/>
              <w:bottom w:val="nil"/>
              <w:right w:val="nil"/>
            </w:tcBorders>
            <w:shd w:val="clear" w:color="000000" w:fill="FFFFFF"/>
            <w:noWrap/>
            <w:vAlign w:val="center"/>
            <w:hideMark/>
          </w:tcPr>
          <w:p w14:paraId="08AC4F75" w14:textId="77777777" w:rsidR="006976BB" w:rsidRPr="00D618B7" w:rsidRDefault="006976BB" w:rsidP="004B11B7">
            <w:pPr>
              <w:jc w:val="right"/>
              <w:rPr>
                <w:color w:val="000000"/>
                <w:sz w:val="22"/>
                <w:szCs w:val="22"/>
              </w:rPr>
            </w:pPr>
            <w:r w:rsidRPr="00D618B7">
              <w:rPr>
                <w:color w:val="000000"/>
                <w:sz w:val="22"/>
                <w:szCs w:val="22"/>
              </w:rPr>
              <w:t>-30.91</w:t>
            </w:r>
          </w:p>
        </w:tc>
        <w:tc>
          <w:tcPr>
            <w:tcW w:w="614" w:type="pct"/>
            <w:tcBorders>
              <w:top w:val="nil"/>
              <w:left w:val="nil"/>
              <w:bottom w:val="nil"/>
              <w:right w:val="nil"/>
            </w:tcBorders>
            <w:shd w:val="clear" w:color="000000" w:fill="FFFFFF"/>
            <w:noWrap/>
            <w:vAlign w:val="center"/>
            <w:hideMark/>
          </w:tcPr>
          <w:p w14:paraId="55710143" w14:textId="77777777" w:rsidR="006976BB" w:rsidRPr="00D618B7" w:rsidRDefault="006976BB" w:rsidP="004B11B7">
            <w:pPr>
              <w:jc w:val="right"/>
              <w:rPr>
                <w:color w:val="000000"/>
                <w:sz w:val="22"/>
                <w:szCs w:val="22"/>
              </w:rPr>
            </w:pPr>
            <w:r w:rsidRPr="00D618B7">
              <w:rPr>
                <w:color w:val="000000"/>
                <w:sz w:val="22"/>
                <w:szCs w:val="22"/>
              </w:rPr>
              <w:t>10.43</w:t>
            </w:r>
          </w:p>
        </w:tc>
        <w:tc>
          <w:tcPr>
            <w:tcW w:w="912" w:type="pct"/>
            <w:tcBorders>
              <w:top w:val="nil"/>
              <w:left w:val="nil"/>
              <w:bottom w:val="nil"/>
              <w:right w:val="nil"/>
            </w:tcBorders>
            <w:shd w:val="clear" w:color="000000" w:fill="FFFFFF"/>
            <w:noWrap/>
            <w:vAlign w:val="center"/>
            <w:hideMark/>
          </w:tcPr>
          <w:p w14:paraId="6B4A454C" w14:textId="77777777" w:rsidR="006976BB" w:rsidRPr="00D618B7" w:rsidRDefault="006976BB" w:rsidP="004B11B7">
            <w:pPr>
              <w:jc w:val="right"/>
              <w:rPr>
                <w:color w:val="000000"/>
                <w:sz w:val="22"/>
                <w:szCs w:val="22"/>
              </w:rPr>
            </w:pPr>
            <w:r w:rsidRPr="00D618B7">
              <w:rPr>
                <w:color w:val="000000"/>
                <w:sz w:val="22"/>
                <w:szCs w:val="22"/>
              </w:rPr>
              <w:t>10.19</w:t>
            </w:r>
          </w:p>
        </w:tc>
        <w:tc>
          <w:tcPr>
            <w:tcW w:w="635" w:type="pct"/>
            <w:tcBorders>
              <w:top w:val="nil"/>
              <w:left w:val="nil"/>
              <w:bottom w:val="nil"/>
              <w:right w:val="nil"/>
            </w:tcBorders>
            <w:shd w:val="clear" w:color="000000" w:fill="FFFFFF"/>
            <w:noWrap/>
            <w:vAlign w:val="center"/>
            <w:hideMark/>
          </w:tcPr>
          <w:p w14:paraId="1B516C46" w14:textId="77777777" w:rsidR="006976BB" w:rsidRPr="00D618B7" w:rsidRDefault="006976BB" w:rsidP="004B11B7">
            <w:pPr>
              <w:jc w:val="right"/>
              <w:rPr>
                <w:color w:val="000000"/>
                <w:sz w:val="22"/>
                <w:szCs w:val="22"/>
              </w:rPr>
            </w:pPr>
            <w:r w:rsidRPr="00D618B7">
              <w:rPr>
                <w:color w:val="000000"/>
                <w:sz w:val="22"/>
                <w:szCs w:val="22"/>
              </w:rPr>
              <w:t>13.64</w:t>
            </w:r>
          </w:p>
        </w:tc>
      </w:tr>
      <w:tr w:rsidR="006976BB" w:rsidRPr="00D618B7" w14:paraId="5D7D183A" w14:textId="77777777" w:rsidTr="00990BE1">
        <w:trPr>
          <w:trHeight w:val="264"/>
        </w:trPr>
        <w:tc>
          <w:tcPr>
            <w:tcW w:w="755" w:type="pct"/>
            <w:tcBorders>
              <w:top w:val="nil"/>
              <w:left w:val="nil"/>
              <w:bottom w:val="nil"/>
              <w:right w:val="nil"/>
            </w:tcBorders>
            <w:shd w:val="clear" w:color="000000" w:fill="FFFFFF"/>
            <w:vAlign w:val="center"/>
            <w:hideMark/>
          </w:tcPr>
          <w:p w14:paraId="07DE8C86" w14:textId="77777777" w:rsidR="006976BB" w:rsidRPr="00D618B7" w:rsidRDefault="006976BB"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7FC1B66F" w14:textId="77777777" w:rsidR="006976BB" w:rsidRPr="00D618B7" w:rsidRDefault="006976BB" w:rsidP="004B11B7">
            <w:pPr>
              <w:jc w:val="right"/>
              <w:rPr>
                <w:color w:val="000000"/>
                <w:sz w:val="22"/>
                <w:szCs w:val="22"/>
              </w:rPr>
            </w:pPr>
            <w:r w:rsidRPr="00D618B7">
              <w:rPr>
                <w:color w:val="000000"/>
                <w:sz w:val="22"/>
                <w:szCs w:val="22"/>
              </w:rPr>
              <w:t>-11.95</w:t>
            </w:r>
          </w:p>
        </w:tc>
        <w:tc>
          <w:tcPr>
            <w:tcW w:w="620" w:type="pct"/>
            <w:tcBorders>
              <w:top w:val="nil"/>
              <w:left w:val="nil"/>
              <w:bottom w:val="nil"/>
              <w:right w:val="nil"/>
            </w:tcBorders>
            <w:shd w:val="clear" w:color="000000" w:fill="FFFFFF"/>
            <w:noWrap/>
            <w:vAlign w:val="center"/>
            <w:hideMark/>
          </w:tcPr>
          <w:p w14:paraId="4580C4A6" w14:textId="77777777" w:rsidR="006976BB" w:rsidRPr="00D618B7" w:rsidRDefault="006976BB" w:rsidP="004B11B7">
            <w:pPr>
              <w:jc w:val="right"/>
              <w:rPr>
                <w:color w:val="000000"/>
                <w:sz w:val="22"/>
                <w:szCs w:val="22"/>
              </w:rPr>
            </w:pPr>
            <w:r w:rsidRPr="00D618B7">
              <w:rPr>
                <w:color w:val="000000"/>
                <w:sz w:val="22"/>
                <w:szCs w:val="22"/>
              </w:rPr>
              <w:t>5.90</w:t>
            </w:r>
          </w:p>
        </w:tc>
        <w:tc>
          <w:tcPr>
            <w:tcW w:w="881" w:type="pct"/>
            <w:tcBorders>
              <w:top w:val="nil"/>
              <w:left w:val="nil"/>
              <w:bottom w:val="nil"/>
              <w:right w:val="nil"/>
            </w:tcBorders>
            <w:shd w:val="clear" w:color="000000" w:fill="FFFFFF"/>
            <w:noWrap/>
            <w:vAlign w:val="center"/>
            <w:hideMark/>
          </w:tcPr>
          <w:p w14:paraId="7804E5C0" w14:textId="77777777" w:rsidR="006976BB" w:rsidRPr="00D618B7" w:rsidRDefault="006976BB" w:rsidP="004B11B7">
            <w:pPr>
              <w:jc w:val="right"/>
              <w:rPr>
                <w:color w:val="000000"/>
                <w:sz w:val="22"/>
                <w:szCs w:val="22"/>
              </w:rPr>
            </w:pPr>
            <w:r w:rsidRPr="00D618B7">
              <w:rPr>
                <w:color w:val="000000"/>
                <w:sz w:val="22"/>
                <w:szCs w:val="22"/>
              </w:rPr>
              <w:t>41.89</w:t>
            </w:r>
          </w:p>
        </w:tc>
        <w:tc>
          <w:tcPr>
            <w:tcW w:w="614" w:type="pct"/>
            <w:tcBorders>
              <w:top w:val="nil"/>
              <w:left w:val="nil"/>
              <w:bottom w:val="nil"/>
              <w:right w:val="nil"/>
            </w:tcBorders>
            <w:shd w:val="clear" w:color="000000" w:fill="FFFFFF"/>
            <w:noWrap/>
            <w:vAlign w:val="center"/>
            <w:hideMark/>
          </w:tcPr>
          <w:p w14:paraId="6EEEE198" w14:textId="77777777" w:rsidR="006976BB" w:rsidRPr="00D618B7" w:rsidRDefault="006976BB" w:rsidP="004B11B7">
            <w:pPr>
              <w:jc w:val="right"/>
              <w:rPr>
                <w:color w:val="000000"/>
                <w:sz w:val="22"/>
                <w:szCs w:val="22"/>
              </w:rPr>
            </w:pPr>
            <w:r w:rsidRPr="00D618B7">
              <w:rPr>
                <w:color w:val="000000"/>
                <w:sz w:val="22"/>
                <w:szCs w:val="22"/>
              </w:rPr>
              <w:t>2.97</w:t>
            </w:r>
          </w:p>
        </w:tc>
        <w:tc>
          <w:tcPr>
            <w:tcW w:w="912" w:type="pct"/>
            <w:tcBorders>
              <w:top w:val="nil"/>
              <w:left w:val="nil"/>
              <w:bottom w:val="nil"/>
              <w:right w:val="nil"/>
            </w:tcBorders>
            <w:shd w:val="clear" w:color="000000" w:fill="FFFFFF"/>
            <w:noWrap/>
            <w:vAlign w:val="center"/>
            <w:hideMark/>
          </w:tcPr>
          <w:p w14:paraId="5D518552" w14:textId="77777777" w:rsidR="006976BB" w:rsidRPr="00D618B7" w:rsidRDefault="006976BB" w:rsidP="004B11B7">
            <w:pPr>
              <w:jc w:val="right"/>
              <w:rPr>
                <w:color w:val="000000"/>
                <w:sz w:val="22"/>
                <w:szCs w:val="22"/>
              </w:rPr>
            </w:pPr>
            <w:r w:rsidRPr="00D618B7">
              <w:rPr>
                <w:color w:val="000000"/>
                <w:sz w:val="22"/>
                <w:szCs w:val="22"/>
              </w:rPr>
              <w:t>-92.52</w:t>
            </w:r>
          </w:p>
        </w:tc>
        <w:tc>
          <w:tcPr>
            <w:tcW w:w="635" w:type="pct"/>
            <w:tcBorders>
              <w:top w:val="nil"/>
              <w:left w:val="nil"/>
              <w:bottom w:val="nil"/>
              <w:right w:val="nil"/>
            </w:tcBorders>
            <w:shd w:val="clear" w:color="000000" w:fill="FFFFFF"/>
            <w:noWrap/>
            <w:vAlign w:val="center"/>
            <w:hideMark/>
          </w:tcPr>
          <w:p w14:paraId="1B74736F" w14:textId="77777777" w:rsidR="006976BB" w:rsidRPr="00D618B7" w:rsidRDefault="006976BB" w:rsidP="004B11B7">
            <w:pPr>
              <w:jc w:val="right"/>
              <w:rPr>
                <w:color w:val="000000"/>
                <w:sz w:val="22"/>
                <w:szCs w:val="22"/>
              </w:rPr>
            </w:pPr>
            <w:r w:rsidRPr="00D618B7">
              <w:rPr>
                <w:color w:val="000000"/>
                <w:sz w:val="22"/>
                <w:szCs w:val="22"/>
              </w:rPr>
              <w:t>75.47</w:t>
            </w:r>
          </w:p>
        </w:tc>
      </w:tr>
      <w:tr w:rsidR="006976BB" w:rsidRPr="00D618B7" w14:paraId="47082221" w14:textId="77777777" w:rsidTr="00990BE1">
        <w:trPr>
          <w:trHeight w:val="264"/>
        </w:trPr>
        <w:tc>
          <w:tcPr>
            <w:tcW w:w="755" w:type="pct"/>
            <w:tcBorders>
              <w:top w:val="nil"/>
              <w:left w:val="nil"/>
              <w:right w:val="nil"/>
            </w:tcBorders>
            <w:shd w:val="clear" w:color="000000" w:fill="FFFFFF"/>
            <w:vAlign w:val="center"/>
            <w:hideMark/>
          </w:tcPr>
          <w:p w14:paraId="23175E09" w14:textId="77777777" w:rsidR="006976BB" w:rsidRPr="00D618B7" w:rsidRDefault="006976BB" w:rsidP="004B11B7">
            <w:pPr>
              <w:jc w:val="right"/>
              <w:rPr>
                <w:color w:val="000000"/>
                <w:sz w:val="22"/>
                <w:szCs w:val="22"/>
              </w:rPr>
            </w:pPr>
            <w:r w:rsidRPr="00D618B7">
              <w:rPr>
                <w:color w:val="000000"/>
                <w:sz w:val="22"/>
                <w:szCs w:val="22"/>
              </w:rPr>
              <w:t>4</w:t>
            </w:r>
          </w:p>
        </w:tc>
        <w:tc>
          <w:tcPr>
            <w:tcW w:w="583" w:type="pct"/>
            <w:tcBorders>
              <w:top w:val="nil"/>
              <w:left w:val="nil"/>
              <w:right w:val="nil"/>
            </w:tcBorders>
            <w:shd w:val="clear" w:color="000000" w:fill="FFFFFF"/>
            <w:noWrap/>
            <w:vAlign w:val="center"/>
            <w:hideMark/>
          </w:tcPr>
          <w:p w14:paraId="527F4780" w14:textId="77777777" w:rsidR="006976BB" w:rsidRPr="00D618B7" w:rsidRDefault="006976BB" w:rsidP="004B11B7">
            <w:pPr>
              <w:jc w:val="right"/>
              <w:rPr>
                <w:color w:val="000000"/>
                <w:sz w:val="22"/>
                <w:szCs w:val="22"/>
              </w:rPr>
            </w:pPr>
            <w:r w:rsidRPr="00D618B7">
              <w:rPr>
                <w:color w:val="000000"/>
                <w:sz w:val="22"/>
                <w:szCs w:val="22"/>
              </w:rPr>
              <w:t>17.63</w:t>
            </w:r>
          </w:p>
        </w:tc>
        <w:tc>
          <w:tcPr>
            <w:tcW w:w="620" w:type="pct"/>
            <w:tcBorders>
              <w:top w:val="nil"/>
              <w:left w:val="nil"/>
              <w:right w:val="nil"/>
            </w:tcBorders>
            <w:shd w:val="clear" w:color="000000" w:fill="FFFFFF"/>
            <w:noWrap/>
            <w:vAlign w:val="center"/>
            <w:hideMark/>
          </w:tcPr>
          <w:p w14:paraId="77E6D73B" w14:textId="77777777" w:rsidR="006976BB" w:rsidRPr="00D618B7" w:rsidRDefault="006976BB" w:rsidP="004B11B7">
            <w:pPr>
              <w:jc w:val="right"/>
              <w:rPr>
                <w:color w:val="000000"/>
                <w:sz w:val="22"/>
                <w:szCs w:val="22"/>
              </w:rPr>
            </w:pPr>
            <w:r w:rsidRPr="00D618B7">
              <w:rPr>
                <w:color w:val="000000"/>
                <w:sz w:val="22"/>
                <w:szCs w:val="22"/>
              </w:rPr>
              <w:t>9.77</w:t>
            </w:r>
          </w:p>
        </w:tc>
        <w:tc>
          <w:tcPr>
            <w:tcW w:w="881" w:type="pct"/>
            <w:tcBorders>
              <w:top w:val="nil"/>
              <w:left w:val="nil"/>
              <w:right w:val="nil"/>
            </w:tcBorders>
            <w:shd w:val="clear" w:color="000000" w:fill="FFFFFF"/>
            <w:noWrap/>
            <w:vAlign w:val="center"/>
            <w:hideMark/>
          </w:tcPr>
          <w:p w14:paraId="6DDBFB8D" w14:textId="77777777" w:rsidR="006976BB" w:rsidRPr="00D618B7" w:rsidRDefault="006976BB" w:rsidP="004B11B7">
            <w:pPr>
              <w:jc w:val="right"/>
              <w:rPr>
                <w:color w:val="000000"/>
                <w:sz w:val="22"/>
                <w:szCs w:val="22"/>
              </w:rPr>
            </w:pPr>
            <w:r w:rsidRPr="00D618B7">
              <w:rPr>
                <w:color w:val="000000"/>
                <w:sz w:val="22"/>
                <w:szCs w:val="22"/>
              </w:rPr>
              <w:t>-57.95</w:t>
            </w:r>
          </w:p>
        </w:tc>
        <w:tc>
          <w:tcPr>
            <w:tcW w:w="614" w:type="pct"/>
            <w:tcBorders>
              <w:top w:val="nil"/>
              <w:left w:val="nil"/>
              <w:right w:val="nil"/>
            </w:tcBorders>
            <w:shd w:val="clear" w:color="000000" w:fill="FFFFFF"/>
            <w:noWrap/>
            <w:vAlign w:val="center"/>
            <w:hideMark/>
          </w:tcPr>
          <w:p w14:paraId="2B4E39A6" w14:textId="77777777" w:rsidR="006976BB" w:rsidRPr="00D618B7" w:rsidRDefault="006976BB" w:rsidP="004B11B7">
            <w:pPr>
              <w:jc w:val="right"/>
              <w:rPr>
                <w:color w:val="000000"/>
                <w:sz w:val="22"/>
                <w:szCs w:val="22"/>
              </w:rPr>
            </w:pPr>
            <w:r w:rsidRPr="00D618B7">
              <w:rPr>
                <w:color w:val="000000"/>
                <w:sz w:val="22"/>
                <w:szCs w:val="22"/>
              </w:rPr>
              <w:t>4.33</w:t>
            </w:r>
          </w:p>
        </w:tc>
        <w:tc>
          <w:tcPr>
            <w:tcW w:w="912" w:type="pct"/>
            <w:tcBorders>
              <w:top w:val="nil"/>
              <w:left w:val="nil"/>
              <w:right w:val="nil"/>
            </w:tcBorders>
            <w:shd w:val="clear" w:color="000000" w:fill="FFFFFF"/>
            <w:noWrap/>
            <w:vAlign w:val="center"/>
            <w:hideMark/>
          </w:tcPr>
          <w:p w14:paraId="73065EA8" w14:textId="77777777" w:rsidR="006976BB" w:rsidRPr="00D618B7" w:rsidRDefault="006976BB" w:rsidP="004B11B7">
            <w:pPr>
              <w:jc w:val="right"/>
              <w:rPr>
                <w:color w:val="000000"/>
                <w:sz w:val="22"/>
                <w:szCs w:val="22"/>
              </w:rPr>
            </w:pPr>
            <w:r w:rsidRPr="00D618B7">
              <w:rPr>
                <w:color w:val="000000"/>
                <w:sz w:val="22"/>
                <w:szCs w:val="22"/>
              </w:rPr>
              <w:t>261.37</w:t>
            </w:r>
          </w:p>
        </w:tc>
        <w:tc>
          <w:tcPr>
            <w:tcW w:w="635" w:type="pct"/>
            <w:tcBorders>
              <w:top w:val="nil"/>
              <w:left w:val="nil"/>
              <w:right w:val="nil"/>
            </w:tcBorders>
            <w:shd w:val="clear" w:color="000000" w:fill="FFFFFF"/>
            <w:noWrap/>
            <w:vAlign w:val="center"/>
            <w:hideMark/>
          </w:tcPr>
          <w:p w14:paraId="566A4C90" w14:textId="77777777" w:rsidR="006976BB" w:rsidRPr="00D618B7" w:rsidRDefault="006976BB" w:rsidP="004B11B7">
            <w:pPr>
              <w:jc w:val="right"/>
              <w:rPr>
                <w:color w:val="000000"/>
                <w:sz w:val="22"/>
                <w:szCs w:val="22"/>
              </w:rPr>
            </w:pPr>
            <w:r w:rsidRPr="00D618B7">
              <w:rPr>
                <w:color w:val="000000"/>
                <w:sz w:val="22"/>
                <w:szCs w:val="22"/>
              </w:rPr>
              <w:t>117.39</w:t>
            </w:r>
          </w:p>
        </w:tc>
      </w:tr>
      <w:tr w:rsidR="006976BB" w:rsidRPr="00D618B7" w14:paraId="17584E42" w14:textId="77777777" w:rsidTr="00990BE1">
        <w:trPr>
          <w:trHeight w:val="264"/>
        </w:trPr>
        <w:tc>
          <w:tcPr>
            <w:tcW w:w="755" w:type="pct"/>
            <w:tcBorders>
              <w:top w:val="nil"/>
              <w:left w:val="nil"/>
              <w:bottom w:val="single" w:sz="18" w:space="0" w:color="auto"/>
              <w:right w:val="nil"/>
            </w:tcBorders>
            <w:shd w:val="clear" w:color="000000" w:fill="FFFFFF"/>
            <w:vAlign w:val="center"/>
            <w:hideMark/>
          </w:tcPr>
          <w:p w14:paraId="1E122275" w14:textId="77777777" w:rsidR="006976BB" w:rsidRPr="00D618B7" w:rsidRDefault="006976BB" w:rsidP="004B11B7">
            <w:pPr>
              <w:jc w:val="right"/>
              <w:rPr>
                <w:color w:val="000000"/>
                <w:sz w:val="22"/>
                <w:szCs w:val="22"/>
              </w:rPr>
            </w:pPr>
            <w:r w:rsidRPr="00D618B7">
              <w:rPr>
                <w:color w:val="000000"/>
                <w:sz w:val="22"/>
                <w:szCs w:val="22"/>
              </w:rPr>
              <w:t>5</w:t>
            </w:r>
          </w:p>
        </w:tc>
        <w:tc>
          <w:tcPr>
            <w:tcW w:w="583" w:type="pct"/>
            <w:tcBorders>
              <w:top w:val="nil"/>
              <w:left w:val="nil"/>
              <w:bottom w:val="single" w:sz="18" w:space="0" w:color="auto"/>
              <w:right w:val="nil"/>
            </w:tcBorders>
            <w:shd w:val="clear" w:color="000000" w:fill="FFFFFF"/>
            <w:noWrap/>
            <w:vAlign w:val="center"/>
            <w:hideMark/>
          </w:tcPr>
          <w:p w14:paraId="38C0AD82" w14:textId="77777777" w:rsidR="006976BB" w:rsidRPr="00D618B7" w:rsidRDefault="006976BB" w:rsidP="004B11B7">
            <w:pPr>
              <w:jc w:val="right"/>
              <w:rPr>
                <w:color w:val="000000"/>
                <w:sz w:val="22"/>
                <w:szCs w:val="22"/>
              </w:rPr>
            </w:pPr>
            <w:r w:rsidRPr="00D618B7">
              <w:rPr>
                <w:color w:val="000000"/>
                <w:sz w:val="22"/>
                <w:szCs w:val="22"/>
              </w:rPr>
              <w:t>-24.29</w:t>
            </w:r>
          </w:p>
        </w:tc>
        <w:tc>
          <w:tcPr>
            <w:tcW w:w="620" w:type="pct"/>
            <w:tcBorders>
              <w:top w:val="nil"/>
              <w:left w:val="nil"/>
              <w:bottom w:val="single" w:sz="18" w:space="0" w:color="auto"/>
              <w:right w:val="nil"/>
            </w:tcBorders>
            <w:shd w:val="clear" w:color="000000" w:fill="FFFFFF"/>
            <w:noWrap/>
            <w:vAlign w:val="center"/>
            <w:hideMark/>
          </w:tcPr>
          <w:p w14:paraId="52CD273F" w14:textId="77777777" w:rsidR="006976BB" w:rsidRPr="00D618B7" w:rsidRDefault="006976BB" w:rsidP="004B11B7">
            <w:pPr>
              <w:jc w:val="right"/>
              <w:rPr>
                <w:color w:val="000000"/>
                <w:sz w:val="22"/>
                <w:szCs w:val="22"/>
              </w:rPr>
            </w:pPr>
            <w:r w:rsidRPr="00D618B7">
              <w:rPr>
                <w:color w:val="000000"/>
                <w:sz w:val="22"/>
                <w:szCs w:val="22"/>
              </w:rPr>
              <w:t>11.57</w:t>
            </w:r>
          </w:p>
        </w:tc>
        <w:tc>
          <w:tcPr>
            <w:tcW w:w="881" w:type="pct"/>
            <w:tcBorders>
              <w:top w:val="nil"/>
              <w:left w:val="nil"/>
              <w:bottom w:val="single" w:sz="18" w:space="0" w:color="auto"/>
              <w:right w:val="nil"/>
            </w:tcBorders>
            <w:shd w:val="clear" w:color="000000" w:fill="FFFFFF"/>
            <w:noWrap/>
            <w:vAlign w:val="center"/>
            <w:hideMark/>
          </w:tcPr>
          <w:p w14:paraId="23677F9E" w14:textId="77777777" w:rsidR="006976BB" w:rsidRPr="00D618B7" w:rsidRDefault="006976BB" w:rsidP="004B11B7">
            <w:pPr>
              <w:jc w:val="right"/>
              <w:rPr>
                <w:color w:val="000000"/>
                <w:sz w:val="22"/>
                <w:szCs w:val="22"/>
              </w:rPr>
            </w:pPr>
            <w:r w:rsidRPr="00D618B7">
              <w:rPr>
                <w:color w:val="000000"/>
                <w:sz w:val="22"/>
                <w:szCs w:val="22"/>
              </w:rPr>
              <w:t>53.18</w:t>
            </w:r>
          </w:p>
        </w:tc>
        <w:tc>
          <w:tcPr>
            <w:tcW w:w="614" w:type="pct"/>
            <w:tcBorders>
              <w:top w:val="nil"/>
              <w:left w:val="nil"/>
              <w:bottom w:val="single" w:sz="18" w:space="0" w:color="auto"/>
              <w:right w:val="nil"/>
            </w:tcBorders>
            <w:shd w:val="clear" w:color="000000" w:fill="FFFFFF"/>
            <w:noWrap/>
            <w:vAlign w:val="center"/>
            <w:hideMark/>
          </w:tcPr>
          <w:p w14:paraId="5497A12C" w14:textId="77777777" w:rsidR="006976BB" w:rsidRPr="00D618B7" w:rsidRDefault="006976BB" w:rsidP="004B11B7">
            <w:pPr>
              <w:jc w:val="right"/>
              <w:rPr>
                <w:color w:val="000000"/>
                <w:sz w:val="22"/>
                <w:szCs w:val="22"/>
              </w:rPr>
            </w:pPr>
            <w:r w:rsidRPr="00D618B7">
              <w:rPr>
                <w:color w:val="000000"/>
                <w:sz w:val="22"/>
                <w:szCs w:val="22"/>
              </w:rPr>
              <w:t>57.71</w:t>
            </w:r>
          </w:p>
        </w:tc>
        <w:tc>
          <w:tcPr>
            <w:tcW w:w="912" w:type="pct"/>
            <w:tcBorders>
              <w:top w:val="nil"/>
              <w:left w:val="nil"/>
              <w:bottom w:val="single" w:sz="18" w:space="0" w:color="auto"/>
              <w:right w:val="nil"/>
            </w:tcBorders>
            <w:shd w:val="clear" w:color="000000" w:fill="FFFFFF"/>
            <w:noWrap/>
            <w:vAlign w:val="center"/>
            <w:hideMark/>
          </w:tcPr>
          <w:p w14:paraId="580EE77B" w14:textId="77777777" w:rsidR="006976BB" w:rsidRPr="00D618B7" w:rsidRDefault="006976BB" w:rsidP="004B11B7">
            <w:pPr>
              <w:jc w:val="right"/>
              <w:rPr>
                <w:color w:val="000000"/>
                <w:sz w:val="22"/>
                <w:szCs w:val="22"/>
              </w:rPr>
            </w:pPr>
            <w:r w:rsidRPr="00D618B7">
              <w:rPr>
                <w:color w:val="000000"/>
                <w:sz w:val="22"/>
                <w:szCs w:val="22"/>
              </w:rPr>
              <w:t>-112.16</w:t>
            </w:r>
          </w:p>
        </w:tc>
        <w:tc>
          <w:tcPr>
            <w:tcW w:w="635" w:type="pct"/>
            <w:tcBorders>
              <w:top w:val="nil"/>
              <w:left w:val="nil"/>
              <w:bottom w:val="single" w:sz="18" w:space="0" w:color="auto"/>
              <w:right w:val="nil"/>
            </w:tcBorders>
            <w:shd w:val="clear" w:color="000000" w:fill="FFFFFF"/>
            <w:noWrap/>
            <w:vAlign w:val="center"/>
            <w:hideMark/>
          </w:tcPr>
          <w:p w14:paraId="4ED332FF" w14:textId="77777777" w:rsidR="006976BB" w:rsidRPr="00D618B7" w:rsidRDefault="006976BB" w:rsidP="004B11B7">
            <w:pPr>
              <w:jc w:val="right"/>
              <w:rPr>
                <w:color w:val="000000"/>
                <w:sz w:val="22"/>
                <w:szCs w:val="22"/>
              </w:rPr>
            </w:pPr>
            <w:r w:rsidRPr="00D618B7">
              <w:rPr>
                <w:color w:val="000000"/>
                <w:sz w:val="22"/>
                <w:szCs w:val="22"/>
              </w:rPr>
              <w:t>23.32</w:t>
            </w:r>
          </w:p>
        </w:tc>
      </w:tr>
      <w:tr w:rsidR="006976BB" w:rsidRPr="00D618B7" w14:paraId="09D66584" w14:textId="77777777" w:rsidTr="00990BE1">
        <w:trPr>
          <w:trHeight w:val="264"/>
        </w:trPr>
        <w:tc>
          <w:tcPr>
            <w:tcW w:w="755" w:type="pct"/>
            <w:tcBorders>
              <w:top w:val="single" w:sz="18" w:space="0" w:color="auto"/>
              <w:left w:val="nil"/>
              <w:bottom w:val="nil"/>
              <w:right w:val="nil"/>
            </w:tcBorders>
            <w:shd w:val="clear" w:color="000000" w:fill="FFFFFF"/>
            <w:noWrap/>
            <w:vAlign w:val="bottom"/>
            <w:hideMark/>
          </w:tcPr>
          <w:p w14:paraId="31BF09DA" w14:textId="77777777" w:rsidR="006976BB" w:rsidRPr="00D618B7" w:rsidRDefault="006976BB" w:rsidP="004B11B7">
            <w:pPr>
              <w:rPr>
                <w:color w:val="000000"/>
                <w:sz w:val="22"/>
                <w:szCs w:val="22"/>
              </w:rPr>
            </w:pPr>
            <w:r w:rsidRPr="00D618B7">
              <w:rPr>
                <w:color w:val="000000"/>
                <w:sz w:val="22"/>
                <w:szCs w:val="22"/>
              </w:rPr>
              <w:t> </w:t>
            </w:r>
          </w:p>
        </w:tc>
        <w:tc>
          <w:tcPr>
            <w:tcW w:w="4245" w:type="pct"/>
            <w:gridSpan w:val="6"/>
            <w:tcBorders>
              <w:top w:val="single" w:sz="18" w:space="0" w:color="auto"/>
              <w:left w:val="nil"/>
              <w:bottom w:val="nil"/>
              <w:right w:val="nil"/>
            </w:tcBorders>
            <w:shd w:val="clear" w:color="000000" w:fill="FFFFFF"/>
            <w:noWrap/>
            <w:vAlign w:val="center"/>
            <w:hideMark/>
          </w:tcPr>
          <w:p w14:paraId="08E9BBCD" w14:textId="77777777" w:rsidR="006976BB" w:rsidRPr="00D618B7" w:rsidRDefault="006976BB" w:rsidP="004B11B7">
            <w:pPr>
              <w:jc w:val="center"/>
              <w:rPr>
                <w:color w:val="000000"/>
                <w:sz w:val="22"/>
                <w:szCs w:val="22"/>
              </w:rPr>
            </w:pPr>
            <w:r w:rsidRPr="00D618B7">
              <w:rPr>
                <w:color w:val="000000"/>
                <w:sz w:val="22"/>
                <w:szCs w:val="22"/>
              </w:rPr>
              <w:t>Toy-Moving-into-Reach</w:t>
            </w:r>
          </w:p>
        </w:tc>
      </w:tr>
      <w:tr w:rsidR="006976BB" w:rsidRPr="00D618B7" w14:paraId="6AAC43F2" w14:textId="77777777" w:rsidTr="00990BE1">
        <w:trPr>
          <w:trHeight w:val="264"/>
        </w:trPr>
        <w:tc>
          <w:tcPr>
            <w:tcW w:w="755" w:type="pct"/>
            <w:tcBorders>
              <w:top w:val="nil"/>
              <w:left w:val="nil"/>
              <w:bottom w:val="nil"/>
              <w:right w:val="nil"/>
            </w:tcBorders>
            <w:shd w:val="clear" w:color="000000" w:fill="FFFFFF"/>
            <w:vAlign w:val="center"/>
            <w:hideMark/>
          </w:tcPr>
          <w:p w14:paraId="01013BB8" w14:textId="77777777" w:rsidR="006976BB" w:rsidRPr="00D618B7" w:rsidRDefault="006976BB" w:rsidP="004B11B7">
            <w:pPr>
              <w:jc w:val="right"/>
              <w:rPr>
                <w:color w:val="000000"/>
                <w:sz w:val="22"/>
                <w:szCs w:val="22"/>
              </w:rPr>
            </w:pPr>
            <w:r w:rsidRPr="00D618B7">
              <w:rPr>
                <w:color w:val="000000"/>
                <w:sz w:val="22"/>
                <w:szCs w:val="22"/>
              </w:rPr>
              <w:t>-5</w:t>
            </w:r>
          </w:p>
        </w:tc>
        <w:tc>
          <w:tcPr>
            <w:tcW w:w="583" w:type="pct"/>
            <w:tcBorders>
              <w:top w:val="nil"/>
              <w:left w:val="nil"/>
              <w:bottom w:val="nil"/>
              <w:right w:val="nil"/>
            </w:tcBorders>
            <w:shd w:val="clear" w:color="000000" w:fill="FFFFFF"/>
            <w:noWrap/>
            <w:vAlign w:val="center"/>
            <w:hideMark/>
          </w:tcPr>
          <w:p w14:paraId="275CAF41" w14:textId="77777777" w:rsidR="006976BB" w:rsidRPr="00D618B7" w:rsidRDefault="006976BB" w:rsidP="004B11B7">
            <w:pPr>
              <w:jc w:val="right"/>
              <w:rPr>
                <w:color w:val="000000"/>
                <w:sz w:val="22"/>
                <w:szCs w:val="22"/>
              </w:rPr>
            </w:pPr>
            <w:r w:rsidRPr="00D618B7">
              <w:rPr>
                <w:color w:val="000000"/>
                <w:sz w:val="22"/>
                <w:szCs w:val="22"/>
              </w:rPr>
              <w:t>8.73</w:t>
            </w:r>
          </w:p>
        </w:tc>
        <w:tc>
          <w:tcPr>
            <w:tcW w:w="620" w:type="pct"/>
            <w:tcBorders>
              <w:top w:val="nil"/>
              <w:left w:val="nil"/>
              <w:bottom w:val="nil"/>
              <w:right w:val="nil"/>
            </w:tcBorders>
            <w:shd w:val="clear" w:color="000000" w:fill="FFFFFF"/>
            <w:noWrap/>
            <w:vAlign w:val="center"/>
            <w:hideMark/>
          </w:tcPr>
          <w:p w14:paraId="29BC06F0" w14:textId="77777777" w:rsidR="006976BB" w:rsidRPr="00D618B7" w:rsidRDefault="006976BB" w:rsidP="004B11B7">
            <w:pPr>
              <w:jc w:val="right"/>
              <w:rPr>
                <w:color w:val="000000"/>
                <w:sz w:val="22"/>
                <w:szCs w:val="22"/>
              </w:rPr>
            </w:pPr>
            <w:r w:rsidRPr="00D618B7">
              <w:rPr>
                <w:color w:val="000000"/>
                <w:sz w:val="22"/>
                <w:szCs w:val="22"/>
              </w:rPr>
              <w:t>4.74</w:t>
            </w:r>
          </w:p>
        </w:tc>
        <w:tc>
          <w:tcPr>
            <w:tcW w:w="881" w:type="pct"/>
            <w:tcBorders>
              <w:top w:val="nil"/>
              <w:left w:val="nil"/>
              <w:bottom w:val="nil"/>
              <w:right w:val="nil"/>
            </w:tcBorders>
            <w:shd w:val="clear" w:color="000000" w:fill="FFFFFF"/>
            <w:noWrap/>
            <w:vAlign w:val="center"/>
            <w:hideMark/>
          </w:tcPr>
          <w:p w14:paraId="2D62FE9E" w14:textId="77777777" w:rsidR="006976BB" w:rsidRPr="00D618B7" w:rsidRDefault="006976BB" w:rsidP="004B11B7">
            <w:pPr>
              <w:jc w:val="right"/>
              <w:rPr>
                <w:color w:val="000000"/>
                <w:sz w:val="22"/>
                <w:szCs w:val="22"/>
              </w:rPr>
            </w:pPr>
            <w:r w:rsidRPr="00D618B7">
              <w:rPr>
                <w:color w:val="000000"/>
                <w:sz w:val="22"/>
                <w:szCs w:val="22"/>
              </w:rPr>
              <w:t>18.42</w:t>
            </w:r>
          </w:p>
        </w:tc>
        <w:tc>
          <w:tcPr>
            <w:tcW w:w="614" w:type="pct"/>
            <w:tcBorders>
              <w:top w:val="nil"/>
              <w:left w:val="nil"/>
              <w:bottom w:val="nil"/>
              <w:right w:val="nil"/>
            </w:tcBorders>
            <w:shd w:val="clear" w:color="000000" w:fill="FFFFFF"/>
            <w:noWrap/>
            <w:vAlign w:val="center"/>
            <w:hideMark/>
          </w:tcPr>
          <w:p w14:paraId="49CEB1ED" w14:textId="77777777" w:rsidR="006976BB" w:rsidRPr="00D618B7" w:rsidRDefault="006976BB" w:rsidP="004B11B7">
            <w:pPr>
              <w:jc w:val="right"/>
              <w:rPr>
                <w:color w:val="000000"/>
                <w:sz w:val="22"/>
                <w:szCs w:val="22"/>
              </w:rPr>
            </w:pPr>
            <w:r w:rsidRPr="00D618B7">
              <w:rPr>
                <w:color w:val="000000"/>
                <w:sz w:val="22"/>
                <w:szCs w:val="22"/>
              </w:rPr>
              <w:t>8.59</w:t>
            </w:r>
          </w:p>
        </w:tc>
        <w:tc>
          <w:tcPr>
            <w:tcW w:w="912" w:type="pct"/>
            <w:tcBorders>
              <w:top w:val="nil"/>
              <w:left w:val="nil"/>
              <w:bottom w:val="nil"/>
              <w:right w:val="nil"/>
            </w:tcBorders>
            <w:shd w:val="clear" w:color="000000" w:fill="FFFFFF"/>
            <w:noWrap/>
            <w:vAlign w:val="center"/>
            <w:hideMark/>
          </w:tcPr>
          <w:p w14:paraId="198CADF9" w14:textId="77777777" w:rsidR="006976BB" w:rsidRPr="00D618B7" w:rsidRDefault="006976BB" w:rsidP="004B11B7">
            <w:pPr>
              <w:jc w:val="right"/>
              <w:rPr>
                <w:color w:val="000000"/>
                <w:sz w:val="22"/>
                <w:szCs w:val="22"/>
              </w:rPr>
            </w:pPr>
            <w:r w:rsidRPr="00D618B7">
              <w:rPr>
                <w:color w:val="000000"/>
                <w:sz w:val="22"/>
                <w:szCs w:val="22"/>
              </w:rPr>
              <w:t>-11.27</w:t>
            </w:r>
          </w:p>
        </w:tc>
        <w:tc>
          <w:tcPr>
            <w:tcW w:w="635" w:type="pct"/>
            <w:tcBorders>
              <w:top w:val="nil"/>
              <w:left w:val="nil"/>
              <w:bottom w:val="nil"/>
              <w:right w:val="nil"/>
            </w:tcBorders>
            <w:shd w:val="clear" w:color="000000" w:fill="FFFFFF"/>
            <w:noWrap/>
            <w:vAlign w:val="center"/>
            <w:hideMark/>
          </w:tcPr>
          <w:p w14:paraId="44FAF596" w14:textId="77777777" w:rsidR="006976BB" w:rsidRPr="00D618B7" w:rsidRDefault="006976BB" w:rsidP="004B11B7">
            <w:pPr>
              <w:jc w:val="right"/>
              <w:rPr>
                <w:color w:val="000000"/>
                <w:sz w:val="22"/>
                <w:szCs w:val="22"/>
              </w:rPr>
            </w:pPr>
            <w:r w:rsidRPr="00D618B7">
              <w:rPr>
                <w:color w:val="000000"/>
                <w:sz w:val="22"/>
                <w:szCs w:val="22"/>
              </w:rPr>
              <w:t>32.24</w:t>
            </w:r>
          </w:p>
        </w:tc>
      </w:tr>
      <w:tr w:rsidR="006976BB" w:rsidRPr="00D618B7" w14:paraId="162F28B2" w14:textId="77777777" w:rsidTr="00990BE1">
        <w:trPr>
          <w:trHeight w:val="264"/>
        </w:trPr>
        <w:tc>
          <w:tcPr>
            <w:tcW w:w="755" w:type="pct"/>
            <w:tcBorders>
              <w:top w:val="nil"/>
              <w:left w:val="nil"/>
              <w:bottom w:val="nil"/>
              <w:right w:val="nil"/>
            </w:tcBorders>
            <w:shd w:val="clear" w:color="000000" w:fill="FFFFFF"/>
            <w:vAlign w:val="center"/>
            <w:hideMark/>
          </w:tcPr>
          <w:p w14:paraId="6DB78D8D" w14:textId="77777777" w:rsidR="006976BB" w:rsidRPr="00D618B7" w:rsidRDefault="006976BB" w:rsidP="004B11B7">
            <w:pPr>
              <w:jc w:val="right"/>
              <w:rPr>
                <w:color w:val="000000"/>
                <w:sz w:val="22"/>
                <w:szCs w:val="22"/>
              </w:rPr>
            </w:pPr>
            <w:r w:rsidRPr="00D618B7">
              <w:rPr>
                <w:color w:val="000000"/>
                <w:sz w:val="22"/>
                <w:szCs w:val="22"/>
              </w:rPr>
              <w:t>-4</w:t>
            </w:r>
          </w:p>
        </w:tc>
        <w:tc>
          <w:tcPr>
            <w:tcW w:w="583" w:type="pct"/>
            <w:tcBorders>
              <w:top w:val="nil"/>
              <w:left w:val="nil"/>
              <w:bottom w:val="nil"/>
              <w:right w:val="nil"/>
            </w:tcBorders>
            <w:shd w:val="clear" w:color="000000" w:fill="FFFFFF"/>
            <w:noWrap/>
            <w:vAlign w:val="center"/>
            <w:hideMark/>
          </w:tcPr>
          <w:p w14:paraId="35BE56FB" w14:textId="77777777" w:rsidR="006976BB" w:rsidRPr="00D618B7" w:rsidRDefault="006976BB" w:rsidP="004B11B7">
            <w:pPr>
              <w:jc w:val="right"/>
              <w:rPr>
                <w:color w:val="000000"/>
                <w:sz w:val="22"/>
                <w:szCs w:val="22"/>
              </w:rPr>
            </w:pPr>
            <w:r w:rsidRPr="00D618B7">
              <w:rPr>
                <w:color w:val="000000"/>
                <w:sz w:val="22"/>
                <w:szCs w:val="22"/>
              </w:rPr>
              <w:t>3.13</w:t>
            </w:r>
          </w:p>
        </w:tc>
        <w:tc>
          <w:tcPr>
            <w:tcW w:w="620" w:type="pct"/>
            <w:tcBorders>
              <w:top w:val="nil"/>
              <w:left w:val="nil"/>
              <w:bottom w:val="nil"/>
              <w:right w:val="nil"/>
            </w:tcBorders>
            <w:shd w:val="clear" w:color="000000" w:fill="FFFFFF"/>
            <w:noWrap/>
            <w:vAlign w:val="center"/>
            <w:hideMark/>
          </w:tcPr>
          <w:p w14:paraId="621B9F4B" w14:textId="77777777" w:rsidR="006976BB" w:rsidRPr="00D618B7" w:rsidRDefault="006976BB" w:rsidP="004B11B7">
            <w:pPr>
              <w:jc w:val="right"/>
              <w:rPr>
                <w:color w:val="000000"/>
                <w:sz w:val="22"/>
                <w:szCs w:val="22"/>
              </w:rPr>
            </w:pPr>
            <w:r w:rsidRPr="00D618B7">
              <w:rPr>
                <w:color w:val="000000"/>
                <w:sz w:val="22"/>
                <w:szCs w:val="22"/>
              </w:rPr>
              <w:t>10.97</w:t>
            </w:r>
          </w:p>
        </w:tc>
        <w:tc>
          <w:tcPr>
            <w:tcW w:w="881" w:type="pct"/>
            <w:tcBorders>
              <w:top w:val="nil"/>
              <w:left w:val="nil"/>
              <w:bottom w:val="nil"/>
              <w:right w:val="nil"/>
            </w:tcBorders>
            <w:shd w:val="clear" w:color="000000" w:fill="FFFFFF"/>
            <w:noWrap/>
            <w:vAlign w:val="center"/>
            <w:hideMark/>
          </w:tcPr>
          <w:p w14:paraId="58BADE5B" w14:textId="77777777" w:rsidR="006976BB" w:rsidRPr="00D618B7" w:rsidRDefault="006976BB" w:rsidP="004B11B7">
            <w:pPr>
              <w:jc w:val="right"/>
              <w:rPr>
                <w:color w:val="000000"/>
                <w:sz w:val="22"/>
                <w:szCs w:val="22"/>
              </w:rPr>
            </w:pPr>
            <w:r w:rsidRPr="00D618B7">
              <w:rPr>
                <w:color w:val="000000"/>
                <w:sz w:val="22"/>
                <w:szCs w:val="22"/>
              </w:rPr>
              <w:t>-30.12</w:t>
            </w:r>
          </w:p>
        </w:tc>
        <w:tc>
          <w:tcPr>
            <w:tcW w:w="614" w:type="pct"/>
            <w:tcBorders>
              <w:top w:val="nil"/>
              <w:left w:val="nil"/>
              <w:bottom w:val="nil"/>
              <w:right w:val="nil"/>
            </w:tcBorders>
            <w:shd w:val="clear" w:color="000000" w:fill="FFFFFF"/>
            <w:noWrap/>
            <w:vAlign w:val="center"/>
            <w:hideMark/>
          </w:tcPr>
          <w:p w14:paraId="13F1284C" w14:textId="77777777" w:rsidR="006976BB" w:rsidRPr="00D618B7" w:rsidRDefault="006976BB" w:rsidP="004B11B7">
            <w:pPr>
              <w:jc w:val="right"/>
              <w:rPr>
                <w:color w:val="000000"/>
                <w:sz w:val="22"/>
                <w:szCs w:val="22"/>
              </w:rPr>
            </w:pPr>
            <w:r w:rsidRPr="00D618B7">
              <w:rPr>
                <w:color w:val="000000"/>
                <w:sz w:val="22"/>
                <w:szCs w:val="22"/>
              </w:rPr>
              <w:t>27.48</w:t>
            </w:r>
          </w:p>
        </w:tc>
        <w:tc>
          <w:tcPr>
            <w:tcW w:w="912" w:type="pct"/>
            <w:tcBorders>
              <w:top w:val="nil"/>
              <w:left w:val="nil"/>
              <w:bottom w:val="nil"/>
              <w:right w:val="nil"/>
            </w:tcBorders>
            <w:shd w:val="clear" w:color="000000" w:fill="FFFFFF"/>
            <w:noWrap/>
            <w:vAlign w:val="center"/>
            <w:hideMark/>
          </w:tcPr>
          <w:p w14:paraId="25A399EB" w14:textId="77777777" w:rsidR="006976BB" w:rsidRPr="00D618B7" w:rsidRDefault="006976BB" w:rsidP="004B11B7">
            <w:pPr>
              <w:jc w:val="right"/>
              <w:rPr>
                <w:color w:val="000000"/>
                <w:sz w:val="22"/>
                <w:szCs w:val="22"/>
              </w:rPr>
            </w:pPr>
            <w:r w:rsidRPr="00D618B7">
              <w:rPr>
                <w:color w:val="000000"/>
                <w:sz w:val="22"/>
                <w:szCs w:val="22"/>
              </w:rPr>
              <w:t>306.49</w:t>
            </w:r>
          </w:p>
        </w:tc>
        <w:tc>
          <w:tcPr>
            <w:tcW w:w="635" w:type="pct"/>
            <w:tcBorders>
              <w:top w:val="nil"/>
              <w:left w:val="nil"/>
              <w:bottom w:val="nil"/>
              <w:right w:val="nil"/>
            </w:tcBorders>
            <w:shd w:val="clear" w:color="000000" w:fill="FFFFFF"/>
            <w:noWrap/>
            <w:vAlign w:val="center"/>
            <w:hideMark/>
          </w:tcPr>
          <w:p w14:paraId="10548997" w14:textId="77777777" w:rsidR="006976BB" w:rsidRPr="00D618B7" w:rsidRDefault="006976BB" w:rsidP="004B11B7">
            <w:pPr>
              <w:jc w:val="right"/>
              <w:rPr>
                <w:color w:val="000000"/>
                <w:sz w:val="22"/>
                <w:szCs w:val="22"/>
              </w:rPr>
            </w:pPr>
            <w:r w:rsidRPr="00D618B7">
              <w:rPr>
                <w:color w:val="000000"/>
                <w:sz w:val="22"/>
                <w:szCs w:val="22"/>
              </w:rPr>
              <w:t>166.11</w:t>
            </w:r>
          </w:p>
        </w:tc>
      </w:tr>
      <w:tr w:rsidR="006976BB" w:rsidRPr="00D618B7" w14:paraId="3AFA6F70" w14:textId="77777777" w:rsidTr="00990BE1">
        <w:trPr>
          <w:trHeight w:val="264"/>
        </w:trPr>
        <w:tc>
          <w:tcPr>
            <w:tcW w:w="755" w:type="pct"/>
            <w:tcBorders>
              <w:top w:val="nil"/>
              <w:left w:val="nil"/>
              <w:bottom w:val="nil"/>
              <w:right w:val="nil"/>
            </w:tcBorders>
            <w:shd w:val="clear" w:color="000000" w:fill="FFFFFF"/>
            <w:vAlign w:val="center"/>
            <w:hideMark/>
          </w:tcPr>
          <w:p w14:paraId="2A38E90A" w14:textId="77777777" w:rsidR="006976BB" w:rsidRPr="00D618B7" w:rsidRDefault="006976BB"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6450FD32" w14:textId="77777777" w:rsidR="006976BB" w:rsidRPr="00D618B7" w:rsidRDefault="006976BB" w:rsidP="004B11B7">
            <w:pPr>
              <w:jc w:val="right"/>
              <w:rPr>
                <w:color w:val="000000"/>
                <w:sz w:val="22"/>
                <w:szCs w:val="22"/>
              </w:rPr>
            </w:pPr>
            <w:r w:rsidRPr="00D618B7">
              <w:rPr>
                <w:color w:val="000000"/>
                <w:sz w:val="22"/>
                <w:szCs w:val="22"/>
              </w:rPr>
              <w:t>2.67</w:t>
            </w:r>
          </w:p>
        </w:tc>
        <w:tc>
          <w:tcPr>
            <w:tcW w:w="620" w:type="pct"/>
            <w:tcBorders>
              <w:top w:val="nil"/>
              <w:left w:val="nil"/>
              <w:bottom w:val="nil"/>
              <w:right w:val="nil"/>
            </w:tcBorders>
            <w:shd w:val="clear" w:color="000000" w:fill="FFFFFF"/>
            <w:noWrap/>
            <w:vAlign w:val="center"/>
            <w:hideMark/>
          </w:tcPr>
          <w:p w14:paraId="120E5BD5" w14:textId="77777777" w:rsidR="006976BB" w:rsidRPr="00D618B7" w:rsidRDefault="006976BB" w:rsidP="004B11B7">
            <w:pPr>
              <w:jc w:val="right"/>
              <w:rPr>
                <w:color w:val="000000"/>
                <w:sz w:val="22"/>
                <w:szCs w:val="22"/>
              </w:rPr>
            </w:pPr>
            <w:r w:rsidRPr="00D618B7">
              <w:rPr>
                <w:color w:val="000000"/>
                <w:sz w:val="22"/>
                <w:szCs w:val="22"/>
              </w:rPr>
              <w:t>5.46</w:t>
            </w:r>
          </w:p>
        </w:tc>
        <w:tc>
          <w:tcPr>
            <w:tcW w:w="881" w:type="pct"/>
            <w:tcBorders>
              <w:top w:val="nil"/>
              <w:left w:val="nil"/>
              <w:bottom w:val="nil"/>
              <w:right w:val="nil"/>
            </w:tcBorders>
            <w:shd w:val="clear" w:color="000000" w:fill="FFFFFF"/>
            <w:noWrap/>
            <w:vAlign w:val="center"/>
            <w:hideMark/>
          </w:tcPr>
          <w:p w14:paraId="4BE5A6BC" w14:textId="77777777" w:rsidR="006976BB" w:rsidRPr="00D618B7" w:rsidRDefault="006976BB" w:rsidP="004B11B7">
            <w:pPr>
              <w:jc w:val="right"/>
              <w:rPr>
                <w:color w:val="000000"/>
                <w:sz w:val="22"/>
                <w:szCs w:val="22"/>
              </w:rPr>
            </w:pPr>
            <w:r w:rsidRPr="00D618B7">
              <w:rPr>
                <w:color w:val="000000"/>
                <w:sz w:val="22"/>
                <w:szCs w:val="22"/>
              </w:rPr>
              <w:t>-5.49</w:t>
            </w:r>
          </w:p>
        </w:tc>
        <w:tc>
          <w:tcPr>
            <w:tcW w:w="614" w:type="pct"/>
            <w:tcBorders>
              <w:top w:val="nil"/>
              <w:left w:val="nil"/>
              <w:bottom w:val="nil"/>
              <w:right w:val="nil"/>
            </w:tcBorders>
            <w:shd w:val="clear" w:color="000000" w:fill="FFFFFF"/>
            <w:noWrap/>
            <w:vAlign w:val="center"/>
            <w:hideMark/>
          </w:tcPr>
          <w:p w14:paraId="443A6884" w14:textId="77777777" w:rsidR="006976BB" w:rsidRPr="00D618B7" w:rsidRDefault="006976BB" w:rsidP="004B11B7">
            <w:pPr>
              <w:jc w:val="right"/>
              <w:rPr>
                <w:color w:val="000000"/>
                <w:sz w:val="22"/>
                <w:szCs w:val="22"/>
              </w:rPr>
            </w:pPr>
            <w:r w:rsidRPr="00D618B7">
              <w:rPr>
                <w:color w:val="000000"/>
                <w:sz w:val="22"/>
                <w:szCs w:val="22"/>
              </w:rPr>
              <w:t>14.08</w:t>
            </w:r>
          </w:p>
        </w:tc>
        <w:tc>
          <w:tcPr>
            <w:tcW w:w="912" w:type="pct"/>
            <w:tcBorders>
              <w:top w:val="nil"/>
              <w:left w:val="nil"/>
              <w:bottom w:val="nil"/>
              <w:right w:val="nil"/>
            </w:tcBorders>
            <w:shd w:val="clear" w:color="000000" w:fill="FFFFFF"/>
            <w:noWrap/>
            <w:vAlign w:val="center"/>
            <w:hideMark/>
          </w:tcPr>
          <w:p w14:paraId="0FC87137" w14:textId="77777777" w:rsidR="006976BB" w:rsidRPr="00D618B7" w:rsidRDefault="006976BB" w:rsidP="004B11B7">
            <w:pPr>
              <w:jc w:val="right"/>
              <w:rPr>
                <w:color w:val="000000"/>
                <w:sz w:val="22"/>
                <w:szCs w:val="22"/>
              </w:rPr>
            </w:pPr>
            <w:r w:rsidRPr="00D618B7">
              <w:rPr>
                <w:color w:val="000000"/>
                <w:sz w:val="22"/>
                <w:szCs w:val="22"/>
              </w:rPr>
              <w:t>61.78</w:t>
            </w:r>
          </w:p>
        </w:tc>
        <w:tc>
          <w:tcPr>
            <w:tcW w:w="635" w:type="pct"/>
            <w:tcBorders>
              <w:top w:val="nil"/>
              <w:left w:val="nil"/>
              <w:bottom w:val="nil"/>
              <w:right w:val="nil"/>
            </w:tcBorders>
            <w:shd w:val="clear" w:color="000000" w:fill="FFFFFF"/>
            <w:noWrap/>
            <w:vAlign w:val="center"/>
            <w:hideMark/>
          </w:tcPr>
          <w:p w14:paraId="17ABF59E" w14:textId="77777777" w:rsidR="006976BB" w:rsidRPr="00D618B7" w:rsidRDefault="006976BB" w:rsidP="004B11B7">
            <w:pPr>
              <w:jc w:val="right"/>
              <w:rPr>
                <w:color w:val="000000"/>
                <w:sz w:val="22"/>
                <w:szCs w:val="22"/>
              </w:rPr>
            </w:pPr>
            <w:r w:rsidRPr="00D618B7">
              <w:rPr>
                <w:color w:val="000000"/>
                <w:sz w:val="22"/>
                <w:szCs w:val="22"/>
              </w:rPr>
              <w:t>45.75</w:t>
            </w:r>
          </w:p>
        </w:tc>
      </w:tr>
      <w:tr w:rsidR="006976BB" w:rsidRPr="00D618B7" w14:paraId="28AB8B73" w14:textId="77777777" w:rsidTr="00990BE1">
        <w:trPr>
          <w:trHeight w:val="264"/>
        </w:trPr>
        <w:tc>
          <w:tcPr>
            <w:tcW w:w="755" w:type="pct"/>
            <w:tcBorders>
              <w:top w:val="nil"/>
              <w:left w:val="nil"/>
              <w:bottom w:val="nil"/>
              <w:right w:val="nil"/>
            </w:tcBorders>
            <w:shd w:val="clear" w:color="000000" w:fill="FFFFFF"/>
            <w:vAlign w:val="center"/>
            <w:hideMark/>
          </w:tcPr>
          <w:p w14:paraId="3491E8A4" w14:textId="77777777" w:rsidR="006976BB" w:rsidRPr="00D618B7" w:rsidRDefault="006976BB"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5C96A3F5" w14:textId="77777777" w:rsidR="006976BB" w:rsidRPr="00D618B7" w:rsidRDefault="006976BB" w:rsidP="004B11B7">
            <w:pPr>
              <w:jc w:val="right"/>
              <w:rPr>
                <w:color w:val="000000"/>
                <w:sz w:val="22"/>
                <w:szCs w:val="22"/>
              </w:rPr>
            </w:pPr>
            <w:r w:rsidRPr="00D618B7">
              <w:rPr>
                <w:color w:val="000000"/>
                <w:sz w:val="22"/>
                <w:szCs w:val="22"/>
              </w:rPr>
              <w:t>-2.64</w:t>
            </w:r>
          </w:p>
        </w:tc>
        <w:tc>
          <w:tcPr>
            <w:tcW w:w="620" w:type="pct"/>
            <w:tcBorders>
              <w:top w:val="nil"/>
              <w:left w:val="nil"/>
              <w:bottom w:val="nil"/>
              <w:right w:val="nil"/>
            </w:tcBorders>
            <w:shd w:val="clear" w:color="000000" w:fill="FFFFFF"/>
            <w:noWrap/>
            <w:vAlign w:val="center"/>
            <w:hideMark/>
          </w:tcPr>
          <w:p w14:paraId="1A1CD9AE" w14:textId="77777777" w:rsidR="006976BB" w:rsidRPr="00D618B7" w:rsidRDefault="006976BB" w:rsidP="004B11B7">
            <w:pPr>
              <w:jc w:val="right"/>
              <w:rPr>
                <w:color w:val="000000"/>
                <w:sz w:val="22"/>
                <w:szCs w:val="22"/>
              </w:rPr>
            </w:pPr>
            <w:r w:rsidRPr="00D618B7">
              <w:rPr>
                <w:color w:val="000000"/>
                <w:sz w:val="22"/>
                <w:szCs w:val="22"/>
              </w:rPr>
              <w:t>7.89</w:t>
            </w:r>
          </w:p>
        </w:tc>
        <w:tc>
          <w:tcPr>
            <w:tcW w:w="881" w:type="pct"/>
            <w:tcBorders>
              <w:top w:val="nil"/>
              <w:left w:val="nil"/>
              <w:bottom w:val="nil"/>
              <w:right w:val="nil"/>
            </w:tcBorders>
            <w:shd w:val="clear" w:color="000000" w:fill="FFFFFF"/>
            <w:noWrap/>
            <w:vAlign w:val="center"/>
            <w:hideMark/>
          </w:tcPr>
          <w:p w14:paraId="5FD79C5C" w14:textId="77777777" w:rsidR="006976BB" w:rsidRPr="00D618B7" w:rsidRDefault="006976BB" w:rsidP="004B11B7">
            <w:pPr>
              <w:jc w:val="right"/>
              <w:rPr>
                <w:color w:val="000000"/>
                <w:sz w:val="22"/>
                <w:szCs w:val="22"/>
              </w:rPr>
            </w:pPr>
            <w:r w:rsidRPr="00D618B7">
              <w:rPr>
                <w:color w:val="000000"/>
                <w:sz w:val="22"/>
                <w:szCs w:val="22"/>
              </w:rPr>
              <w:t>52.54</w:t>
            </w:r>
          </w:p>
        </w:tc>
        <w:tc>
          <w:tcPr>
            <w:tcW w:w="614" w:type="pct"/>
            <w:tcBorders>
              <w:top w:val="nil"/>
              <w:left w:val="nil"/>
              <w:bottom w:val="nil"/>
              <w:right w:val="nil"/>
            </w:tcBorders>
            <w:shd w:val="clear" w:color="000000" w:fill="FFFFFF"/>
            <w:noWrap/>
            <w:vAlign w:val="center"/>
            <w:hideMark/>
          </w:tcPr>
          <w:p w14:paraId="6D965F71" w14:textId="77777777" w:rsidR="006976BB" w:rsidRPr="00D618B7" w:rsidRDefault="006976BB" w:rsidP="004B11B7">
            <w:pPr>
              <w:jc w:val="right"/>
              <w:rPr>
                <w:color w:val="000000"/>
                <w:sz w:val="22"/>
                <w:szCs w:val="22"/>
              </w:rPr>
            </w:pPr>
            <w:r w:rsidRPr="00D618B7">
              <w:rPr>
                <w:color w:val="000000"/>
                <w:sz w:val="22"/>
                <w:szCs w:val="22"/>
              </w:rPr>
              <w:t>21.73</w:t>
            </w:r>
          </w:p>
        </w:tc>
        <w:tc>
          <w:tcPr>
            <w:tcW w:w="912" w:type="pct"/>
            <w:tcBorders>
              <w:top w:val="nil"/>
              <w:left w:val="nil"/>
              <w:bottom w:val="nil"/>
              <w:right w:val="nil"/>
            </w:tcBorders>
            <w:shd w:val="clear" w:color="000000" w:fill="FFFFFF"/>
            <w:noWrap/>
            <w:vAlign w:val="center"/>
            <w:hideMark/>
          </w:tcPr>
          <w:p w14:paraId="3CD87314" w14:textId="77777777" w:rsidR="006976BB" w:rsidRPr="00D618B7" w:rsidRDefault="006976BB" w:rsidP="004B11B7">
            <w:pPr>
              <w:jc w:val="right"/>
              <w:rPr>
                <w:color w:val="000000"/>
                <w:sz w:val="22"/>
                <w:szCs w:val="22"/>
              </w:rPr>
            </w:pPr>
            <w:r w:rsidRPr="00D618B7">
              <w:rPr>
                <w:color w:val="000000"/>
                <w:sz w:val="22"/>
                <w:szCs w:val="22"/>
              </w:rPr>
              <w:t>-136.65</w:t>
            </w:r>
          </w:p>
        </w:tc>
        <w:tc>
          <w:tcPr>
            <w:tcW w:w="635" w:type="pct"/>
            <w:tcBorders>
              <w:top w:val="nil"/>
              <w:left w:val="nil"/>
              <w:bottom w:val="nil"/>
              <w:right w:val="nil"/>
            </w:tcBorders>
            <w:shd w:val="clear" w:color="000000" w:fill="FFFFFF"/>
            <w:noWrap/>
            <w:vAlign w:val="center"/>
            <w:hideMark/>
          </w:tcPr>
          <w:p w14:paraId="56C39803" w14:textId="77777777" w:rsidR="006976BB" w:rsidRPr="00D618B7" w:rsidRDefault="006976BB" w:rsidP="004B11B7">
            <w:pPr>
              <w:jc w:val="right"/>
              <w:rPr>
                <w:color w:val="000000"/>
                <w:sz w:val="22"/>
                <w:szCs w:val="22"/>
              </w:rPr>
            </w:pPr>
            <w:r w:rsidRPr="00D618B7">
              <w:rPr>
                <w:color w:val="000000"/>
                <w:sz w:val="22"/>
                <w:szCs w:val="22"/>
              </w:rPr>
              <w:t>105.00</w:t>
            </w:r>
          </w:p>
        </w:tc>
      </w:tr>
      <w:tr w:rsidR="006976BB" w:rsidRPr="00D618B7" w14:paraId="7F4150CF" w14:textId="77777777" w:rsidTr="00990BE1">
        <w:trPr>
          <w:trHeight w:val="264"/>
        </w:trPr>
        <w:tc>
          <w:tcPr>
            <w:tcW w:w="755" w:type="pct"/>
            <w:tcBorders>
              <w:top w:val="nil"/>
              <w:left w:val="nil"/>
              <w:bottom w:val="nil"/>
              <w:right w:val="nil"/>
            </w:tcBorders>
            <w:shd w:val="clear" w:color="000000" w:fill="FFFFFF"/>
            <w:vAlign w:val="center"/>
            <w:hideMark/>
          </w:tcPr>
          <w:p w14:paraId="581184E1" w14:textId="77777777" w:rsidR="006976BB" w:rsidRPr="00D618B7" w:rsidRDefault="006976BB"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33239E3B" w14:textId="77777777" w:rsidR="006976BB" w:rsidRPr="00D618B7" w:rsidRDefault="006976BB" w:rsidP="004B11B7">
            <w:pPr>
              <w:jc w:val="right"/>
              <w:rPr>
                <w:color w:val="000000"/>
                <w:sz w:val="22"/>
                <w:szCs w:val="22"/>
              </w:rPr>
            </w:pPr>
            <w:r w:rsidRPr="00D618B7">
              <w:rPr>
                <w:color w:val="000000"/>
                <w:sz w:val="22"/>
                <w:szCs w:val="22"/>
              </w:rPr>
              <w:t>-11.62</w:t>
            </w:r>
          </w:p>
        </w:tc>
        <w:tc>
          <w:tcPr>
            <w:tcW w:w="620" w:type="pct"/>
            <w:tcBorders>
              <w:top w:val="nil"/>
              <w:left w:val="nil"/>
              <w:bottom w:val="nil"/>
              <w:right w:val="nil"/>
            </w:tcBorders>
            <w:shd w:val="clear" w:color="000000" w:fill="FFFFFF"/>
            <w:noWrap/>
            <w:vAlign w:val="center"/>
            <w:hideMark/>
          </w:tcPr>
          <w:p w14:paraId="787A05E3" w14:textId="77777777" w:rsidR="006976BB" w:rsidRPr="00D618B7" w:rsidRDefault="006976BB" w:rsidP="004B11B7">
            <w:pPr>
              <w:jc w:val="right"/>
              <w:rPr>
                <w:color w:val="000000"/>
                <w:sz w:val="22"/>
                <w:szCs w:val="22"/>
              </w:rPr>
            </w:pPr>
            <w:r w:rsidRPr="00D618B7">
              <w:rPr>
                <w:color w:val="000000"/>
                <w:sz w:val="22"/>
                <w:szCs w:val="22"/>
              </w:rPr>
              <w:t>2.67</w:t>
            </w:r>
          </w:p>
        </w:tc>
        <w:tc>
          <w:tcPr>
            <w:tcW w:w="881" w:type="pct"/>
            <w:tcBorders>
              <w:top w:val="nil"/>
              <w:left w:val="nil"/>
              <w:bottom w:val="nil"/>
              <w:right w:val="nil"/>
            </w:tcBorders>
            <w:shd w:val="clear" w:color="000000" w:fill="FFFFFF"/>
            <w:noWrap/>
            <w:vAlign w:val="center"/>
            <w:hideMark/>
          </w:tcPr>
          <w:p w14:paraId="7C40C81A" w14:textId="77777777" w:rsidR="006976BB" w:rsidRPr="00D618B7" w:rsidRDefault="006976BB" w:rsidP="004B11B7">
            <w:pPr>
              <w:jc w:val="right"/>
              <w:rPr>
                <w:color w:val="000000"/>
                <w:sz w:val="22"/>
                <w:szCs w:val="22"/>
              </w:rPr>
            </w:pPr>
            <w:r w:rsidRPr="00D618B7">
              <w:rPr>
                <w:color w:val="000000"/>
                <w:sz w:val="22"/>
                <w:szCs w:val="22"/>
              </w:rPr>
              <w:t>16.41</w:t>
            </w:r>
          </w:p>
        </w:tc>
        <w:tc>
          <w:tcPr>
            <w:tcW w:w="614" w:type="pct"/>
            <w:tcBorders>
              <w:top w:val="nil"/>
              <w:left w:val="nil"/>
              <w:bottom w:val="nil"/>
              <w:right w:val="nil"/>
            </w:tcBorders>
            <w:shd w:val="clear" w:color="000000" w:fill="FFFFFF"/>
            <w:noWrap/>
            <w:vAlign w:val="center"/>
            <w:hideMark/>
          </w:tcPr>
          <w:p w14:paraId="5C498A59" w14:textId="77777777" w:rsidR="006976BB" w:rsidRPr="00D618B7" w:rsidRDefault="006976BB" w:rsidP="004B11B7">
            <w:pPr>
              <w:jc w:val="right"/>
              <w:rPr>
                <w:color w:val="000000"/>
                <w:sz w:val="22"/>
                <w:szCs w:val="22"/>
              </w:rPr>
            </w:pPr>
            <w:r w:rsidRPr="00D618B7">
              <w:rPr>
                <w:color w:val="000000"/>
                <w:sz w:val="22"/>
                <w:szCs w:val="22"/>
              </w:rPr>
              <w:t>7.64</w:t>
            </w:r>
          </w:p>
        </w:tc>
        <w:tc>
          <w:tcPr>
            <w:tcW w:w="912" w:type="pct"/>
            <w:tcBorders>
              <w:top w:val="nil"/>
              <w:left w:val="nil"/>
              <w:bottom w:val="nil"/>
              <w:right w:val="nil"/>
            </w:tcBorders>
            <w:shd w:val="clear" w:color="000000" w:fill="FFFFFF"/>
            <w:noWrap/>
            <w:vAlign w:val="center"/>
            <w:hideMark/>
          </w:tcPr>
          <w:p w14:paraId="0C4D70BF" w14:textId="77777777" w:rsidR="006976BB" w:rsidRPr="00D618B7" w:rsidRDefault="006976BB" w:rsidP="004B11B7">
            <w:pPr>
              <w:jc w:val="right"/>
              <w:rPr>
                <w:color w:val="000000"/>
                <w:sz w:val="22"/>
                <w:szCs w:val="22"/>
              </w:rPr>
            </w:pPr>
            <w:r w:rsidRPr="00D618B7">
              <w:rPr>
                <w:color w:val="000000"/>
                <w:sz w:val="22"/>
                <w:szCs w:val="22"/>
              </w:rPr>
              <w:t>522.52</w:t>
            </w:r>
          </w:p>
        </w:tc>
        <w:tc>
          <w:tcPr>
            <w:tcW w:w="635" w:type="pct"/>
            <w:tcBorders>
              <w:top w:val="nil"/>
              <w:left w:val="nil"/>
              <w:bottom w:val="nil"/>
              <w:right w:val="nil"/>
            </w:tcBorders>
            <w:shd w:val="clear" w:color="000000" w:fill="FFFFFF"/>
            <w:noWrap/>
            <w:vAlign w:val="center"/>
            <w:hideMark/>
          </w:tcPr>
          <w:p w14:paraId="11EAFEE5" w14:textId="77777777" w:rsidR="006976BB" w:rsidRPr="00D618B7" w:rsidRDefault="006976BB" w:rsidP="004B11B7">
            <w:pPr>
              <w:jc w:val="right"/>
              <w:rPr>
                <w:color w:val="000000"/>
                <w:sz w:val="22"/>
                <w:szCs w:val="22"/>
              </w:rPr>
            </w:pPr>
            <w:r w:rsidRPr="00D618B7">
              <w:rPr>
                <w:color w:val="000000"/>
                <w:sz w:val="22"/>
                <w:szCs w:val="22"/>
              </w:rPr>
              <w:t>92.92</w:t>
            </w:r>
          </w:p>
        </w:tc>
      </w:tr>
      <w:tr w:rsidR="006976BB" w:rsidRPr="00D618B7" w14:paraId="089BED98" w14:textId="77777777" w:rsidTr="00990BE1">
        <w:trPr>
          <w:trHeight w:val="264"/>
        </w:trPr>
        <w:tc>
          <w:tcPr>
            <w:tcW w:w="755" w:type="pct"/>
            <w:tcBorders>
              <w:top w:val="nil"/>
              <w:left w:val="nil"/>
              <w:bottom w:val="nil"/>
              <w:right w:val="nil"/>
            </w:tcBorders>
            <w:shd w:val="clear" w:color="000000" w:fill="FFFFFF"/>
            <w:vAlign w:val="center"/>
            <w:hideMark/>
          </w:tcPr>
          <w:p w14:paraId="07C60931" w14:textId="77777777" w:rsidR="006976BB" w:rsidRPr="00D618B7" w:rsidRDefault="006976BB" w:rsidP="004B11B7">
            <w:pPr>
              <w:jc w:val="right"/>
              <w:rPr>
                <w:color w:val="000000"/>
                <w:sz w:val="22"/>
                <w:szCs w:val="22"/>
              </w:rPr>
            </w:pPr>
            <w:r w:rsidRPr="00D618B7">
              <w:rPr>
                <w:color w:val="000000"/>
                <w:sz w:val="22"/>
                <w:szCs w:val="22"/>
              </w:rPr>
              <w:t>0</w:t>
            </w:r>
          </w:p>
        </w:tc>
        <w:tc>
          <w:tcPr>
            <w:tcW w:w="583" w:type="pct"/>
            <w:tcBorders>
              <w:top w:val="nil"/>
              <w:left w:val="nil"/>
              <w:bottom w:val="nil"/>
              <w:right w:val="nil"/>
            </w:tcBorders>
            <w:shd w:val="clear" w:color="000000" w:fill="FFFFFF"/>
            <w:noWrap/>
            <w:vAlign w:val="center"/>
            <w:hideMark/>
          </w:tcPr>
          <w:p w14:paraId="535B572B" w14:textId="77777777" w:rsidR="006976BB" w:rsidRPr="00D618B7" w:rsidRDefault="006976BB" w:rsidP="004B11B7">
            <w:pPr>
              <w:jc w:val="right"/>
              <w:rPr>
                <w:color w:val="000000"/>
                <w:sz w:val="22"/>
                <w:szCs w:val="22"/>
              </w:rPr>
            </w:pPr>
            <w:r w:rsidRPr="00D618B7">
              <w:rPr>
                <w:color w:val="000000"/>
                <w:sz w:val="22"/>
                <w:szCs w:val="22"/>
              </w:rPr>
              <w:t>14.61</w:t>
            </w:r>
          </w:p>
        </w:tc>
        <w:tc>
          <w:tcPr>
            <w:tcW w:w="620" w:type="pct"/>
            <w:tcBorders>
              <w:top w:val="nil"/>
              <w:left w:val="nil"/>
              <w:bottom w:val="nil"/>
              <w:right w:val="nil"/>
            </w:tcBorders>
            <w:shd w:val="clear" w:color="000000" w:fill="FFFFFF"/>
            <w:noWrap/>
            <w:vAlign w:val="center"/>
            <w:hideMark/>
          </w:tcPr>
          <w:p w14:paraId="722BF990" w14:textId="77777777" w:rsidR="006976BB" w:rsidRPr="00D618B7" w:rsidRDefault="006976BB" w:rsidP="004B11B7">
            <w:pPr>
              <w:jc w:val="right"/>
              <w:rPr>
                <w:color w:val="000000"/>
                <w:sz w:val="22"/>
                <w:szCs w:val="22"/>
              </w:rPr>
            </w:pPr>
            <w:r w:rsidRPr="00D618B7">
              <w:rPr>
                <w:color w:val="000000"/>
                <w:sz w:val="22"/>
                <w:szCs w:val="22"/>
              </w:rPr>
              <w:t>5.09</w:t>
            </w:r>
          </w:p>
        </w:tc>
        <w:tc>
          <w:tcPr>
            <w:tcW w:w="881" w:type="pct"/>
            <w:tcBorders>
              <w:top w:val="nil"/>
              <w:left w:val="nil"/>
              <w:bottom w:val="nil"/>
              <w:right w:val="nil"/>
            </w:tcBorders>
            <w:shd w:val="clear" w:color="000000" w:fill="FFFFFF"/>
            <w:noWrap/>
            <w:vAlign w:val="center"/>
            <w:hideMark/>
          </w:tcPr>
          <w:p w14:paraId="1C120D90" w14:textId="77777777" w:rsidR="006976BB" w:rsidRPr="00D618B7" w:rsidRDefault="006976BB" w:rsidP="004B11B7">
            <w:pPr>
              <w:jc w:val="right"/>
              <w:rPr>
                <w:color w:val="000000"/>
                <w:sz w:val="22"/>
                <w:szCs w:val="22"/>
              </w:rPr>
            </w:pPr>
            <w:r w:rsidRPr="00D618B7">
              <w:rPr>
                <w:color w:val="000000"/>
                <w:sz w:val="22"/>
                <w:szCs w:val="22"/>
              </w:rPr>
              <w:t>-25.65</w:t>
            </w:r>
          </w:p>
        </w:tc>
        <w:tc>
          <w:tcPr>
            <w:tcW w:w="614" w:type="pct"/>
            <w:tcBorders>
              <w:top w:val="nil"/>
              <w:left w:val="nil"/>
              <w:bottom w:val="nil"/>
              <w:right w:val="nil"/>
            </w:tcBorders>
            <w:shd w:val="clear" w:color="000000" w:fill="FFFFFF"/>
            <w:noWrap/>
            <w:vAlign w:val="center"/>
            <w:hideMark/>
          </w:tcPr>
          <w:p w14:paraId="7B9F17B7" w14:textId="77777777" w:rsidR="006976BB" w:rsidRPr="00D618B7" w:rsidRDefault="006976BB" w:rsidP="004B11B7">
            <w:pPr>
              <w:jc w:val="right"/>
              <w:rPr>
                <w:color w:val="000000"/>
                <w:sz w:val="22"/>
                <w:szCs w:val="22"/>
              </w:rPr>
            </w:pPr>
            <w:r w:rsidRPr="00D618B7">
              <w:rPr>
                <w:color w:val="000000"/>
                <w:sz w:val="22"/>
                <w:szCs w:val="22"/>
              </w:rPr>
              <w:t>24.60</w:t>
            </w:r>
          </w:p>
        </w:tc>
        <w:tc>
          <w:tcPr>
            <w:tcW w:w="912" w:type="pct"/>
            <w:tcBorders>
              <w:top w:val="nil"/>
              <w:left w:val="nil"/>
              <w:bottom w:val="nil"/>
              <w:right w:val="nil"/>
            </w:tcBorders>
            <w:shd w:val="clear" w:color="000000" w:fill="FFFFFF"/>
            <w:noWrap/>
            <w:vAlign w:val="center"/>
            <w:hideMark/>
          </w:tcPr>
          <w:p w14:paraId="215DAF7C" w14:textId="77777777" w:rsidR="006976BB" w:rsidRPr="00D618B7" w:rsidRDefault="006976BB" w:rsidP="004B11B7">
            <w:pPr>
              <w:jc w:val="right"/>
              <w:rPr>
                <w:color w:val="000000"/>
                <w:sz w:val="22"/>
                <w:szCs w:val="22"/>
              </w:rPr>
            </w:pPr>
            <w:r w:rsidRPr="00D618B7">
              <w:rPr>
                <w:color w:val="000000"/>
                <w:sz w:val="22"/>
                <w:szCs w:val="22"/>
              </w:rPr>
              <w:t>67.37</w:t>
            </w:r>
          </w:p>
        </w:tc>
        <w:tc>
          <w:tcPr>
            <w:tcW w:w="635" w:type="pct"/>
            <w:tcBorders>
              <w:top w:val="nil"/>
              <w:left w:val="nil"/>
              <w:bottom w:val="nil"/>
              <w:right w:val="nil"/>
            </w:tcBorders>
            <w:shd w:val="clear" w:color="000000" w:fill="FFFFFF"/>
            <w:noWrap/>
            <w:vAlign w:val="center"/>
            <w:hideMark/>
          </w:tcPr>
          <w:p w14:paraId="2221E005" w14:textId="77777777" w:rsidR="006976BB" w:rsidRPr="00D618B7" w:rsidRDefault="006976BB" w:rsidP="004B11B7">
            <w:pPr>
              <w:jc w:val="right"/>
              <w:rPr>
                <w:color w:val="000000"/>
                <w:sz w:val="22"/>
                <w:szCs w:val="22"/>
              </w:rPr>
            </w:pPr>
            <w:r w:rsidRPr="00D618B7">
              <w:rPr>
                <w:color w:val="000000"/>
                <w:sz w:val="22"/>
                <w:szCs w:val="22"/>
              </w:rPr>
              <w:t>84.26</w:t>
            </w:r>
          </w:p>
        </w:tc>
      </w:tr>
      <w:tr w:rsidR="006976BB" w:rsidRPr="00D618B7" w14:paraId="4DB12934" w14:textId="77777777" w:rsidTr="00990BE1">
        <w:trPr>
          <w:trHeight w:val="264"/>
        </w:trPr>
        <w:tc>
          <w:tcPr>
            <w:tcW w:w="755" w:type="pct"/>
            <w:tcBorders>
              <w:top w:val="nil"/>
              <w:left w:val="nil"/>
              <w:bottom w:val="nil"/>
              <w:right w:val="nil"/>
            </w:tcBorders>
            <w:shd w:val="clear" w:color="000000" w:fill="FFFFFF"/>
            <w:vAlign w:val="center"/>
            <w:hideMark/>
          </w:tcPr>
          <w:p w14:paraId="60F6A886" w14:textId="77777777" w:rsidR="006976BB" w:rsidRPr="00D618B7" w:rsidRDefault="006976BB"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71AC0161" w14:textId="77777777" w:rsidR="006976BB" w:rsidRPr="00D618B7" w:rsidRDefault="006976BB" w:rsidP="004B11B7">
            <w:pPr>
              <w:jc w:val="right"/>
              <w:rPr>
                <w:color w:val="000000"/>
                <w:sz w:val="22"/>
                <w:szCs w:val="22"/>
              </w:rPr>
            </w:pPr>
            <w:r w:rsidRPr="00D618B7">
              <w:rPr>
                <w:color w:val="000000"/>
                <w:sz w:val="22"/>
                <w:szCs w:val="22"/>
              </w:rPr>
              <w:t>-4.32</w:t>
            </w:r>
          </w:p>
        </w:tc>
        <w:tc>
          <w:tcPr>
            <w:tcW w:w="620" w:type="pct"/>
            <w:tcBorders>
              <w:top w:val="nil"/>
              <w:left w:val="nil"/>
              <w:bottom w:val="nil"/>
              <w:right w:val="nil"/>
            </w:tcBorders>
            <w:shd w:val="clear" w:color="000000" w:fill="FFFFFF"/>
            <w:noWrap/>
            <w:vAlign w:val="center"/>
            <w:hideMark/>
          </w:tcPr>
          <w:p w14:paraId="6EBDEB3C" w14:textId="77777777" w:rsidR="006976BB" w:rsidRPr="00D618B7" w:rsidRDefault="006976BB" w:rsidP="004B11B7">
            <w:pPr>
              <w:jc w:val="right"/>
              <w:rPr>
                <w:color w:val="000000"/>
                <w:sz w:val="22"/>
                <w:szCs w:val="22"/>
              </w:rPr>
            </w:pPr>
            <w:r w:rsidRPr="00D618B7">
              <w:rPr>
                <w:color w:val="000000"/>
                <w:sz w:val="22"/>
                <w:szCs w:val="22"/>
              </w:rPr>
              <w:t>6.36</w:t>
            </w:r>
          </w:p>
        </w:tc>
        <w:tc>
          <w:tcPr>
            <w:tcW w:w="881" w:type="pct"/>
            <w:tcBorders>
              <w:top w:val="nil"/>
              <w:left w:val="nil"/>
              <w:bottom w:val="nil"/>
              <w:right w:val="nil"/>
            </w:tcBorders>
            <w:shd w:val="clear" w:color="000000" w:fill="FFFFFF"/>
            <w:noWrap/>
            <w:vAlign w:val="center"/>
            <w:hideMark/>
          </w:tcPr>
          <w:p w14:paraId="06F64686" w14:textId="77777777" w:rsidR="006976BB" w:rsidRPr="00D618B7" w:rsidRDefault="006976BB" w:rsidP="004B11B7">
            <w:pPr>
              <w:jc w:val="right"/>
              <w:rPr>
                <w:color w:val="000000"/>
                <w:sz w:val="22"/>
                <w:szCs w:val="22"/>
              </w:rPr>
            </w:pPr>
            <w:r w:rsidRPr="00D618B7">
              <w:rPr>
                <w:color w:val="000000"/>
                <w:sz w:val="22"/>
                <w:szCs w:val="22"/>
              </w:rPr>
              <w:t>24.62</w:t>
            </w:r>
          </w:p>
        </w:tc>
        <w:tc>
          <w:tcPr>
            <w:tcW w:w="614" w:type="pct"/>
            <w:tcBorders>
              <w:top w:val="nil"/>
              <w:left w:val="nil"/>
              <w:bottom w:val="nil"/>
              <w:right w:val="nil"/>
            </w:tcBorders>
            <w:shd w:val="clear" w:color="000000" w:fill="FFFFFF"/>
            <w:noWrap/>
            <w:vAlign w:val="center"/>
            <w:hideMark/>
          </w:tcPr>
          <w:p w14:paraId="30FC418C" w14:textId="77777777" w:rsidR="006976BB" w:rsidRPr="00D618B7" w:rsidRDefault="006976BB" w:rsidP="004B11B7">
            <w:pPr>
              <w:jc w:val="right"/>
              <w:rPr>
                <w:color w:val="000000"/>
                <w:sz w:val="22"/>
                <w:szCs w:val="22"/>
              </w:rPr>
            </w:pPr>
            <w:r w:rsidRPr="00D618B7">
              <w:rPr>
                <w:color w:val="000000"/>
                <w:sz w:val="22"/>
                <w:szCs w:val="22"/>
              </w:rPr>
              <w:t>25.48</w:t>
            </w:r>
          </w:p>
        </w:tc>
        <w:tc>
          <w:tcPr>
            <w:tcW w:w="912" w:type="pct"/>
            <w:tcBorders>
              <w:top w:val="nil"/>
              <w:left w:val="nil"/>
              <w:bottom w:val="nil"/>
              <w:right w:val="nil"/>
            </w:tcBorders>
            <w:shd w:val="clear" w:color="000000" w:fill="FFFFFF"/>
            <w:noWrap/>
            <w:vAlign w:val="center"/>
            <w:hideMark/>
          </w:tcPr>
          <w:p w14:paraId="586B5A8B" w14:textId="77777777" w:rsidR="006976BB" w:rsidRPr="00D618B7" w:rsidRDefault="006976BB" w:rsidP="004B11B7">
            <w:pPr>
              <w:jc w:val="right"/>
              <w:rPr>
                <w:color w:val="000000"/>
                <w:sz w:val="22"/>
                <w:szCs w:val="22"/>
              </w:rPr>
            </w:pPr>
            <w:r w:rsidRPr="00D618B7">
              <w:rPr>
                <w:color w:val="000000"/>
                <w:sz w:val="22"/>
                <w:szCs w:val="22"/>
              </w:rPr>
              <w:t>92.25</w:t>
            </w:r>
          </w:p>
        </w:tc>
        <w:tc>
          <w:tcPr>
            <w:tcW w:w="635" w:type="pct"/>
            <w:tcBorders>
              <w:top w:val="nil"/>
              <w:left w:val="nil"/>
              <w:bottom w:val="nil"/>
              <w:right w:val="nil"/>
            </w:tcBorders>
            <w:shd w:val="clear" w:color="000000" w:fill="FFFFFF"/>
            <w:noWrap/>
            <w:vAlign w:val="center"/>
            <w:hideMark/>
          </w:tcPr>
          <w:p w14:paraId="297D79AA" w14:textId="77777777" w:rsidR="006976BB" w:rsidRPr="00D618B7" w:rsidRDefault="006976BB" w:rsidP="004B11B7">
            <w:pPr>
              <w:jc w:val="right"/>
              <w:rPr>
                <w:color w:val="000000"/>
                <w:sz w:val="22"/>
                <w:szCs w:val="22"/>
              </w:rPr>
            </w:pPr>
            <w:r w:rsidRPr="00D618B7">
              <w:rPr>
                <w:color w:val="000000"/>
                <w:sz w:val="22"/>
                <w:szCs w:val="22"/>
              </w:rPr>
              <w:t>173.44</w:t>
            </w:r>
          </w:p>
        </w:tc>
      </w:tr>
      <w:tr w:rsidR="006976BB" w:rsidRPr="00D618B7" w14:paraId="43EF676F" w14:textId="77777777" w:rsidTr="00990BE1">
        <w:trPr>
          <w:trHeight w:val="264"/>
        </w:trPr>
        <w:tc>
          <w:tcPr>
            <w:tcW w:w="755" w:type="pct"/>
            <w:tcBorders>
              <w:top w:val="nil"/>
              <w:left w:val="nil"/>
              <w:bottom w:val="nil"/>
              <w:right w:val="nil"/>
            </w:tcBorders>
            <w:shd w:val="clear" w:color="000000" w:fill="FFFFFF"/>
            <w:vAlign w:val="center"/>
            <w:hideMark/>
          </w:tcPr>
          <w:p w14:paraId="20867D72" w14:textId="77777777" w:rsidR="006976BB" w:rsidRPr="00D618B7" w:rsidRDefault="006976BB"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628731D0" w14:textId="77777777" w:rsidR="006976BB" w:rsidRPr="00D618B7" w:rsidRDefault="006976BB" w:rsidP="004B11B7">
            <w:pPr>
              <w:jc w:val="right"/>
              <w:rPr>
                <w:color w:val="000000"/>
                <w:sz w:val="22"/>
                <w:szCs w:val="22"/>
              </w:rPr>
            </w:pPr>
            <w:r w:rsidRPr="00D618B7">
              <w:rPr>
                <w:color w:val="000000"/>
                <w:sz w:val="22"/>
                <w:szCs w:val="22"/>
              </w:rPr>
              <w:t>-22.47</w:t>
            </w:r>
          </w:p>
        </w:tc>
        <w:tc>
          <w:tcPr>
            <w:tcW w:w="620" w:type="pct"/>
            <w:tcBorders>
              <w:top w:val="nil"/>
              <w:left w:val="nil"/>
              <w:bottom w:val="nil"/>
              <w:right w:val="nil"/>
            </w:tcBorders>
            <w:shd w:val="clear" w:color="000000" w:fill="FFFFFF"/>
            <w:noWrap/>
            <w:vAlign w:val="center"/>
            <w:hideMark/>
          </w:tcPr>
          <w:p w14:paraId="778EE9A0" w14:textId="77777777" w:rsidR="006976BB" w:rsidRPr="00D618B7" w:rsidRDefault="006976BB" w:rsidP="004B11B7">
            <w:pPr>
              <w:jc w:val="right"/>
              <w:rPr>
                <w:color w:val="000000"/>
                <w:sz w:val="22"/>
                <w:szCs w:val="22"/>
              </w:rPr>
            </w:pPr>
            <w:r w:rsidRPr="00D618B7">
              <w:rPr>
                <w:color w:val="000000"/>
                <w:sz w:val="22"/>
                <w:szCs w:val="22"/>
              </w:rPr>
              <w:t>12.66</w:t>
            </w:r>
          </w:p>
        </w:tc>
        <w:tc>
          <w:tcPr>
            <w:tcW w:w="881" w:type="pct"/>
            <w:tcBorders>
              <w:top w:val="nil"/>
              <w:left w:val="nil"/>
              <w:bottom w:val="nil"/>
              <w:right w:val="nil"/>
            </w:tcBorders>
            <w:shd w:val="clear" w:color="000000" w:fill="FFFFFF"/>
            <w:noWrap/>
            <w:vAlign w:val="center"/>
            <w:hideMark/>
          </w:tcPr>
          <w:p w14:paraId="40A5A300" w14:textId="77777777" w:rsidR="006976BB" w:rsidRPr="00D618B7" w:rsidRDefault="006976BB" w:rsidP="004B11B7">
            <w:pPr>
              <w:jc w:val="right"/>
              <w:rPr>
                <w:color w:val="000000"/>
                <w:sz w:val="22"/>
                <w:szCs w:val="22"/>
              </w:rPr>
            </w:pPr>
            <w:r w:rsidRPr="00D618B7">
              <w:rPr>
                <w:color w:val="000000"/>
                <w:sz w:val="22"/>
                <w:szCs w:val="22"/>
              </w:rPr>
              <w:t>28.83</w:t>
            </w:r>
          </w:p>
        </w:tc>
        <w:tc>
          <w:tcPr>
            <w:tcW w:w="614" w:type="pct"/>
            <w:tcBorders>
              <w:top w:val="nil"/>
              <w:left w:val="nil"/>
              <w:bottom w:val="nil"/>
              <w:right w:val="nil"/>
            </w:tcBorders>
            <w:shd w:val="clear" w:color="000000" w:fill="FFFFFF"/>
            <w:noWrap/>
            <w:vAlign w:val="center"/>
            <w:hideMark/>
          </w:tcPr>
          <w:p w14:paraId="2D6B04DA" w14:textId="77777777" w:rsidR="006976BB" w:rsidRPr="00D618B7" w:rsidRDefault="006976BB" w:rsidP="004B11B7">
            <w:pPr>
              <w:jc w:val="right"/>
              <w:rPr>
                <w:color w:val="000000"/>
                <w:sz w:val="22"/>
                <w:szCs w:val="22"/>
              </w:rPr>
            </w:pPr>
            <w:r w:rsidRPr="00D618B7">
              <w:rPr>
                <w:color w:val="000000"/>
                <w:sz w:val="22"/>
                <w:szCs w:val="22"/>
              </w:rPr>
              <w:t>6.31</w:t>
            </w:r>
          </w:p>
        </w:tc>
        <w:tc>
          <w:tcPr>
            <w:tcW w:w="912" w:type="pct"/>
            <w:tcBorders>
              <w:top w:val="nil"/>
              <w:left w:val="nil"/>
              <w:bottom w:val="nil"/>
              <w:right w:val="nil"/>
            </w:tcBorders>
            <w:shd w:val="clear" w:color="000000" w:fill="FFFFFF"/>
            <w:noWrap/>
            <w:vAlign w:val="center"/>
            <w:hideMark/>
          </w:tcPr>
          <w:p w14:paraId="7DA5EE77" w14:textId="77777777" w:rsidR="006976BB" w:rsidRPr="00D618B7" w:rsidRDefault="006976BB" w:rsidP="004B11B7">
            <w:pPr>
              <w:jc w:val="right"/>
              <w:rPr>
                <w:color w:val="000000"/>
                <w:sz w:val="22"/>
                <w:szCs w:val="22"/>
              </w:rPr>
            </w:pPr>
            <w:r w:rsidRPr="00D618B7">
              <w:rPr>
                <w:color w:val="000000"/>
                <w:sz w:val="22"/>
                <w:szCs w:val="22"/>
              </w:rPr>
              <w:t>170.64</w:t>
            </w:r>
          </w:p>
        </w:tc>
        <w:tc>
          <w:tcPr>
            <w:tcW w:w="635" w:type="pct"/>
            <w:tcBorders>
              <w:top w:val="nil"/>
              <w:left w:val="nil"/>
              <w:bottom w:val="nil"/>
              <w:right w:val="nil"/>
            </w:tcBorders>
            <w:shd w:val="clear" w:color="000000" w:fill="FFFFFF"/>
            <w:noWrap/>
            <w:vAlign w:val="center"/>
            <w:hideMark/>
          </w:tcPr>
          <w:p w14:paraId="61BA522D" w14:textId="77777777" w:rsidR="006976BB" w:rsidRPr="00D618B7" w:rsidRDefault="006976BB" w:rsidP="004B11B7">
            <w:pPr>
              <w:jc w:val="right"/>
              <w:rPr>
                <w:color w:val="000000"/>
                <w:sz w:val="22"/>
                <w:szCs w:val="22"/>
              </w:rPr>
            </w:pPr>
            <w:r w:rsidRPr="00D618B7">
              <w:rPr>
                <w:color w:val="000000"/>
                <w:sz w:val="22"/>
                <w:szCs w:val="22"/>
              </w:rPr>
              <w:t>97.78</w:t>
            </w:r>
          </w:p>
        </w:tc>
      </w:tr>
      <w:tr w:rsidR="006976BB" w:rsidRPr="00D618B7" w14:paraId="3E86DA76" w14:textId="77777777" w:rsidTr="00990BE1">
        <w:trPr>
          <w:trHeight w:val="264"/>
        </w:trPr>
        <w:tc>
          <w:tcPr>
            <w:tcW w:w="755" w:type="pct"/>
            <w:tcBorders>
              <w:top w:val="nil"/>
              <w:left w:val="nil"/>
              <w:bottom w:val="nil"/>
              <w:right w:val="nil"/>
            </w:tcBorders>
            <w:shd w:val="clear" w:color="000000" w:fill="FFFFFF"/>
            <w:vAlign w:val="center"/>
            <w:hideMark/>
          </w:tcPr>
          <w:p w14:paraId="525FD40E" w14:textId="77777777" w:rsidR="006976BB" w:rsidRPr="00D618B7" w:rsidRDefault="006976BB"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415708E8" w14:textId="77777777" w:rsidR="006976BB" w:rsidRPr="00D618B7" w:rsidRDefault="006976BB" w:rsidP="004B11B7">
            <w:pPr>
              <w:jc w:val="right"/>
              <w:rPr>
                <w:color w:val="000000"/>
                <w:sz w:val="22"/>
                <w:szCs w:val="22"/>
              </w:rPr>
            </w:pPr>
            <w:r w:rsidRPr="00D618B7">
              <w:rPr>
                <w:color w:val="000000"/>
                <w:sz w:val="22"/>
                <w:szCs w:val="22"/>
              </w:rPr>
              <w:t>26.75</w:t>
            </w:r>
          </w:p>
        </w:tc>
        <w:tc>
          <w:tcPr>
            <w:tcW w:w="620" w:type="pct"/>
            <w:tcBorders>
              <w:top w:val="nil"/>
              <w:left w:val="nil"/>
              <w:bottom w:val="nil"/>
              <w:right w:val="nil"/>
            </w:tcBorders>
            <w:shd w:val="clear" w:color="000000" w:fill="FFFFFF"/>
            <w:noWrap/>
            <w:vAlign w:val="center"/>
            <w:hideMark/>
          </w:tcPr>
          <w:p w14:paraId="42FD94BB" w14:textId="77777777" w:rsidR="006976BB" w:rsidRPr="00D618B7" w:rsidRDefault="006976BB" w:rsidP="004B11B7">
            <w:pPr>
              <w:jc w:val="right"/>
              <w:rPr>
                <w:color w:val="000000"/>
                <w:sz w:val="22"/>
                <w:szCs w:val="22"/>
              </w:rPr>
            </w:pPr>
            <w:r w:rsidRPr="00D618B7">
              <w:rPr>
                <w:color w:val="000000"/>
                <w:sz w:val="22"/>
                <w:szCs w:val="22"/>
              </w:rPr>
              <w:t>3.48</w:t>
            </w:r>
          </w:p>
        </w:tc>
        <w:tc>
          <w:tcPr>
            <w:tcW w:w="881" w:type="pct"/>
            <w:tcBorders>
              <w:top w:val="nil"/>
              <w:left w:val="nil"/>
              <w:bottom w:val="nil"/>
              <w:right w:val="nil"/>
            </w:tcBorders>
            <w:shd w:val="clear" w:color="000000" w:fill="FFFFFF"/>
            <w:noWrap/>
            <w:vAlign w:val="center"/>
            <w:hideMark/>
          </w:tcPr>
          <w:p w14:paraId="153FABB8" w14:textId="77777777" w:rsidR="006976BB" w:rsidRPr="00D618B7" w:rsidRDefault="006976BB" w:rsidP="004B11B7">
            <w:pPr>
              <w:jc w:val="right"/>
              <w:rPr>
                <w:color w:val="000000"/>
                <w:sz w:val="22"/>
                <w:szCs w:val="22"/>
              </w:rPr>
            </w:pPr>
            <w:r w:rsidRPr="00D618B7">
              <w:rPr>
                <w:color w:val="000000"/>
                <w:sz w:val="22"/>
                <w:szCs w:val="22"/>
              </w:rPr>
              <w:t>-48.87</w:t>
            </w:r>
          </w:p>
        </w:tc>
        <w:tc>
          <w:tcPr>
            <w:tcW w:w="614" w:type="pct"/>
            <w:tcBorders>
              <w:top w:val="nil"/>
              <w:left w:val="nil"/>
              <w:bottom w:val="nil"/>
              <w:right w:val="nil"/>
            </w:tcBorders>
            <w:shd w:val="clear" w:color="000000" w:fill="FFFFFF"/>
            <w:noWrap/>
            <w:vAlign w:val="center"/>
            <w:hideMark/>
          </w:tcPr>
          <w:p w14:paraId="46AB66E5" w14:textId="77777777" w:rsidR="006976BB" w:rsidRPr="00D618B7" w:rsidRDefault="006976BB" w:rsidP="004B11B7">
            <w:pPr>
              <w:jc w:val="right"/>
              <w:rPr>
                <w:color w:val="000000"/>
                <w:sz w:val="22"/>
                <w:szCs w:val="22"/>
              </w:rPr>
            </w:pPr>
            <w:r w:rsidRPr="00D618B7">
              <w:rPr>
                <w:color w:val="000000"/>
                <w:sz w:val="22"/>
                <w:szCs w:val="22"/>
              </w:rPr>
              <w:t>15.64</w:t>
            </w:r>
          </w:p>
        </w:tc>
        <w:tc>
          <w:tcPr>
            <w:tcW w:w="912" w:type="pct"/>
            <w:tcBorders>
              <w:top w:val="nil"/>
              <w:left w:val="nil"/>
              <w:bottom w:val="nil"/>
              <w:right w:val="nil"/>
            </w:tcBorders>
            <w:shd w:val="clear" w:color="000000" w:fill="FFFFFF"/>
            <w:noWrap/>
            <w:vAlign w:val="center"/>
            <w:hideMark/>
          </w:tcPr>
          <w:p w14:paraId="389729BF" w14:textId="77777777" w:rsidR="006976BB" w:rsidRPr="00D618B7" w:rsidRDefault="006976BB" w:rsidP="004B11B7">
            <w:pPr>
              <w:jc w:val="right"/>
              <w:rPr>
                <w:color w:val="000000"/>
                <w:sz w:val="22"/>
                <w:szCs w:val="22"/>
              </w:rPr>
            </w:pPr>
            <w:r w:rsidRPr="00D618B7">
              <w:rPr>
                <w:color w:val="000000"/>
                <w:sz w:val="22"/>
                <w:szCs w:val="22"/>
              </w:rPr>
              <w:t>70.74</w:t>
            </w:r>
          </w:p>
        </w:tc>
        <w:tc>
          <w:tcPr>
            <w:tcW w:w="635" w:type="pct"/>
            <w:tcBorders>
              <w:top w:val="nil"/>
              <w:left w:val="nil"/>
              <w:bottom w:val="nil"/>
              <w:right w:val="nil"/>
            </w:tcBorders>
            <w:shd w:val="clear" w:color="000000" w:fill="FFFFFF"/>
            <w:noWrap/>
            <w:vAlign w:val="center"/>
            <w:hideMark/>
          </w:tcPr>
          <w:p w14:paraId="1A2953F7" w14:textId="77777777" w:rsidR="006976BB" w:rsidRPr="00D618B7" w:rsidRDefault="006976BB" w:rsidP="004B11B7">
            <w:pPr>
              <w:jc w:val="right"/>
              <w:rPr>
                <w:color w:val="000000"/>
                <w:sz w:val="22"/>
                <w:szCs w:val="22"/>
              </w:rPr>
            </w:pPr>
            <w:r w:rsidRPr="00D618B7">
              <w:rPr>
                <w:color w:val="000000"/>
                <w:sz w:val="22"/>
                <w:szCs w:val="22"/>
              </w:rPr>
              <w:t>192.51</w:t>
            </w:r>
          </w:p>
        </w:tc>
      </w:tr>
      <w:tr w:rsidR="006976BB" w:rsidRPr="00D618B7" w14:paraId="75A15A03" w14:textId="77777777" w:rsidTr="00990BE1">
        <w:trPr>
          <w:trHeight w:val="264"/>
        </w:trPr>
        <w:tc>
          <w:tcPr>
            <w:tcW w:w="755" w:type="pct"/>
            <w:tcBorders>
              <w:top w:val="nil"/>
              <w:left w:val="nil"/>
              <w:right w:val="nil"/>
            </w:tcBorders>
            <w:shd w:val="clear" w:color="000000" w:fill="FFFFFF"/>
            <w:vAlign w:val="center"/>
            <w:hideMark/>
          </w:tcPr>
          <w:p w14:paraId="5677AF64" w14:textId="77777777" w:rsidR="006976BB" w:rsidRPr="00D618B7" w:rsidRDefault="006976BB" w:rsidP="004B11B7">
            <w:pPr>
              <w:jc w:val="right"/>
              <w:rPr>
                <w:color w:val="000000"/>
                <w:sz w:val="22"/>
                <w:szCs w:val="22"/>
              </w:rPr>
            </w:pPr>
            <w:r w:rsidRPr="00D618B7">
              <w:rPr>
                <w:color w:val="000000"/>
                <w:sz w:val="22"/>
                <w:szCs w:val="22"/>
              </w:rPr>
              <w:t>4</w:t>
            </w:r>
          </w:p>
        </w:tc>
        <w:tc>
          <w:tcPr>
            <w:tcW w:w="583" w:type="pct"/>
            <w:tcBorders>
              <w:top w:val="nil"/>
              <w:left w:val="nil"/>
              <w:right w:val="nil"/>
            </w:tcBorders>
            <w:shd w:val="clear" w:color="000000" w:fill="FFFFFF"/>
            <w:noWrap/>
            <w:vAlign w:val="center"/>
            <w:hideMark/>
          </w:tcPr>
          <w:p w14:paraId="489076F4" w14:textId="77777777" w:rsidR="006976BB" w:rsidRPr="00D618B7" w:rsidRDefault="006976BB" w:rsidP="004B11B7">
            <w:pPr>
              <w:jc w:val="right"/>
              <w:rPr>
                <w:color w:val="000000"/>
                <w:sz w:val="22"/>
                <w:szCs w:val="22"/>
              </w:rPr>
            </w:pPr>
            <w:r w:rsidRPr="00D618B7">
              <w:rPr>
                <w:color w:val="000000"/>
                <w:sz w:val="22"/>
                <w:szCs w:val="22"/>
              </w:rPr>
              <w:t>-37.81</w:t>
            </w:r>
          </w:p>
        </w:tc>
        <w:tc>
          <w:tcPr>
            <w:tcW w:w="620" w:type="pct"/>
            <w:tcBorders>
              <w:top w:val="nil"/>
              <w:left w:val="nil"/>
              <w:right w:val="nil"/>
            </w:tcBorders>
            <w:shd w:val="clear" w:color="000000" w:fill="FFFFFF"/>
            <w:noWrap/>
            <w:vAlign w:val="center"/>
            <w:hideMark/>
          </w:tcPr>
          <w:p w14:paraId="6930507F" w14:textId="77777777" w:rsidR="006976BB" w:rsidRPr="00D618B7" w:rsidRDefault="006976BB" w:rsidP="004B11B7">
            <w:pPr>
              <w:jc w:val="right"/>
              <w:rPr>
                <w:color w:val="000000"/>
                <w:sz w:val="22"/>
                <w:szCs w:val="22"/>
              </w:rPr>
            </w:pPr>
            <w:r w:rsidRPr="00D618B7">
              <w:rPr>
                <w:color w:val="000000"/>
                <w:sz w:val="22"/>
                <w:szCs w:val="22"/>
              </w:rPr>
              <w:t>5.86</w:t>
            </w:r>
          </w:p>
        </w:tc>
        <w:tc>
          <w:tcPr>
            <w:tcW w:w="881" w:type="pct"/>
            <w:tcBorders>
              <w:top w:val="nil"/>
              <w:left w:val="nil"/>
              <w:right w:val="nil"/>
            </w:tcBorders>
            <w:shd w:val="clear" w:color="000000" w:fill="FFFFFF"/>
            <w:noWrap/>
            <w:vAlign w:val="center"/>
            <w:hideMark/>
          </w:tcPr>
          <w:p w14:paraId="7D8CFA84" w14:textId="77777777" w:rsidR="006976BB" w:rsidRPr="00D618B7" w:rsidRDefault="006976BB" w:rsidP="004B11B7">
            <w:pPr>
              <w:jc w:val="right"/>
              <w:rPr>
                <w:color w:val="000000"/>
                <w:sz w:val="22"/>
                <w:szCs w:val="22"/>
              </w:rPr>
            </w:pPr>
            <w:r w:rsidRPr="00D618B7">
              <w:rPr>
                <w:color w:val="000000"/>
                <w:sz w:val="22"/>
                <w:szCs w:val="22"/>
              </w:rPr>
              <w:t>71.94</w:t>
            </w:r>
          </w:p>
        </w:tc>
        <w:tc>
          <w:tcPr>
            <w:tcW w:w="614" w:type="pct"/>
            <w:tcBorders>
              <w:top w:val="nil"/>
              <w:left w:val="nil"/>
              <w:right w:val="nil"/>
            </w:tcBorders>
            <w:shd w:val="clear" w:color="000000" w:fill="FFFFFF"/>
            <w:noWrap/>
            <w:vAlign w:val="center"/>
            <w:hideMark/>
          </w:tcPr>
          <w:p w14:paraId="247386C0" w14:textId="77777777" w:rsidR="006976BB" w:rsidRPr="00D618B7" w:rsidRDefault="006976BB" w:rsidP="004B11B7">
            <w:pPr>
              <w:jc w:val="right"/>
              <w:rPr>
                <w:color w:val="000000"/>
                <w:sz w:val="22"/>
                <w:szCs w:val="22"/>
              </w:rPr>
            </w:pPr>
            <w:r w:rsidRPr="00D618B7">
              <w:rPr>
                <w:color w:val="000000"/>
                <w:sz w:val="22"/>
                <w:szCs w:val="22"/>
              </w:rPr>
              <w:t>18.67</w:t>
            </w:r>
          </w:p>
        </w:tc>
        <w:tc>
          <w:tcPr>
            <w:tcW w:w="912" w:type="pct"/>
            <w:tcBorders>
              <w:top w:val="nil"/>
              <w:left w:val="nil"/>
              <w:right w:val="nil"/>
            </w:tcBorders>
            <w:shd w:val="clear" w:color="000000" w:fill="FFFFFF"/>
            <w:noWrap/>
            <w:vAlign w:val="center"/>
            <w:hideMark/>
          </w:tcPr>
          <w:p w14:paraId="7F0543B2" w14:textId="77777777" w:rsidR="006976BB" w:rsidRPr="00D618B7" w:rsidRDefault="006976BB" w:rsidP="004B11B7">
            <w:pPr>
              <w:jc w:val="right"/>
              <w:rPr>
                <w:color w:val="000000"/>
                <w:sz w:val="22"/>
                <w:szCs w:val="22"/>
              </w:rPr>
            </w:pPr>
            <w:r w:rsidRPr="00D618B7">
              <w:rPr>
                <w:color w:val="000000"/>
                <w:sz w:val="22"/>
                <w:szCs w:val="22"/>
              </w:rPr>
              <w:t>347.68</w:t>
            </w:r>
          </w:p>
        </w:tc>
        <w:tc>
          <w:tcPr>
            <w:tcW w:w="635" w:type="pct"/>
            <w:tcBorders>
              <w:top w:val="nil"/>
              <w:left w:val="nil"/>
              <w:right w:val="nil"/>
            </w:tcBorders>
            <w:shd w:val="clear" w:color="000000" w:fill="FFFFFF"/>
            <w:noWrap/>
            <w:vAlign w:val="center"/>
            <w:hideMark/>
          </w:tcPr>
          <w:p w14:paraId="0802FC9A" w14:textId="77777777" w:rsidR="006976BB" w:rsidRPr="00D618B7" w:rsidRDefault="006976BB" w:rsidP="004B11B7">
            <w:pPr>
              <w:jc w:val="right"/>
              <w:rPr>
                <w:color w:val="000000"/>
                <w:sz w:val="22"/>
                <w:szCs w:val="22"/>
              </w:rPr>
            </w:pPr>
            <w:r w:rsidRPr="00D618B7">
              <w:rPr>
                <w:color w:val="000000"/>
                <w:sz w:val="22"/>
                <w:szCs w:val="22"/>
              </w:rPr>
              <w:t>52.93</w:t>
            </w:r>
          </w:p>
        </w:tc>
      </w:tr>
      <w:tr w:rsidR="006976BB" w:rsidRPr="00D618B7" w14:paraId="7187DA03" w14:textId="77777777" w:rsidTr="00990BE1">
        <w:trPr>
          <w:trHeight w:val="264"/>
        </w:trPr>
        <w:tc>
          <w:tcPr>
            <w:tcW w:w="755" w:type="pct"/>
            <w:tcBorders>
              <w:top w:val="nil"/>
              <w:left w:val="nil"/>
              <w:bottom w:val="single" w:sz="18" w:space="0" w:color="auto"/>
              <w:right w:val="nil"/>
            </w:tcBorders>
            <w:shd w:val="clear" w:color="000000" w:fill="FFFFFF"/>
            <w:vAlign w:val="center"/>
            <w:hideMark/>
          </w:tcPr>
          <w:p w14:paraId="4A071C86" w14:textId="77777777" w:rsidR="006976BB" w:rsidRPr="00D618B7" w:rsidRDefault="006976BB" w:rsidP="004B11B7">
            <w:pPr>
              <w:jc w:val="right"/>
              <w:rPr>
                <w:color w:val="000000"/>
                <w:sz w:val="22"/>
                <w:szCs w:val="22"/>
              </w:rPr>
            </w:pPr>
            <w:r w:rsidRPr="00D618B7">
              <w:rPr>
                <w:color w:val="000000"/>
                <w:sz w:val="22"/>
                <w:szCs w:val="22"/>
              </w:rPr>
              <w:t>5</w:t>
            </w:r>
          </w:p>
        </w:tc>
        <w:tc>
          <w:tcPr>
            <w:tcW w:w="583" w:type="pct"/>
            <w:tcBorders>
              <w:top w:val="nil"/>
              <w:left w:val="nil"/>
              <w:bottom w:val="single" w:sz="18" w:space="0" w:color="auto"/>
              <w:right w:val="nil"/>
            </w:tcBorders>
            <w:shd w:val="clear" w:color="000000" w:fill="FFFFFF"/>
            <w:noWrap/>
            <w:vAlign w:val="center"/>
            <w:hideMark/>
          </w:tcPr>
          <w:p w14:paraId="0DDE2F34" w14:textId="77777777" w:rsidR="006976BB" w:rsidRPr="00D618B7" w:rsidRDefault="006976BB" w:rsidP="004B11B7">
            <w:pPr>
              <w:jc w:val="right"/>
              <w:rPr>
                <w:color w:val="000000"/>
                <w:sz w:val="22"/>
                <w:szCs w:val="22"/>
              </w:rPr>
            </w:pPr>
            <w:r w:rsidRPr="00D618B7">
              <w:rPr>
                <w:color w:val="000000"/>
                <w:sz w:val="22"/>
                <w:szCs w:val="22"/>
              </w:rPr>
              <w:t>38.70</w:t>
            </w:r>
          </w:p>
        </w:tc>
        <w:tc>
          <w:tcPr>
            <w:tcW w:w="620" w:type="pct"/>
            <w:tcBorders>
              <w:top w:val="nil"/>
              <w:left w:val="nil"/>
              <w:bottom w:val="single" w:sz="18" w:space="0" w:color="auto"/>
              <w:right w:val="nil"/>
            </w:tcBorders>
            <w:shd w:val="clear" w:color="000000" w:fill="FFFFFF"/>
            <w:noWrap/>
            <w:vAlign w:val="center"/>
            <w:hideMark/>
          </w:tcPr>
          <w:p w14:paraId="1FC58E4C" w14:textId="77777777" w:rsidR="006976BB" w:rsidRPr="00D618B7" w:rsidRDefault="006976BB" w:rsidP="004B11B7">
            <w:pPr>
              <w:jc w:val="right"/>
              <w:rPr>
                <w:color w:val="000000"/>
                <w:sz w:val="22"/>
                <w:szCs w:val="22"/>
              </w:rPr>
            </w:pPr>
            <w:r w:rsidRPr="00D618B7">
              <w:rPr>
                <w:color w:val="000000"/>
                <w:sz w:val="22"/>
                <w:szCs w:val="22"/>
              </w:rPr>
              <w:t>25.78</w:t>
            </w:r>
          </w:p>
        </w:tc>
        <w:tc>
          <w:tcPr>
            <w:tcW w:w="881" w:type="pct"/>
            <w:tcBorders>
              <w:top w:val="nil"/>
              <w:left w:val="nil"/>
              <w:bottom w:val="single" w:sz="18" w:space="0" w:color="auto"/>
              <w:right w:val="nil"/>
            </w:tcBorders>
            <w:shd w:val="clear" w:color="000000" w:fill="FFFFFF"/>
            <w:noWrap/>
            <w:vAlign w:val="center"/>
            <w:hideMark/>
          </w:tcPr>
          <w:p w14:paraId="78F0BA1F" w14:textId="77777777" w:rsidR="006976BB" w:rsidRPr="00D618B7" w:rsidRDefault="006976BB" w:rsidP="004B11B7">
            <w:pPr>
              <w:jc w:val="right"/>
              <w:rPr>
                <w:color w:val="000000"/>
                <w:sz w:val="22"/>
                <w:szCs w:val="22"/>
              </w:rPr>
            </w:pPr>
            <w:r w:rsidRPr="00D618B7">
              <w:rPr>
                <w:color w:val="000000"/>
                <w:sz w:val="22"/>
                <w:szCs w:val="22"/>
              </w:rPr>
              <w:t>-84.23</w:t>
            </w:r>
          </w:p>
        </w:tc>
        <w:tc>
          <w:tcPr>
            <w:tcW w:w="614" w:type="pct"/>
            <w:tcBorders>
              <w:top w:val="nil"/>
              <w:left w:val="nil"/>
              <w:bottom w:val="single" w:sz="18" w:space="0" w:color="auto"/>
              <w:right w:val="nil"/>
            </w:tcBorders>
            <w:shd w:val="clear" w:color="000000" w:fill="FFFFFF"/>
            <w:noWrap/>
            <w:vAlign w:val="center"/>
            <w:hideMark/>
          </w:tcPr>
          <w:p w14:paraId="46212029" w14:textId="77777777" w:rsidR="006976BB" w:rsidRPr="00D618B7" w:rsidRDefault="006976BB" w:rsidP="004B11B7">
            <w:pPr>
              <w:jc w:val="right"/>
              <w:rPr>
                <w:color w:val="000000"/>
                <w:sz w:val="22"/>
                <w:szCs w:val="22"/>
              </w:rPr>
            </w:pPr>
            <w:r w:rsidRPr="00D618B7">
              <w:rPr>
                <w:color w:val="000000"/>
                <w:sz w:val="22"/>
                <w:szCs w:val="22"/>
              </w:rPr>
              <w:t>77.53</w:t>
            </w:r>
          </w:p>
        </w:tc>
        <w:tc>
          <w:tcPr>
            <w:tcW w:w="912" w:type="pct"/>
            <w:tcBorders>
              <w:top w:val="nil"/>
              <w:left w:val="nil"/>
              <w:bottom w:val="single" w:sz="18" w:space="0" w:color="auto"/>
              <w:right w:val="nil"/>
            </w:tcBorders>
            <w:shd w:val="clear" w:color="000000" w:fill="FFFFFF"/>
            <w:noWrap/>
            <w:vAlign w:val="center"/>
            <w:hideMark/>
          </w:tcPr>
          <w:p w14:paraId="7FDBAA1E" w14:textId="77777777" w:rsidR="006976BB" w:rsidRPr="00D618B7" w:rsidRDefault="006976BB" w:rsidP="004B11B7">
            <w:pPr>
              <w:jc w:val="right"/>
              <w:rPr>
                <w:color w:val="000000"/>
                <w:sz w:val="22"/>
                <w:szCs w:val="22"/>
              </w:rPr>
            </w:pPr>
            <w:r w:rsidRPr="00D618B7">
              <w:rPr>
                <w:color w:val="000000"/>
                <w:sz w:val="22"/>
                <w:szCs w:val="22"/>
              </w:rPr>
              <w:t>-374.09</w:t>
            </w:r>
          </w:p>
        </w:tc>
        <w:tc>
          <w:tcPr>
            <w:tcW w:w="635" w:type="pct"/>
            <w:tcBorders>
              <w:top w:val="nil"/>
              <w:left w:val="nil"/>
              <w:bottom w:val="single" w:sz="18" w:space="0" w:color="auto"/>
              <w:right w:val="nil"/>
            </w:tcBorders>
            <w:shd w:val="clear" w:color="000000" w:fill="FFFFFF"/>
            <w:noWrap/>
            <w:vAlign w:val="center"/>
            <w:hideMark/>
          </w:tcPr>
          <w:p w14:paraId="291A5050" w14:textId="77777777" w:rsidR="006976BB" w:rsidRPr="00D618B7" w:rsidRDefault="006976BB" w:rsidP="004B11B7">
            <w:pPr>
              <w:jc w:val="right"/>
              <w:rPr>
                <w:color w:val="000000"/>
                <w:sz w:val="22"/>
                <w:szCs w:val="22"/>
              </w:rPr>
            </w:pPr>
            <w:r w:rsidRPr="00D618B7">
              <w:rPr>
                <w:color w:val="000000"/>
                <w:sz w:val="22"/>
                <w:szCs w:val="22"/>
              </w:rPr>
              <w:t>129.82</w:t>
            </w:r>
          </w:p>
        </w:tc>
      </w:tr>
      <w:tr w:rsidR="006976BB" w:rsidRPr="00D618B7" w14:paraId="275E12FB" w14:textId="77777777" w:rsidTr="00990BE1">
        <w:trPr>
          <w:trHeight w:val="264"/>
        </w:trPr>
        <w:tc>
          <w:tcPr>
            <w:tcW w:w="755" w:type="pct"/>
            <w:tcBorders>
              <w:top w:val="single" w:sz="18" w:space="0" w:color="auto"/>
              <w:left w:val="nil"/>
              <w:bottom w:val="nil"/>
              <w:right w:val="nil"/>
            </w:tcBorders>
            <w:shd w:val="clear" w:color="000000" w:fill="FFFFFF"/>
            <w:noWrap/>
            <w:vAlign w:val="bottom"/>
            <w:hideMark/>
          </w:tcPr>
          <w:p w14:paraId="03C393D6" w14:textId="77777777" w:rsidR="006976BB" w:rsidRPr="00D618B7" w:rsidRDefault="006976BB" w:rsidP="004B11B7">
            <w:pPr>
              <w:rPr>
                <w:color w:val="000000"/>
                <w:sz w:val="22"/>
                <w:szCs w:val="22"/>
              </w:rPr>
            </w:pPr>
            <w:r w:rsidRPr="00D618B7">
              <w:rPr>
                <w:color w:val="000000"/>
                <w:sz w:val="22"/>
                <w:szCs w:val="22"/>
              </w:rPr>
              <w:t> </w:t>
            </w:r>
          </w:p>
        </w:tc>
        <w:tc>
          <w:tcPr>
            <w:tcW w:w="4245" w:type="pct"/>
            <w:gridSpan w:val="6"/>
            <w:tcBorders>
              <w:top w:val="single" w:sz="18" w:space="0" w:color="auto"/>
              <w:left w:val="nil"/>
              <w:bottom w:val="nil"/>
              <w:right w:val="nil"/>
            </w:tcBorders>
            <w:shd w:val="clear" w:color="000000" w:fill="FFFFFF"/>
            <w:noWrap/>
            <w:vAlign w:val="center"/>
            <w:hideMark/>
          </w:tcPr>
          <w:p w14:paraId="010B3E34" w14:textId="77777777" w:rsidR="006976BB" w:rsidRPr="00D618B7" w:rsidRDefault="006976BB" w:rsidP="004B11B7">
            <w:pPr>
              <w:jc w:val="center"/>
              <w:rPr>
                <w:color w:val="000000"/>
                <w:sz w:val="22"/>
                <w:szCs w:val="22"/>
              </w:rPr>
            </w:pPr>
            <w:r w:rsidRPr="00D618B7">
              <w:rPr>
                <w:color w:val="000000"/>
                <w:sz w:val="22"/>
                <w:szCs w:val="22"/>
              </w:rPr>
              <w:t>Toy-in-Reach</w:t>
            </w:r>
          </w:p>
        </w:tc>
      </w:tr>
      <w:tr w:rsidR="006976BB" w:rsidRPr="00D618B7" w14:paraId="2209F460" w14:textId="77777777" w:rsidTr="00990BE1">
        <w:trPr>
          <w:trHeight w:val="264"/>
        </w:trPr>
        <w:tc>
          <w:tcPr>
            <w:tcW w:w="755" w:type="pct"/>
            <w:tcBorders>
              <w:top w:val="nil"/>
              <w:left w:val="nil"/>
              <w:bottom w:val="nil"/>
              <w:right w:val="nil"/>
            </w:tcBorders>
            <w:shd w:val="clear" w:color="000000" w:fill="FFFFFF"/>
            <w:vAlign w:val="center"/>
            <w:hideMark/>
          </w:tcPr>
          <w:p w14:paraId="5F0AE29A" w14:textId="77777777" w:rsidR="006976BB" w:rsidRPr="00D618B7" w:rsidRDefault="006976BB" w:rsidP="004B11B7">
            <w:pPr>
              <w:jc w:val="right"/>
              <w:rPr>
                <w:color w:val="000000"/>
                <w:sz w:val="22"/>
                <w:szCs w:val="22"/>
              </w:rPr>
            </w:pPr>
            <w:r w:rsidRPr="00D618B7">
              <w:rPr>
                <w:color w:val="000000"/>
                <w:sz w:val="22"/>
                <w:szCs w:val="22"/>
              </w:rPr>
              <w:t>-5</w:t>
            </w:r>
          </w:p>
        </w:tc>
        <w:tc>
          <w:tcPr>
            <w:tcW w:w="583" w:type="pct"/>
            <w:tcBorders>
              <w:top w:val="nil"/>
              <w:left w:val="nil"/>
              <w:bottom w:val="nil"/>
              <w:right w:val="nil"/>
            </w:tcBorders>
            <w:shd w:val="clear" w:color="000000" w:fill="FFFFFF"/>
            <w:noWrap/>
            <w:vAlign w:val="center"/>
            <w:hideMark/>
          </w:tcPr>
          <w:p w14:paraId="3FA414DC" w14:textId="77777777" w:rsidR="006976BB" w:rsidRPr="00D618B7" w:rsidRDefault="006976BB" w:rsidP="004B11B7">
            <w:pPr>
              <w:jc w:val="right"/>
              <w:rPr>
                <w:color w:val="000000"/>
                <w:sz w:val="22"/>
                <w:szCs w:val="22"/>
              </w:rPr>
            </w:pPr>
            <w:r w:rsidRPr="00D618B7">
              <w:rPr>
                <w:color w:val="000000"/>
                <w:sz w:val="22"/>
                <w:szCs w:val="22"/>
              </w:rPr>
              <w:t>0.28</w:t>
            </w:r>
          </w:p>
        </w:tc>
        <w:tc>
          <w:tcPr>
            <w:tcW w:w="620" w:type="pct"/>
            <w:tcBorders>
              <w:top w:val="nil"/>
              <w:left w:val="nil"/>
              <w:bottom w:val="nil"/>
              <w:right w:val="nil"/>
            </w:tcBorders>
            <w:shd w:val="clear" w:color="000000" w:fill="FFFFFF"/>
            <w:noWrap/>
            <w:vAlign w:val="center"/>
            <w:hideMark/>
          </w:tcPr>
          <w:p w14:paraId="14C11517" w14:textId="77777777" w:rsidR="006976BB" w:rsidRPr="00D618B7" w:rsidRDefault="006976BB" w:rsidP="004B11B7">
            <w:pPr>
              <w:jc w:val="right"/>
              <w:rPr>
                <w:color w:val="000000"/>
                <w:sz w:val="22"/>
                <w:szCs w:val="22"/>
              </w:rPr>
            </w:pPr>
            <w:r w:rsidRPr="00D618B7">
              <w:rPr>
                <w:color w:val="000000"/>
                <w:sz w:val="22"/>
                <w:szCs w:val="22"/>
              </w:rPr>
              <w:t>4.12</w:t>
            </w:r>
          </w:p>
        </w:tc>
        <w:tc>
          <w:tcPr>
            <w:tcW w:w="881" w:type="pct"/>
            <w:tcBorders>
              <w:top w:val="nil"/>
              <w:left w:val="nil"/>
              <w:bottom w:val="nil"/>
              <w:right w:val="nil"/>
            </w:tcBorders>
            <w:shd w:val="clear" w:color="000000" w:fill="FFFFFF"/>
            <w:noWrap/>
            <w:vAlign w:val="center"/>
            <w:hideMark/>
          </w:tcPr>
          <w:p w14:paraId="4E52CCAD" w14:textId="77777777" w:rsidR="006976BB" w:rsidRPr="00D618B7" w:rsidRDefault="006976BB" w:rsidP="004B11B7">
            <w:pPr>
              <w:jc w:val="right"/>
              <w:rPr>
                <w:color w:val="000000"/>
                <w:sz w:val="22"/>
                <w:szCs w:val="22"/>
              </w:rPr>
            </w:pPr>
            <w:r w:rsidRPr="00D618B7">
              <w:rPr>
                <w:color w:val="000000"/>
                <w:sz w:val="22"/>
                <w:szCs w:val="22"/>
              </w:rPr>
              <w:t>1.01</w:t>
            </w:r>
          </w:p>
        </w:tc>
        <w:tc>
          <w:tcPr>
            <w:tcW w:w="614" w:type="pct"/>
            <w:tcBorders>
              <w:top w:val="nil"/>
              <w:left w:val="nil"/>
              <w:bottom w:val="nil"/>
              <w:right w:val="nil"/>
            </w:tcBorders>
            <w:shd w:val="clear" w:color="000000" w:fill="FFFFFF"/>
            <w:noWrap/>
            <w:vAlign w:val="center"/>
            <w:hideMark/>
          </w:tcPr>
          <w:p w14:paraId="5982E0F6" w14:textId="77777777" w:rsidR="006976BB" w:rsidRPr="00D618B7" w:rsidRDefault="006976BB" w:rsidP="004B11B7">
            <w:pPr>
              <w:jc w:val="right"/>
              <w:rPr>
                <w:color w:val="000000"/>
                <w:sz w:val="22"/>
                <w:szCs w:val="22"/>
              </w:rPr>
            </w:pPr>
            <w:r w:rsidRPr="00D618B7">
              <w:rPr>
                <w:color w:val="000000"/>
                <w:sz w:val="22"/>
                <w:szCs w:val="22"/>
              </w:rPr>
              <w:t>12.47</w:t>
            </w:r>
          </w:p>
        </w:tc>
        <w:tc>
          <w:tcPr>
            <w:tcW w:w="912" w:type="pct"/>
            <w:tcBorders>
              <w:top w:val="nil"/>
              <w:left w:val="nil"/>
              <w:bottom w:val="nil"/>
              <w:right w:val="nil"/>
            </w:tcBorders>
            <w:shd w:val="clear" w:color="000000" w:fill="FFFFFF"/>
            <w:noWrap/>
            <w:vAlign w:val="center"/>
            <w:hideMark/>
          </w:tcPr>
          <w:p w14:paraId="0CFD2E96" w14:textId="77777777" w:rsidR="006976BB" w:rsidRPr="00D618B7" w:rsidRDefault="006976BB" w:rsidP="004B11B7">
            <w:pPr>
              <w:jc w:val="right"/>
              <w:rPr>
                <w:color w:val="000000"/>
                <w:sz w:val="22"/>
                <w:szCs w:val="22"/>
              </w:rPr>
            </w:pPr>
            <w:r w:rsidRPr="00D618B7">
              <w:rPr>
                <w:color w:val="000000"/>
                <w:sz w:val="22"/>
                <w:szCs w:val="22"/>
              </w:rPr>
              <w:t>195.15</w:t>
            </w:r>
          </w:p>
        </w:tc>
        <w:tc>
          <w:tcPr>
            <w:tcW w:w="635" w:type="pct"/>
            <w:tcBorders>
              <w:top w:val="nil"/>
              <w:left w:val="nil"/>
              <w:bottom w:val="nil"/>
              <w:right w:val="nil"/>
            </w:tcBorders>
            <w:shd w:val="clear" w:color="000000" w:fill="FFFFFF"/>
            <w:noWrap/>
            <w:vAlign w:val="center"/>
            <w:hideMark/>
          </w:tcPr>
          <w:p w14:paraId="67F0F593" w14:textId="77777777" w:rsidR="006976BB" w:rsidRPr="00D618B7" w:rsidRDefault="006976BB" w:rsidP="004B11B7">
            <w:pPr>
              <w:jc w:val="right"/>
              <w:rPr>
                <w:color w:val="000000"/>
                <w:sz w:val="22"/>
                <w:szCs w:val="22"/>
              </w:rPr>
            </w:pPr>
            <w:r w:rsidRPr="00D618B7">
              <w:rPr>
                <w:color w:val="000000"/>
                <w:sz w:val="22"/>
                <w:szCs w:val="22"/>
              </w:rPr>
              <w:t>135.42</w:t>
            </w:r>
          </w:p>
        </w:tc>
      </w:tr>
      <w:tr w:rsidR="006976BB" w:rsidRPr="00D618B7" w14:paraId="26EBDB66" w14:textId="77777777" w:rsidTr="00990BE1">
        <w:trPr>
          <w:trHeight w:val="264"/>
        </w:trPr>
        <w:tc>
          <w:tcPr>
            <w:tcW w:w="755" w:type="pct"/>
            <w:tcBorders>
              <w:top w:val="nil"/>
              <w:left w:val="nil"/>
              <w:bottom w:val="nil"/>
              <w:right w:val="nil"/>
            </w:tcBorders>
            <w:shd w:val="clear" w:color="000000" w:fill="FFFFFF"/>
            <w:vAlign w:val="center"/>
            <w:hideMark/>
          </w:tcPr>
          <w:p w14:paraId="72F0D6E5" w14:textId="77777777" w:rsidR="006976BB" w:rsidRPr="00D618B7" w:rsidRDefault="006976BB" w:rsidP="004B11B7">
            <w:pPr>
              <w:jc w:val="right"/>
              <w:rPr>
                <w:color w:val="000000"/>
                <w:sz w:val="22"/>
                <w:szCs w:val="22"/>
              </w:rPr>
            </w:pPr>
            <w:r w:rsidRPr="00D618B7">
              <w:rPr>
                <w:color w:val="000000"/>
                <w:sz w:val="22"/>
                <w:szCs w:val="22"/>
              </w:rPr>
              <w:t>-4</w:t>
            </w:r>
          </w:p>
        </w:tc>
        <w:tc>
          <w:tcPr>
            <w:tcW w:w="583" w:type="pct"/>
            <w:tcBorders>
              <w:top w:val="nil"/>
              <w:left w:val="nil"/>
              <w:bottom w:val="nil"/>
              <w:right w:val="nil"/>
            </w:tcBorders>
            <w:shd w:val="clear" w:color="000000" w:fill="FFFFFF"/>
            <w:noWrap/>
            <w:vAlign w:val="center"/>
            <w:hideMark/>
          </w:tcPr>
          <w:p w14:paraId="1C710F19" w14:textId="77777777" w:rsidR="006976BB" w:rsidRPr="00D618B7" w:rsidRDefault="006976BB" w:rsidP="004B11B7">
            <w:pPr>
              <w:jc w:val="right"/>
              <w:rPr>
                <w:color w:val="000000"/>
                <w:sz w:val="22"/>
                <w:szCs w:val="22"/>
              </w:rPr>
            </w:pPr>
            <w:r w:rsidRPr="00D618B7">
              <w:rPr>
                <w:color w:val="000000"/>
                <w:sz w:val="22"/>
                <w:szCs w:val="22"/>
              </w:rPr>
              <w:t>-6.47</w:t>
            </w:r>
          </w:p>
        </w:tc>
        <w:tc>
          <w:tcPr>
            <w:tcW w:w="620" w:type="pct"/>
            <w:tcBorders>
              <w:top w:val="nil"/>
              <w:left w:val="nil"/>
              <w:bottom w:val="nil"/>
              <w:right w:val="nil"/>
            </w:tcBorders>
            <w:shd w:val="clear" w:color="000000" w:fill="FFFFFF"/>
            <w:noWrap/>
            <w:vAlign w:val="center"/>
            <w:hideMark/>
          </w:tcPr>
          <w:p w14:paraId="385CE7F5" w14:textId="77777777" w:rsidR="006976BB" w:rsidRPr="00D618B7" w:rsidRDefault="006976BB" w:rsidP="004B11B7">
            <w:pPr>
              <w:jc w:val="right"/>
              <w:rPr>
                <w:color w:val="000000"/>
                <w:sz w:val="22"/>
                <w:szCs w:val="22"/>
              </w:rPr>
            </w:pPr>
            <w:r w:rsidRPr="00D618B7">
              <w:rPr>
                <w:color w:val="000000"/>
                <w:sz w:val="22"/>
                <w:szCs w:val="22"/>
              </w:rPr>
              <w:t>12.74</w:t>
            </w:r>
          </w:p>
        </w:tc>
        <w:tc>
          <w:tcPr>
            <w:tcW w:w="881" w:type="pct"/>
            <w:tcBorders>
              <w:top w:val="nil"/>
              <w:left w:val="nil"/>
              <w:bottom w:val="nil"/>
              <w:right w:val="nil"/>
            </w:tcBorders>
            <w:shd w:val="clear" w:color="000000" w:fill="FFFFFF"/>
            <w:noWrap/>
            <w:vAlign w:val="center"/>
            <w:hideMark/>
          </w:tcPr>
          <w:p w14:paraId="5F3B6C7B" w14:textId="77777777" w:rsidR="006976BB" w:rsidRPr="00D618B7" w:rsidRDefault="006976BB" w:rsidP="004B11B7">
            <w:pPr>
              <w:jc w:val="right"/>
              <w:rPr>
                <w:color w:val="000000"/>
                <w:sz w:val="22"/>
                <w:szCs w:val="22"/>
              </w:rPr>
            </w:pPr>
            <w:r w:rsidRPr="00D618B7">
              <w:rPr>
                <w:color w:val="000000"/>
                <w:sz w:val="22"/>
                <w:szCs w:val="22"/>
              </w:rPr>
              <w:t>6.98</w:t>
            </w:r>
          </w:p>
        </w:tc>
        <w:tc>
          <w:tcPr>
            <w:tcW w:w="614" w:type="pct"/>
            <w:tcBorders>
              <w:top w:val="nil"/>
              <w:left w:val="nil"/>
              <w:bottom w:val="nil"/>
              <w:right w:val="nil"/>
            </w:tcBorders>
            <w:shd w:val="clear" w:color="000000" w:fill="FFFFFF"/>
            <w:noWrap/>
            <w:vAlign w:val="center"/>
            <w:hideMark/>
          </w:tcPr>
          <w:p w14:paraId="05BD99A8" w14:textId="77777777" w:rsidR="006976BB" w:rsidRPr="00D618B7" w:rsidRDefault="006976BB" w:rsidP="004B11B7">
            <w:pPr>
              <w:jc w:val="right"/>
              <w:rPr>
                <w:color w:val="000000"/>
                <w:sz w:val="22"/>
                <w:szCs w:val="22"/>
              </w:rPr>
            </w:pPr>
            <w:r w:rsidRPr="00D618B7">
              <w:rPr>
                <w:color w:val="000000"/>
                <w:sz w:val="22"/>
                <w:szCs w:val="22"/>
              </w:rPr>
              <w:t>13.37</w:t>
            </w:r>
          </w:p>
        </w:tc>
        <w:tc>
          <w:tcPr>
            <w:tcW w:w="912" w:type="pct"/>
            <w:tcBorders>
              <w:top w:val="nil"/>
              <w:left w:val="nil"/>
              <w:bottom w:val="nil"/>
              <w:right w:val="nil"/>
            </w:tcBorders>
            <w:shd w:val="clear" w:color="000000" w:fill="FFFFFF"/>
            <w:noWrap/>
            <w:vAlign w:val="center"/>
            <w:hideMark/>
          </w:tcPr>
          <w:p w14:paraId="55BC75E1" w14:textId="77777777" w:rsidR="006976BB" w:rsidRPr="00D618B7" w:rsidRDefault="006976BB" w:rsidP="004B11B7">
            <w:pPr>
              <w:jc w:val="right"/>
              <w:rPr>
                <w:color w:val="000000"/>
                <w:sz w:val="22"/>
                <w:szCs w:val="22"/>
              </w:rPr>
            </w:pPr>
            <w:r w:rsidRPr="00D618B7">
              <w:rPr>
                <w:color w:val="000000"/>
                <w:sz w:val="22"/>
                <w:szCs w:val="22"/>
              </w:rPr>
              <w:t>-34.45</w:t>
            </w:r>
          </w:p>
        </w:tc>
        <w:tc>
          <w:tcPr>
            <w:tcW w:w="635" w:type="pct"/>
            <w:tcBorders>
              <w:top w:val="nil"/>
              <w:left w:val="nil"/>
              <w:bottom w:val="nil"/>
              <w:right w:val="nil"/>
            </w:tcBorders>
            <w:shd w:val="clear" w:color="000000" w:fill="FFFFFF"/>
            <w:noWrap/>
            <w:vAlign w:val="center"/>
            <w:hideMark/>
          </w:tcPr>
          <w:p w14:paraId="3A032D41" w14:textId="77777777" w:rsidR="006976BB" w:rsidRPr="00D618B7" w:rsidRDefault="006976BB" w:rsidP="004B11B7">
            <w:pPr>
              <w:jc w:val="right"/>
              <w:rPr>
                <w:color w:val="000000"/>
                <w:sz w:val="22"/>
                <w:szCs w:val="22"/>
              </w:rPr>
            </w:pPr>
            <w:r w:rsidRPr="00D618B7">
              <w:rPr>
                <w:color w:val="000000"/>
                <w:sz w:val="22"/>
                <w:szCs w:val="22"/>
              </w:rPr>
              <w:t>155.45</w:t>
            </w:r>
          </w:p>
        </w:tc>
      </w:tr>
      <w:tr w:rsidR="006976BB" w:rsidRPr="00D618B7" w14:paraId="684340AA" w14:textId="77777777" w:rsidTr="00990BE1">
        <w:trPr>
          <w:trHeight w:val="264"/>
        </w:trPr>
        <w:tc>
          <w:tcPr>
            <w:tcW w:w="755" w:type="pct"/>
            <w:tcBorders>
              <w:top w:val="nil"/>
              <w:left w:val="nil"/>
              <w:bottom w:val="nil"/>
              <w:right w:val="nil"/>
            </w:tcBorders>
            <w:shd w:val="clear" w:color="000000" w:fill="FFFFFF"/>
            <w:vAlign w:val="center"/>
            <w:hideMark/>
          </w:tcPr>
          <w:p w14:paraId="414CA827" w14:textId="77777777" w:rsidR="006976BB" w:rsidRPr="00D618B7" w:rsidRDefault="006976BB"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34DBC0AD" w14:textId="77777777" w:rsidR="006976BB" w:rsidRPr="00D618B7" w:rsidRDefault="006976BB" w:rsidP="004B11B7">
            <w:pPr>
              <w:jc w:val="right"/>
              <w:rPr>
                <w:color w:val="000000"/>
                <w:sz w:val="22"/>
                <w:szCs w:val="22"/>
              </w:rPr>
            </w:pPr>
            <w:r w:rsidRPr="00D618B7">
              <w:rPr>
                <w:color w:val="000000"/>
                <w:sz w:val="22"/>
                <w:szCs w:val="22"/>
              </w:rPr>
              <w:t>-1.91</w:t>
            </w:r>
          </w:p>
        </w:tc>
        <w:tc>
          <w:tcPr>
            <w:tcW w:w="620" w:type="pct"/>
            <w:tcBorders>
              <w:top w:val="nil"/>
              <w:left w:val="nil"/>
              <w:bottom w:val="nil"/>
              <w:right w:val="nil"/>
            </w:tcBorders>
            <w:shd w:val="clear" w:color="000000" w:fill="FFFFFF"/>
            <w:noWrap/>
            <w:vAlign w:val="center"/>
            <w:hideMark/>
          </w:tcPr>
          <w:p w14:paraId="6D7B84E3" w14:textId="77777777" w:rsidR="006976BB" w:rsidRPr="00D618B7" w:rsidRDefault="006976BB" w:rsidP="004B11B7">
            <w:pPr>
              <w:jc w:val="right"/>
              <w:rPr>
                <w:color w:val="000000"/>
                <w:sz w:val="22"/>
                <w:szCs w:val="22"/>
              </w:rPr>
            </w:pPr>
            <w:r w:rsidRPr="00D618B7">
              <w:rPr>
                <w:color w:val="000000"/>
                <w:sz w:val="22"/>
                <w:szCs w:val="22"/>
              </w:rPr>
              <w:t>4.84</w:t>
            </w:r>
          </w:p>
        </w:tc>
        <w:tc>
          <w:tcPr>
            <w:tcW w:w="881" w:type="pct"/>
            <w:tcBorders>
              <w:top w:val="nil"/>
              <w:left w:val="nil"/>
              <w:bottom w:val="nil"/>
              <w:right w:val="nil"/>
            </w:tcBorders>
            <w:shd w:val="clear" w:color="000000" w:fill="FFFFFF"/>
            <w:noWrap/>
            <w:vAlign w:val="center"/>
            <w:hideMark/>
          </w:tcPr>
          <w:p w14:paraId="36A5E2B7" w14:textId="77777777" w:rsidR="006976BB" w:rsidRPr="00D618B7" w:rsidRDefault="006976BB" w:rsidP="004B11B7">
            <w:pPr>
              <w:jc w:val="right"/>
              <w:rPr>
                <w:color w:val="000000"/>
                <w:sz w:val="22"/>
                <w:szCs w:val="22"/>
              </w:rPr>
            </w:pPr>
            <w:r w:rsidRPr="00D618B7">
              <w:rPr>
                <w:color w:val="000000"/>
                <w:sz w:val="22"/>
                <w:szCs w:val="22"/>
              </w:rPr>
              <w:t>-23.46</w:t>
            </w:r>
          </w:p>
        </w:tc>
        <w:tc>
          <w:tcPr>
            <w:tcW w:w="614" w:type="pct"/>
            <w:tcBorders>
              <w:top w:val="nil"/>
              <w:left w:val="nil"/>
              <w:bottom w:val="nil"/>
              <w:right w:val="nil"/>
            </w:tcBorders>
            <w:shd w:val="clear" w:color="000000" w:fill="FFFFFF"/>
            <w:noWrap/>
            <w:vAlign w:val="center"/>
            <w:hideMark/>
          </w:tcPr>
          <w:p w14:paraId="14F74FD7" w14:textId="77777777" w:rsidR="006976BB" w:rsidRPr="00D618B7" w:rsidRDefault="006976BB" w:rsidP="004B11B7">
            <w:pPr>
              <w:jc w:val="right"/>
              <w:rPr>
                <w:color w:val="000000"/>
                <w:sz w:val="22"/>
                <w:szCs w:val="22"/>
              </w:rPr>
            </w:pPr>
            <w:r w:rsidRPr="00D618B7">
              <w:rPr>
                <w:color w:val="000000"/>
                <w:sz w:val="22"/>
                <w:szCs w:val="22"/>
              </w:rPr>
              <w:t>2.16</w:t>
            </w:r>
          </w:p>
        </w:tc>
        <w:tc>
          <w:tcPr>
            <w:tcW w:w="912" w:type="pct"/>
            <w:tcBorders>
              <w:top w:val="nil"/>
              <w:left w:val="nil"/>
              <w:bottom w:val="nil"/>
              <w:right w:val="nil"/>
            </w:tcBorders>
            <w:shd w:val="clear" w:color="000000" w:fill="FFFFFF"/>
            <w:noWrap/>
            <w:vAlign w:val="center"/>
            <w:hideMark/>
          </w:tcPr>
          <w:p w14:paraId="6EBE97E9" w14:textId="77777777" w:rsidR="006976BB" w:rsidRPr="00D618B7" w:rsidRDefault="006976BB" w:rsidP="004B11B7">
            <w:pPr>
              <w:jc w:val="right"/>
              <w:rPr>
                <w:color w:val="000000"/>
                <w:sz w:val="22"/>
                <w:szCs w:val="22"/>
              </w:rPr>
            </w:pPr>
            <w:r w:rsidRPr="00D618B7">
              <w:rPr>
                <w:color w:val="000000"/>
                <w:sz w:val="22"/>
                <w:szCs w:val="22"/>
              </w:rPr>
              <w:t>318.03</w:t>
            </w:r>
          </w:p>
        </w:tc>
        <w:tc>
          <w:tcPr>
            <w:tcW w:w="635" w:type="pct"/>
            <w:tcBorders>
              <w:top w:val="nil"/>
              <w:left w:val="nil"/>
              <w:bottom w:val="nil"/>
              <w:right w:val="nil"/>
            </w:tcBorders>
            <w:shd w:val="clear" w:color="000000" w:fill="FFFFFF"/>
            <w:noWrap/>
            <w:vAlign w:val="center"/>
            <w:hideMark/>
          </w:tcPr>
          <w:p w14:paraId="20D6B750" w14:textId="77777777" w:rsidR="006976BB" w:rsidRPr="00D618B7" w:rsidRDefault="006976BB" w:rsidP="004B11B7">
            <w:pPr>
              <w:jc w:val="right"/>
              <w:rPr>
                <w:color w:val="000000"/>
                <w:sz w:val="22"/>
                <w:szCs w:val="22"/>
              </w:rPr>
            </w:pPr>
            <w:r w:rsidRPr="00D618B7">
              <w:rPr>
                <w:color w:val="000000"/>
                <w:sz w:val="22"/>
                <w:szCs w:val="22"/>
              </w:rPr>
              <w:t>46.74</w:t>
            </w:r>
          </w:p>
        </w:tc>
      </w:tr>
      <w:tr w:rsidR="006976BB" w:rsidRPr="00D618B7" w14:paraId="2B5BD37A" w14:textId="77777777" w:rsidTr="00990BE1">
        <w:trPr>
          <w:trHeight w:val="264"/>
        </w:trPr>
        <w:tc>
          <w:tcPr>
            <w:tcW w:w="755" w:type="pct"/>
            <w:tcBorders>
              <w:top w:val="nil"/>
              <w:left w:val="nil"/>
              <w:bottom w:val="nil"/>
              <w:right w:val="nil"/>
            </w:tcBorders>
            <w:shd w:val="clear" w:color="000000" w:fill="FFFFFF"/>
            <w:vAlign w:val="center"/>
            <w:hideMark/>
          </w:tcPr>
          <w:p w14:paraId="7714BA55" w14:textId="77777777" w:rsidR="006976BB" w:rsidRPr="00D618B7" w:rsidRDefault="006976BB"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713D4364" w14:textId="77777777" w:rsidR="006976BB" w:rsidRPr="00D618B7" w:rsidRDefault="006976BB" w:rsidP="004B11B7">
            <w:pPr>
              <w:jc w:val="right"/>
              <w:rPr>
                <w:color w:val="000000"/>
                <w:sz w:val="22"/>
                <w:szCs w:val="22"/>
              </w:rPr>
            </w:pPr>
            <w:r w:rsidRPr="00D618B7">
              <w:rPr>
                <w:color w:val="000000"/>
                <w:sz w:val="22"/>
                <w:szCs w:val="22"/>
              </w:rPr>
              <w:t>6.71</w:t>
            </w:r>
          </w:p>
        </w:tc>
        <w:tc>
          <w:tcPr>
            <w:tcW w:w="620" w:type="pct"/>
            <w:tcBorders>
              <w:top w:val="nil"/>
              <w:left w:val="nil"/>
              <w:bottom w:val="nil"/>
              <w:right w:val="nil"/>
            </w:tcBorders>
            <w:shd w:val="clear" w:color="000000" w:fill="FFFFFF"/>
            <w:noWrap/>
            <w:vAlign w:val="center"/>
            <w:hideMark/>
          </w:tcPr>
          <w:p w14:paraId="564F3E8D" w14:textId="77777777" w:rsidR="006976BB" w:rsidRPr="00D618B7" w:rsidRDefault="006976BB" w:rsidP="004B11B7">
            <w:pPr>
              <w:jc w:val="right"/>
              <w:rPr>
                <w:color w:val="000000"/>
                <w:sz w:val="22"/>
                <w:szCs w:val="22"/>
              </w:rPr>
            </w:pPr>
            <w:r w:rsidRPr="00D618B7">
              <w:rPr>
                <w:color w:val="000000"/>
                <w:sz w:val="22"/>
                <w:szCs w:val="22"/>
              </w:rPr>
              <w:t>10.17</w:t>
            </w:r>
          </w:p>
        </w:tc>
        <w:tc>
          <w:tcPr>
            <w:tcW w:w="881" w:type="pct"/>
            <w:tcBorders>
              <w:top w:val="nil"/>
              <w:left w:val="nil"/>
              <w:bottom w:val="nil"/>
              <w:right w:val="nil"/>
            </w:tcBorders>
            <w:shd w:val="clear" w:color="000000" w:fill="FFFFFF"/>
            <w:noWrap/>
            <w:vAlign w:val="center"/>
            <w:hideMark/>
          </w:tcPr>
          <w:p w14:paraId="391F7E5D" w14:textId="77777777" w:rsidR="006976BB" w:rsidRPr="00D618B7" w:rsidRDefault="006976BB" w:rsidP="004B11B7">
            <w:pPr>
              <w:jc w:val="right"/>
              <w:rPr>
                <w:color w:val="000000"/>
                <w:sz w:val="22"/>
                <w:szCs w:val="22"/>
              </w:rPr>
            </w:pPr>
            <w:r w:rsidRPr="00D618B7">
              <w:rPr>
                <w:color w:val="000000"/>
                <w:sz w:val="22"/>
                <w:szCs w:val="22"/>
              </w:rPr>
              <w:t>8.30</w:t>
            </w:r>
          </w:p>
        </w:tc>
        <w:tc>
          <w:tcPr>
            <w:tcW w:w="614" w:type="pct"/>
            <w:tcBorders>
              <w:top w:val="nil"/>
              <w:left w:val="nil"/>
              <w:bottom w:val="nil"/>
              <w:right w:val="nil"/>
            </w:tcBorders>
            <w:shd w:val="clear" w:color="000000" w:fill="FFFFFF"/>
            <w:noWrap/>
            <w:vAlign w:val="center"/>
            <w:hideMark/>
          </w:tcPr>
          <w:p w14:paraId="083F9925" w14:textId="77777777" w:rsidR="006976BB" w:rsidRPr="00D618B7" w:rsidRDefault="006976BB" w:rsidP="004B11B7">
            <w:pPr>
              <w:jc w:val="right"/>
              <w:rPr>
                <w:color w:val="000000"/>
                <w:sz w:val="22"/>
                <w:szCs w:val="22"/>
              </w:rPr>
            </w:pPr>
            <w:r w:rsidRPr="00D618B7">
              <w:rPr>
                <w:color w:val="000000"/>
                <w:sz w:val="22"/>
                <w:szCs w:val="22"/>
              </w:rPr>
              <w:t>39.17</w:t>
            </w:r>
          </w:p>
        </w:tc>
        <w:tc>
          <w:tcPr>
            <w:tcW w:w="912" w:type="pct"/>
            <w:tcBorders>
              <w:top w:val="nil"/>
              <w:left w:val="nil"/>
              <w:bottom w:val="nil"/>
              <w:right w:val="nil"/>
            </w:tcBorders>
            <w:shd w:val="clear" w:color="000000" w:fill="FFFFFF"/>
            <w:noWrap/>
            <w:vAlign w:val="center"/>
            <w:hideMark/>
          </w:tcPr>
          <w:p w14:paraId="0AE2CE60" w14:textId="77777777" w:rsidR="006976BB" w:rsidRPr="00D618B7" w:rsidRDefault="006976BB" w:rsidP="004B11B7">
            <w:pPr>
              <w:jc w:val="right"/>
              <w:rPr>
                <w:color w:val="000000"/>
                <w:sz w:val="22"/>
                <w:szCs w:val="22"/>
              </w:rPr>
            </w:pPr>
            <w:r w:rsidRPr="00D618B7">
              <w:rPr>
                <w:color w:val="000000"/>
                <w:sz w:val="22"/>
                <w:szCs w:val="22"/>
              </w:rPr>
              <w:t>-338.80</w:t>
            </w:r>
          </w:p>
        </w:tc>
        <w:tc>
          <w:tcPr>
            <w:tcW w:w="635" w:type="pct"/>
            <w:tcBorders>
              <w:top w:val="nil"/>
              <w:left w:val="nil"/>
              <w:bottom w:val="nil"/>
              <w:right w:val="nil"/>
            </w:tcBorders>
            <w:shd w:val="clear" w:color="000000" w:fill="FFFFFF"/>
            <w:noWrap/>
            <w:vAlign w:val="center"/>
            <w:hideMark/>
          </w:tcPr>
          <w:p w14:paraId="3A13F99D" w14:textId="77777777" w:rsidR="006976BB" w:rsidRPr="00D618B7" w:rsidRDefault="006976BB" w:rsidP="004B11B7">
            <w:pPr>
              <w:jc w:val="right"/>
              <w:rPr>
                <w:color w:val="000000"/>
                <w:sz w:val="22"/>
                <w:szCs w:val="22"/>
              </w:rPr>
            </w:pPr>
            <w:r w:rsidRPr="00D618B7">
              <w:rPr>
                <w:color w:val="000000"/>
                <w:sz w:val="22"/>
                <w:szCs w:val="22"/>
              </w:rPr>
              <w:t>133.89</w:t>
            </w:r>
          </w:p>
        </w:tc>
      </w:tr>
      <w:tr w:rsidR="006976BB" w:rsidRPr="00D618B7" w14:paraId="66EACFAC" w14:textId="77777777" w:rsidTr="00990BE1">
        <w:trPr>
          <w:trHeight w:val="264"/>
        </w:trPr>
        <w:tc>
          <w:tcPr>
            <w:tcW w:w="755" w:type="pct"/>
            <w:tcBorders>
              <w:top w:val="nil"/>
              <w:left w:val="nil"/>
              <w:bottom w:val="nil"/>
              <w:right w:val="nil"/>
            </w:tcBorders>
            <w:shd w:val="clear" w:color="000000" w:fill="FFFFFF"/>
            <w:vAlign w:val="center"/>
            <w:hideMark/>
          </w:tcPr>
          <w:p w14:paraId="7CCCC82F" w14:textId="77777777" w:rsidR="006976BB" w:rsidRPr="00D618B7" w:rsidRDefault="006976BB"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57289D3F" w14:textId="77777777" w:rsidR="006976BB" w:rsidRPr="00D618B7" w:rsidRDefault="006976BB" w:rsidP="004B11B7">
            <w:pPr>
              <w:jc w:val="right"/>
              <w:rPr>
                <w:color w:val="000000"/>
                <w:sz w:val="22"/>
                <w:szCs w:val="22"/>
              </w:rPr>
            </w:pPr>
            <w:r w:rsidRPr="00D618B7">
              <w:rPr>
                <w:color w:val="000000"/>
                <w:sz w:val="22"/>
                <w:szCs w:val="22"/>
              </w:rPr>
              <w:t>6.35</w:t>
            </w:r>
          </w:p>
        </w:tc>
        <w:tc>
          <w:tcPr>
            <w:tcW w:w="620" w:type="pct"/>
            <w:tcBorders>
              <w:top w:val="nil"/>
              <w:left w:val="nil"/>
              <w:bottom w:val="nil"/>
              <w:right w:val="nil"/>
            </w:tcBorders>
            <w:shd w:val="clear" w:color="000000" w:fill="FFFFFF"/>
            <w:noWrap/>
            <w:vAlign w:val="center"/>
            <w:hideMark/>
          </w:tcPr>
          <w:p w14:paraId="4C256290" w14:textId="77777777" w:rsidR="006976BB" w:rsidRPr="00D618B7" w:rsidRDefault="006976BB" w:rsidP="004B11B7">
            <w:pPr>
              <w:jc w:val="right"/>
              <w:rPr>
                <w:color w:val="000000"/>
                <w:sz w:val="22"/>
                <w:szCs w:val="22"/>
              </w:rPr>
            </w:pPr>
            <w:r w:rsidRPr="00D618B7">
              <w:rPr>
                <w:color w:val="000000"/>
                <w:sz w:val="22"/>
                <w:szCs w:val="22"/>
              </w:rPr>
              <w:t>4.37</w:t>
            </w:r>
          </w:p>
        </w:tc>
        <w:tc>
          <w:tcPr>
            <w:tcW w:w="881" w:type="pct"/>
            <w:tcBorders>
              <w:top w:val="nil"/>
              <w:left w:val="nil"/>
              <w:bottom w:val="nil"/>
              <w:right w:val="nil"/>
            </w:tcBorders>
            <w:shd w:val="clear" w:color="000000" w:fill="FFFFFF"/>
            <w:noWrap/>
            <w:vAlign w:val="center"/>
            <w:hideMark/>
          </w:tcPr>
          <w:p w14:paraId="5142FEA3" w14:textId="77777777" w:rsidR="006976BB" w:rsidRPr="00D618B7" w:rsidRDefault="006976BB" w:rsidP="004B11B7">
            <w:pPr>
              <w:jc w:val="right"/>
              <w:rPr>
                <w:color w:val="000000"/>
                <w:sz w:val="22"/>
                <w:szCs w:val="22"/>
              </w:rPr>
            </w:pPr>
            <w:r w:rsidRPr="00D618B7">
              <w:rPr>
                <w:color w:val="000000"/>
                <w:sz w:val="22"/>
                <w:szCs w:val="22"/>
              </w:rPr>
              <w:t>-7.50</w:t>
            </w:r>
          </w:p>
        </w:tc>
        <w:tc>
          <w:tcPr>
            <w:tcW w:w="614" w:type="pct"/>
            <w:tcBorders>
              <w:top w:val="nil"/>
              <w:left w:val="nil"/>
              <w:bottom w:val="nil"/>
              <w:right w:val="nil"/>
            </w:tcBorders>
            <w:shd w:val="clear" w:color="000000" w:fill="FFFFFF"/>
            <w:noWrap/>
            <w:vAlign w:val="center"/>
            <w:hideMark/>
          </w:tcPr>
          <w:p w14:paraId="122F8244" w14:textId="77777777" w:rsidR="006976BB" w:rsidRPr="00D618B7" w:rsidRDefault="006976BB" w:rsidP="004B11B7">
            <w:pPr>
              <w:jc w:val="right"/>
              <w:rPr>
                <w:color w:val="000000"/>
                <w:sz w:val="22"/>
                <w:szCs w:val="22"/>
              </w:rPr>
            </w:pPr>
            <w:r w:rsidRPr="00D618B7">
              <w:rPr>
                <w:color w:val="000000"/>
                <w:sz w:val="22"/>
                <w:szCs w:val="22"/>
              </w:rPr>
              <w:t>12.13</w:t>
            </w:r>
          </w:p>
        </w:tc>
        <w:tc>
          <w:tcPr>
            <w:tcW w:w="912" w:type="pct"/>
            <w:tcBorders>
              <w:top w:val="nil"/>
              <w:left w:val="nil"/>
              <w:bottom w:val="nil"/>
              <w:right w:val="nil"/>
            </w:tcBorders>
            <w:shd w:val="clear" w:color="000000" w:fill="FFFFFF"/>
            <w:noWrap/>
            <w:vAlign w:val="center"/>
            <w:hideMark/>
          </w:tcPr>
          <w:p w14:paraId="43A53661" w14:textId="77777777" w:rsidR="006976BB" w:rsidRPr="00D618B7" w:rsidRDefault="006976BB" w:rsidP="004B11B7">
            <w:pPr>
              <w:jc w:val="right"/>
              <w:rPr>
                <w:color w:val="000000"/>
                <w:sz w:val="22"/>
                <w:szCs w:val="22"/>
              </w:rPr>
            </w:pPr>
            <w:r w:rsidRPr="00D618B7">
              <w:rPr>
                <w:color w:val="000000"/>
                <w:sz w:val="22"/>
                <w:szCs w:val="22"/>
              </w:rPr>
              <w:t>908.27</w:t>
            </w:r>
          </w:p>
        </w:tc>
        <w:tc>
          <w:tcPr>
            <w:tcW w:w="635" w:type="pct"/>
            <w:tcBorders>
              <w:top w:val="nil"/>
              <w:left w:val="nil"/>
              <w:bottom w:val="nil"/>
              <w:right w:val="nil"/>
            </w:tcBorders>
            <w:shd w:val="clear" w:color="000000" w:fill="FFFFFF"/>
            <w:noWrap/>
            <w:vAlign w:val="center"/>
            <w:hideMark/>
          </w:tcPr>
          <w:p w14:paraId="3424129D" w14:textId="77777777" w:rsidR="006976BB" w:rsidRPr="00D618B7" w:rsidRDefault="006976BB" w:rsidP="004B11B7">
            <w:pPr>
              <w:jc w:val="right"/>
              <w:rPr>
                <w:color w:val="000000"/>
                <w:sz w:val="22"/>
                <w:szCs w:val="22"/>
              </w:rPr>
            </w:pPr>
            <w:r w:rsidRPr="00D618B7">
              <w:rPr>
                <w:color w:val="000000"/>
                <w:sz w:val="22"/>
                <w:szCs w:val="22"/>
              </w:rPr>
              <w:t>544.46</w:t>
            </w:r>
          </w:p>
        </w:tc>
      </w:tr>
      <w:tr w:rsidR="006976BB" w:rsidRPr="00D618B7" w14:paraId="1A1BA2B1" w14:textId="77777777" w:rsidTr="00990BE1">
        <w:trPr>
          <w:trHeight w:val="264"/>
        </w:trPr>
        <w:tc>
          <w:tcPr>
            <w:tcW w:w="755" w:type="pct"/>
            <w:tcBorders>
              <w:top w:val="nil"/>
              <w:left w:val="nil"/>
              <w:bottom w:val="nil"/>
              <w:right w:val="nil"/>
            </w:tcBorders>
            <w:shd w:val="clear" w:color="000000" w:fill="FFFFFF"/>
            <w:vAlign w:val="center"/>
            <w:hideMark/>
          </w:tcPr>
          <w:p w14:paraId="592DF3FE" w14:textId="77777777" w:rsidR="006976BB" w:rsidRPr="00D618B7" w:rsidRDefault="006976BB" w:rsidP="004B11B7">
            <w:pPr>
              <w:jc w:val="right"/>
              <w:rPr>
                <w:color w:val="000000"/>
                <w:sz w:val="22"/>
                <w:szCs w:val="22"/>
              </w:rPr>
            </w:pPr>
            <w:r w:rsidRPr="00D618B7">
              <w:rPr>
                <w:color w:val="000000"/>
                <w:sz w:val="22"/>
                <w:szCs w:val="22"/>
              </w:rPr>
              <w:t>0</w:t>
            </w:r>
          </w:p>
        </w:tc>
        <w:tc>
          <w:tcPr>
            <w:tcW w:w="583" w:type="pct"/>
            <w:tcBorders>
              <w:top w:val="nil"/>
              <w:left w:val="nil"/>
              <w:bottom w:val="nil"/>
              <w:right w:val="nil"/>
            </w:tcBorders>
            <w:shd w:val="clear" w:color="000000" w:fill="FFFFFF"/>
            <w:noWrap/>
            <w:vAlign w:val="center"/>
            <w:hideMark/>
          </w:tcPr>
          <w:p w14:paraId="52F63070" w14:textId="77777777" w:rsidR="006976BB" w:rsidRPr="00D618B7" w:rsidRDefault="006976BB" w:rsidP="004B11B7">
            <w:pPr>
              <w:jc w:val="right"/>
              <w:rPr>
                <w:color w:val="000000"/>
                <w:sz w:val="22"/>
                <w:szCs w:val="22"/>
              </w:rPr>
            </w:pPr>
            <w:r w:rsidRPr="00D618B7">
              <w:rPr>
                <w:color w:val="000000"/>
                <w:sz w:val="22"/>
                <w:szCs w:val="22"/>
              </w:rPr>
              <w:t>36.65</w:t>
            </w:r>
          </w:p>
        </w:tc>
        <w:tc>
          <w:tcPr>
            <w:tcW w:w="620" w:type="pct"/>
            <w:tcBorders>
              <w:top w:val="nil"/>
              <w:left w:val="nil"/>
              <w:bottom w:val="nil"/>
              <w:right w:val="nil"/>
            </w:tcBorders>
            <w:shd w:val="clear" w:color="000000" w:fill="FFFFFF"/>
            <w:noWrap/>
            <w:vAlign w:val="center"/>
            <w:hideMark/>
          </w:tcPr>
          <w:p w14:paraId="49AD185F" w14:textId="77777777" w:rsidR="006976BB" w:rsidRPr="00D618B7" w:rsidRDefault="006976BB" w:rsidP="004B11B7">
            <w:pPr>
              <w:jc w:val="right"/>
              <w:rPr>
                <w:color w:val="000000"/>
                <w:sz w:val="22"/>
                <w:szCs w:val="22"/>
              </w:rPr>
            </w:pPr>
            <w:r w:rsidRPr="00D618B7">
              <w:rPr>
                <w:color w:val="000000"/>
                <w:sz w:val="22"/>
                <w:szCs w:val="22"/>
              </w:rPr>
              <w:t>32.74</w:t>
            </w:r>
          </w:p>
        </w:tc>
        <w:tc>
          <w:tcPr>
            <w:tcW w:w="881" w:type="pct"/>
            <w:tcBorders>
              <w:top w:val="nil"/>
              <w:left w:val="nil"/>
              <w:bottom w:val="nil"/>
              <w:right w:val="nil"/>
            </w:tcBorders>
            <w:shd w:val="clear" w:color="000000" w:fill="FFFFFF"/>
            <w:noWrap/>
            <w:vAlign w:val="center"/>
            <w:hideMark/>
          </w:tcPr>
          <w:p w14:paraId="108CCCA1" w14:textId="77777777" w:rsidR="006976BB" w:rsidRPr="00D618B7" w:rsidRDefault="006976BB" w:rsidP="004B11B7">
            <w:pPr>
              <w:jc w:val="right"/>
              <w:rPr>
                <w:color w:val="000000"/>
                <w:sz w:val="22"/>
                <w:szCs w:val="22"/>
              </w:rPr>
            </w:pPr>
            <w:r w:rsidRPr="00D618B7">
              <w:rPr>
                <w:color w:val="000000"/>
                <w:sz w:val="22"/>
                <w:szCs w:val="22"/>
              </w:rPr>
              <w:t>-23.24</w:t>
            </w:r>
          </w:p>
        </w:tc>
        <w:tc>
          <w:tcPr>
            <w:tcW w:w="614" w:type="pct"/>
            <w:tcBorders>
              <w:top w:val="nil"/>
              <w:left w:val="nil"/>
              <w:bottom w:val="nil"/>
              <w:right w:val="nil"/>
            </w:tcBorders>
            <w:shd w:val="clear" w:color="000000" w:fill="FFFFFF"/>
            <w:noWrap/>
            <w:vAlign w:val="center"/>
            <w:hideMark/>
          </w:tcPr>
          <w:p w14:paraId="04930758" w14:textId="77777777" w:rsidR="006976BB" w:rsidRPr="00D618B7" w:rsidRDefault="006976BB" w:rsidP="004B11B7">
            <w:pPr>
              <w:jc w:val="right"/>
              <w:rPr>
                <w:color w:val="000000"/>
                <w:sz w:val="22"/>
                <w:szCs w:val="22"/>
              </w:rPr>
            </w:pPr>
            <w:r w:rsidRPr="00D618B7">
              <w:rPr>
                <w:color w:val="000000"/>
                <w:sz w:val="22"/>
                <w:szCs w:val="22"/>
              </w:rPr>
              <w:t>17.51</w:t>
            </w:r>
          </w:p>
        </w:tc>
        <w:tc>
          <w:tcPr>
            <w:tcW w:w="912" w:type="pct"/>
            <w:tcBorders>
              <w:top w:val="nil"/>
              <w:left w:val="nil"/>
              <w:bottom w:val="nil"/>
              <w:right w:val="nil"/>
            </w:tcBorders>
            <w:shd w:val="clear" w:color="000000" w:fill="FFFFFF"/>
            <w:noWrap/>
            <w:vAlign w:val="center"/>
            <w:hideMark/>
          </w:tcPr>
          <w:p w14:paraId="178D800E" w14:textId="77777777" w:rsidR="006976BB" w:rsidRPr="00D618B7" w:rsidRDefault="006976BB" w:rsidP="004B11B7">
            <w:pPr>
              <w:jc w:val="right"/>
              <w:rPr>
                <w:color w:val="000000"/>
                <w:sz w:val="22"/>
                <w:szCs w:val="22"/>
              </w:rPr>
            </w:pPr>
            <w:r w:rsidRPr="00D618B7">
              <w:rPr>
                <w:color w:val="000000"/>
                <w:sz w:val="22"/>
                <w:szCs w:val="22"/>
              </w:rPr>
              <w:t>516.08</w:t>
            </w:r>
          </w:p>
        </w:tc>
        <w:tc>
          <w:tcPr>
            <w:tcW w:w="635" w:type="pct"/>
            <w:tcBorders>
              <w:top w:val="nil"/>
              <w:left w:val="nil"/>
              <w:bottom w:val="nil"/>
              <w:right w:val="nil"/>
            </w:tcBorders>
            <w:shd w:val="clear" w:color="000000" w:fill="FFFFFF"/>
            <w:noWrap/>
            <w:vAlign w:val="center"/>
            <w:hideMark/>
          </w:tcPr>
          <w:p w14:paraId="2A765EB2" w14:textId="77777777" w:rsidR="006976BB" w:rsidRPr="00D618B7" w:rsidRDefault="006976BB" w:rsidP="004B11B7">
            <w:pPr>
              <w:jc w:val="right"/>
              <w:rPr>
                <w:color w:val="000000"/>
                <w:sz w:val="22"/>
                <w:szCs w:val="22"/>
              </w:rPr>
            </w:pPr>
            <w:r w:rsidRPr="00D618B7">
              <w:rPr>
                <w:color w:val="000000"/>
                <w:sz w:val="22"/>
                <w:szCs w:val="22"/>
              </w:rPr>
              <w:t>270.38</w:t>
            </w:r>
          </w:p>
        </w:tc>
      </w:tr>
      <w:tr w:rsidR="006976BB" w:rsidRPr="00D618B7" w14:paraId="11BF7E79" w14:textId="77777777" w:rsidTr="00990BE1">
        <w:trPr>
          <w:trHeight w:val="264"/>
        </w:trPr>
        <w:tc>
          <w:tcPr>
            <w:tcW w:w="755" w:type="pct"/>
            <w:tcBorders>
              <w:top w:val="nil"/>
              <w:left w:val="nil"/>
              <w:bottom w:val="nil"/>
              <w:right w:val="nil"/>
            </w:tcBorders>
            <w:shd w:val="clear" w:color="000000" w:fill="FFFFFF"/>
            <w:vAlign w:val="center"/>
            <w:hideMark/>
          </w:tcPr>
          <w:p w14:paraId="313D137A" w14:textId="77777777" w:rsidR="006976BB" w:rsidRPr="00D618B7" w:rsidRDefault="006976BB" w:rsidP="004B11B7">
            <w:pPr>
              <w:jc w:val="right"/>
              <w:rPr>
                <w:color w:val="000000"/>
                <w:sz w:val="22"/>
                <w:szCs w:val="22"/>
              </w:rPr>
            </w:pPr>
            <w:r w:rsidRPr="00D618B7">
              <w:rPr>
                <w:color w:val="000000"/>
                <w:sz w:val="22"/>
                <w:szCs w:val="22"/>
              </w:rPr>
              <w:t>1</w:t>
            </w:r>
          </w:p>
        </w:tc>
        <w:tc>
          <w:tcPr>
            <w:tcW w:w="583" w:type="pct"/>
            <w:tcBorders>
              <w:top w:val="nil"/>
              <w:left w:val="nil"/>
              <w:bottom w:val="nil"/>
              <w:right w:val="nil"/>
            </w:tcBorders>
            <w:shd w:val="clear" w:color="000000" w:fill="FFFFFF"/>
            <w:noWrap/>
            <w:vAlign w:val="center"/>
            <w:hideMark/>
          </w:tcPr>
          <w:p w14:paraId="0F210B7C" w14:textId="77777777" w:rsidR="006976BB" w:rsidRPr="00D618B7" w:rsidRDefault="006976BB" w:rsidP="004B11B7">
            <w:pPr>
              <w:jc w:val="right"/>
              <w:rPr>
                <w:color w:val="000000"/>
                <w:sz w:val="22"/>
                <w:szCs w:val="22"/>
              </w:rPr>
            </w:pPr>
            <w:r w:rsidRPr="00D618B7">
              <w:rPr>
                <w:color w:val="000000"/>
                <w:sz w:val="22"/>
                <w:szCs w:val="22"/>
              </w:rPr>
              <w:t>-10.35</w:t>
            </w:r>
          </w:p>
        </w:tc>
        <w:tc>
          <w:tcPr>
            <w:tcW w:w="620" w:type="pct"/>
            <w:tcBorders>
              <w:top w:val="nil"/>
              <w:left w:val="nil"/>
              <w:bottom w:val="nil"/>
              <w:right w:val="nil"/>
            </w:tcBorders>
            <w:shd w:val="clear" w:color="000000" w:fill="FFFFFF"/>
            <w:noWrap/>
            <w:vAlign w:val="center"/>
            <w:hideMark/>
          </w:tcPr>
          <w:p w14:paraId="01C25790" w14:textId="77777777" w:rsidR="006976BB" w:rsidRPr="00D618B7" w:rsidRDefault="006976BB" w:rsidP="004B11B7">
            <w:pPr>
              <w:jc w:val="right"/>
              <w:rPr>
                <w:color w:val="000000"/>
                <w:sz w:val="22"/>
                <w:szCs w:val="22"/>
              </w:rPr>
            </w:pPr>
            <w:r w:rsidRPr="00D618B7">
              <w:rPr>
                <w:color w:val="000000"/>
                <w:sz w:val="22"/>
                <w:szCs w:val="22"/>
              </w:rPr>
              <w:t>3.88</w:t>
            </w:r>
          </w:p>
        </w:tc>
        <w:tc>
          <w:tcPr>
            <w:tcW w:w="881" w:type="pct"/>
            <w:tcBorders>
              <w:top w:val="nil"/>
              <w:left w:val="nil"/>
              <w:bottom w:val="nil"/>
              <w:right w:val="nil"/>
            </w:tcBorders>
            <w:shd w:val="clear" w:color="000000" w:fill="FFFFFF"/>
            <w:noWrap/>
            <w:vAlign w:val="center"/>
            <w:hideMark/>
          </w:tcPr>
          <w:p w14:paraId="17A5D5AE" w14:textId="77777777" w:rsidR="006976BB" w:rsidRPr="00D618B7" w:rsidRDefault="006976BB" w:rsidP="004B11B7">
            <w:pPr>
              <w:jc w:val="right"/>
              <w:rPr>
                <w:color w:val="000000"/>
                <w:sz w:val="22"/>
                <w:szCs w:val="22"/>
              </w:rPr>
            </w:pPr>
            <w:r w:rsidRPr="00D618B7">
              <w:rPr>
                <w:color w:val="000000"/>
                <w:sz w:val="22"/>
                <w:szCs w:val="22"/>
              </w:rPr>
              <w:t>22.55</w:t>
            </w:r>
          </w:p>
        </w:tc>
        <w:tc>
          <w:tcPr>
            <w:tcW w:w="614" w:type="pct"/>
            <w:tcBorders>
              <w:top w:val="nil"/>
              <w:left w:val="nil"/>
              <w:bottom w:val="nil"/>
              <w:right w:val="nil"/>
            </w:tcBorders>
            <w:shd w:val="clear" w:color="000000" w:fill="FFFFFF"/>
            <w:noWrap/>
            <w:vAlign w:val="center"/>
            <w:hideMark/>
          </w:tcPr>
          <w:p w14:paraId="500327B0" w14:textId="77777777" w:rsidR="006976BB" w:rsidRPr="00D618B7" w:rsidRDefault="006976BB" w:rsidP="004B11B7">
            <w:pPr>
              <w:jc w:val="right"/>
              <w:rPr>
                <w:color w:val="000000"/>
                <w:sz w:val="22"/>
                <w:szCs w:val="22"/>
              </w:rPr>
            </w:pPr>
            <w:r w:rsidRPr="00D618B7">
              <w:rPr>
                <w:color w:val="000000"/>
                <w:sz w:val="22"/>
                <w:szCs w:val="22"/>
              </w:rPr>
              <w:t>21.43</w:t>
            </w:r>
          </w:p>
        </w:tc>
        <w:tc>
          <w:tcPr>
            <w:tcW w:w="912" w:type="pct"/>
            <w:tcBorders>
              <w:top w:val="nil"/>
              <w:left w:val="nil"/>
              <w:bottom w:val="nil"/>
              <w:right w:val="nil"/>
            </w:tcBorders>
            <w:shd w:val="clear" w:color="000000" w:fill="FFFFFF"/>
            <w:noWrap/>
            <w:vAlign w:val="center"/>
            <w:hideMark/>
          </w:tcPr>
          <w:p w14:paraId="2416739D" w14:textId="77777777" w:rsidR="006976BB" w:rsidRPr="00D618B7" w:rsidRDefault="006976BB" w:rsidP="004B11B7">
            <w:pPr>
              <w:jc w:val="right"/>
              <w:rPr>
                <w:color w:val="000000"/>
                <w:sz w:val="22"/>
                <w:szCs w:val="22"/>
              </w:rPr>
            </w:pPr>
            <w:r w:rsidRPr="00D618B7">
              <w:rPr>
                <w:color w:val="000000"/>
                <w:sz w:val="22"/>
                <w:szCs w:val="22"/>
              </w:rPr>
              <w:t>3099.67</w:t>
            </w:r>
          </w:p>
        </w:tc>
        <w:tc>
          <w:tcPr>
            <w:tcW w:w="635" w:type="pct"/>
            <w:tcBorders>
              <w:top w:val="nil"/>
              <w:left w:val="nil"/>
              <w:bottom w:val="nil"/>
              <w:right w:val="nil"/>
            </w:tcBorders>
            <w:shd w:val="clear" w:color="000000" w:fill="FFFFFF"/>
            <w:noWrap/>
            <w:vAlign w:val="center"/>
            <w:hideMark/>
          </w:tcPr>
          <w:p w14:paraId="0C5E1E5D" w14:textId="77777777" w:rsidR="006976BB" w:rsidRPr="00D618B7" w:rsidRDefault="006976BB" w:rsidP="004B11B7">
            <w:pPr>
              <w:jc w:val="right"/>
              <w:rPr>
                <w:color w:val="000000"/>
                <w:sz w:val="22"/>
                <w:szCs w:val="22"/>
              </w:rPr>
            </w:pPr>
            <w:r w:rsidRPr="00D618B7">
              <w:rPr>
                <w:color w:val="000000"/>
                <w:sz w:val="22"/>
                <w:szCs w:val="22"/>
              </w:rPr>
              <w:t>2027.11</w:t>
            </w:r>
          </w:p>
        </w:tc>
      </w:tr>
      <w:tr w:rsidR="006976BB" w:rsidRPr="00D618B7" w14:paraId="1CC65F54" w14:textId="77777777" w:rsidTr="00990BE1">
        <w:trPr>
          <w:trHeight w:val="264"/>
        </w:trPr>
        <w:tc>
          <w:tcPr>
            <w:tcW w:w="755" w:type="pct"/>
            <w:tcBorders>
              <w:top w:val="nil"/>
              <w:left w:val="nil"/>
              <w:bottom w:val="nil"/>
              <w:right w:val="nil"/>
            </w:tcBorders>
            <w:shd w:val="clear" w:color="000000" w:fill="FFFFFF"/>
            <w:vAlign w:val="center"/>
            <w:hideMark/>
          </w:tcPr>
          <w:p w14:paraId="7A63B3A2" w14:textId="77777777" w:rsidR="006976BB" w:rsidRPr="00D618B7" w:rsidRDefault="006976BB" w:rsidP="004B11B7">
            <w:pPr>
              <w:jc w:val="right"/>
              <w:rPr>
                <w:color w:val="000000"/>
                <w:sz w:val="22"/>
                <w:szCs w:val="22"/>
              </w:rPr>
            </w:pPr>
            <w:r w:rsidRPr="00D618B7">
              <w:rPr>
                <w:color w:val="000000"/>
                <w:sz w:val="22"/>
                <w:szCs w:val="22"/>
              </w:rPr>
              <w:t>2</w:t>
            </w:r>
          </w:p>
        </w:tc>
        <w:tc>
          <w:tcPr>
            <w:tcW w:w="583" w:type="pct"/>
            <w:tcBorders>
              <w:top w:val="nil"/>
              <w:left w:val="nil"/>
              <w:bottom w:val="nil"/>
              <w:right w:val="nil"/>
            </w:tcBorders>
            <w:shd w:val="clear" w:color="000000" w:fill="FFFFFF"/>
            <w:noWrap/>
            <w:vAlign w:val="center"/>
            <w:hideMark/>
          </w:tcPr>
          <w:p w14:paraId="5DEF3939" w14:textId="77777777" w:rsidR="006976BB" w:rsidRPr="00D618B7" w:rsidRDefault="006976BB" w:rsidP="004B11B7">
            <w:pPr>
              <w:jc w:val="right"/>
              <w:rPr>
                <w:color w:val="000000"/>
                <w:sz w:val="22"/>
                <w:szCs w:val="22"/>
              </w:rPr>
            </w:pPr>
            <w:r w:rsidRPr="00D618B7">
              <w:rPr>
                <w:color w:val="000000"/>
                <w:sz w:val="22"/>
                <w:szCs w:val="22"/>
              </w:rPr>
              <w:t>91.66</w:t>
            </w:r>
          </w:p>
        </w:tc>
        <w:tc>
          <w:tcPr>
            <w:tcW w:w="620" w:type="pct"/>
            <w:tcBorders>
              <w:top w:val="nil"/>
              <w:left w:val="nil"/>
              <w:bottom w:val="nil"/>
              <w:right w:val="nil"/>
            </w:tcBorders>
            <w:shd w:val="clear" w:color="000000" w:fill="FFFFFF"/>
            <w:noWrap/>
            <w:vAlign w:val="center"/>
            <w:hideMark/>
          </w:tcPr>
          <w:p w14:paraId="3D7324C9" w14:textId="77777777" w:rsidR="006976BB" w:rsidRPr="00D618B7" w:rsidRDefault="006976BB" w:rsidP="004B11B7">
            <w:pPr>
              <w:jc w:val="right"/>
              <w:rPr>
                <w:color w:val="000000"/>
                <w:sz w:val="22"/>
                <w:szCs w:val="22"/>
              </w:rPr>
            </w:pPr>
            <w:r w:rsidRPr="00D618B7">
              <w:rPr>
                <w:color w:val="000000"/>
                <w:sz w:val="22"/>
                <w:szCs w:val="22"/>
              </w:rPr>
              <w:t>22.69</w:t>
            </w:r>
          </w:p>
        </w:tc>
        <w:tc>
          <w:tcPr>
            <w:tcW w:w="881" w:type="pct"/>
            <w:tcBorders>
              <w:top w:val="nil"/>
              <w:left w:val="nil"/>
              <w:bottom w:val="nil"/>
              <w:right w:val="nil"/>
            </w:tcBorders>
            <w:shd w:val="clear" w:color="000000" w:fill="FFFFFF"/>
            <w:noWrap/>
            <w:vAlign w:val="center"/>
            <w:hideMark/>
          </w:tcPr>
          <w:p w14:paraId="05570E23" w14:textId="77777777" w:rsidR="006976BB" w:rsidRPr="00D618B7" w:rsidRDefault="006976BB" w:rsidP="004B11B7">
            <w:pPr>
              <w:jc w:val="right"/>
              <w:rPr>
                <w:color w:val="000000"/>
                <w:sz w:val="22"/>
                <w:szCs w:val="22"/>
              </w:rPr>
            </w:pPr>
            <w:r w:rsidRPr="00D618B7">
              <w:rPr>
                <w:color w:val="000000"/>
                <w:sz w:val="22"/>
                <w:szCs w:val="22"/>
              </w:rPr>
              <w:t>-39.49</w:t>
            </w:r>
          </w:p>
        </w:tc>
        <w:tc>
          <w:tcPr>
            <w:tcW w:w="614" w:type="pct"/>
            <w:tcBorders>
              <w:top w:val="nil"/>
              <w:left w:val="nil"/>
              <w:bottom w:val="nil"/>
              <w:right w:val="nil"/>
            </w:tcBorders>
            <w:shd w:val="clear" w:color="000000" w:fill="FFFFFF"/>
            <w:noWrap/>
            <w:vAlign w:val="center"/>
            <w:hideMark/>
          </w:tcPr>
          <w:p w14:paraId="77C60364" w14:textId="77777777" w:rsidR="006976BB" w:rsidRPr="00D618B7" w:rsidRDefault="006976BB" w:rsidP="004B11B7">
            <w:pPr>
              <w:jc w:val="right"/>
              <w:rPr>
                <w:color w:val="000000"/>
                <w:sz w:val="22"/>
                <w:szCs w:val="22"/>
              </w:rPr>
            </w:pPr>
            <w:r w:rsidRPr="00D618B7">
              <w:rPr>
                <w:color w:val="000000"/>
                <w:sz w:val="22"/>
                <w:szCs w:val="22"/>
              </w:rPr>
              <w:t>7.20</w:t>
            </w:r>
          </w:p>
        </w:tc>
        <w:tc>
          <w:tcPr>
            <w:tcW w:w="912" w:type="pct"/>
            <w:tcBorders>
              <w:top w:val="nil"/>
              <w:left w:val="nil"/>
              <w:bottom w:val="nil"/>
              <w:right w:val="nil"/>
            </w:tcBorders>
            <w:shd w:val="clear" w:color="000000" w:fill="FFFFFF"/>
            <w:noWrap/>
            <w:vAlign w:val="center"/>
            <w:hideMark/>
          </w:tcPr>
          <w:p w14:paraId="027D19C1" w14:textId="77777777" w:rsidR="006976BB" w:rsidRPr="00D618B7" w:rsidRDefault="006976BB" w:rsidP="004B11B7">
            <w:pPr>
              <w:jc w:val="right"/>
              <w:rPr>
                <w:color w:val="000000"/>
                <w:sz w:val="22"/>
                <w:szCs w:val="22"/>
              </w:rPr>
            </w:pPr>
            <w:r w:rsidRPr="00D618B7">
              <w:rPr>
                <w:color w:val="000000"/>
                <w:sz w:val="22"/>
                <w:szCs w:val="22"/>
              </w:rPr>
              <w:t>1969.11</w:t>
            </w:r>
          </w:p>
        </w:tc>
        <w:tc>
          <w:tcPr>
            <w:tcW w:w="635" w:type="pct"/>
            <w:tcBorders>
              <w:top w:val="nil"/>
              <w:left w:val="nil"/>
              <w:bottom w:val="nil"/>
              <w:right w:val="nil"/>
            </w:tcBorders>
            <w:shd w:val="clear" w:color="000000" w:fill="FFFFFF"/>
            <w:noWrap/>
            <w:vAlign w:val="center"/>
            <w:hideMark/>
          </w:tcPr>
          <w:p w14:paraId="1451AF7F" w14:textId="77777777" w:rsidR="006976BB" w:rsidRPr="00D618B7" w:rsidRDefault="006976BB" w:rsidP="004B11B7">
            <w:pPr>
              <w:jc w:val="right"/>
              <w:rPr>
                <w:color w:val="000000"/>
                <w:sz w:val="22"/>
                <w:szCs w:val="22"/>
              </w:rPr>
            </w:pPr>
            <w:r w:rsidRPr="00D618B7">
              <w:rPr>
                <w:color w:val="000000"/>
                <w:sz w:val="22"/>
                <w:szCs w:val="22"/>
              </w:rPr>
              <w:t>624.75</w:t>
            </w:r>
          </w:p>
        </w:tc>
      </w:tr>
      <w:tr w:rsidR="006976BB" w:rsidRPr="00D618B7" w14:paraId="1DFB716E" w14:textId="77777777" w:rsidTr="00990BE1">
        <w:trPr>
          <w:trHeight w:val="264"/>
        </w:trPr>
        <w:tc>
          <w:tcPr>
            <w:tcW w:w="755" w:type="pct"/>
            <w:tcBorders>
              <w:top w:val="nil"/>
              <w:left w:val="nil"/>
              <w:bottom w:val="nil"/>
              <w:right w:val="nil"/>
            </w:tcBorders>
            <w:shd w:val="clear" w:color="000000" w:fill="FFFFFF"/>
            <w:vAlign w:val="center"/>
            <w:hideMark/>
          </w:tcPr>
          <w:p w14:paraId="0143C8E0" w14:textId="77777777" w:rsidR="006976BB" w:rsidRPr="00D618B7" w:rsidRDefault="006976BB" w:rsidP="004B11B7">
            <w:pPr>
              <w:jc w:val="right"/>
              <w:rPr>
                <w:color w:val="000000"/>
                <w:sz w:val="22"/>
                <w:szCs w:val="22"/>
              </w:rPr>
            </w:pPr>
            <w:r w:rsidRPr="00D618B7">
              <w:rPr>
                <w:color w:val="000000"/>
                <w:sz w:val="22"/>
                <w:szCs w:val="22"/>
              </w:rPr>
              <w:t>3</w:t>
            </w:r>
          </w:p>
        </w:tc>
        <w:tc>
          <w:tcPr>
            <w:tcW w:w="583" w:type="pct"/>
            <w:tcBorders>
              <w:top w:val="nil"/>
              <w:left w:val="nil"/>
              <w:bottom w:val="nil"/>
              <w:right w:val="nil"/>
            </w:tcBorders>
            <w:shd w:val="clear" w:color="000000" w:fill="FFFFFF"/>
            <w:noWrap/>
            <w:vAlign w:val="center"/>
            <w:hideMark/>
          </w:tcPr>
          <w:p w14:paraId="207DE50F" w14:textId="77777777" w:rsidR="006976BB" w:rsidRPr="00D618B7" w:rsidRDefault="006976BB" w:rsidP="004B11B7">
            <w:pPr>
              <w:jc w:val="right"/>
              <w:rPr>
                <w:color w:val="000000"/>
                <w:sz w:val="22"/>
                <w:szCs w:val="22"/>
              </w:rPr>
            </w:pPr>
            <w:r w:rsidRPr="00D618B7">
              <w:rPr>
                <w:color w:val="000000"/>
                <w:sz w:val="22"/>
                <w:szCs w:val="22"/>
              </w:rPr>
              <w:t>-18.03</w:t>
            </w:r>
          </w:p>
        </w:tc>
        <w:tc>
          <w:tcPr>
            <w:tcW w:w="620" w:type="pct"/>
            <w:tcBorders>
              <w:top w:val="nil"/>
              <w:left w:val="nil"/>
              <w:bottom w:val="nil"/>
              <w:right w:val="nil"/>
            </w:tcBorders>
            <w:shd w:val="clear" w:color="000000" w:fill="FFFFFF"/>
            <w:noWrap/>
            <w:vAlign w:val="center"/>
            <w:hideMark/>
          </w:tcPr>
          <w:p w14:paraId="18C94652" w14:textId="77777777" w:rsidR="006976BB" w:rsidRPr="00D618B7" w:rsidRDefault="006976BB" w:rsidP="004B11B7">
            <w:pPr>
              <w:jc w:val="right"/>
              <w:rPr>
                <w:color w:val="000000"/>
                <w:sz w:val="22"/>
                <w:szCs w:val="22"/>
              </w:rPr>
            </w:pPr>
            <w:r w:rsidRPr="00D618B7">
              <w:rPr>
                <w:color w:val="000000"/>
                <w:sz w:val="22"/>
                <w:szCs w:val="22"/>
              </w:rPr>
              <w:t>15.02</w:t>
            </w:r>
          </w:p>
        </w:tc>
        <w:tc>
          <w:tcPr>
            <w:tcW w:w="881" w:type="pct"/>
            <w:tcBorders>
              <w:top w:val="nil"/>
              <w:left w:val="nil"/>
              <w:bottom w:val="nil"/>
              <w:right w:val="nil"/>
            </w:tcBorders>
            <w:shd w:val="clear" w:color="000000" w:fill="FFFFFF"/>
            <w:noWrap/>
            <w:vAlign w:val="center"/>
            <w:hideMark/>
          </w:tcPr>
          <w:p w14:paraId="7C9B7CE8" w14:textId="77777777" w:rsidR="006976BB" w:rsidRPr="00D618B7" w:rsidRDefault="006976BB" w:rsidP="004B11B7">
            <w:pPr>
              <w:jc w:val="right"/>
              <w:rPr>
                <w:color w:val="000000"/>
                <w:sz w:val="22"/>
                <w:szCs w:val="22"/>
              </w:rPr>
            </w:pPr>
            <w:r w:rsidRPr="00D618B7">
              <w:rPr>
                <w:color w:val="000000"/>
                <w:sz w:val="22"/>
                <w:szCs w:val="22"/>
              </w:rPr>
              <w:t>46.09</w:t>
            </w:r>
          </w:p>
        </w:tc>
        <w:tc>
          <w:tcPr>
            <w:tcW w:w="614" w:type="pct"/>
            <w:tcBorders>
              <w:top w:val="nil"/>
              <w:left w:val="nil"/>
              <w:bottom w:val="nil"/>
              <w:right w:val="nil"/>
            </w:tcBorders>
            <w:shd w:val="clear" w:color="000000" w:fill="FFFFFF"/>
            <w:noWrap/>
            <w:vAlign w:val="center"/>
            <w:hideMark/>
          </w:tcPr>
          <w:p w14:paraId="7413D2EA" w14:textId="77777777" w:rsidR="006976BB" w:rsidRPr="00D618B7" w:rsidRDefault="006976BB" w:rsidP="004B11B7">
            <w:pPr>
              <w:jc w:val="right"/>
              <w:rPr>
                <w:color w:val="000000"/>
                <w:sz w:val="22"/>
                <w:szCs w:val="22"/>
              </w:rPr>
            </w:pPr>
            <w:r w:rsidRPr="00D618B7">
              <w:rPr>
                <w:color w:val="000000"/>
                <w:sz w:val="22"/>
                <w:szCs w:val="22"/>
              </w:rPr>
              <w:t>27.00</w:t>
            </w:r>
          </w:p>
        </w:tc>
        <w:tc>
          <w:tcPr>
            <w:tcW w:w="912" w:type="pct"/>
            <w:tcBorders>
              <w:top w:val="nil"/>
              <w:left w:val="nil"/>
              <w:bottom w:val="nil"/>
              <w:right w:val="nil"/>
            </w:tcBorders>
            <w:shd w:val="clear" w:color="000000" w:fill="FFFFFF"/>
            <w:noWrap/>
            <w:vAlign w:val="center"/>
            <w:hideMark/>
          </w:tcPr>
          <w:p w14:paraId="378F628E" w14:textId="77777777" w:rsidR="006976BB" w:rsidRPr="00D618B7" w:rsidRDefault="006976BB" w:rsidP="004B11B7">
            <w:pPr>
              <w:jc w:val="right"/>
              <w:rPr>
                <w:color w:val="000000"/>
                <w:sz w:val="22"/>
                <w:szCs w:val="22"/>
              </w:rPr>
            </w:pPr>
            <w:r w:rsidRPr="00D618B7">
              <w:rPr>
                <w:color w:val="000000"/>
                <w:sz w:val="22"/>
                <w:szCs w:val="22"/>
              </w:rPr>
              <w:t>1043.10</w:t>
            </w:r>
          </w:p>
        </w:tc>
        <w:tc>
          <w:tcPr>
            <w:tcW w:w="635" w:type="pct"/>
            <w:tcBorders>
              <w:top w:val="nil"/>
              <w:left w:val="nil"/>
              <w:bottom w:val="nil"/>
              <w:right w:val="nil"/>
            </w:tcBorders>
            <w:shd w:val="clear" w:color="000000" w:fill="FFFFFF"/>
            <w:noWrap/>
            <w:vAlign w:val="center"/>
            <w:hideMark/>
          </w:tcPr>
          <w:p w14:paraId="12C4ABB1" w14:textId="77777777" w:rsidR="006976BB" w:rsidRPr="00D618B7" w:rsidRDefault="006976BB" w:rsidP="004B11B7">
            <w:pPr>
              <w:jc w:val="right"/>
              <w:rPr>
                <w:color w:val="000000"/>
                <w:sz w:val="22"/>
                <w:szCs w:val="22"/>
              </w:rPr>
            </w:pPr>
            <w:r w:rsidRPr="00D618B7">
              <w:rPr>
                <w:color w:val="000000"/>
                <w:sz w:val="22"/>
                <w:szCs w:val="22"/>
              </w:rPr>
              <w:t>75.80</w:t>
            </w:r>
          </w:p>
        </w:tc>
      </w:tr>
      <w:tr w:rsidR="006976BB" w:rsidRPr="00D618B7" w14:paraId="2197D510" w14:textId="77777777" w:rsidTr="00990BE1">
        <w:trPr>
          <w:trHeight w:val="264"/>
        </w:trPr>
        <w:tc>
          <w:tcPr>
            <w:tcW w:w="755" w:type="pct"/>
            <w:tcBorders>
              <w:top w:val="nil"/>
              <w:left w:val="nil"/>
              <w:right w:val="nil"/>
            </w:tcBorders>
            <w:shd w:val="clear" w:color="000000" w:fill="FFFFFF"/>
            <w:vAlign w:val="center"/>
            <w:hideMark/>
          </w:tcPr>
          <w:p w14:paraId="523B516A" w14:textId="77777777" w:rsidR="006976BB" w:rsidRPr="00D618B7" w:rsidRDefault="006976BB" w:rsidP="004B11B7">
            <w:pPr>
              <w:jc w:val="right"/>
              <w:rPr>
                <w:color w:val="000000"/>
                <w:sz w:val="22"/>
                <w:szCs w:val="22"/>
              </w:rPr>
            </w:pPr>
            <w:r w:rsidRPr="00D618B7">
              <w:rPr>
                <w:color w:val="000000"/>
                <w:sz w:val="22"/>
                <w:szCs w:val="22"/>
              </w:rPr>
              <w:t>4</w:t>
            </w:r>
          </w:p>
        </w:tc>
        <w:tc>
          <w:tcPr>
            <w:tcW w:w="583" w:type="pct"/>
            <w:tcBorders>
              <w:top w:val="nil"/>
              <w:left w:val="nil"/>
              <w:right w:val="nil"/>
            </w:tcBorders>
            <w:shd w:val="clear" w:color="000000" w:fill="FFFFFF"/>
            <w:noWrap/>
            <w:vAlign w:val="center"/>
            <w:hideMark/>
          </w:tcPr>
          <w:p w14:paraId="48AF4226" w14:textId="77777777" w:rsidR="006976BB" w:rsidRPr="00D618B7" w:rsidRDefault="006976BB" w:rsidP="004B11B7">
            <w:pPr>
              <w:jc w:val="right"/>
              <w:rPr>
                <w:color w:val="000000"/>
                <w:sz w:val="22"/>
                <w:szCs w:val="22"/>
              </w:rPr>
            </w:pPr>
            <w:r w:rsidRPr="00D618B7">
              <w:rPr>
                <w:color w:val="000000"/>
                <w:sz w:val="22"/>
                <w:szCs w:val="22"/>
              </w:rPr>
              <w:t>149.93</w:t>
            </w:r>
          </w:p>
        </w:tc>
        <w:tc>
          <w:tcPr>
            <w:tcW w:w="620" w:type="pct"/>
            <w:tcBorders>
              <w:top w:val="nil"/>
              <w:left w:val="nil"/>
              <w:right w:val="nil"/>
            </w:tcBorders>
            <w:shd w:val="clear" w:color="000000" w:fill="FFFFFF"/>
            <w:noWrap/>
            <w:vAlign w:val="center"/>
            <w:hideMark/>
          </w:tcPr>
          <w:p w14:paraId="06898233" w14:textId="77777777" w:rsidR="006976BB" w:rsidRPr="00D618B7" w:rsidRDefault="006976BB" w:rsidP="004B11B7">
            <w:pPr>
              <w:jc w:val="right"/>
              <w:rPr>
                <w:color w:val="000000"/>
                <w:sz w:val="22"/>
                <w:szCs w:val="22"/>
              </w:rPr>
            </w:pPr>
            <w:r w:rsidRPr="00D618B7">
              <w:rPr>
                <w:color w:val="000000"/>
                <w:sz w:val="22"/>
                <w:szCs w:val="22"/>
              </w:rPr>
              <w:t>38.71</w:t>
            </w:r>
          </w:p>
        </w:tc>
        <w:tc>
          <w:tcPr>
            <w:tcW w:w="881" w:type="pct"/>
            <w:tcBorders>
              <w:top w:val="nil"/>
              <w:left w:val="nil"/>
              <w:right w:val="nil"/>
            </w:tcBorders>
            <w:shd w:val="clear" w:color="000000" w:fill="FFFFFF"/>
            <w:noWrap/>
            <w:vAlign w:val="center"/>
            <w:hideMark/>
          </w:tcPr>
          <w:p w14:paraId="6454A28F" w14:textId="77777777" w:rsidR="006976BB" w:rsidRPr="00D618B7" w:rsidRDefault="006976BB" w:rsidP="004B11B7">
            <w:pPr>
              <w:jc w:val="right"/>
              <w:rPr>
                <w:color w:val="000000"/>
                <w:sz w:val="22"/>
                <w:szCs w:val="22"/>
              </w:rPr>
            </w:pPr>
            <w:r w:rsidRPr="00D618B7">
              <w:rPr>
                <w:color w:val="000000"/>
                <w:sz w:val="22"/>
                <w:szCs w:val="22"/>
              </w:rPr>
              <w:t>-16.86</w:t>
            </w:r>
          </w:p>
        </w:tc>
        <w:tc>
          <w:tcPr>
            <w:tcW w:w="614" w:type="pct"/>
            <w:tcBorders>
              <w:top w:val="nil"/>
              <w:left w:val="nil"/>
              <w:right w:val="nil"/>
            </w:tcBorders>
            <w:shd w:val="clear" w:color="000000" w:fill="FFFFFF"/>
            <w:noWrap/>
            <w:vAlign w:val="center"/>
            <w:hideMark/>
          </w:tcPr>
          <w:p w14:paraId="1DED4575" w14:textId="77777777" w:rsidR="006976BB" w:rsidRPr="00D618B7" w:rsidRDefault="006976BB" w:rsidP="004B11B7">
            <w:pPr>
              <w:jc w:val="right"/>
              <w:rPr>
                <w:color w:val="000000"/>
                <w:sz w:val="22"/>
                <w:szCs w:val="22"/>
              </w:rPr>
            </w:pPr>
            <w:r w:rsidRPr="00D618B7">
              <w:rPr>
                <w:color w:val="000000"/>
                <w:sz w:val="22"/>
                <w:szCs w:val="22"/>
              </w:rPr>
              <w:t>25.44</w:t>
            </w:r>
          </w:p>
        </w:tc>
        <w:tc>
          <w:tcPr>
            <w:tcW w:w="912" w:type="pct"/>
            <w:tcBorders>
              <w:top w:val="nil"/>
              <w:left w:val="nil"/>
              <w:right w:val="nil"/>
            </w:tcBorders>
            <w:shd w:val="clear" w:color="000000" w:fill="FFFFFF"/>
            <w:noWrap/>
            <w:vAlign w:val="center"/>
            <w:hideMark/>
          </w:tcPr>
          <w:p w14:paraId="328E567F" w14:textId="77777777" w:rsidR="006976BB" w:rsidRPr="00D618B7" w:rsidRDefault="006976BB" w:rsidP="004B11B7">
            <w:pPr>
              <w:jc w:val="right"/>
              <w:rPr>
                <w:color w:val="000000"/>
                <w:sz w:val="22"/>
                <w:szCs w:val="22"/>
              </w:rPr>
            </w:pPr>
            <w:r w:rsidRPr="00D618B7">
              <w:rPr>
                <w:color w:val="000000"/>
                <w:sz w:val="22"/>
                <w:szCs w:val="22"/>
              </w:rPr>
              <w:t>2849.16</w:t>
            </w:r>
          </w:p>
        </w:tc>
        <w:tc>
          <w:tcPr>
            <w:tcW w:w="635" w:type="pct"/>
            <w:tcBorders>
              <w:top w:val="nil"/>
              <w:left w:val="nil"/>
              <w:right w:val="nil"/>
            </w:tcBorders>
            <w:shd w:val="clear" w:color="000000" w:fill="FFFFFF"/>
            <w:noWrap/>
            <w:vAlign w:val="center"/>
            <w:hideMark/>
          </w:tcPr>
          <w:p w14:paraId="19991A6F" w14:textId="77777777" w:rsidR="006976BB" w:rsidRPr="00D618B7" w:rsidRDefault="006976BB" w:rsidP="004B11B7">
            <w:pPr>
              <w:jc w:val="right"/>
              <w:rPr>
                <w:color w:val="000000"/>
                <w:sz w:val="22"/>
                <w:szCs w:val="22"/>
              </w:rPr>
            </w:pPr>
            <w:r w:rsidRPr="00D618B7">
              <w:rPr>
                <w:color w:val="000000"/>
                <w:sz w:val="22"/>
                <w:szCs w:val="22"/>
              </w:rPr>
              <w:t>490.87</w:t>
            </w:r>
          </w:p>
        </w:tc>
      </w:tr>
      <w:tr w:rsidR="006976BB" w:rsidRPr="00D618B7" w14:paraId="40944691" w14:textId="77777777" w:rsidTr="00990BE1">
        <w:trPr>
          <w:trHeight w:val="85"/>
        </w:trPr>
        <w:tc>
          <w:tcPr>
            <w:tcW w:w="755" w:type="pct"/>
            <w:tcBorders>
              <w:top w:val="nil"/>
              <w:left w:val="nil"/>
              <w:bottom w:val="single" w:sz="18" w:space="0" w:color="auto"/>
              <w:right w:val="nil"/>
            </w:tcBorders>
            <w:shd w:val="clear" w:color="000000" w:fill="FFFFFF"/>
            <w:vAlign w:val="center"/>
            <w:hideMark/>
          </w:tcPr>
          <w:p w14:paraId="58D59E41" w14:textId="77777777" w:rsidR="006976BB" w:rsidRPr="00D618B7" w:rsidRDefault="006976BB" w:rsidP="004B11B7">
            <w:pPr>
              <w:jc w:val="right"/>
              <w:rPr>
                <w:color w:val="000000"/>
                <w:sz w:val="22"/>
                <w:szCs w:val="22"/>
              </w:rPr>
            </w:pPr>
            <w:r w:rsidRPr="00D618B7">
              <w:rPr>
                <w:color w:val="000000"/>
                <w:sz w:val="22"/>
                <w:szCs w:val="22"/>
              </w:rPr>
              <w:t>5</w:t>
            </w:r>
          </w:p>
        </w:tc>
        <w:tc>
          <w:tcPr>
            <w:tcW w:w="583" w:type="pct"/>
            <w:tcBorders>
              <w:top w:val="nil"/>
              <w:left w:val="nil"/>
              <w:bottom w:val="single" w:sz="18" w:space="0" w:color="auto"/>
              <w:right w:val="nil"/>
            </w:tcBorders>
            <w:shd w:val="clear" w:color="000000" w:fill="FFFFFF"/>
            <w:noWrap/>
            <w:vAlign w:val="center"/>
            <w:hideMark/>
          </w:tcPr>
          <w:p w14:paraId="1624FC7B" w14:textId="77777777" w:rsidR="006976BB" w:rsidRPr="00D618B7" w:rsidRDefault="006976BB" w:rsidP="004B11B7">
            <w:pPr>
              <w:jc w:val="right"/>
              <w:rPr>
                <w:color w:val="000000"/>
                <w:sz w:val="22"/>
                <w:szCs w:val="22"/>
              </w:rPr>
            </w:pPr>
            <w:r w:rsidRPr="00D618B7">
              <w:rPr>
                <w:color w:val="000000"/>
                <w:sz w:val="22"/>
                <w:szCs w:val="22"/>
              </w:rPr>
              <w:t>-30.99</w:t>
            </w:r>
          </w:p>
        </w:tc>
        <w:tc>
          <w:tcPr>
            <w:tcW w:w="620" w:type="pct"/>
            <w:tcBorders>
              <w:top w:val="nil"/>
              <w:left w:val="nil"/>
              <w:bottom w:val="single" w:sz="18" w:space="0" w:color="auto"/>
              <w:right w:val="nil"/>
            </w:tcBorders>
            <w:shd w:val="clear" w:color="000000" w:fill="FFFFFF"/>
            <w:noWrap/>
            <w:vAlign w:val="center"/>
            <w:hideMark/>
          </w:tcPr>
          <w:p w14:paraId="23F6BE7F" w14:textId="77777777" w:rsidR="006976BB" w:rsidRPr="00D618B7" w:rsidRDefault="006976BB" w:rsidP="004B11B7">
            <w:pPr>
              <w:jc w:val="right"/>
              <w:rPr>
                <w:color w:val="000000"/>
                <w:sz w:val="22"/>
                <w:szCs w:val="22"/>
              </w:rPr>
            </w:pPr>
            <w:r w:rsidRPr="00D618B7">
              <w:rPr>
                <w:color w:val="000000"/>
                <w:sz w:val="22"/>
                <w:szCs w:val="22"/>
              </w:rPr>
              <w:t>38.19</w:t>
            </w:r>
          </w:p>
        </w:tc>
        <w:tc>
          <w:tcPr>
            <w:tcW w:w="881" w:type="pct"/>
            <w:tcBorders>
              <w:top w:val="nil"/>
              <w:left w:val="nil"/>
              <w:bottom w:val="single" w:sz="18" w:space="0" w:color="auto"/>
              <w:right w:val="nil"/>
            </w:tcBorders>
            <w:shd w:val="clear" w:color="000000" w:fill="FFFFFF"/>
            <w:noWrap/>
            <w:vAlign w:val="center"/>
            <w:hideMark/>
          </w:tcPr>
          <w:p w14:paraId="4BF6D05F" w14:textId="77777777" w:rsidR="006976BB" w:rsidRPr="00D618B7" w:rsidRDefault="006976BB" w:rsidP="004B11B7">
            <w:pPr>
              <w:jc w:val="right"/>
              <w:rPr>
                <w:color w:val="000000"/>
                <w:sz w:val="22"/>
                <w:szCs w:val="22"/>
              </w:rPr>
            </w:pPr>
            <w:r w:rsidRPr="00D618B7">
              <w:rPr>
                <w:color w:val="000000"/>
                <w:sz w:val="22"/>
                <w:szCs w:val="22"/>
              </w:rPr>
              <w:t>-99.27</w:t>
            </w:r>
          </w:p>
        </w:tc>
        <w:tc>
          <w:tcPr>
            <w:tcW w:w="614" w:type="pct"/>
            <w:tcBorders>
              <w:top w:val="nil"/>
              <w:left w:val="nil"/>
              <w:bottom w:val="single" w:sz="18" w:space="0" w:color="auto"/>
              <w:right w:val="nil"/>
            </w:tcBorders>
            <w:shd w:val="clear" w:color="000000" w:fill="FFFFFF"/>
            <w:noWrap/>
            <w:vAlign w:val="center"/>
            <w:hideMark/>
          </w:tcPr>
          <w:p w14:paraId="56A4BC3B" w14:textId="77777777" w:rsidR="006976BB" w:rsidRPr="00D618B7" w:rsidRDefault="006976BB" w:rsidP="004B11B7">
            <w:pPr>
              <w:jc w:val="right"/>
              <w:rPr>
                <w:color w:val="000000"/>
                <w:sz w:val="22"/>
                <w:szCs w:val="22"/>
              </w:rPr>
            </w:pPr>
            <w:r w:rsidRPr="00D618B7">
              <w:rPr>
                <w:color w:val="000000"/>
                <w:sz w:val="22"/>
                <w:szCs w:val="22"/>
              </w:rPr>
              <w:t>85.59</w:t>
            </w:r>
          </w:p>
        </w:tc>
        <w:tc>
          <w:tcPr>
            <w:tcW w:w="912" w:type="pct"/>
            <w:tcBorders>
              <w:top w:val="nil"/>
              <w:left w:val="nil"/>
              <w:bottom w:val="single" w:sz="18" w:space="0" w:color="auto"/>
              <w:right w:val="nil"/>
            </w:tcBorders>
            <w:shd w:val="clear" w:color="000000" w:fill="FFFFFF"/>
            <w:noWrap/>
            <w:vAlign w:val="center"/>
            <w:hideMark/>
          </w:tcPr>
          <w:p w14:paraId="08D5F69C" w14:textId="77777777" w:rsidR="006976BB" w:rsidRPr="00D618B7" w:rsidRDefault="006976BB" w:rsidP="004B11B7">
            <w:pPr>
              <w:jc w:val="right"/>
              <w:rPr>
                <w:color w:val="000000"/>
                <w:sz w:val="22"/>
                <w:szCs w:val="22"/>
              </w:rPr>
            </w:pPr>
            <w:r w:rsidRPr="00D618B7">
              <w:rPr>
                <w:color w:val="000000"/>
                <w:sz w:val="22"/>
                <w:szCs w:val="22"/>
              </w:rPr>
              <w:t>92.47</w:t>
            </w:r>
          </w:p>
        </w:tc>
        <w:tc>
          <w:tcPr>
            <w:tcW w:w="635" w:type="pct"/>
            <w:tcBorders>
              <w:top w:val="nil"/>
              <w:left w:val="nil"/>
              <w:bottom w:val="single" w:sz="18" w:space="0" w:color="auto"/>
              <w:right w:val="nil"/>
            </w:tcBorders>
            <w:shd w:val="clear" w:color="000000" w:fill="FFFFFF"/>
            <w:noWrap/>
            <w:vAlign w:val="center"/>
            <w:hideMark/>
          </w:tcPr>
          <w:p w14:paraId="1362639D" w14:textId="77777777" w:rsidR="006976BB" w:rsidRPr="00D618B7" w:rsidRDefault="006976BB" w:rsidP="004B11B7">
            <w:pPr>
              <w:jc w:val="right"/>
              <w:rPr>
                <w:color w:val="000000"/>
                <w:sz w:val="22"/>
                <w:szCs w:val="22"/>
              </w:rPr>
            </w:pPr>
            <w:r w:rsidRPr="00D618B7">
              <w:rPr>
                <w:color w:val="000000"/>
                <w:sz w:val="22"/>
                <w:szCs w:val="22"/>
              </w:rPr>
              <w:t>50.82</w:t>
            </w:r>
          </w:p>
        </w:tc>
      </w:tr>
    </w:tbl>
    <w:p w14:paraId="7DC45F01" w14:textId="046C0A16" w:rsidR="00A602D4" w:rsidRPr="00D618B7" w:rsidRDefault="006976BB" w:rsidP="006976BB">
      <w:r w:rsidRPr="00D618B7">
        <w:rPr>
          <w:i/>
          <w:iCs/>
        </w:rPr>
        <w:t>Note</w:t>
      </w:r>
      <w:r w:rsidRPr="00D618B7">
        <w:t>: This table lists the estimated mean average duration and standard error in milliseconds for face, hand, and mouth events for toy-out-of-reach, toy-moving-into-reach, and toy-in-reach by reach group for each week of observation around reach-onset.</w:t>
      </w:r>
    </w:p>
    <w:p w14:paraId="3DAA00A0" w14:textId="77777777" w:rsidR="006069E6" w:rsidRPr="00D618B7" w:rsidRDefault="006069E6" w:rsidP="006069E6">
      <w:r w:rsidRPr="00D618B7">
        <w:rPr>
          <w:noProof/>
        </w:rPr>
        <w:lastRenderedPageBreak/>
        <w:drawing>
          <wp:inline distT="0" distB="0" distL="0" distR="0" wp14:anchorId="70579A9E" wp14:editId="0D24143F">
            <wp:extent cx="5943600" cy="2648585"/>
            <wp:effectExtent l="0" t="0" r="0" b="0"/>
            <wp:docPr id="271017676" name="Chart 1">
              <a:extLst xmlns:a="http://schemas.openxmlformats.org/drawingml/2006/main">
                <a:ext uri="{FF2B5EF4-FFF2-40B4-BE49-F238E27FC236}">
                  <a16:creationId xmlns:a16="http://schemas.microsoft.com/office/drawing/2014/main" id="{9BA6F329-E272-5708-3305-E4B324300E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25E3BDA" w14:textId="59521ED4" w:rsidR="001A50DE" w:rsidRDefault="001A50DE" w:rsidP="000B5C72">
      <w:pPr>
        <w:pStyle w:val="Caption"/>
      </w:pPr>
      <w:bookmarkStart w:id="226" w:name="_Toc172716969"/>
      <w:r w:rsidRPr="00D618B7">
        <w:t xml:space="preserve">Figure </w:t>
      </w:r>
      <w:r>
        <w:fldChar w:fldCharType="begin"/>
      </w:r>
      <w:r>
        <w:instrText xml:space="preserve"> SEQ Figure \* ARABIC </w:instrText>
      </w:r>
      <w:r>
        <w:fldChar w:fldCharType="separate"/>
      </w:r>
      <w:r>
        <w:rPr>
          <w:noProof/>
        </w:rPr>
        <w:t>29</w:t>
      </w:r>
      <w:r>
        <w:rPr>
          <w:noProof/>
        </w:rPr>
        <w:fldChar w:fldCharType="end"/>
      </w:r>
      <w:r>
        <w:rPr>
          <w:noProof/>
        </w:rPr>
        <w:t>:</w:t>
      </w:r>
      <w:r w:rsidRPr="005171ED">
        <w:t xml:space="preserve"> </w:t>
      </w:r>
      <w:r>
        <w:t>Reach proportion and latency by group</w:t>
      </w:r>
      <w:bookmarkEnd w:id="226"/>
    </w:p>
    <w:p w14:paraId="6EFF9A1A" w14:textId="642ADAC8" w:rsidR="001A50DE" w:rsidRPr="00D618B7" w:rsidRDefault="001A50DE" w:rsidP="001A50DE">
      <w:r w:rsidRPr="00D618B7">
        <w:t>Estimated Proportion of reach overlayed with Latency to Reach by Week and Group</w:t>
      </w:r>
      <w:r>
        <w:t>.</w:t>
      </w:r>
    </w:p>
    <w:p w14:paraId="3DE6D577" w14:textId="78EB5376" w:rsidR="006069E6" w:rsidRPr="00D618B7" w:rsidRDefault="006069E6" w:rsidP="006069E6">
      <w:r w:rsidRPr="00D618B7">
        <w:rPr>
          <w:i/>
          <w:iCs/>
        </w:rPr>
        <w:t>Note</w:t>
      </w:r>
      <w:r w:rsidRPr="00D618B7">
        <w:t>. This figure illustrates the estimated proportion of reach and latency to reach in milliseconds for each week following reach-onset. Bars show the proportion of reach. Error bars show the standard error of proportion. The line shows the latency to reach.</w:t>
      </w:r>
    </w:p>
    <w:p w14:paraId="033451E2" w14:textId="77777777" w:rsidR="00D05BE2" w:rsidRPr="00D618B7" w:rsidRDefault="00D05BE2" w:rsidP="006069E6"/>
    <w:p w14:paraId="7723C90F" w14:textId="77777777" w:rsidR="00D05BE2" w:rsidRPr="00D618B7" w:rsidRDefault="00D05BE2" w:rsidP="006069E6"/>
    <w:p w14:paraId="725A15FF" w14:textId="6A7B7F7D" w:rsidR="00324080" w:rsidRPr="00D618B7" w:rsidRDefault="00324080" w:rsidP="007C5074">
      <w:pPr>
        <w:pStyle w:val="Caption"/>
      </w:pPr>
      <w:bookmarkStart w:id="227" w:name="_Toc172716907"/>
      <w:r w:rsidRPr="00D618B7">
        <w:t xml:space="preserve">Table </w:t>
      </w:r>
      <w:r w:rsidR="00000000">
        <w:fldChar w:fldCharType="begin"/>
      </w:r>
      <w:r w:rsidR="00000000">
        <w:instrText xml:space="preserve"> SEQ Table \* ARABIC </w:instrText>
      </w:r>
      <w:r w:rsidR="00000000">
        <w:fldChar w:fldCharType="separate"/>
      </w:r>
      <w:r w:rsidR="000C6E43">
        <w:rPr>
          <w:noProof/>
        </w:rPr>
        <w:t>79</w:t>
      </w:r>
      <w:r w:rsidR="00000000">
        <w:rPr>
          <w:noProof/>
        </w:rPr>
        <w:fldChar w:fldCharType="end"/>
      </w:r>
      <w:r w:rsidR="00AE3927">
        <w:rPr>
          <w:noProof/>
        </w:rPr>
        <w:t>:</w:t>
      </w:r>
      <w:r w:rsidR="005171ED" w:rsidRPr="005171ED">
        <w:t xml:space="preserve"> </w:t>
      </w:r>
      <w:r w:rsidR="005171ED">
        <w:t>Latency by group</w:t>
      </w:r>
      <w:bookmarkEnd w:id="227"/>
    </w:p>
    <w:p w14:paraId="050AC902" w14:textId="6502DC00" w:rsidR="00324080" w:rsidRPr="00D618B7" w:rsidRDefault="00324080" w:rsidP="00324080">
      <w:r w:rsidRPr="00D618B7">
        <w:t xml:space="preserve">Estimated </w:t>
      </w:r>
      <w:r w:rsidR="005171ED">
        <w:t>Average Latency to Reach by Group</w:t>
      </w:r>
      <w:r w:rsidRPr="00D618B7">
        <w:t>.</w:t>
      </w:r>
    </w:p>
    <w:p w14:paraId="1E342B40" w14:textId="77777777" w:rsidR="00D05BE2" w:rsidRPr="00D618B7" w:rsidRDefault="00D05BE2" w:rsidP="006069E6"/>
    <w:tbl>
      <w:tblPr>
        <w:tblW w:w="7540" w:type="dxa"/>
        <w:tblLook w:val="04A0" w:firstRow="1" w:lastRow="0" w:firstColumn="1" w:lastColumn="0" w:noHBand="0" w:noVBand="1"/>
      </w:tblPr>
      <w:tblGrid>
        <w:gridCol w:w="5620"/>
        <w:gridCol w:w="1041"/>
        <w:gridCol w:w="1041"/>
      </w:tblGrid>
      <w:tr w:rsidR="0009678C" w:rsidRPr="00D618B7" w14:paraId="089BFE94" w14:textId="77777777" w:rsidTr="0009678C">
        <w:trPr>
          <w:trHeight w:val="300"/>
        </w:trPr>
        <w:tc>
          <w:tcPr>
            <w:tcW w:w="5620" w:type="dxa"/>
            <w:tcBorders>
              <w:top w:val="single" w:sz="4" w:space="0" w:color="auto"/>
              <w:left w:val="nil"/>
              <w:bottom w:val="single" w:sz="8" w:space="0" w:color="auto"/>
              <w:right w:val="nil"/>
            </w:tcBorders>
            <w:shd w:val="clear" w:color="000000" w:fill="FFFFFF"/>
            <w:noWrap/>
            <w:vAlign w:val="bottom"/>
            <w:hideMark/>
          </w:tcPr>
          <w:p w14:paraId="77D4ADB0" w14:textId="77777777" w:rsidR="0009678C" w:rsidRPr="00D618B7" w:rsidRDefault="0009678C" w:rsidP="0009678C">
            <w:pPr>
              <w:rPr>
                <w:color w:val="000000"/>
                <w:sz w:val="22"/>
                <w:szCs w:val="22"/>
              </w:rPr>
            </w:pPr>
            <w:r w:rsidRPr="00D618B7">
              <w:rPr>
                <w:color w:val="000000"/>
                <w:sz w:val="22"/>
                <w:szCs w:val="22"/>
              </w:rPr>
              <w:t>Group</w:t>
            </w:r>
          </w:p>
        </w:tc>
        <w:tc>
          <w:tcPr>
            <w:tcW w:w="960" w:type="dxa"/>
            <w:tcBorders>
              <w:top w:val="single" w:sz="4" w:space="0" w:color="auto"/>
              <w:left w:val="nil"/>
              <w:bottom w:val="single" w:sz="8" w:space="0" w:color="auto"/>
              <w:right w:val="nil"/>
            </w:tcBorders>
            <w:shd w:val="clear" w:color="000000" w:fill="FFFFFF"/>
            <w:noWrap/>
            <w:vAlign w:val="bottom"/>
            <w:hideMark/>
          </w:tcPr>
          <w:p w14:paraId="35183E3C" w14:textId="77777777" w:rsidR="0009678C" w:rsidRPr="00D618B7" w:rsidRDefault="0009678C" w:rsidP="0009678C">
            <w:pPr>
              <w:rPr>
                <w:color w:val="000000"/>
                <w:sz w:val="22"/>
                <w:szCs w:val="22"/>
              </w:rPr>
            </w:pPr>
            <w:r w:rsidRPr="00D618B7">
              <w:rPr>
                <w:color w:val="000000"/>
                <w:sz w:val="22"/>
                <w:szCs w:val="22"/>
              </w:rPr>
              <w:t>Mean</w:t>
            </w:r>
          </w:p>
        </w:tc>
        <w:tc>
          <w:tcPr>
            <w:tcW w:w="960" w:type="dxa"/>
            <w:tcBorders>
              <w:top w:val="single" w:sz="4" w:space="0" w:color="auto"/>
              <w:left w:val="nil"/>
              <w:bottom w:val="single" w:sz="4" w:space="0" w:color="auto"/>
              <w:right w:val="nil"/>
            </w:tcBorders>
            <w:shd w:val="clear" w:color="000000" w:fill="FFFFFF"/>
            <w:noWrap/>
            <w:vAlign w:val="bottom"/>
            <w:hideMark/>
          </w:tcPr>
          <w:p w14:paraId="7E186307" w14:textId="77777777" w:rsidR="0009678C" w:rsidRPr="00D618B7" w:rsidRDefault="0009678C" w:rsidP="0009678C">
            <w:pPr>
              <w:rPr>
                <w:color w:val="000000"/>
                <w:sz w:val="22"/>
                <w:szCs w:val="22"/>
              </w:rPr>
            </w:pPr>
            <w:r w:rsidRPr="00D618B7">
              <w:rPr>
                <w:color w:val="000000"/>
                <w:sz w:val="22"/>
                <w:szCs w:val="22"/>
              </w:rPr>
              <w:t>Std. Error</w:t>
            </w:r>
          </w:p>
        </w:tc>
      </w:tr>
      <w:tr w:rsidR="0009678C" w:rsidRPr="00D618B7" w14:paraId="69D3CA93" w14:textId="77777777" w:rsidTr="0009678C">
        <w:trPr>
          <w:trHeight w:val="300"/>
        </w:trPr>
        <w:tc>
          <w:tcPr>
            <w:tcW w:w="5620" w:type="dxa"/>
            <w:tcBorders>
              <w:top w:val="single" w:sz="8" w:space="0" w:color="auto"/>
              <w:left w:val="nil"/>
              <w:bottom w:val="nil"/>
              <w:right w:val="nil"/>
            </w:tcBorders>
            <w:shd w:val="clear" w:color="000000" w:fill="FFFFFF"/>
            <w:noWrap/>
            <w:vAlign w:val="bottom"/>
            <w:hideMark/>
          </w:tcPr>
          <w:p w14:paraId="63823121" w14:textId="77777777" w:rsidR="0009678C" w:rsidRPr="00D618B7" w:rsidRDefault="0009678C" w:rsidP="0009678C">
            <w:pPr>
              <w:rPr>
                <w:color w:val="000000"/>
                <w:sz w:val="22"/>
                <w:szCs w:val="22"/>
              </w:rPr>
            </w:pPr>
            <w:r w:rsidRPr="00D618B7">
              <w:rPr>
                <w:color w:val="000000"/>
                <w:sz w:val="22"/>
                <w:szCs w:val="22"/>
              </w:rPr>
              <w:t>Early reach group</w:t>
            </w:r>
          </w:p>
        </w:tc>
        <w:tc>
          <w:tcPr>
            <w:tcW w:w="960" w:type="dxa"/>
            <w:tcBorders>
              <w:top w:val="single" w:sz="8" w:space="0" w:color="auto"/>
              <w:left w:val="nil"/>
              <w:bottom w:val="nil"/>
              <w:right w:val="nil"/>
            </w:tcBorders>
            <w:shd w:val="clear" w:color="000000" w:fill="FFFFFF"/>
            <w:noWrap/>
            <w:vAlign w:val="bottom"/>
            <w:hideMark/>
          </w:tcPr>
          <w:p w14:paraId="14A3B621" w14:textId="77777777" w:rsidR="0009678C" w:rsidRPr="00D618B7" w:rsidRDefault="0009678C" w:rsidP="0009678C">
            <w:pPr>
              <w:jc w:val="right"/>
              <w:rPr>
                <w:color w:val="000000"/>
                <w:sz w:val="22"/>
                <w:szCs w:val="22"/>
              </w:rPr>
            </w:pPr>
            <w:r w:rsidRPr="00D618B7">
              <w:rPr>
                <w:color w:val="000000"/>
                <w:sz w:val="22"/>
                <w:szCs w:val="22"/>
              </w:rPr>
              <w:t>1898.017</w:t>
            </w:r>
          </w:p>
        </w:tc>
        <w:tc>
          <w:tcPr>
            <w:tcW w:w="960" w:type="dxa"/>
            <w:tcBorders>
              <w:top w:val="nil"/>
              <w:left w:val="nil"/>
              <w:bottom w:val="nil"/>
              <w:right w:val="nil"/>
            </w:tcBorders>
            <w:shd w:val="clear" w:color="000000" w:fill="FFFFFF"/>
            <w:noWrap/>
            <w:vAlign w:val="bottom"/>
            <w:hideMark/>
          </w:tcPr>
          <w:p w14:paraId="678EBC1E" w14:textId="77777777" w:rsidR="0009678C" w:rsidRPr="00D618B7" w:rsidRDefault="0009678C" w:rsidP="0009678C">
            <w:pPr>
              <w:jc w:val="right"/>
              <w:rPr>
                <w:color w:val="000000"/>
                <w:sz w:val="22"/>
                <w:szCs w:val="22"/>
              </w:rPr>
            </w:pPr>
            <w:r w:rsidRPr="00D618B7">
              <w:rPr>
                <w:color w:val="000000"/>
                <w:sz w:val="22"/>
                <w:szCs w:val="22"/>
              </w:rPr>
              <w:t>1102.718</w:t>
            </w:r>
          </w:p>
        </w:tc>
      </w:tr>
      <w:tr w:rsidR="0009678C" w:rsidRPr="00D618B7" w14:paraId="6ED47115" w14:textId="77777777" w:rsidTr="0009678C">
        <w:trPr>
          <w:trHeight w:val="300"/>
        </w:trPr>
        <w:tc>
          <w:tcPr>
            <w:tcW w:w="5620" w:type="dxa"/>
            <w:tcBorders>
              <w:top w:val="nil"/>
              <w:left w:val="nil"/>
              <w:bottom w:val="single" w:sz="4" w:space="0" w:color="auto"/>
              <w:right w:val="nil"/>
            </w:tcBorders>
            <w:shd w:val="clear" w:color="000000" w:fill="FFFFFF"/>
            <w:noWrap/>
            <w:vAlign w:val="bottom"/>
            <w:hideMark/>
          </w:tcPr>
          <w:p w14:paraId="7D0F5705" w14:textId="77777777" w:rsidR="0009678C" w:rsidRPr="00D618B7" w:rsidRDefault="0009678C" w:rsidP="0009678C">
            <w:pPr>
              <w:rPr>
                <w:color w:val="000000"/>
                <w:sz w:val="22"/>
                <w:szCs w:val="22"/>
              </w:rPr>
            </w:pPr>
            <w:r w:rsidRPr="00D618B7">
              <w:rPr>
                <w:color w:val="000000"/>
                <w:sz w:val="22"/>
                <w:szCs w:val="22"/>
              </w:rPr>
              <w:t>Late reach group</w:t>
            </w:r>
          </w:p>
        </w:tc>
        <w:tc>
          <w:tcPr>
            <w:tcW w:w="960" w:type="dxa"/>
            <w:tcBorders>
              <w:top w:val="nil"/>
              <w:left w:val="nil"/>
              <w:bottom w:val="single" w:sz="4" w:space="0" w:color="auto"/>
              <w:right w:val="nil"/>
            </w:tcBorders>
            <w:shd w:val="clear" w:color="000000" w:fill="FFFFFF"/>
            <w:noWrap/>
            <w:vAlign w:val="bottom"/>
            <w:hideMark/>
          </w:tcPr>
          <w:p w14:paraId="508A510D" w14:textId="77777777" w:rsidR="0009678C" w:rsidRPr="00D618B7" w:rsidRDefault="0009678C" w:rsidP="0009678C">
            <w:pPr>
              <w:jc w:val="right"/>
              <w:rPr>
                <w:color w:val="000000"/>
                <w:sz w:val="22"/>
                <w:szCs w:val="22"/>
              </w:rPr>
            </w:pPr>
            <w:r w:rsidRPr="00D618B7">
              <w:rPr>
                <w:color w:val="000000"/>
                <w:sz w:val="22"/>
                <w:szCs w:val="22"/>
              </w:rPr>
              <w:t>1086.054</w:t>
            </w:r>
          </w:p>
        </w:tc>
        <w:tc>
          <w:tcPr>
            <w:tcW w:w="960" w:type="dxa"/>
            <w:tcBorders>
              <w:top w:val="nil"/>
              <w:left w:val="nil"/>
              <w:bottom w:val="single" w:sz="4" w:space="0" w:color="auto"/>
              <w:right w:val="nil"/>
            </w:tcBorders>
            <w:shd w:val="clear" w:color="000000" w:fill="FFFFFF"/>
            <w:noWrap/>
            <w:vAlign w:val="bottom"/>
            <w:hideMark/>
          </w:tcPr>
          <w:p w14:paraId="655451D6" w14:textId="77777777" w:rsidR="0009678C" w:rsidRPr="00D618B7" w:rsidRDefault="0009678C" w:rsidP="0009678C">
            <w:pPr>
              <w:jc w:val="right"/>
              <w:rPr>
                <w:color w:val="000000"/>
                <w:sz w:val="22"/>
                <w:szCs w:val="22"/>
              </w:rPr>
            </w:pPr>
            <w:r w:rsidRPr="00D618B7">
              <w:rPr>
                <w:color w:val="000000"/>
                <w:sz w:val="22"/>
                <w:szCs w:val="22"/>
              </w:rPr>
              <w:t>1112.749</w:t>
            </w:r>
          </w:p>
        </w:tc>
      </w:tr>
    </w:tbl>
    <w:p w14:paraId="3FA14F25" w14:textId="77777777" w:rsidR="00324080" w:rsidRPr="00D618B7" w:rsidRDefault="00324080" w:rsidP="00324080"/>
    <w:p w14:paraId="2A660999" w14:textId="6827C8E0" w:rsidR="00324080" w:rsidRPr="00D618B7" w:rsidRDefault="00324080" w:rsidP="00324080">
      <w:r w:rsidRPr="00D618B7">
        <w:rPr>
          <w:i/>
          <w:iCs/>
        </w:rPr>
        <w:t>Note</w:t>
      </w:r>
      <w:r w:rsidRPr="00D618B7">
        <w:t xml:space="preserve">: This table lists </w:t>
      </w:r>
      <w:r w:rsidR="000B5C72">
        <w:t>the estimated mean proportion and standard error of early and late reach groups</w:t>
      </w:r>
      <w:r w:rsidRPr="00D618B7">
        <w:t>.</w:t>
      </w:r>
    </w:p>
    <w:p w14:paraId="2AB9C880" w14:textId="77777777" w:rsidR="00D05BE2" w:rsidRPr="00D618B7" w:rsidRDefault="00D05BE2" w:rsidP="006069E6"/>
    <w:p w14:paraId="2022D16E" w14:textId="77777777" w:rsidR="00D05BE2" w:rsidRPr="00D618B7" w:rsidRDefault="00D05BE2" w:rsidP="006069E6"/>
    <w:p w14:paraId="2C3A397C" w14:textId="77777777" w:rsidR="00D05BE2" w:rsidRPr="00D618B7" w:rsidRDefault="00D05BE2" w:rsidP="006069E6"/>
    <w:p w14:paraId="5B15E004" w14:textId="77777777" w:rsidR="00D05BE2" w:rsidRPr="00D618B7" w:rsidRDefault="00D05BE2" w:rsidP="006069E6"/>
    <w:p w14:paraId="3C76896E" w14:textId="77777777" w:rsidR="00D05BE2" w:rsidRPr="00D618B7" w:rsidRDefault="00D05BE2" w:rsidP="006069E6"/>
    <w:p w14:paraId="02E17990" w14:textId="77777777" w:rsidR="00D05BE2" w:rsidRPr="00D618B7" w:rsidRDefault="00D05BE2" w:rsidP="006069E6"/>
    <w:p w14:paraId="0C9A2DAA" w14:textId="77777777" w:rsidR="00D05BE2" w:rsidRPr="00D618B7" w:rsidRDefault="00D05BE2" w:rsidP="006069E6"/>
    <w:p w14:paraId="70300337" w14:textId="77777777" w:rsidR="00D05BE2" w:rsidRPr="00D618B7" w:rsidRDefault="00D05BE2" w:rsidP="006069E6"/>
    <w:p w14:paraId="593453EF" w14:textId="77777777" w:rsidR="00D05BE2" w:rsidRPr="00D618B7" w:rsidRDefault="00D05BE2" w:rsidP="006069E6"/>
    <w:p w14:paraId="4D6C386E" w14:textId="77777777" w:rsidR="00D05BE2" w:rsidRPr="00D618B7" w:rsidRDefault="00D05BE2" w:rsidP="006069E6"/>
    <w:p w14:paraId="46B023EC" w14:textId="77777777" w:rsidR="00D05BE2" w:rsidRPr="00D618B7" w:rsidRDefault="00D05BE2" w:rsidP="006069E6"/>
    <w:p w14:paraId="62961106" w14:textId="4301BF13" w:rsidR="003C7BA7" w:rsidRPr="00D618B7" w:rsidRDefault="003C7BA7" w:rsidP="007C5074">
      <w:pPr>
        <w:pStyle w:val="Caption"/>
      </w:pPr>
      <w:bookmarkStart w:id="228" w:name="_Toc172716908"/>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80</w:t>
      </w:r>
      <w:r w:rsidR="00000000">
        <w:rPr>
          <w:noProof/>
        </w:rPr>
        <w:fldChar w:fldCharType="end"/>
      </w:r>
      <w:r w:rsidR="00AE3927">
        <w:rPr>
          <w:noProof/>
        </w:rPr>
        <w:t>:</w:t>
      </w:r>
      <w:r w:rsidR="00D060E7" w:rsidRPr="00D060E7">
        <w:t xml:space="preserve"> </w:t>
      </w:r>
      <w:r w:rsidR="00D060E7">
        <w:t>Latency by week by group</w:t>
      </w:r>
      <w:bookmarkEnd w:id="228"/>
    </w:p>
    <w:p w14:paraId="486EA5D7" w14:textId="590E4FA0" w:rsidR="00D05BE2" w:rsidRPr="00D618B7" w:rsidRDefault="00D05BE2" w:rsidP="00D05BE2">
      <w:r w:rsidRPr="00D618B7">
        <w:t xml:space="preserve">Estimated </w:t>
      </w:r>
      <w:r w:rsidR="00D060E7">
        <w:t xml:space="preserve">Average Latency to Reach </w:t>
      </w:r>
      <w:r w:rsidRPr="00D618B7">
        <w:t>by Week Following Reach-onset</w:t>
      </w:r>
      <w:r w:rsidR="00D060E7">
        <w:t xml:space="preserve"> by Group</w:t>
      </w:r>
      <w:r w:rsidRPr="00D618B7">
        <w:t>.</w:t>
      </w:r>
    </w:p>
    <w:tbl>
      <w:tblPr>
        <w:tblW w:w="5000" w:type="pct"/>
        <w:tblLook w:val="04A0" w:firstRow="1" w:lastRow="0" w:firstColumn="1" w:lastColumn="0" w:noHBand="0" w:noVBand="1"/>
      </w:tblPr>
      <w:tblGrid>
        <w:gridCol w:w="1604"/>
        <w:gridCol w:w="1759"/>
        <w:gridCol w:w="1759"/>
        <w:gridCol w:w="1759"/>
        <w:gridCol w:w="1759"/>
      </w:tblGrid>
      <w:tr w:rsidR="00D05BE2" w:rsidRPr="00D618B7" w14:paraId="61733039" w14:textId="77777777" w:rsidTr="0009678C">
        <w:trPr>
          <w:trHeight w:val="643"/>
        </w:trPr>
        <w:tc>
          <w:tcPr>
            <w:tcW w:w="928" w:type="pct"/>
            <w:tcBorders>
              <w:top w:val="single" w:sz="12" w:space="0" w:color="auto"/>
              <w:left w:val="nil"/>
              <w:bottom w:val="nil"/>
              <w:right w:val="nil"/>
            </w:tcBorders>
            <w:shd w:val="clear" w:color="000000" w:fill="FFFFFF"/>
            <w:vAlign w:val="center"/>
            <w:hideMark/>
          </w:tcPr>
          <w:p w14:paraId="57DD0B09" w14:textId="77777777" w:rsidR="00D05BE2" w:rsidRPr="00D618B7" w:rsidRDefault="00D05BE2" w:rsidP="004B11B7">
            <w:pPr>
              <w:rPr>
                <w:color w:val="000000"/>
              </w:rPr>
            </w:pPr>
            <w:r w:rsidRPr="00D618B7">
              <w:rPr>
                <w:color w:val="000000"/>
              </w:rPr>
              <w:t>Week</w:t>
            </w:r>
          </w:p>
        </w:tc>
        <w:tc>
          <w:tcPr>
            <w:tcW w:w="2036" w:type="pct"/>
            <w:gridSpan w:val="2"/>
            <w:tcBorders>
              <w:top w:val="single" w:sz="12" w:space="0" w:color="auto"/>
              <w:left w:val="nil"/>
              <w:bottom w:val="single" w:sz="12" w:space="0" w:color="auto"/>
              <w:right w:val="nil"/>
            </w:tcBorders>
            <w:shd w:val="clear" w:color="000000" w:fill="FFFFFF"/>
            <w:vAlign w:val="center"/>
            <w:hideMark/>
          </w:tcPr>
          <w:p w14:paraId="55FD419E" w14:textId="77777777" w:rsidR="00D05BE2" w:rsidRPr="00D618B7" w:rsidRDefault="00D05BE2" w:rsidP="004B11B7">
            <w:pPr>
              <w:jc w:val="center"/>
              <w:rPr>
                <w:color w:val="000000"/>
              </w:rPr>
            </w:pPr>
            <w:r w:rsidRPr="00D618B7">
              <w:rPr>
                <w:color w:val="000000"/>
              </w:rPr>
              <w:t>Early Reach Group</w:t>
            </w:r>
          </w:p>
        </w:tc>
        <w:tc>
          <w:tcPr>
            <w:tcW w:w="2036" w:type="pct"/>
            <w:gridSpan w:val="2"/>
            <w:tcBorders>
              <w:top w:val="single" w:sz="12" w:space="0" w:color="auto"/>
              <w:left w:val="nil"/>
              <w:bottom w:val="single" w:sz="12" w:space="0" w:color="auto"/>
              <w:right w:val="nil"/>
            </w:tcBorders>
            <w:shd w:val="clear" w:color="000000" w:fill="FFFFFF"/>
            <w:vAlign w:val="center"/>
            <w:hideMark/>
          </w:tcPr>
          <w:p w14:paraId="6FCB3312" w14:textId="77777777" w:rsidR="00D05BE2" w:rsidRPr="00D618B7" w:rsidRDefault="00D05BE2" w:rsidP="004B11B7">
            <w:pPr>
              <w:jc w:val="center"/>
              <w:rPr>
                <w:color w:val="000000"/>
              </w:rPr>
            </w:pPr>
            <w:r w:rsidRPr="00D618B7">
              <w:rPr>
                <w:color w:val="000000"/>
              </w:rPr>
              <w:t>Late Reach Group</w:t>
            </w:r>
          </w:p>
        </w:tc>
      </w:tr>
      <w:tr w:rsidR="00D05BE2" w:rsidRPr="00D618B7" w14:paraId="2921F456" w14:textId="77777777" w:rsidTr="0009678C">
        <w:trPr>
          <w:trHeight w:val="354"/>
        </w:trPr>
        <w:tc>
          <w:tcPr>
            <w:tcW w:w="928" w:type="pct"/>
            <w:tcBorders>
              <w:top w:val="nil"/>
              <w:left w:val="nil"/>
              <w:bottom w:val="single" w:sz="12" w:space="0" w:color="auto"/>
              <w:right w:val="nil"/>
            </w:tcBorders>
            <w:shd w:val="clear" w:color="000000" w:fill="FFFFFF"/>
            <w:noWrap/>
            <w:vAlign w:val="center"/>
            <w:hideMark/>
          </w:tcPr>
          <w:p w14:paraId="1B0DF01F" w14:textId="77777777" w:rsidR="00D05BE2" w:rsidRPr="00D618B7" w:rsidRDefault="00D05BE2" w:rsidP="004B11B7">
            <w:pPr>
              <w:rPr>
                <w:color w:val="000000"/>
              </w:rPr>
            </w:pPr>
            <w:r w:rsidRPr="00D618B7">
              <w:rPr>
                <w:color w:val="000000"/>
              </w:rPr>
              <w:t> </w:t>
            </w:r>
          </w:p>
        </w:tc>
        <w:tc>
          <w:tcPr>
            <w:tcW w:w="1018" w:type="pct"/>
            <w:tcBorders>
              <w:top w:val="nil"/>
              <w:left w:val="nil"/>
              <w:bottom w:val="single" w:sz="12" w:space="0" w:color="auto"/>
              <w:right w:val="nil"/>
            </w:tcBorders>
            <w:shd w:val="clear" w:color="000000" w:fill="FFFFFF"/>
            <w:noWrap/>
            <w:vAlign w:val="center"/>
            <w:hideMark/>
          </w:tcPr>
          <w:p w14:paraId="00C1A0F2" w14:textId="77777777" w:rsidR="00D05BE2" w:rsidRPr="00D618B7" w:rsidRDefault="00D05BE2" w:rsidP="004B11B7">
            <w:pPr>
              <w:jc w:val="right"/>
              <w:rPr>
                <w:color w:val="000000"/>
              </w:rPr>
            </w:pPr>
            <w:r w:rsidRPr="00D618B7">
              <w:rPr>
                <w:color w:val="000000"/>
              </w:rPr>
              <w:t>Mean</w:t>
            </w:r>
          </w:p>
        </w:tc>
        <w:tc>
          <w:tcPr>
            <w:tcW w:w="1018" w:type="pct"/>
            <w:tcBorders>
              <w:top w:val="nil"/>
              <w:left w:val="nil"/>
              <w:bottom w:val="single" w:sz="12" w:space="0" w:color="auto"/>
              <w:right w:val="nil"/>
            </w:tcBorders>
            <w:shd w:val="clear" w:color="000000" w:fill="FFFFFF"/>
            <w:noWrap/>
            <w:vAlign w:val="center"/>
            <w:hideMark/>
          </w:tcPr>
          <w:p w14:paraId="1F480290" w14:textId="77777777" w:rsidR="00D05BE2" w:rsidRPr="00D618B7" w:rsidRDefault="00D05BE2" w:rsidP="004B11B7">
            <w:pPr>
              <w:jc w:val="right"/>
              <w:rPr>
                <w:color w:val="000000"/>
              </w:rPr>
            </w:pPr>
            <w:r w:rsidRPr="00D618B7">
              <w:rPr>
                <w:color w:val="000000"/>
              </w:rPr>
              <w:t>Std. Error</w:t>
            </w:r>
          </w:p>
        </w:tc>
        <w:tc>
          <w:tcPr>
            <w:tcW w:w="1018" w:type="pct"/>
            <w:tcBorders>
              <w:top w:val="nil"/>
              <w:left w:val="nil"/>
              <w:bottom w:val="single" w:sz="12" w:space="0" w:color="auto"/>
              <w:right w:val="nil"/>
            </w:tcBorders>
            <w:shd w:val="clear" w:color="000000" w:fill="FFFFFF"/>
            <w:noWrap/>
            <w:vAlign w:val="center"/>
            <w:hideMark/>
          </w:tcPr>
          <w:p w14:paraId="28970CF5" w14:textId="77777777" w:rsidR="00D05BE2" w:rsidRPr="00D618B7" w:rsidRDefault="00D05BE2" w:rsidP="004B11B7">
            <w:pPr>
              <w:jc w:val="right"/>
              <w:rPr>
                <w:color w:val="000000"/>
              </w:rPr>
            </w:pPr>
            <w:r w:rsidRPr="00D618B7">
              <w:rPr>
                <w:color w:val="000000"/>
              </w:rPr>
              <w:t>Mean</w:t>
            </w:r>
          </w:p>
        </w:tc>
        <w:tc>
          <w:tcPr>
            <w:tcW w:w="1018" w:type="pct"/>
            <w:tcBorders>
              <w:top w:val="nil"/>
              <w:left w:val="nil"/>
              <w:bottom w:val="single" w:sz="12" w:space="0" w:color="auto"/>
              <w:right w:val="nil"/>
            </w:tcBorders>
            <w:shd w:val="clear" w:color="000000" w:fill="FFFFFF"/>
            <w:noWrap/>
            <w:vAlign w:val="center"/>
            <w:hideMark/>
          </w:tcPr>
          <w:p w14:paraId="45D8CC49" w14:textId="77777777" w:rsidR="00D05BE2" w:rsidRPr="00D618B7" w:rsidRDefault="00D05BE2" w:rsidP="004B11B7">
            <w:pPr>
              <w:jc w:val="right"/>
              <w:rPr>
                <w:color w:val="000000"/>
              </w:rPr>
            </w:pPr>
            <w:r w:rsidRPr="00D618B7">
              <w:rPr>
                <w:color w:val="000000"/>
              </w:rPr>
              <w:t>Std. Error</w:t>
            </w:r>
          </w:p>
        </w:tc>
      </w:tr>
      <w:tr w:rsidR="00D05BE2" w:rsidRPr="00D618B7" w14:paraId="3F842295" w14:textId="77777777" w:rsidTr="0009678C">
        <w:trPr>
          <w:trHeight w:val="338"/>
        </w:trPr>
        <w:tc>
          <w:tcPr>
            <w:tcW w:w="928" w:type="pct"/>
            <w:tcBorders>
              <w:top w:val="nil"/>
              <w:left w:val="nil"/>
              <w:bottom w:val="nil"/>
              <w:right w:val="nil"/>
            </w:tcBorders>
            <w:shd w:val="clear" w:color="000000" w:fill="FFFFFF"/>
            <w:vAlign w:val="center"/>
            <w:hideMark/>
          </w:tcPr>
          <w:p w14:paraId="16A740F1" w14:textId="77777777" w:rsidR="00D05BE2" w:rsidRPr="00D618B7" w:rsidRDefault="00D05BE2" w:rsidP="004B11B7">
            <w:pPr>
              <w:jc w:val="right"/>
              <w:rPr>
                <w:color w:val="000000"/>
              </w:rPr>
            </w:pPr>
            <w:r w:rsidRPr="00D618B7">
              <w:rPr>
                <w:color w:val="000000"/>
              </w:rPr>
              <w:t>0</w:t>
            </w:r>
          </w:p>
        </w:tc>
        <w:tc>
          <w:tcPr>
            <w:tcW w:w="1018" w:type="pct"/>
            <w:tcBorders>
              <w:top w:val="nil"/>
              <w:left w:val="nil"/>
              <w:bottom w:val="nil"/>
              <w:right w:val="nil"/>
            </w:tcBorders>
            <w:shd w:val="clear" w:color="000000" w:fill="FFFFFF"/>
            <w:noWrap/>
            <w:vAlign w:val="center"/>
            <w:hideMark/>
          </w:tcPr>
          <w:p w14:paraId="29730BC9" w14:textId="77777777" w:rsidR="00D05BE2" w:rsidRPr="00D618B7" w:rsidRDefault="00D05BE2" w:rsidP="004B11B7">
            <w:pPr>
              <w:jc w:val="right"/>
              <w:rPr>
                <w:color w:val="000000"/>
              </w:rPr>
            </w:pPr>
            <w:r w:rsidRPr="00D618B7">
              <w:rPr>
                <w:color w:val="000000"/>
              </w:rPr>
              <w:t>8917.354</w:t>
            </w:r>
          </w:p>
        </w:tc>
        <w:tc>
          <w:tcPr>
            <w:tcW w:w="1018" w:type="pct"/>
            <w:tcBorders>
              <w:top w:val="nil"/>
              <w:left w:val="nil"/>
              <w:bottom w:val="nil"/>
              <w:right w:val="nil"/>
            </w:tcBorders>
            <w:shd w:val="clear" w:color="000000" w:fill="FFFFFF"/>
            <w:noWrap/>
            <w:vAlign w:val="center"/>
            <w:hideMark/>
          </w:tcPr>
          <w:p w14:paraId="3D97D445" w14:textId="77777777" w:rsidR="00D05BE2" w:rsidRPr="00D618B7" w:rsidRDefault="00D05BE2" w:rsidP="004B11B7">
            <w:pPr>
              <w:jc w:val="right"/>
              <w:rPr>
                <w:color w:val="000000"/>
              </w:rPr>
            </w:pPr>
            <w:r w:rsidRPr="00D618B7">
              <w:rPr>
                <w:color w:val="000000"/>
              </w:rPr>
              <w:t>1499.385</w:t>
            </w:r>
          </w:p>
        </w:tc>
        <w:tc>
          <w:tcPr>
            <w:tcW w:w="1018" w:type="pct"/>
            <w:tcBorders>
              <w:top w:val="nil"/>
              <w:left w:val="nil"/>
              <w:bottom w:val="nil"/>
              <w:right w:val="nil"/>
            </w:tcBorders>
            <w:shd w:val="clear" w:color="000000" w:fill="FFFFFF"/>
            <w:noWrap/>
            <w:vAlign w:val="center"/>
            <w:hideMark/>
          </w:tcPr>
          <w:p w14:paraId="04B72207" w14:textId="77777777" w:rsidR="00D05BE2" w:rsidRPr="00D618B7" w:rsidRDefault="00D05BE2" w:rsidP="004B11B7">
            <w:pPr>
              <w:jc w:val="right"/>
              <w:rPr>
                <w:color w:val="000000"/>
              </w:rPr>
            </w:pPr>
            <w:r w:rsidRPr="00D618B7">
              <w:rPr>
                <w:color w:val="000000"/>
              </w:rPr>
              <w:t>1652.663</w:t>
            </w:r>
          </w:p>
        </w:tc>
        <w:tc>
          <w:tcPr>
            <w:tcW w:w="1018" w:type="pct"/>
            <w:tcBorders>
              <w:top w:val="nil"/>
              <w:left w:val="nil"/>
              <w:bottom w:val="nil"/>
              <w:right w:val="nil"/>
            </w:tcBorders>
            <w:shd w:val="clear" w:color="000000" w:fill="FFFFFF"/>
            <w:noWrap/>
            <w:vAlign w:val="center"/>
            <w:hideMark/>
          </w:tcPr>
          <w:p w14:paraId="00A11A8C" w14:textId="77777777" w:rsidR="00D05BE2" w:rsidRPr="00D618B7" w:rsidRDefault="00D05BE2" w:rsidP="004B11B7">
            <w:pPr>
              <w:jc w:val="right"/>
              <w:rPr>
                <w:color w:val="000000"/>
              </w:rPr>
            </w:pPr>
            <w:r w:rsidRPr="00D618B7">
              <w:rPr>
                <w:color w:val="000000"/>
              </w:rPr>
              <w:t>1548.027</w:t>
            </w:r>
          </w:p>
        </w:tc>
      </w:tr>
      <w:tr w:rsidR="00D05BE2" w:rsidRPr="00D618B7" w14:paraId="5F83B6A0" w14:textId="77777777" w:rsidTr="0009678C">
        <w:trPr>
          <w:trHeight w:val="321"/>
        </w:trPr>
        <w:tc>
          <w:tcPr>
            <w:tcW w:w="928" w:type="pct"/>
            <w:tcBorders>
              <w:top w:val="nil"/>
              <w:left w:val="nil"/>
              <w:bottom w:val="nil"/>
              <w:right w:val="nil"/>
            </w:tcBorders>
            <w:shd w:val="clear" w:color="000000" w:fill="FFFFFF"/>
            <w:vAlign w:val="center"/>
            <w:hideMark/>
          </w:tcPr>
          <w:p w14:paraId="4B2F9109" w14:textId="77777777" w:rsidR="00D05BE2" w:rsidRPr="00D618B7" w:rsidRDefault="00D05BE2" w:rsidP="004B11B7">
            <w:pPr>
              <w:jc w:val="right"/>
              <w:rPr>
                <w:color w:val="000000"/>
              </w:rPr>
            </w:pPr>
            <w:r w:rsidRPr="00D618B7">
              <w:rPr>
                <w:color w:val="000000"/>
              </w:rPr>
              <w:t>1</w:t>
            </w:r>
          </w:p>
        </w:tc>
        <w:tc>
          <w:tcPr>
            <w:tcW w:w="1018" w:type="pct"/>
            <w:tcBorders>
              <w:top w:val="nil"/>
              <w:left w:val="nil"/>
              <w:bottom w:val="nil"/>
              <w:right w:val="nil"/>
            </w:tcBorders>
            <w:shd w:val="clear" w:color="000000" w:fill="FFFFFF"/>
            <w:noWrap/>
            <w:vAlign w:val="center"/>
            <w:hideMark/>
          </w:tcPr>
          <w:p w14:paraId="7ADBE294" w14:textId="77777777" w:rsidR="00D05BE2" w:rsidRPr="00D618B7" w:rsidRDefault="00D05BE2" w:rsidP="004B11B7">
            <w:pPr>
              <w:jc w:val="right"/>
              <w:rPr>
                <w:color w:val="000000"/>
              </w:rPr>
            </w:pPr>
            <w:r w:rsidRPr="00D618B7">
              <w:rPr>
                <w:color w:val="000000"/>
              </w:rPr>
              <w:t>1814.204</w:t>
            </w:r>
          </w:p>
        </w:tc>
        <w:tc>
          <w:tcPr>
            <w:tcW w:w="1018" w:type="pct"/>
            <w:tcBorders>
              <w:top w:val="nil"/>
              <w:left w:val="nil"/>
              <w:bottom w:val="nil"/>
              <w:right w:val="nil"/>
            </w:tcBorders>
            <w:shd w:val="clear" w:color="000000" w:fill="FFFFFF"/>
            <w:noWrap/>
            <w:vAlign w:val="center"/>
            <w:hideMark/>
          </w:tcPr>
          <w:p w14:paraId="60903F93" w14:textId="77777777" w:rsidR="00D05BE2" w:rsidRPr="00D618B7" w:rsidRDefault="00D05BE2" w:rsidP="004B11B7">
            <w:pPr>
              <w:jc w:val="right"/>
              <w:rPr>
                <w:color w:val="000000"/>
              </w:rPr>
            </w:pPr>
            <w:r w:rsidRPr="00D618B7">
              <w:rPr>
                <w:color w:val="000000"/>
              </w:rPr>
              <w:t>1586.899</w:t>
            </w:r>
          </w:p>
        </w:tc>
        <w:tc>
          <w:tcPr>
            <w:tcW w:w="1018" w:type="pct"/>
            <w:tcBorders>
              <w:top w:val="nil"/>
              <w:left w:val="nil"/>
              <w:bottom w:val="nil"/>
              <w:right w:val="nil"/>
            </w:tcBorders>
            <w:shd w:val="clear" w:color="000000" w:fill="FFFFFF"/>
            <w:noWrap/>
            <w:vAlign w:val="center"/>
            <w:hideMark/>
          </w:tcPr>
          <w:p w14:paraId="18E3D554" w14:textId="77777777" w:rsidR="00D05BE2" w:rsidRPr="00D618B7" w:rsidRDefault="00D05BE2" w:rsidP="004B11B7">
            <w:pPr>
              <w:jc w:val="right"/>
              <w:rPr>
                <w:color w:val="000000"/>
              </w:rPr>
            </w:pPr>
            <w:r w:rsidRPr="00D618B7">
              <w:rPr>
                <w:color w:val="000000"/>
              </w:rPr>
              <w:t>735.0649</w:t>
            </w:r>
          </w:p>
        </w:tc>
        <w:tc>
          <w:tcPr>
            <w:tcW w:w="1018" w:type="pct"/>
            <w:tcBorders>
              <w:top w:val="nil"/>
              <w:left w:val="nil"/>
              <w:bottom w:val="nil"/>
              <w:right w:val="nil"/>
            </w:tcBorders>
            <w:shd w:val="clear" w:color="000000" w:fill="FFFFFF"/>
            <w:noWrap/>
            <w:vAlign w:val="center"/>
            <w:hideMark/>
          </w:tcPr>
          <w:p w14:paraId="777BB2B5" w14:textId="77777777" w:rsidR="00D05BE2" w:rsidRPr="00D618B7" w:rsidRDefault="00D05BE2" w:rsidP="004B11B7">
            <w:pPr>
              <w:jc w:val="right"/>
              <w:rPr>
                <w:color w:val="000000"/>
              </w:rPr>
            </w:pPr>
            <w:r w:rsidRPr="00D618B7">
              <w:rPr>
                <w:color w:val="000000"/>
              </w:rPr>
              <w:t>1625.326</w:t>
            </w:r>
          </w:p>
        </w:tc>
      </w:tr>
      <w:tr w:rsidR="00D05BE2" w:rsidRPr="00D618B7" w14:paraId="67D4D61E" w14:textId="77777777" w:rsidTr="0009678C">
        <w:trPr>
          <w:trHeight w:val="321"/>
        </w:trPr>
        <w:tc>
          <w:tcPr>
            <w:tcW w:w="928" w:type="pct"/>
            <w:tcBorders>
              <w:top w:val="nil"/>
              <w:left w:val="nil"/>
              <w:bottom w:val="nil"/>
              <w:right w:val="nil"/>
            </w:tcBorders>
            <w:shd w:val="clear" w:color="000000" w:fill="FFFFFF"/>
            <w:vAlign w:val="center"/>
            <w:hideMark/>
          </w:tcPr>
          <w:p w14:paraId="5B01EF1E" w14:textId="77777777" w:rsidR="00D05BE2" w:rsidRPr="00D618B7" w:rsidRDefault="00D05BE2" w:rsidP="004B11B7">
            <w:pPr>
              <w:jc w:val="right"/>
              <w:rPr>
                <w:color w:val="000000"/>
              </w:rPr>
            </w:pPr>
            <w:r w:rsidRPr="00D618B7">
              <w:rPr>
                <w:color w:val="000000"/>
              </w:rPr>
              <w:t>2</w:t>
            </w:r>
          </w:p>
        </w:tc>
        <w:tc>
          <w:tcPr>
            <w:tcW w:w="1018" w:type="pct"/>
            <w:tcBorders>
              <w:top w:val="nil"/>
              <w:left w:val="nil"/>
              <w:bottom w:val="nil"/>
              <w:right w:val="nil"/>
            </w:tcBorders>
            <w:shd w:val="clear" w:color="000000" w:fill="FFFFFF"/>
            <w:noWrap/>
            <w:vAlign w:val="center"/>
            <w:hideMark/>
          </w:tcPr>
          <w:p w14:paraId="743F2750" w14:textId="77777777" w:rsidR="00D05BE2" w:rsidRPr="00D618B7" w:rsidRDefault="00D05BE2" w:rsidP="004B11B7">
            <w:pPr>
              <w:jc w:val="right"/>
              <w:rPr>
                <w:color w:val="000000"/>
              </w:rPr>
            </w:pPr>
            <w:r w:rsidRPr="00D618B7">
              <w:rPr>
                <w:color w:val="000000"/>
              </w:rPr>
              <w:t>5066.65</w:t>
            </w:r>
          </w:p>
        </w:tc>
        <w:tc>
          <w:tcPr>
            <w:tcW w:w="1018" w:type="pct"/>
            <w:tcBorders>
              <w:top w:val="nil"/>
              <w:left w:val="nil"/>
              <w:bottom w:val="nil"/>
              <w:right w:val="nil"/>
            </w:tcBorders>
            <w:shd w:val="clear" w:color="000000" w:fill="FFFFFF"/>
            <w:noWrap/>
            <w:vAlign w:val="center"/>
            <w:hideMark/>
          </w:tcPr>
          <w:p w14:paraId="35D42AF7" w14:textId="77777777" w:rsidR="00D05BE2" w:rsidRPr="00D618B7" w:rsidRDefault="00D05BE2" w:rsidP="004B11B7">
            <w:pPr>
              <w:jc w:val="right"/>
              <w:rPr>
                <w:color w:val="000000"/>
              </w:rPr>
            </w:pPr>
            <w:r w:rsidRPr="00D618B7">
              <w:rPr>
                <w:color w:val="000000"/>
              </w:rPr>
              <w:t>1459.97</w:t>
            </w:r>
          </w:p>
        </w:tc>
        <w:tc>
          <w:tcPr>
            <w:tcW w:w="1018" w:type="pct"/>
            <w:tcBorders>
              <w:top w:val="nil"/>
              <w:left w:val="nil"/>
              <w:bottom w:val="nil"/>
              <w:right w:val="nil"/>
            </w:tcBorders>
            <w:shd w:val="clear" w:color="000000" w:fill="FFFFFF"/>
            <w:noWrap/>
            <w:vAlign w:val="center"/>
            <w:hideMark/>
          </w:tcPr>
          <w:p w14:paraId="278105CC" w14:textId="77777777" w:rsidR="00D05BE2" w:rsidRPr="00D618B7" w:rsidRDefault="00D05BE2" w:rsidP="004B11B7">
            <w:pPr>
              <w:jc w:val="right"/>
              <w:rPr>
                <w:color w:val="000000"/>
              </w:rPr>
            </w:pPr>
            <w:r w:rsidRPr="00D618B7">
              <w:rPr>
                <w:color w:val="000000"/>
              </w:rPr>
              <w:t>-1160.43</w:t>
            </w:r>
          </w:p>
        </w:tc>
        <w:tc>
          <w:tcPr>
            <w:tcW w:w="1018" w:type="pct"/>
            <w:tcBorders>
              <w:top w:val="nil"/>
              <w:left w:val="nil"/>
              <w:bottom w:val="nil"/>
              <w:right w:val="nil"/>
            </w:tcBorders>
            <w:shd w:val="clear" w:color="000000" w:fill="FFFFFF"/>
            <w:noWrap/>
            <w:vAlign w:val="center"/>
            <w:hideMark/>
          </w:tcPr>
          <w:p w14:paraId="1BC82234" w14:textId="77777777" w:rsidR="00D05BE2" w:rsidRPr="00D618B7" w:rsidRDefault="00D05BE2" w:rsidP="004B11B7">
            <w:pPr>
              <w:jc w:val="right"/>
              <w:rPr>
                <w:color w:val="000000"/>
              </w:rPr>
            </w:pPr>
            <w:r w:rsidRPr="00D618B7">
              <w:rPr>
                <w:color w:val="000000"/>
              </w:rPr>
              <w:t>1677.506</w:t>
            </w:r>
          </w:p>
        </w:tc>
      </w:tr>
      <w:tr w:rsidR="00D05BE2" w:rsidRPr="00D618B7" w14:paraId="271C6076" w14:textId="77777777" w:rsidTr="0009678C">
        <w:trPr>
          <w:trHeight w:val="321"/>
        </w:trPr>
        <w:tc>
          <w:tcPr>
            <w:tcW w:w="928" w:type="pct"/>
            <w:tcBorders>
              <w:top w:val="nil"/>
              <w:left w:val="nil"/>
              <w:bottom w:val="nil"/>
              <w:right w:val="nil"/>
            </w:tcBorders>
            <w:shd w:val="clear" w:color="000000" w:fill="FFFFFF"/>
            <w:vAlign w:val="center"/>
            <w:hideMark/>
          </w:tcPr>
          <w:p w14:paraId="6B2723B3" w14:textId="77777777" w:rsidR="00D05BE2" w:rsidRPr="00D618B7" w:rsidRDefault="00D05BE2" w:rsidP="004B11B7">
            <w:pPr>
              <w:jc w:val="right"/>
              <w:rPr>
                <w:color w:val="000000"/>
              </w:rPr>
            </w:pPr>
            <w:r w:rsidRPr="00D618B7">
              <w:rPr>
                <w:color w:val="000000"/>
              </w:rPr>
              <w:t>3</w:t>
            </w:r>
          </w:p>
        </w:tc>
        <w:tc>
          <w:tcPr>
            <w:tcW w:w="1018" w:type="pct"/>
            <w:tcBorders>
              <w:top w:val="nil"/>
              <w:left w:val="nil"/>
              <w:bottom w:val="nil"/>
              <w:right w:val="nil"/>
            </w:tcBorders>
            <w:shd w:val="clear" w:color="000000" w:fill="FFFFFF"/>
            <w:noWrap/>
            <w:vAlign w:val="center"/>
            <w:hideMark/>
          </w:tcPr>
          <w:p w14:paraId="57916BF5" w14:textId="77777777" w:rsidR="00D05BE2" w:rsidRPr="00D618B7" w:rsidRDefault="00D05BE2" w:rsidP="004B11B7">
            <w:pPr>
              <w:jc w:val="right"/>
              <w:rPr>
                <w:color w:val="000000"/>
              </w:rPr>
            </w:pPr>
            <w:r w:rsidRPr="00D618B7">
              <w:rPr>
                <w:color w:val="000000"/>
              </w:rPr>
              <w:t>984.1762</w:t>
            </w:r>
          </w:p>
        </w:tc>
        <w:tc>
          <w:tcPr>
            <w:tcW w:w="1018" w:type="pct"/>
            <w:tcBorders>
              <w:top w:val="nil"/>
              <w:left w:val="nil"/>
              <w:bottom w:val="nil"/>
              <w:right w:val="nil"/>
            </w:tcBorders>
            <w:shd w:val="clear" w:color="000000" w:fill="FFFFFF"/>
            <w:noWrap/>
            <w:vAlign w:val="center"/>
            <w:hideMark/>
          </w:tcPr>
          <w:p w14:paraId="00E77F6F" w14:textId="77777777" w:rsidR="00D05BE2" w:rsidRPr="00D618B7" w:rsidRDefault="00D05BE2" w:rsidP="004B11B7">
            <w:pPr>
              <w:jc w:val="right"/>
              <w:rPr>
                <w:color w:val="000000"/>
              </w:rPr>
            </w:pPr>
            <w:r w:rsidRPr="00D618B7">
              <w:rPr>
                <w:color w:val="000000"/>
              </w:rPr>
              <w:t>1625.326</w:t>
            </w:r>
          </w:p>
        </w:tc>
        <w:tc>
          <w:tcPr>
            <w:tcW w:w="1018" w:type="pct"/>
            <w:tcBorders>
              <w:top w:val="nil"/>
              <w:left w:val="nil"/>
              <w:bottom w:val="nil"/>
              <w:right w:val="nil"/>
            </w:tcBorders>
            <w:shd w:val="clear" w:color="000000" w:fill="FFFFFF"/>
            <w:noWrap/>
            <w:vAlign w:val="center"/>
            <w:hideMark/>
          </w:tcPr>
          <w:p w14:paraId="4C10683E" w14:textId="77777777" w:rsidR="00D05BE2" w:rsidRPr="00D618B7" w:rsidRDefault="00D05BE2" w:rsidP="004B11B7">
            <w:pPr>
              <w:jc w:val="right"/>
              <w:rPr>
                <w:color w:val="000000"/>
              </w:rPr>
            </w:pPr>
            <w:r w:rsidRPr="00D618B7">
              <w:rPr>
                <w:color w:val="000000"/>
              </w:rPr>
              <w:t>528.6839</w:t>
            </w:r>
          </w:p>
        </w:tc>
        <w:tc>
          <w:tcPr>
            <w:tcW w:w="1018" w:type="pct"/>
            <w:tcBorders>
              <w:top w:val="nil"/>
              <w:left w:val="nil"/>
              <w:bottom w:val="nil"/>
              <w:right w:val="nil"/>
            </w:tcBorders>
            <w:shd w:val="clear" w:color="000000" w:fill="FFFFFF"/>
            <w:noWrap/>
            <w:vAlign w:val="center"/>
            <w:hideMark/>
          </w:tcPr>
          <w:p w14:paraId="2C7BDEBA" w14:textId="77777777" w:rsidR="00D05BE2" w:rsidRPr="00D618B7" w:rsidRDefault="00D05BE2" w:rsidP="004B11B7">
            <w:pPr>
              <w:jc w:val="right"/>
              <w:rPr>
                <w:color w:val="000000"/>
              </w:rPr>
            </w:pPr>
            <w:r w:rsidRPr="00D618B7">
              <w:rPr>
                <w:color w:val="000000"/>
              </w:rPr>
              <w:t>1586.899</w:t>
            </w:r>
          </w:p>
        </w:tc>
      </w:tr>
      <w:tr w:rsidR="00D05BE2" w:rsidRPr="00D618B7" w14:paraId="03CD42AB" w14:textId="77777777" w:rsidTr="0009678C">
        <w:trPr>
          <w:trHeight w:val="321"/>
        </w:trPr>
        <w:tc>
          <w:tcPr>
            <w:tcW w:w="928" w:type="pct"/>
            <w:tcBorders>
              <w:top w:val="nil"/>
              <w:left w:val="nil"/>
              <w:bottom w:val="nil"/>
              <w:right w:val="nil"/>
            </w:tcBorders>
            <w:shd w:val="clear" w:color="000000" w:fill="FFFFFF"/>
            <w:vAlign w:val="center"/>
            <w:hideMark/>
          </w:tcPr>
          <w:p w14:paraId="06AD4F02" w14:textId="77777777" w:rsidR="00D05BE2" w:rsidRPr="00D618B7" w:rsidRDefault="00D05BE2" w:rsidP="004B11B7">
            <w:pPr>
              <w:jc w:val="right"/>
              <w:rPr>
                <w:color w:val="000000"/>
              </w:rPr>
            </w:pPr>
            <w:r w:rsidRPr="00D618B7">
              <w:rPr>
                <w:color w:val="000000"/>
              </w:rPr>
              <w:t>4</w:t>
            </w:r>
          </w:p>
        </w:tc>
        <w:tc>
          <w:tcPr>
            <w:tcW w:w="1018" w:type="pct"/>
            <w:tcBorders>
              <w:top w:val="nil"/>
              <w:left w:val="nil"/>
              <w:bottom w:val="nil"/>
              <w:right w:val="nil"/>
            </w:tcBorders>
            <w:shd w:val="clear" w:color="000000" w:fill="FFFFFF"/>
            <w:noWrap/>
            <w:vAlign w:val="center"/>
            <w:hideMark/>
          </w:tcPr>
          <w:p w14:paraId="41BCC5C9" w14:textId="77777777" w:rsidR="00D05BE2" w:rsidRPr="00D618B7" w:rsidRDefault="00D05BE2" w:rsidP="004B11B7">
            <w:pPr>
              <w:jc w:val="right"/>
              <w:rPr>
                <w:color w:val="000000"/>
              </w:rPr>
            </w:pPr>
            <w:r w:rsidRPr="00D618B7">
              <w:rPr>
                <w:color w:val="000000"/>
              </w:rPr>
              <w:t>-231.155</w:t>
            </w:r>
          </w:p>
        </w:tc>
        <w:tc>
          <w:tcPr>
            <w:tcW w:w="1018" w:type="pct"/>
            <w:tcBorders>
              <w:top w:val="nil"/>
              <w:left w:val="nil"/>
              <w:bottom w:val="nil"/>
              <w:right w:val="nil"/>
            </w:tcBorders>
            <w:shd w:val="clear" w:color="000000" w:fill="FFFFFF"/>
            <w:noWrap/>
            <w:vAlign w:val="center"/>
            <w:hideMark/>
          </w:tcPr>
          <w:p w14:paraId="01FC837E" w14:textId="77777777" w:rsidR="00D05BE2" w:rsidRPr="00D618B7" w:rsidRDefault="00D05BE2" w:rsidP="004B11B7">
            <w:pPr>
              <w:jc w:val="right"/>
              <w:rPr>
                <w:color w:val="000000"/>
              </w:rPr>
            </w:pPr>
            <w:r w:rsidRPr="00D618B7">
              <w:rPr>
                <w:color w:val="000000"/>
              </w:rPr>
              <w:t>1974.651</w:t>
            </w:r>
          </w:p>
        </w:tc>
        <w:tc>
          <w:tcPr>
            <w:tcW w:w="1018" w:type="pct"/>
            <w:tcBorders>
              <w:top w:val="nil"/>
              <w:left w:val="nil"/>
              <w:bottom w:val="nil"/>
              <w:right w:val="nil"/>
            </w:tcBorders>
            <w:shd w:val="clear" w:color="000000" w:fill="FFFFFF"/>
            <w:noWrap/>
            <w:vAlign w:val="center"/>
            <w:hideMark/>
          </w:tcPr>
          <w:p w14:paraId="4F4D3996" w14:textId="77777777" w:rsidR="00D05BE2" w:rsidRPr="00D618B7" w:rsidRDefault="00D05BE2" w:rsidP="004B11B7">
            <w:pPr>
              <w:jc w:val="right"/>
              <w:rPr>
                <w:color w:val="000000"/>
              </w:rPr>
            </w:pPr>
            <w:r w:rsidRPr="00D618B7">
              <w:rPr>
                <w:color w:val="000000"/>
              </w:rPr>
              <w:t>-2856.98</w:t>
            </w:r>
          </w:p>
        </w:tc>
        <w:tc>
          <w:tcPr>
            <w:tcW w:w="1018" w:type="pct"/>
            <w:tcBorders>
              <w:top w:val="nil"/>
              <w:left w:val="nil"/>
              <w:bottom w:val="nil"/>
              <w:right w:val="nil"/>
            </w:tcBorders>
            <w:shd w:val="clear" w:color="000000" w:fill="FFFFFF"/>
            <w:noWrap/>
            <w:vAlign w:val="center"/>
            <w:hideMark/>
          </w:tcPr>
          <w:p w14:paraId="60A70DE7" w14:textId="77777777" w:rsidR="00D05BE2" w:rsidRPr="00D618B7" w:rsidRDefault="00D05BE2" w:rsidP="004B11B7">
            <w:pPr>
              <w:jc w:val="right"/>
              <w:rPr>
                <w:color w:val="000000"/>
              </w:rPr>
            </w:pPr>
            <w:r w:rsidRPr="00D618B7">
              <w:rPr>
                <w:color w:val="000000"/>
              </w:rPr>
              <w:t>1444.332</w:t>
            </w:r>
          </w:p>
        </w:tc>
      </w:tr>
      <w:tr w:rsidR="00D05BE2" w:rsidRPr="00D618B7" w14:paraId="05EA3A00" w14:textId="77777777" w:rsidTr="0009678C">
        <w:trPr>
          <w:trHeight w:val="338"/>
        </w:trPr>
        <w:tc>
          <w:tcPr>
            <w:tcW w:w="928" w:type="pct"/>
            <w:tcBorders>
              <w:top w:val="nil"/>
              <w:left w:val="nil"/>
              <w:bottom w:val="single" w:sz="12" w:space="0" w:color="auto"/>
              <w:right w:val="nil"/>
            </w:tcBorders>
            <w:shd w:val="clear" w:color="000000" w:fill="FFFFFF"/>
            <w:vAlign w:val="center"/>
            <w:hideMark/>
          </w:tcPr>
          <w:p w14:paraId="7483553D" w14:textId="77777777" w:rsidR="00D05BE2" w:rsidRPr="00D618B7" w:rsidRDefault="00D05BE2" w:rsidP="004B11B7">
            <w:pPr>
              <w:jc w:val="right"/>
              <w:rPr>
                <w:color w:val="000000"/>
              </w:rPr>
            </w:pPr>
            <w:r w:rsidRPr="00D618B7">
              <w:rPr>
                <w:color w:val="000000"/>
              </w:rPr>
              <w:t>5</w:t>
            </w:r>
          </w:p>
        </w:tc>
        <w:tc>
          <w:tcPr>
            <w:tcW w:w="1018" w:type="pct"/>
            <w:tcBorders>
              <w:top w:val="nil"/>
              <w:left w:val="nil"/>
              <w:bottom w:val="single" w:sz="12" w:space="0" w:color="auto"/>
              <w:right w:val="nil"/>
            </w:tcBorders>
            <w:shd w:val="clear" w:color="000000" w:fill="FFFFFF"/>
            <w:noWrap/>
            <w:vAlign w:val="center"/>
            <w:hideMark/>
          </w:tcPr>
          <w:p w14:paraId="6D69EB0F" w14:textId="77777777" w:rsidR="00D05BE2" w:rsidRPr="00D618B7" w:rsidRDefault="00D05BE2" w:rsidP="004B11B7">
            <w:pPr>
              <w:jc w:val="right"/>
              <w:rPr>
                <w:color w:val="000000"/>
              </w:rPr>
            </w:pPr>
            <w:r w:rsidRPr="00D618B7">
              <w:rPr>
                <w:color w:val="000000"/>
              </w:rPr>
              <w:t>-134.449</w:t>
            </w:r>
          </w:p>
        </w:tc>
        <w:tc>
          <w:tcPr>
            <w:tcW w:w="1018" w:type="pct"/>
            <w:tcBorders>
              <w:top w:val="nil"/>
              <w:left w:val="nil"/>
              <w:bottom w:val="single" w:sz="12" w:space="0" w:color="auto"/>
              <w:right w:val="nil"/>
            </w:tcBorders>
            <w:shd w:val="clear" w:color="000000" w:fill="FFFFFF"/>
            <w:noWrap/>
            <w:vAlign w:val="center"/>
            <w:hideMark/>
          </w:tcPr>
          <w:p w14:paraId="136B9FDA" w14:textId="77777777" w:rsidR="00D05BE2" w:rsidRPr="00D618B7" w:rsidRDefault="00D05BE2" w:rsidP="004B11B7">
            <w:pPr>
              <w:jc w:val="right"/>
              <w:rPr>
                <w:color w:val="000000"/>
              </w:rPr>
            </w:pPr>
            <w:r w:rsidRPr="00D618B7">
              <w:rPr>
                <w:color w:val="000000"/>
              </w:rPr>
              <w:t>1974.886</w:t>
            </w:r>
          </w:p>
        </w:tc>
        <w:tc>
          <w:tcPr>
            <w:tcW w:w="1018" w:type="pct"/>
            <w:tcBorders>
              <w:top w:val="nil"/>
              <w:left w:val="nil"/>
              <w:bottom w:val="single" w:sz="12" w:space="0" w:color="auto"/>
              <w:right w:val="nil"/>
            </w:tcBorders>
            <w:shd w:val="clear" w:color="000000" w:fill="FFFFFF"/>
            <w:noWrap/>
            <w:vAlign w:val="center"/>
            <w:hideMark/>
          </w:tcPr>
          <w:p w14:paraId="22E03C59" w14:textId="77777777" w:rsidR="00D05BE2" w:rsidRPr="00D618B7" w:rsidRDefault="00D05BE2" w:rsidP="004B11B7">
            <w:pPr>
              <w:jc w:val="right"/>
              <w:rPr>
                <w:color w:val="000000"/>
              </w:rPr>
            </w:pPr>
            <w:r w:rsidRPr="00D618B7">
              <w:rPr>
                <w:color w:val="000000"/>
              </w:rPr>
              <w:t>2588.641</w:t>
            </w:r>
          </w:p>
        </w:tc>
        <w:tc>
          <w:tcPr>
            <w:tcW w:w="1018" w:type="pct"/>
            <w:tcBorders>
              <w:top w:val="nil"/>
              <w:left w:val="nil"/>
              <w:bottom w:val="single" w:sz="12" w:space="0" w:color="auto"/>
              <w:right w:val="nil"/>
            </w:tcBorders>
            <w:shd w:val="clear" w:color="000000" w:fill="FFFFFF"/>
            <w:noWrap/>
            <w:vAlign w:val="center"/>
            <w:hideMark/>
          </w:tcPr>
          <w:p w14:paraId="0F77E71F" w14:textId="77777777" w:rsidR="00D05BE2" w:rsidRPr="00D618B7" w:rsidRDefault="00D05BE2" w:rsidP="004B11B7">
            <w:pPr>
              <w:jc w:val="right"/>
              <w:rPr>
                <w:color w:val="000000"/>
              </w:rPr>
            </w:pPr>
            <w:r w:rsidRPr="00D618B7">
              <w:rPr>
                <w:color w:val="000000"/>
              </w:rPr>
              <w:t>1671.055</w:t>
            </w:r>
          </w:p>
        </w:tc>
      </w:tr>
    </w:tbl>
    <w:p w14:paraId="05BFCC26" w14:textId="77777777" w:rsidR="00D05BE2" w:rsidRPr="00D618B7" w:rsidRDefault="00D05BE2" w:rsidP="00D05BE2"/>
    <w:p w14:paraId="2A077F7C" w14:textId="77777777" w:rsidR="00D05BE2" w:rsidRPr="00D618B7" w:rsidRDefault="00D05BE2" w:rsidP="00D05BE2">
      <w:r w:rsidRPr="00D618B7">
        <w:rPr>
          <w:i/>
          <w:iCs/>
        </w:rPr>
        <w:t>Note</w:t>
      </w:r>
      <w:r w:rsidRPr="00D618B7">
        <w:t>: This table lists the estimated mean proportion and standard error of early and late reach groups weeks following reach-onset.</w:t>
      </w:r>
    </w:p>
    <w:p w14:paraId="1DB10286" w14:textId="77777777" w:rsidR="0054513E" w:rsidRPr="00D618B7" w:rsidRDefault="0054513E" w:rsidP="0054513E"/>
    <w:p w14:paraId="7CC112BC" w14:textId="77777777" w:rsidR="0009678C" w:rsidRPr="00D618B7" w:rsidRDefault="0009678C" w:rsidP="0054513E"/>
    <w:p w14:paraId="743FECCD" w14:textId="6A1ACB6B" w:rsidR="0009678C" w:rsidRPr="00D618B7" w:rsidRDefault="0009678C" w:rsidP="007C5074">
      <w:pPr>
        <w:pStyle w:val="Caption"/>
      </w:pPr>
      <w:bookmarkStart w:id="229" w:name="_Toc172716909"/>
      <w:r w:rsidRPr="00D618B7">
        <w:t xml:space="preserve">Table </w:t>
      </w:r>
      <w:r w:rsidR="00000000">
        <w:fldChar w:fldCharType="begin"/>
      </w:r>
      <w:r w:rsidR="00000000">
        <w:instrText xml:space="preserve"> SEQ Table \* ARABIC </w:instrText>
      </w:r>
      <w:r w:rsidR="00000000">
        <w:fldChar w:fldCharType="separate"/>
      </w:r>
      <w:r w:rsidR="000C6E43">
        <w:rPr>
          <w:noProof/>
        </w:rPr>
        <w:t>81</w:t>
      </w:r>
      <w:r w:rsidR="00000000">
        <w:rPr>
          <w:noProof/>
        </w:rPr>
        <w:fldChar w:fldCharType="end"/>
      </w:r>
      <w:r w:rsidR="00AE3927">
        <w:rPr>
          <w:noProof/>
        </w:rPr>
        <w:t>:</w:t>
      </w:r>
      <w:r w:rsidR="00D060E7" w:rsidRPr="00D060E7">
        <w:t xml:space="preserve"> </w:t>
      </w:r>
      <w:r w:rsidR="00D060E7">
        <w:t>Reach proportion by group</w:t>
      </w:r>
      <w:bookmarkEnd w:id="229"/>
    </w:p>
    <w:p w14:paraId="536C5CD9" w14:textId="1E4402C0" w:rsidR="0009678C" w:rsidRPr="00D618B7" w:rsidRDefault="0009678C" w:rsidP="0009678C">
      <w:r w:rsidRPr="00D618B7">
        <w:t xml:space="preserve">Estimated Proportion of Reaches by </w:t>
      </w:r>
      <w:r w:rsidR="00D060E7">
        <w:t>Group</w:t>
      </w:r>
      <w:r w:rsidRPr="00D618B7">
        <w:t>.</w:t>
      </w:r>
    </w:p>
    <w:p w14:paraId="7F32D95A" w14:textId="77777777" w:rsidR="0009678C" w:rsidRPr="00D618B7" w:rsidRDefault="0009678C" w:rsidP="0009678C"/>
    <w:tbl>
      <w:tblPr>
        <w:tblW w:w="5000" w:type="pct"/>
        <w:tblLook w:val="04A0" w:firstRow="1" w:lastRow="0" w:firstColumn="1" w:lastColumn="0" w:noHBand="0" w:noVBand="1"/>
      </w:tblPr>
      <w:tblGrid>
        <w:gridCol w:w="6285"/>
        <w:gridCol w:w="1178"/>
        <w:gridCol w:w="1177"/>
      </w:tblGrid>
      <w:tr w:rsidR="0009678C" w:rsidRPr="00D618B7" w14:paraId="2388B13A" w14:textId="77777777" w:rsidTr="00D43BD1">
        <w:trPr>
          <w:trHeight w:val="300"/>
        </w:trPr>
        <w:tc>
          <w:tcPr>
            <w:tcW w:w="3637" w:type="pct"/>
            <w:tcBorders>
              <w:top w:val="single" w:sz="4" w:space="0" w:color="auto"/>
              <w:left w:val="nil"/>
              <w:bottom w:val="single" w:sz="8" w:space="0" w:color="auto"/>
              <w:right w:val="nil"/>
            </w:tcBorders>
            <w:shd w:val="clear" w:color="000000" w:fill="FFFFFF"/>
            <w:noWrap/>
            <w:vAlign w:val="bottom"/>
            <w:hideMark/>
          </w:tcPr>
          <w:p w14:paraId="5CC960CF" w14:textId="77777777" w:rsidR="0009678C" w:rsidRPr="00D618B7" w:rsidRDefault="0009678C" w:rsidP="004B11B7">
            <w:pPr>
              <w:rPr>
                <w:color w:val="000000"/>
                <w:sz w:val="22"/>
                <w:szCs w:val="22"/>
              </w:rPr>
            </w:pPr>
            <w:r w:rsidRPr="00D618B7">
              <w:rPr>
                <w:color w:val="000000"/>
                <w:sz w:val="22"/>
                <w:szCs w:val="22"/>
              </w:rPr>
              <w:t>Group</w:t>
            </w:r>
          </w:p>
        </w:tc>
        <w:tc>
          <w:tcPr>
            <w:tcW w:w="682" w:type="pct"/>
            <w:tcBorders>
              <w:top w:val="single" w:sz="4" w:space="0" w:color="auto"/>
              <w:left w:val="nil"/>
              <w:bottom w:val="single" w:sz="8" w:space="0" w:color="auto"/>
              <w:right w:val="nil"/>
            </w:tcBorders>
            <w:shd w:val="clear" w:color="000000" w:fill="FFFFFF"/>
            <w:noWrap/>
            <w:vAlign w:val="bottom"/>
            <w:hideMark/>
          </w:tcPr>
          <w:p w14:paraId="3493BCA4" w14:textId="77777777" w:rsidR="0009678C" w:rsidRPr="00D618B7" w:rsidRDefault="0009678C" w:rsidP="004B11B7">
            <w:pPr>
              <w:rPr>
                <w:color w:val="000000"/>
                <w:sz w:val="22"/>
                <w:szCs w:val="22"/>
              </w:rPr>
            </w:pPr>
            <w:r w:rsidRPr="00D618B7">
              <w:rPr>
                <w:color w:val="000000"/>
                <w:sz w:val="22"/>
                <w:szCs w:val="22"/>
              </w:rPr>
              <w:t>Mean</w:t>
            </w:r>
          </w:p>
        </w:tc>
        <w:tc>
          <w:tcPr>
            <w:tcW w:w="682" w:type="pct"/>
            <w:tcBorders>
              <w:top w:val="single" w:sz="4" w:space="0" w:color="auto"/>
              <w:left w:val="nil"/>
              <w:bottom w:val="single" w:sz="4" w:space="0" w:color="auto"/>
              <w:right w:val="nil"/>
            </w:tcBorders>
            <w:shd w:val="clear" w:color="000000" w:fill="FFFFFF"/>
            <w:noWrap/>
            <w:vAlign w:val="bottom"/>
            <w:hideMark/>
          </w:tcPr>
          <w:p w14:paraId="22B8B872" w14:textId="77777777" w:rsidR="0009678C" w:rsidRPr="00D618B7" w:rsidRDefault="0009678C" w:rsidP="004B11B7">
            <w:pPr>
              <w:rPr>
                <w:color w:val="000000"/>
                <w:sz w:val="22"/>
                <w:szCs w:val="22"/>
              </w:rPr>
            </w:pPr>
            <w:r w:rsidRPr="00D618B7">
              <w:rPr>
                <w:color w:val="000000"/>
                <w:sz w:val="22"/>
                <w:szCs w:val="22"/>
              </w:rPr>
              <w:t>Std. Error</w:t>
            </w:r>
          </w:p>
        </w:tc>
      </w:tr>
      <w:tr w:rsidR="00D43BD1" w:rsidRPr="00D618B7" w14:paraId="2F12CB48" w14:textId="77777777" w:rsidTr="00D43BD1">
        <w:trPr>
          <w:trHeight w:val="300"/>
        </w:trPr>
        <w:tc>
          <w:tcPr>
            <w:tcW w:w="3637" w:type="pct"/>
            <w:tcBorders>
              <w:top w:val="single" w:sz="8" w:space="0" w:color="auto"/>
              <w:left w:val="nil"/>
              <w:bottom w:val="nil"/>
              <w:right w:val="nil"/>
            </w:tcBorders>
            <w:shd w:val="clear" w:color="000000" w:fill="FFFFFF"/>
            <w:noWrap/>
            <w:vAlign w:val="bottom"/>
            <w:hideMark/>
          </w:tcPr>
          <w:p w14:paraId="4E03C04E" w14:textId="77777777" w:rsidR="00D43BD1" w:rsidRPr="00D618B7" w:rsidRDefault="00D43BD1" w:rsidP="00D43BD1">
            <w:pPr>
              <w:rPr>
                <w:color w:val="000000"/>
                <w:sz w:val="22"/>
                <w:szCs w:val="22"/>
              </w:rPr>
            </w:pPr>
            <w:r w:rsidRPr="00D618B7">
              <w:rPr>
                <w:color w:val="000000"/>
                <w:sz w:val="22"/>
                <w:szCs w:val="22"/>
              </w:rPr>
              <w:t>Early reach group</w:t>
            </w:r>
          </w:p>
        </w:tc>
        <w:tc>
          <w:tcPr>
            <w:tcW w:w="682" w:type="pct"/>
            <w:tcBorders>
              <w:top w:val="single" w:sz="8" w:space="0" w:color="auto"/>
              <w:left w:val="nil"/>
              <w:bottom w:val="nil"/>
              <w:right w:val="nil"/>
            </w:tcBorders>
            <w:shd w:val="clear" w:color="000000" w:fill="FFFFFF"/>
            <w:noWrap/>
            <w:vAlign w:val="bottom"/>
            <w:hideMark/>
          </w:tcPr>
          <w:p w14:paraId="00F5600F" w14:textId="5B983925" w:rsidR="00D43BD1" w:rsidRPr="00D618B7" w:rsidRDefault="00D43BD1" w:rsidP="00D43BD1">
            <w:pPr>
              <w:jc w:val="right"/>
              <w:rPr>
                <w:color w:val="000000"/>
                <w:sz w:val="22"/>
                <w:szCs w:val="22"/>
              </w:rPr>
            </w:pPr>
            <w:r w:rsidRPr="00D618B7">
              <w:rPr>
                <w:color w:val="000000"/>
                <w:sz w:val="22"/>
                <w:szCs w:val="22"/>
              </w:rPr>
              <w:t>85.583</w:t>
            </w:r>
          </w:p>
        </w:tc>
        <w:tc>
          <w:tcPr>
            <w:tcW w:w="682" w:type="pct"/>
            <w:tcBorders>
              <w:top w:val="nil"/>
              <w:left w:val="nil"/>
              <w:bottom w:val="nil"/>
              <w:right w:val="nil"/>
            </w:tcBorders>
            <w:shd w:val="clear" w:color="000000" w:fill="FFFFFF"/>
            <w:noWrap/>
            <w:vAlign w:val="bottom"/>
            <w:hideMark/>
          </w:tcPr>
          <w:p w14:paraId="6072CC41" w14:textId="7EABD5D8" w:rsidR="00D43BD1" w:rsidRPr="00D618B7" w:rsidRDefault="00D43BD1" w:rsidP="00D43BD1">
            <w:pPr>
              <w:jc w:val="right"/>
              <w:rPr>
                <w:color w:val="000000"/>
                <w:sz w:val="22"/>
                <w:szCs w:val="22"/>
              </w:rPr>
            </w:pPr>
            <w:r w:rsidRPr="00D618B7">
              <w:rPr>
                <w:color w:val="000000"/>
                <w:sz w:val="22"/>
                <w:szCs w:val="22"/>
              </w:rPr>
              <w:t>6.34334</w:t>
            </w:r>
          </w:p>
        </w:tc>
      </w:tr>
      <w:tr w:rsidR="00D43BD1" w:rsidRPr="00D618B7" w14:paraId="51B3F2C4" w14:textId="77777777" w:rsidTr="00D43BD1">
        <w:trPr>
          <w:trHeight w:val="300"/>
        </w:trPr>
        <w:tc>
          <w:tcPr>
            <w:tcW w:w="3637" w:type="pct"/>
            <w:tcBorders>
              <w:top w:val="nil"/>
              <w:left w:val="nil"/>
              <w:bottom w:val="single" w:sz="4" w:space="0" w:color="auto"/>
              <w:right w:val="nil"/>
            </w:tcBorders>
            <w:shd w:val="clear" w:color="000000" w:fill="FFFFFF"/>
            <w:noWrap/>
            <w:vAlign w:val="bottom"/>
            <w:hideMark/>
          </w:tcPr>
          <w:p w14:paraId="7F0D5D26" w14:textId="77777777" w:rsidR="00D43BD1" w:rsidRPr="00D618B7" w:rsidRDefault="00D43BD1" w:rsidP="00D43BD1">
            <w:pPr>
              <w:rPr>
                <w:color w:val="000000"/>
                <w:sz w:val="22"/>
                <w:szCs w:val="22"/>
              </w:rPr>
            </w:pPr>
            <w:r w:rsidRPr="00D618B7">
              <w:rPr>
                <w:color w:val="000000"/>
                <w:sz w:val="22"/>
                <w:szCs w:val="22"/>
              </w:rPr>
              <w:t>Late reach group</w:t>
            </w:r>
          </w:p>
        </w:tc>
        <w:tc>
          <w:tcPr>
            <w:tcW w:w="682" w:type="pct"/>
            <w:tcBorders>
              <w:top w:val="nil"/>
              <w:left w:val="nil"/>
              <w:bottom w:val="single" w:sz="4" w:space="0" w:color="auto"/>
              <w:right w:val="nil"/>
            </w:tcBorders>
            <w:shd w:val="clear" w:color="000000" w:fill="FFFFFF"/>
            <w:noWrap/>
            <w:vAlign w:val="bottom"/>
            <w:hideMark/>
          </w:tcPr>
          <w:p w14:paraId="3EBB6C65" w14:textId="70BB9282" w:rsidR="00D43BD1" w:rsidRPr="00D618B7" w:rsidRDefault="00D43BD1" w:rsidP="00D43BD1">
            <w:pPr>
              <w:jc w:val="right"/>
              <w:rPr>
                <w:color w:val="000000"/>
                <w:sz w:val="22"/>
                <w:szCs w:val="22"/>
              </w:rPr>
            </w:pPr>
            <w:r w:rsidRPr="00D618B7">
              <w:rPr>
                <w:color w:val="000000"/>
                <w:sz w:val="22"/>
                <w:szCs w:val="22"/>
              </w:rPr>
              <w:t>86.4093</w:t>
            </w:r>
          </w:p>
        </w:tc>
        <w:tc>
          <w:tcPr>
            <w:tcW w:w="682" w:type="pct"/>
            <w:tcBorders>
              <w:top w:val="nil"/>
              <w:left w:val="nil"/>
              <w:bottom w:val="single" w:sz="4" w:space="0" w:color="auto"/>
              <w:right w:val="nil"/>
            </w:tcBorders>
            <w:shd w:val="clear" w:color="000000" w:fill="FFFFFF"/>
            <w:noWrap/>
            <w:vAlign w:val="bottom"/>
            <w:hideMark/>
          </w:tcPr>
          <w:p w14:paraId="373A469E" w14:textId="31645F81" w:rsidR="00D43BD1" w:rsidRPr="00D618B7" w:rsidRDefault="00D43BD1" w:rsidP="00D43BD1">
            <w:pPr>
              <w:jc w:val="right"/>
              <w:rPr>
                <w:color w:val="000000"/>
                <w:sz w:val="22"/>
                <w:szCs w:val="22"/>
              </w:rPr>
            </w:pPr>
            <w:r w:rsidRPr="00D618B7">
              <w:rPr>
                <w:color w:val="000000"/>
                <w:sz w:val="22"/>
                <w:szCs w:val="22"/>
              </w:rPr>
              <w:t>6.45206</w:t>
            </w:r>
          </w:p>
        </w:tc>
      </w:tr>
    </w:tbl>
    <w:p w14:paraId="7F751B19" w14:textId="77777777" w:rsidR="0009678C" w:rsidRPr="00D618B7" w:rsidRDefault="0009678C" w:rsidP="0009678C"/>
    <w:p w14:paraId="4A9D7C60" w14:textId="3198C475" w:rsidR="0009678C" w:rsidRPr="00D618B7" w:rsidRDefault="0009678C" w:rsidP="0009678C">
      <w:r w:rsidRPr="00D618B7">
        <w:rPr>
          <w:i/>
          <w:iCs/>
        </w:rPr>
        <w:t>Note</w:t>
      </w:r>
      <w:r w:rsidRPr="00D618B7">
        <w:t>: This table lists early and late reach groups' estimated mean latency</w:t>
      </w:r>
      <w:r w:rsidR="00D43BD1" w:rsidRPr="00D618B7">
        <w:t xml:space="preserve"> </w:t>
      </w:r>
      <w:r w:rsidRPr="00D618B7">
        <w:t>to reach</w:t>
      </w:r>
      <w:r w:rsidR="00D43BD1" w:rsidRPr="00D618B7">
        <w:t xml:space="preserve"> in milliseconds</w:t>
      </w:r>
      <w:r w:rsidRPr="00D618B7">
        <w:t xml:space="preserve"> and standard error.</w:t>
      </w:r>
    </w:p>
    <w:p w14:paraId="0019AE4A" w14:textId="77777777" w:rsidR="0009678C" w:rsidRPr="00D618B7" w:rsidRDefault="0009678C" w:rsidP="0054513E"/>
    <w:p w14:paraId="5F4F4D52" w14:textId="77777777" w:rsidR="0009678C" w:rsidRPr="00D618B7" w:rsidRDefault="0009678C" w:rsidP="0054513E"/>
    <w:p w14:paraId="04ABC61C" w14:textId="77777777" w:rsidR="0009678C" w:rsidRPr="00D618B7" w:rsidRDefault="0009678C" w:rsidP="0054513E"/>
    <w:p w14:paraId="285EE6D5" w14:textId="77777777" w:rsidR="0009678C" w:rsidRPr="00D618B7" w:rsidRDefault="0009678C" w:rsidP="0054513E"/>
    <w:p w14:paraId="7AF8C7BF" w14:textId="77777777" w:rsidR="0009678C" w:rsidRPr="00D618B7" w:rsidRDefault="0009678C" w:rsidP="0054513E"/>
    <w:p w14:paraId="578E9B03" w14:textId="77777777" w:rsidR="0009678C" w:rsidRPr="00D618B7" w:rsidRDefault="0009678C" w:rsidP="0054513E"/>
    <w:p w14:paraId="183D4266" w14:textId="77777777" w:rsidR="0009678C" w:rsidRPr="00D618B7" w:rsidRDefault="0009678C" w:rsidP="0054513E"/>
    <w:p w14:paraId="1C63E71F" w14:textId="77777777" w:rsidR="0009678C" w:rsidRPr="00D618B7" w:rsidRDefault="0009678C" w:rsidP="0054513E"/>
    <w:p w14:paraId="6CA0775E" w14:textId="77777777" w:rsidR="0009678C" w:rsidRPr="00D618B7" w:rsidRDefault="0009678C" w:rsidP="0054513E"/>
    <w:p w14:paraId="03C01EDD" w14:textId="77777777" w:rsidR="0009678C" w:rsidRPr="00D618B7" w:rsidRDefault="0009678C" w:rsidP="0054513E"/>
    <w:p w14:paraId="712EACE1" w14:textId="77777777" w:rsidR="0009678C" w:rsidRPr="00D618B7" w:rsidRDefault="0009678C" w:rsidP="0054513E"/>
    <w:p w14:paraId="119B2ECD" w14:textId="77777777" w:rsidR="0009678C" w:rsidRPr="00D618B7" w:rsidRDefault="0009678C" w:rsidP="0054513E"/>
    <w:p w14:paraId="214D1CF6" w14:textId="77777777" w:rsidR="0009678C" w:rsidRPr="00D618B7" w:rsidRDefault="0009678C" w:rsidP="0054513E"/>
    <w:p w14:paraId="509A070F" w14:textId="77777777" w:rsidR="0009678C" w:rsidRDefault="0009678C" w:rsidP="0054513E"/>
    <w:p w14:paraId="46BE67C9" w14:textId="77777777" w:rsidR="001A50DE" w:rsidRPr="00D618B7" w:rsidRDefault="001A50DE" w:rsidP="0054513E"/>
    <w:p w14:paraId="52451180" w14:textId="77777777" w:rsidR="0054513E" w:rsidRPr="00D618B7" w:rsidRDefault="0054513E" w:rsidP="0054513E"/>
    <w:p w14:paraId="0A3E2EC2" w14:textId="12596114" w:rsidR="00324080" w:rsidRPr="00D618B7" w:rsidRDefault="00324080" w:rsidP="007C5074">
      <w:pPr>
        <w:pStyle w:val="Caption"/>
      </w:pPr>
      <w:bookmarkStart w:id="230" w:name="_Toc172716910"/>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82</w:t>
      </w:r>
      <w:r w:rsidR="00000000">
        <w:rPr>
          <w:noProof/>
        </w:rPr>
        <w:fldChar w:fldCharType="end"/>
      </w:r>
      <w:r w:rsidR="00AE3927">
        <w:rPr>
          <w:noProof/>
        </w:rPr>
        <w:t>:</w:t>
      </w:r>
      <w:r w:rsidR="00D060E7" w:rsidRPr="00D060E7">
        <w:t xml:space="preserve"> </w:t>
      </w:r>
      <w:r w:rsidR="00D060E7">
        <w:t>Reach proportion by week by group</w:t>
      </w:r>
      <w:bookmarkEnd w:id="230"/>
    </w:p>
    <w:p w14:paraId="1967552C" w14:textId="39374977" w:rsidR="0054513E" w:rsidRPr="00D618B7" w:rsidRDefault="0054513E" w:rsidP="0054513E">
      <w:r w:rsidRPr="00D618B7">
        <w:t xml:space="preserve">Estimated </w:t>
      </w:r>
      <w:r w:rsidR="00D060E7">
        <w:t xml:space="preserve">Proportion </w:t>
      </w:r>
      <w:r w:rsidRPr="00D618B7">
        <w:t>of Reaches by Week Following Reach-onset</w:t>
      </w:r>
      <w:r w:rsidR="00D060E7">
        <w:t xml:space="preserve"> by group</w:t>
      </w:r>
      <w:r w:rsidRPr="00D618B7">
        <w:t>.</w:t>
      </w:r>
    </w:p>
    <w:tbl>
      <w:tblPr>
        <w:tblW w:w="5000" w:type="pct"/>
        <w:tblLook w:val="04A0" w:firstRow="1" w:lastRow="0" w:firstColumn="1" w:lastColumn="0" w:noHBand="0" w:noVBand="1"/>
      </w:tblPr>
      <w:tblGrid>
        <w:gridCol w:w="1638"/>
        <w:gridCol w:w="1797"/>
        <w:gridCol w:w="1799"/>
        <w:gridCol w:w="1609"/>
        <w:gridCol w:w="1797"/>
      </w:tblGrid>
      <w:tr w:rsidR="0054513E" w:rsidRPr="00D618B7" w14:paraId="1710508C" w14:textId="77777777" w:rsidTr="0009678C">
        <w:trPr>
          <w:trHeight w:val="371"/>
        </w:trPr>
        <w:tc>
          <w:tcPr>
            <w:tcW w:w="948" w:type="pct"/>
            <w:tcBorders>
              <w:top w:val="single" w:sz="12" w:space="0" w:color="auto"/>
              <w:left w:val="nil"/>
              <w:bottom w:val="nil"/>
              <w:right w:val="nil"/>
            </w:tcBorders>
            <w:shd w:val="clear" w:color="000000" w:fill="FFFFFF"/>
            <w:vAlign w:val="center"/>
            <w:hideMark/>
          </w:tcPr>
          <w:p w14:paraId="2C3B4689" w14:textId="77777777" w:rsidR="0054513E" w:rsidRPr="00D618B7" w:rsidRDefault="0054513E" w:rsidP="004B11B7">
            <w:pPr>
              <w:rPr>
                <w:color w:val="000000"/>
              </w:rPr>
            </w:pPr>
            <w:r w:rsidRPr="00D618B7">
              <w:rPr>
                <w:color w:val="000000"/>
              </w:rPr>
              <w:t>Week</w:t>
            </w:r>
          </w:p>
        </w:tc>
        <w:tc>
          <w:tcPr>
            <w:tcW w:w="2081" w:type="pct"/>
            <w:gridSpan w:val="2"/>
            <w:tcBorders>
              <w:top w:val="single" w:sz="12" w:space="0" w:color="auto"/>
              <w:left w:val="nil"/>
              <w:bottom w:val="single" w:sz="12" w:space="0" w:color="auto"/>
              <w:right w:val="nil"/>
            </w:tcBorders>
            <w:shd w:val="clear" w:color="000000" w:fill="FFFFFF"/>
            <w:vAlign w:val="center"/>
            <w:hideMark/>
          </w:tcPr>
          <w:p w14:paraId="790DCF88" w14:textId="77777777" w:rsidR="0054513E" w:rsidRPr="00D618B7" w:rsidRDefault="0054513E" w:rsidP="004B11B7">
            <w:pPr>
              <w:jc w:val="center"/>
              <w:rPr>
                <w:color w:val="000000"/>
              </w:rPr>
            </w:pPr>
            <w:r w:rsidRPr="00D618B7">
              <w:rPr>
                <w:color w:val="000000"/>
              </w:rPr>
              <w:t>Early Reach Group</w:t>
            </w:r>
          </w:p>
        </w:tc>
        <w:tc>
          <w:tcPr>
            <w:tcW w:w="1971" w:type="pct"/>
            <w:gridSpan w:val="2"/>
            <w:tcBorders>
              <w:top w:val="single" w:sz="12" w:space="0" w:color="auto"/>
              <w:left w:val="nil"/>
              <w:bottom w:val="single" w:sz="12" w:space="0" w:color="auto"/>
              <w:right w:val="nil"/>
            </w:tcBorders>
            <w:shd w:val="clear" w:color="000000" w:fill="FFFFFF"/>
            <w:vAlign w:val="center"/>
            <w:hideMark/>
          </w:tcPr>
          <w:p w14:paraId="21DF857A" w14:textId="77777777" w:rsidR="0054513E" w:rsidRPr="00D618B7" w:rsidRDefault="0054513E" w:rsidP="004B11B7">
            <w:pPr>
              <w:jc w:val="center"/>
              <w:rPr>
                <w:color w:val="000000"/>
              </w:rPr>
            </w:pPr>
            <w:r w:rsidRPr="00D618B7">
              <w:rPr>
                <w:color w:val="000000"/>
              </w:rPr>
              <w:t>Late Reach Group</w:t>
            </w:r>
          </w:p>
        </w:tc>
      </w:tr>
      <w:tr w:rsidR="0054513E" w:rsidRPr="00D618B7" w14:paraId="2AD9CFE4" w14:textId="77777777" w:rsidTr="0009678C">
        <w:trPr>
          <w:trHeight w:val="371"/>
        </w:trPr>
        <w:tc>
          <w:tcPr>
            <w:tcW w:w="948" w:type="pct"/>
            <w:tcBorders>
              <w:top w:val="nil"/>
              <w:left w:val="nil"/>
              <w:bottom w:val="single" w:sz="12" w:space="0" w:color="auto"/>
              <w:right w:val="nil"/>
            </w:tcBorders>
            <w:shd w:val="clear" w:color="000000" w:fill="FFFFFF"/>
            <w:noWrap/>
            <w:vAlign w:val="center"/>
            <w:hideMark/>
          </w:tcPr>
          <w:p w14:paraId="67EEB950" w14:textId="77777777" w:rsidR="0054513E" w:rsidRPr="00D618B7" w:rsidRDefault="0054513E" w:rsidP="004B11B7">
            <w:pPr>
              <w:rPr>
                <w:color w:val="000000"/>
              </w:rPr>
            </w:pPr>
            <w:r w:rsidRPr="00D618B7">
              <w:rPr>
                <w:color w:val="000000"/>
              </w:rPr>
              <w:t> </w:t>
            </w:r>
          </w:p>
        </w:tc>
        <w:tc>
          <w:tcPr>
            <w:tcW w:w="1040" w:type="pct"/>
            <w:tcBorders>
              <w:top w:val="nil"/>
              <w:left w:val="nil"/>
              <w:bottom w:val="single" w:sz="12" w:space="0" w:color="auto"/>
              <w:right w:val="nil"/>
            </w:tcBorders>
            <w:shd w:val="clear" w:color="000000" w:fill="FFFFFF"/>
            <w:noWrap/>
            <w:vAlign w:val="center"/>
            <w:hideMark/>
          </w:tcPr>
          <w:p w14:paraId="4C482394" w14:textId="77777777" w:rsidR="0054513E" w:rsidRPr="00D618B7" w:rsidRDefault="0054513E" w:rsidP="004B11B7">
            <w:pPr>
              <w:jc w:val="right"/>
              <w:rPr>
                <w:color w:val="000000"/>
              </w:rPr>
            </w:pPr>
            <w:r w:rsidRPr="00D618B7">
              <w:rPr>
                <w:color w:val="000000"/>
              </w:rPr>
              <w:t>Mean</w:t>
            </w:r>
          </w:p>
        </w:tc>
        <w:tc>
          <w:tcPr>
            <w:tcW w:w="1041" w:type="pct"/>
            <w:tcBorders>
              <w:top w:val="nil"/>
              <w:left w:val="nil"/>
              <w:bottom w:val="single" w:sz="12" w:space="0" w:color="auto"/>
              <w:right w:val="nil"/>
            </w:tcBorders>
            <w:shd w:val="clear" w:color="000000" w:fill="FFFFFF"/>
            <w:noWrap/>
            <w:vAlign w:val="center"/>
            <w:hideMark/>
          </w:tcPr>
          <w:p w14:paraId="0689C5BA" w14:textId="77777777" w:rsidR="0054513E" w:rsidRPr="00D618B7" w:rsidRDefault="0054513E" w:rsidP="004B11B7">
            <w:pPr>
              <w:jc w:val="right"/>
              <w:rPr>
                <w:color w:val="000000"/>
              </w:rPr>
            </w:pPr>
            <w:r w:rsidRPr="00D618B7">
              <w:rPr>
                <w:color w:val="000000"/>
              </w:rPr>
              <w:t>Std. Error</w:t>
            </w:r>
          </w:p>
        </w:tc>
        <w:tc>
          <w:tcPr>
            <w:tcW w:w="931" w:type="pct"/>
            <w:tcBorders>
              <w:top w:val="nil"/>
              <w:left w:val="nil"/>
              <w:bottom w:val="single" w:sz="12" w:space="0" w:color="auto"/>
              <w:right w:val="nil"/>
            </w:tcBorders>
            <w:shd w:val="clear" w:color="000000" w:fill="FFFFFF"/>
            <w:noWrap/>
            <w:vAlign w:val="center"/>
            <w:hideMark/>
          </w:tcPr>
          <w:p w14:paraId="6E7325B1" w14:textId="77777777" w:rsidR="0054513E" w:rsidRPr="00D618B7" w:rsidRDefault="0054513E" w:rsidP="004B11B7">
            <w:pPr>
              <w:jc w:val="right"/>
              <w:rPr>
                <w:color w:val="000000"/>
              </w:rPr>
            </w:pPr>
            <w:r w:rsidRPr="00D618B7">
              <w:rPr>
                <w:color w:val="000000"/>
              </w:rPr>
              <w:t>Mean</w:t>
            </w:r>
          </w:p>
        </w:tc>
        <w:tc>
          <w:tcPr>
            <w:tcW w:w="1040" w:type="pct"/>
            <w:tcBorders>
              <w:top w:val="nil"/>
              <w:left w:val="nil"/>
              <w:bottom w:val="single" w:sz="12" w:space="0" w:color="auto"/>
              <w:right w:val="nil"/>
            </w:tcBorders>
            <w:shd w:val="clear" w:color="000000" w:fill="FFFFFF"/>
            <w:noWrap/>
            <w:vAlign w:val="center"/>
            <w:hideMark/>
          </w:tcPr>
          <w:p w14:paraId="5279EF2F" w14:textId="77777777" w:rsidR="0054513E" w:rsidRPr="00D618B7" w:rsidRDefault="0054513E" w:rsidP="004B11B7">
            <w:pPr>
              <w:jc w:val="right"/>
              <w:rPr>
                <w:color w:val="000000"/>
              </w:rPr>
            </w:pPr>
            <w:r w:rsidRPr="00D618B7">
              <w:rPr>
                <w:color w:val="000000"/>
              </w:rPr>
              <w:t>Std. Error</w:t>
            </w:r>
          </w:p>
        </w:tc>
      </w:tr>
      <w:tr w:rsidR="0054513E" w:rsidRPr="00D618B7" w14:paraId="071B98CC" w14:textId="77777777" w:rsidTr="0009678C">
        <w:trPr>
          <w:trHeight w:val="355"/>
        </w:trPr>
        <w:tc>
          <w:tcPr>
            <w:tcW w:w="948" w:type="pct"/>
            <w:tcBorders>
              <w:top w:val="nil"/>
              <w:left w:val="nil"/>
              <w:bottom w:val="nil"/>
              <w:right w:val="nil"/>
            </w:tcBorders>
            <w:shd w:val="clear" w:color="000000" w:fill="FFFFFF"/>
            <w:vAlign w:val="center"/>
            <w:hideMark/>
          </w:tcPr>
          <w:p w14:paraId="0109344D" w14:textId="77777777" w:rsidR="0054513E" w:rsidRPr="00D618B7" w:rsidRDefault="0054513E" w:rsidP="004B11B7">
            <w:pPr>
              <w:jc w:val="right"/>
              <w:rPr>
                <w:color w:val="000000"/>
              </w:rPr>
            </w:pPr>
            <w:r w:rsidRPr="00D618B7">
              <w:rPr>
                <w:color w:val="000000"/>
              </w:rPr>
              <w:t>0</w:t>
            </w:r>
          </w:p>
        </w:tc>
        <w:tc>
          <w:tcPr>
            <w:tcW w:w="1040" w:type="pct"/>
            <w:tcBorders>
              <w:top w:val="nil"/>
              <w:left w:val="nil"/>
              <w:bottom w:val="nil"/>
              <w:right w:val="nil"/>
            </w:tcBorders>
            <w:shd w:val="clear" w:color="000000" w:fill="FFFFFF"/>
            <w:noWrap/>
            <w:vAlign w:val="center"/>
            <w:hideMark/>
          </w:tcPr>
          <w:p w14:paraId="5928129D" w14:textId="77777777" w:rsidR="0054513E" w:rsidRPr="00D618B7" w:rsidRDefault="0054513E" w:rsidP="004B11B7">
            <w:pPr>
              <w:jc w:val="right"/>
              <w:rPr>
                <w:color w:val="000000"/>
              </w:rPr>
            </w:pPr>
            <w:r w:rsidRPr="00D618B7">
              <w:rPr>
                <w:color w:val="000000"/>
              </w:rPr>
              <w:t>57.8699</w:t>
            </w:r>
          </w:p>
        </w:tc>
        <w:tc>
          <w:tcPr>
            <w:tcW w:w="1041" w:type="pct"/>
            <w:tcBorders>
              <w:top w:val="nil"/>
              <w:left w:val="nil"/>
              <w:bottom w:val="nil"/>
              <w:right w:val="nil"/>
            </w:tcBorders>
            <w:shd w:val="clear" w:color="000000" w:fill="FFFFFF"/>
            <w:noWrap/>
            <w:vAlign w:val="center"/>
            <w:hideMark/>
          </w:tcPr>
          <w:p w14:paraId="715EE40E" w14:textId="77777777" w:rsidR="0054513E" w:rsidRPr="00D618B7" w:rsidRDefault="0054513E" w:rsidP="004B11B7">
            <w:pPr>
              <w:jc w:val="right"/>
              <w:rPr>
                <w:color w:val="000000"/>
              </w:rPr>
            </w:pPr>
            <w:r w:rsidRPr="00D618B7">
              <w:rPr>
                <w:color w:val="000000"/>
              </w:rPr>
              <w:t>10.12711</w:t>
            </w:r>
          </w:p>
        </w:tc>
        <w:tc>
          <w:tcPr>
            <w:tcW w:w="931" w:type="pct"/>
            <w:tcBorders>
              <w:top w:val="nil"/>
              <w:left w:val="nil"/>
              <w:bottom w:val="nil"/>
              <w:right w:val="nil"/>
            </w:tcBorders>
            <w:shd w:val="clear" w:color="000000" w:fill="FFFFFF"/>
            <w:noWrap/>
            <w:vAlign w:val="center"/>
            <w:hideMark/>
          </w:tcPr>
          <w:p w14:paraId="605FDC47" w14:textId="77777777" w:rsidR="0054513E" w:rsidRPr="00D618B7" w:rsidRDefault="0054513E" w:rsidP="004B11B7">
            <w:pPr>
              <w:jc w:val="right"/>
              <w:rPr>
                <w:color w:val="000000"/>
              </w:rPr>
            </w:pPr>
            <w:r w:rsidRPr="00D618B7">
              <w:rPr>
                <w:color w:val="000000"/>
              </w:rPr>
              <w:t>77.139</w:t>
            </w:r>
          </w:p>
        </w:tc>
        <w:tc>
          <w:tcPr>
            <w:tcW w:w="1040" w:type="pct"/>
            <w:tcBorders>
              <w:top w:val="nil"/>
              <w:left w:val="nil"/>
              <w:bottom w:val="nil"/>
              <w:right w:val="nil"/>
            </w:tcBorders>
            <w:shd w:val="clear" w:color="000000" w:fill="FFFFFF"/>
            <w:noWrap/>
            <w:vAlign w:val="center"/>
            <w:hideMark/>
          </w:tcPr>
          <w:p w14:paraId="58927EE9" w14:textId="77777777" w:rsidR="0054513E" w:rsidRPr="00D618B7" w:rsidRDefault="0054513E" w:rsidP="004B11B7">
            <w:pPr>
              <w:jc w:val="right"/>
              <w:rPr>
                <w:color w:val="000000"/>
              </w:rPr>
            </w:pPr>
            <w:r w:rsidRPr="00D618B7">
              <w:rPr>
                <w:color w:val="000000"/>
              </w:rPr>
              <w:t>10.06323</w:t>
            </w:r>
          </w:p>
        </w:tc>
      </w:tr>
      <w:tr w:rsidR="0054513E" w:rsidRPr="00D618B7" w14:paraId="54EFABDB" w14:textId="77777777" w:rsidTr="0009678C">
        <w:trPr>
          <w:trHeight w:val="338"/>
        </w:trPr>
        <w:tc>
          <w:tcPr>
            <w:tcW w:w="948" w:type="pct"/>
            <w:tcBorders>
              <w:top w:val="nil"/>
              <w:left w:val="nil"/>
              <w:bottom w:val="nil"/>
              <w:right w:val="nil"/>
            </w:tcBorders>
            <w:shd w:val="clear" w:color="000000" w:fill="FFFFFF"/>
            <w:vAlign w:val="center"/>
            <w:hideMark/>
          </w:tcPr>
          <w:p w14:paraId="48C19004" w14:textId="77777777" w:rsidR="0054513E" w:rsidRPr="00D618B7" w:rsidRDefault="0054513E" w:rsidP="004B11B7">
            <w:pPr>
              <w:jc w:val="right"/>
              <w:rPr>
                <w:color w:val="000000"/>
              </w:rPr>
            </w:pPr>
            <w:r w:rsidRPr="00D618B7">
              <w:rPr>
                <w:color w:val="000000"/>
              </w:rPr>
              <w:t>1</w:t>
            </w:r>
          </w:p>
        </w:tc>
        <w:tc>
          <w:tcPr>
            <w:tcW w:w="1040" w:type="pct"/>
            <w:tcBorders>
              <w:top w:val="nil"/>
              <w:left w:val="nil"/>
              <w:bottom w:val="nil"/>
              <w:right w:val="nil"/>
            </w:tcBorders>
            <w:shd w:val="clear" w:color="000000" w:fill="FFFFFF"/>
            <w:noWrap/>
            <w:vAlign w:val="center"/>
            <w:hideMark/>
          </w:tcPr>
          <w:p w14:paraId="44BED55A" w14:textId="77777777" w:rsidR="0054513E" w:rsidRPr="00D618B7" w:rsidRDefault="0054513E" w:rsidP="004B11B7">
            <w:pPr>
              <w:jc w:val="right"/>
              <w:rPr>
                <w:color w:val="000000"/>
              </w:rPr>
            </w:pPr>
            <w:r w:rsidRPr="00D618B7">
              <w:rPr>
                <w:color w:val="000000"/>
              </w:rPr>
              <w:t>70.7743</w:t>
            </w:r>
          </w:p>
        </w:tc>
        <w:tc>
          <w:tcPr>
            <w:tcW w:w="1041" w:type="pct"/>
            <w:tcBorders>
              <w:top w:val="nil"/>
              <w:left w:val="nil"/>
              <w:bottom w:val="nil"/>
              <w:right w:val="nil"/>
            </w:tcBorders>
            <w:shd w:val="clear" w:color="000000" w:fill="FFFFFF"/>
            <w:noWrap/>
            <w:vAlign w:val="center"/>
            <w:hideMark/>
          </w:tcPr>
          <w:p w14:paraId="680BA6C0" w14:textId="77777777" w:rsidR="0054513E" w:rsidRPr="00D618B7" w:rsidRDefault="0054513E" w:rsidP="004B11B7">
            <w:pPr>
              <w:jc w:val="right"/>
              <w:rPr>
                <w:color w:val="000000"/>
              </w:rPr>
            </w:pPr>
            <w:r w:rsidRPr="00D618B7">
              <w:rPr>
                <w:color w:val="000000"/>
              </w:rPr>
              <w:t>10.10691</w:t>
            </w:r>
          </w:p>
        </w:tc>
        <w:tc>
          <w:tcPr>
            <w:tcW w:w="931" w:type="pct"/>
            <w:tcBorders>
              <w:top w:val="nil"/>
              <w:left w:val="nil"/>
              <w:bottom w:val="nil"/>
              <w:right w:val="nil"/>
            </w:tcBorders>
            <w:shd w:val="clear" w:color="000000" w:fill="FFFFFF"/>
            <w:noWrap/>
            <w:vAlign w:val="center"/>
            <w:hideMark/>
          </w:tcPr>
          <w:p w14:paraId="2208F16A" w14:textId="77777777" w:rsidR="0054513E" w:rsidRPr="00D618B7" w:rsidRDefault="0054513E" w:rsidP="004B11B7">
            <w:pPr>
              <w:jc w:val="right"/>
              <w:rPr>
                <w:color w:val="000000"/>
              </w:rPr>
            </w:pPr>
            <w:r w:rsidRPr="00D618B7">
              <w:rPr>
                <w:color w:val="000000"/>
              </w:rPr>
              <w:t>96.0067</w:t>
            </w:r>
          </w:p>
        </w:tc>
        <w:tc>
          <w:tcPr>
            <w:tcW w:w="1040" w:type="pct"/>
            <w:tcBorders>
              <w:top w:val="nil"/>
              <w:left w:val="nil"/>
              <w:bottom w:val="nil"/>
              <w:right w:val="nil"/>
            </w:tcBorders>
            <w:shd w:val="clear" w:color="000000" w:fill="FFFFFF"/>
            <w:noWrap/>
            <w:vAlign w:val="center"/>
            <w:hideMark/>
          </w:tcPr>
          <w:p w14:paraId="4C2224EE" w14:textId="77777777" w:rsidR="0054513E" w:rsidRPr="00D618B7" w:rsidRDefault="0054513E" w:rsidP="004B11B7">
            <w:pPr>
              <w:jc w:val="right"/>
              <w:rPr>
                <w:color w:val="000000"/>
              </w:rPr>
            </w:pPr>
            <w:r w:rsidRPr="00D618B7">
              <w:rPr>
                <w:color w:val="000000"/>
              </w:rPr>
              <w:t>10.13495</w:t>
            </w:r>
          </w:p>
        </w:tc>
      </w:tr>
      <w:tr w:rsidR="0054513E" w:rsidRPr="00D618B7" w14:paraId="0966C9F9" w14:textId="77777777" w:rsidTr="0009678C">
        <w:trPr>
          <w:trHeight w:val="338"/>
        </w:trPr>
        <w:tc>
          <w:tcPr>
            <w:tcW w:w="948" w:type="pct"/>
            <w:tcBorders>
              <w:top w:val="nil"/>
              <w:left w:val="nil"/>
              <w:bottom w:val="nil"/>
              <w:right w:val="nil"/>
            </w:tcBorders>
            <w:shd w:val="clear" w:color="000000" w:fill="FFFFFF"/>
            <w:vAlign w:val="center"/>
            <w:hideMark/>
          </w:tcPr>
          <w:p w14:paraId="09A0D1E5" w14:textId="77777777" w:rsidR="0054513E" w:rsidRPr="00D618B7" w:rsidRDefault="0054513E" w:rsidP="004B11B7">
            <w:pPr>
              <w:jc w:val="right"/>
              <w:rPr>
                <w:color w:val="000000"/>
              </w:rPr>
            </w:pPr>
            <w:r w:rsidRPr="00D618B7">
              <w:rPr>
                <w:color w:val="000000"/>
              </w:rPr>
              <w:t>2</w:t>
            </w:r>
          </w:p>
        </w:tc>
        <w:tc>
          <w:tcPr>
            <w:tcW w:w="1040" w:type="pct"/>
            <w:tcBorders>
              <w:top w:val="nil"/>
              <w:left w:val="nil"/>
              <w:bottom w:val="nil"/>
              <w:right w:val="nil"/>
            </w:tcBorders>
            <w:shd w:val="clear" w:color="000000" w:fill="FFFFFF"/>
            <w:noWrap/>
            <w:vAlign w:val="center"/>
            <w:hideMark/>
          </w:tcPr>
          <w:p w14:paraId="79A0EFCA" w14:textId="77777777" w:rsidR="0054513E" w:rsidRPr="00D618B7" w:rsidRDefault="0054513E" w:rsidP="004B11B7">
            <w:pPr>
              <w:jc w:val="right"/>
              <w:rPr>
                <w:color w:val="000000"/>
              </w:rPr>
            </w:pPr>
            <w:r w:rsidRPr="00D618B7">
              <w:rPr>
                <w:color w:val="000000"/>
              </w:rPr>
              <w:t>96.7196</w:t>
            </w:r>
          </w:p>
        </w:tc>
        <w:tc>
          <w:tcPr>
            <w:tcW w:w="1041" w:type="pct"/>
            <w:tcBorders>
              <w:top w:val="nil"/>
              <w:left w:val="nil"/>
              <w:bottom w:val="nil"/>
              <w:right w:val="nil"/>
            </w:tcBorders>
            <w:shd w:val="clear" w:color="000000" w:fill="FFFFFF"/>
            <w:noWrap/>
            <w:vAlign w:val="center"/>
            <w:hideMark/>
          </w:tcPr>
          <w:p w14:paraId="2E1C2207" w14:textId="77777777" w:rsidR="0054513E" w:rsidRPr="00D618B7" w:rsidRDefault="0054513E" w:rsidP="004B11B7">
            <w:pPr>
              <w:jc w:val="right"/>
              <w:rPr>
                <w:color w:val="000000"/>
              </w:rPr>
            </w:pPr>
            <w:r w:rsidRPr="00D618B7">
              <w:rPr>
                <w:color w:val="000000"/>
              </w:rPr>
              <w:t>12.01695</w:t>
            </w:r>
          </w:p>
        </w:tc>
        <w:tc>
          <w:tcPr>
            <w:tcW w:w="931" w:type="pct"/>
            <w:tcBorders>
              <w:top w:val="nil"/>
              <w:left w:val="nil"/>
              <w:bottom w:val="nil"/>
              <w:right w:val="nil"/>
            </w:tcBorders>
            <w:shd w:val="clear" w:color="000000" w:fill="FFFFFF"/>
            <w:noWrap/>
            <w:vAlign w:val="center"/>
            <w:hideMark/>
          </w:tcPr>
          <w:p w14:paraId="085233F3" w14:textId="77777777" w:rsidR="0054513E" w:rsidRPr="00D618B7" w:rsidRDefault="0054513E" w:rsidP="004B11B7">
            <w:pPr>
              <w:jc w:val="right"/>
              <w:rPr>
                <w:color w:val="000000"/>
              </w:rPr>
            </w:pPr>
            <w:r w:rsidRPr="00D618B7">
              <w:rPr>
                <w:color w:val="000000"/>
              </w:rPr>
              <w:t>79.9844</w:t>
            </w:r>
          </w:p>
        </w:tc>
        <w:tc>
          <w:tcPr>
            <w:tcW w:w="1040" w:type="pct"/>
            <w:tcBorders>
              <w:top w:val="nil"/>
              <w:left w:val="nil"/>
              <w:bottom w:val="nil"/>
              <w:right w:val="nil"/>
            </w:tcBorders>
            <w:shd w:val="clear" w:color="000000" w:fill="FFFFFF"/>
            <w:noWrap/>
            <w:vAlign w:val="center"/>
            <w:hideMark/>
          </w:tcPr>
          <w:p w14:paraId="549F96BE" w14:textId="77777777" w:rsidR="0054513E" w:rsidRPr="00D618B7" w:rsidRDefault="0054513E" w:rsidP="004B11B7">
            <w:pPr>
              <w:jc w:val="right"/>
              <w:rPr>
                <w:color w:val="000000"/>
              </w:rPr>
            </w:pPr>
            <w:r w:rsidRPr="00D618B7">
              <w:rPr>
                <w:color w:val="000000"/>
              </w:rPr>
              <w:t>12.02501</w:t>
            </w:r>
          </w:p>
        </w:tc>
      </w:tr>
      <w:tr w:rsidR="0054513E" w:rsidRPr="00D618B7" w14:paraId="03ECEF9F" w14:textId="77777777" w:rsidTr="0009678C">
        <w:trPr>
          <w:trHeight w:val="338"/>
        </w:trPr>
        <w:tc>
          <w:tcPr>
            <w:tcW w:w="948" w:type="pct"/>
            <w:tcBorders>
              <w:top w:val="nil"/>
              <w:left w:val="nil"/>
              <w:bottom w:val="nil"/>
              <w:right w:val="nil"/>
            </w:tcBorders>
            <w:shd w:val="clear" w:color="000000" w:fill="FFFFFF"/>
            <w:vAlign w:val="center"/>
            <w:hideMark/>
          </w:tcPr>
          <w:p w14:paraId="475F0BDB" w14:textId="77777777" w:rsidR="0054513E" w:rsidRPr="00D618B7" w:rsidRDefault="0054513E" w:rsidP="004B11B7">
            <w:pPr>
              <w:jc w:val="right"/>
              <w:rPr>
                <w:color w:val="000000"/>
              </w:rPr>
            </w:pPr>
            <w:r w:rsidRPr="00D618B7">
              <w:rPr>
                <w:color w:val="000000"/>
              </w:rPr>
              <w:t>3</w:t>
            </w:r>
          </w:p>
        </w:tc>
        <w:tc>
          <w:tcPr>
            <w:tcW w:w="1040" w:type="pct"/>
            <w:tcBorders>
              <w:top w:val="nil"/>
              <w:left w:val="nil"/>
              <w:bottom w:val="nil"/>
              <w:right w:val="nil"/>
            </w:tcBorders>
            <w:shd w:val="clear" w:color="000000" w:fill="FFFFFF"/>
            <w:noWrap/>
            <w:vAlign w:val="center"/>
            <w:hideMark/>
          </w:tcPr>
          <w:p w14:paraId="2456A574" w14:textId="77777777" w:rsidR="0054513E" w:rsidRPr="00D618B7" w:rsidRDefault="0054513E" w:rsidP="004B11B7">
            <w:pPr>
              <w:jc w:val="right"/>
              <w:rPr>
                <w:color w:val="000000"/>
              </w:rPr>
            </w:pPr>
            <w:r w:rsidRPr="00D618B7">
              <w:rPr>
                <w:color w:val="000000"/>
              </w:rPr>
              <w:t>100.7278</w:t>
            </w:r>
          </w:p>
        </w:tc>
        <w:tc>
          <w:tcPr>
            <w:tcW w:w="1041" w:type="pct"/>
            <w:tcBorders>
              <w:top w:val="nil"/>
              <w:left w:val="nil"/>
              <w:bottom w:val="nil"/>
              <w:right w:val="nil"/>
            </w:tcBorders>
            <w:shd w:val="clear" w:color="000000" w:fill="FFFFFF"/>
            <w:noWrap/>
            <w:vAlign w:val="center"/>
            <w:hideMark/>
          </w:tcPr>
          <w:p w14:paraId="2B162543" w14:textId="77777777" w:rsidR="0054513E" w:rsidRPr="00D618B7" w:rsidRDefault="0054513E" w:rsidP="004B11B7">
            <w:pPr>
              <w:jc w:val="right"/>
              <w:rPr>
                <w:color w:val="000000"/>
              </w:rPr>
            </w:pPr>
            <w:r w:rsidRPr="00D618B7">
              <w:rPr>
                <w:color w:val="000000"/>
              </w:rPr>
              <w:t>10.10454</w:t>
            </w:r>
          </w:p>
        </w:tc>
        <w:tc>
          <w:tcPr>
            <w:tcW w:w="931" w:type="pct"/>
            <w:tcBorders>
              <w:top w:val="nil"/>
              <w:left w:val="nil"/>
              <w:bottom w:val="nil"/>
              <w:right w:val="nil"/>
            </w:tcBorders>
            <w:shd w:val="clear" w:color="000000" w:fill="FFFFFF"/>
            <w:noWrap/>
            <w:vAlign w:val="center"/>
            <w:hideMark/>
          </w:tcPr>
          <w:p w14:paraId="0BA0582E" w14:textId="77777777" w:rsidR="0054513E" w:rsidRPr="00D618B7" w:rsidRDefault="0054513E" w:rsidP="004B11B7">
            <w:pPr>
              <w:jc w:val="right"/>
              <w:rPr>
                <w:color w:val="000000"/>
              </w:rPr>
            </w:pPr>
            <w:r w:rsidRPr="00D618B7">
              <w:rPr>
                <w:color w:val="000000"/>
              </w:rPr>
              <w:t>86.8525</w:t>
            </w:r>
          </w:p>
        </w:tc>
        <w:tc>
          <w:tcPr>
            <w:tcW w:w="1040" w:type="pct"/>
            <w:tcBorders>
              <w:top w:val="nil"/>
              <w:left w:val="nil"/>
              <w:bottom w:val="nil"/>
              <w:right w:val="nil"/>
            </w:tcBorders>
            <w:shd w:val="clear" w:color="000000" w:fill="FFFFFF"/>
            <w:noWrap/>
            <w:vAlign w:val="center"/>
            <w:hideMark/>
          </w:tcPr>
          <w:p w14:paraId="21639236" w14:textId="77777777" w:rsidR="0054513E" w:rsidRPr="00D618B7" w:rsidRDefault="0054513E" w:rsidP="004B11B7">
            <w:pPr>
              <w:jc w:val="right"/>
              <w:rPr>
                <w:color w:val="000000"/>
              </w:rPr>
            </w:pPr>
            <w:r w:rsidRPr="00D618B7">
              <w:rPr>
                <w:color w:val="000000"/>
              </w:rPr>
              <w:t>10.13495</w:t>
            </w:r>
          </w:p>
        </w:tc>
      </w:tr>
      <w:tr w:rsidR="0054513E" w:rsidRPr="00D618B7" w14:paraId="03410E45" w14:textId="77777777" w:rsidTr="0009678C">
        <w:trPr>
          <w:trHeight w:val="338"/>
        </w:trPr>
        <w:tc>
          <w:tcPr>
            <w:tcW w:w="948" w:type="pct"/>
            <w:tcBorders>
              <w:top w:val="nil"/>
              <w:left w:val="nil"/>
              <w:bottom w:val="nil"/>
              <w:right w:val="nil"/>
            </w:tcBorders>
            <w:shd w:val="clear" w:color="000000" w:fill="FFFFFF"/>
            <w:vAlign w:val="center"/>
            <w:hideMark/>
          </w:tcPr>
          <w:p w14:paraId="33B15D9C" w14:textId="77777777" w:rsidR="0054513E" w:rsidRPr="00D618B7" w:rsidRDefault="0054513E" w:rsidP="004B11B7">
            <w:pPr>
              <w:jc w:val="right"/>
              <w:rPr>
                <w:color w:val="000000"/>
              </w:rPr>
            </w:pPr>
            <w:r w:rsidRPr="00D618B7">
              <w:rPr>
                <w:color w:val="000000"/>
              </w:rPr>
              <w:t>4</w:t>
            </w:r>
          </w:p>
        </w:tc>
        <w:tc>
          <w:tcPr>
            <w:tcW w:w="1040" w:type="pct"/>
            <w:tcBorders>
              <w:top w:val="nil"/>
              <w:left w:val="nil"/>
              <w:bottom w:val="nil"/>
              <w:right w:val="nil"/>
            </w:tcBorders>
            <w:shd w:val="clear" w:color="000000" w:fill="FFFFFF"/>
            <w:noWrap/>
            <w:vAlign w:val="center"/>
            <w:hideMark/>
          </w:tcPr>
          <w:p w14:paraId="36610203" w14:textId="77777777" w:rsidR="0054513E" w:rsidRPr="00D618B7" w:rsidRDefault="0054513E" w:rsidP="004B11B7">
            <w:pPr>
              <w:jc w:val="right"/>
              <w:rPr>
                <w:color w:val="000000"/>
              </w:rPr>
            </w:pPr>
            <w:r w:rsidRPr="00D618B7">
              <w:rPr>
                <w:color w:val="000000"/>
              </w:rPr>
              <w:t>97.0714</w:t>
            </w:r>
          </w:p>
        </w:tc>
        <w:tc>
          <w:tcPr>
            <w:tcW w:w="1041" w:type="pct"/>
            <w:tcBorders>
              <w:top w:val="nil"/>
              <w:left w:val="nil"/>
              <w:bottom w:val="nil"/>
              <w:right w:val="nil"/>
            </w:tcBorders>
            <w:shd w:val="clear" w:color="000000" w:fill="FFFFFF"/>
            <w:noWrap/>
            <w:vAlign w:val="center"/>
            <w:hideMark/>
          </w:tcPr>
          <w:p w14:paraId="42970CD9" w14:textId="77777777" w:rsidR="0054513E" w:rsidRPr="00D618B7" w:rsidRDefault="0054513E" w:rsidP="004B11B7">
            <w:pPr>
              <w:jc w:val="right"/>
              <w:rPr>
                <w:color w:val="000000"/>
              </w:rPr>
            </w:pPr>
            <w:r w:rsidRPr="00D618B7">
              <w:rPr>
                <w:color w:val="000000"/>
              </w:rPr>
              <w:t>11.81482</w:t>
            </w:r>
          </w:p>
        </w:tc>
        <w:tc>
          <w:tcPr>
            <w:tcW w:w="931" w:type="pct"/>
            <w:tcBorders>
              <w:top w:val="nil"/>
              <w:left w:val="nil"/>
              <w:bottom w:val="nil"/>
              <w:right w:val="nil"/>
            </w:tcBorders>
            <w:shd w:val="clear" w:color="000000" w:fill="FFFFFF"/>
            <w:noWrap/>
            <w:vAlign w:val="center"/>
            <w:hideMark/>
          </w:tcPr>
          <w:p w14:paraId="37D4BFEB" w14:textId="77777777" w:rsidR="0054513E" w:rsidRPr="00D618B7" w:rsidRDefault="0054513E" w:rsidP="004B11B7">
            <w:pPr>
              <w:jc w:val="right"/>
              <w:rPr>
                <w:color w:val="000000"/>
              </w:rPr>
            </w:pPr>
            <w:r w:rsidRPr="00D618B7">
              <w:rPr>
                <w:color w:val="000000"/>
              </w:rPr>
              <w:t>83.0196</w:t>
            </w:r>
          </w:p>
        </w:tc>
        <w:tc>
          <w:tcPr>
            <w:tcW w:w="1040" w:type="pct"/>
            <w:tcBorders>
              <w:top w:val="nil"/>
              <w:left w:val="nil"/>
              <w:bottom w:val="nil"/>
              <w:right w:val="nil"/>
            </w:tcBorders>
            <w:shd w:val="clear" w:color="000000" w:fill="FFFFFF"/>
            <w:noWrap/>
            <w:vAlign w:val="center"/>
            <w:hideMark/>
          </w:tcPr>
          <w:p w14:paraId="77D3611A" w14:textId="77777777" w:rsidR="0054513E" w:rsidRPr="00D618B7" w:rsidRDefault="0054513E" w:rsidP="004B11B7">
            <w:pPr>
              <w:jc w:val="right"/>
              <w:rPr>
                <w:color w:val="000000"/>
              </w:rPr>
            </w:pPr>
            <w:r w:rsidRPr="00D618B7">
              <w:rPr>
                <w:color w:val="000000"/>
              </w:rPr>
              <w:t>10.06323</w:t>
            </w:r>
          </w:p>
        </w:tc>
      </w:tr>
      <w:tr w:rsidR="0054513E" w:rsidRPr="00D618B7" w14:paraId="2BBEE1CE" w14:textId="77777777" w:rsidTr="0009678C">
        <w:trPr>
          <w:trHeight w:val="355"/>
        </w:trPr>
        <w:tc>
          <w:tcPr>
            <w:tcW w:w="948" w:type="pct"/>
            <w:tcBorders>
              <w:top w:val="nil"/>
              <w:left w:val="nil"/>
              <w:bottom w:val="single" w:sz="12" w:space="0" w:color="auto"/>
              <w:right w:val="nil"/>
            </w:tcBorders>
            <w:shd w:val="clear" w:color="000000" w:fill="FFFFFF"/>
            <w:vAlign w:val="center"/>
            <w:hideMark/>
          </w:tcPr>
          <w:p w14:paraId="71CD2F3A" w14:textId="77777777" w:rsidR="0054513E" w:rsidRPr="00D618B7" w:rsidRDefault="0054513E" w:rsidP="004B11B7">
            <w:pPr>
              <w:jc w:val="right"/>
              <w:rPr>
                <w:color w:val="000000"/>
              </w:rPr>
            </w:pPr>
            <w:r w:rsidRPr="00D618B7">
              <w:rPr>
                <w:color w:val="000000"/>
              </w:rPr>
              <w:t>5</w:t>
            </w:r>
          </w:p>
        </w:tc>
        <w:tc>
          <w:tcPr>
            <w:tcW w:w="1040" w:type="pct"/>
            <w:tcBorders>
              <w:top w:val="nil"/>
              <w:left w:val="nil"/>
              <w:bottom w:val="single" w:sz="12" w:space="0" w:color="auto"/>
              <w:right w:val="nil"/>
            </w:tcBorders>
            <w:shd w:val="clear" w:color="000000" w:fill="FFFFFF"/>
            <w:noWrap/>
            <w:vAlign w:val="center"/>
            <w:hideMark/>
          </w:tcPr>
          <w:p w14:paraId="6799ACD2" w14:textId="77777777" w:rsidR="0054513E" w:rsidRPr="00D618B7" w:rsidRDefault="0054513E" w:rsidP="004B11B7">
            <w:pPr>
              <w:jc w:val="right"/>
              <w:rPr>
                <w:color w:val="000000"/>
              </w:rPr>
            </w:pPr>
            <w:r w:rsidRPr="00D618B7">
              <w:rPr>
                <w:color w:val="000000"/>
              </w:rPr>
              <w:t>90.3348</w:t>
            </w:r>
          </w:p>
        </w:tc>
        <w:tc>
          <w:tcPr>
            <w:tcW w:w="1041" w:type="pct"/>
            <w:tcBorders>
              <w:top w:val="nil"/>
              <w:left w:val="nil"/>
              <w:bottom w:val="single" w:sz="12" w:space="0" w:color="auto"/>
              <w:right w:val="nil"/>
            </w:tcBorders>
            <w:shd w:val="clear" w:color="000000" w:fill="FFFFFF"/>
            <w:noWrap/>
            <w:vAlign w:val="center"/>
            <w:hideMark/>
          </w:tcPr>
          <w:p w14:paraId="0D87E2A9" w14:textId="77777777" w:rsidR="0054513E" w:rsidRPr="00D618B7" w:rsidRDefault="0054513E" w:rsidP="004B11B7">
            <w:pPr>
              <w:jc w:val="right"/>
              <w:rPr>
                <w:color w:val="000000"/>
              </w:rPr>
            </w:pPr>
            <w:r w:rsidRPr="00D618B7">
              <w:rPr>
                <w:color w:val="000000"/>
              </w:rPr>
              <w:t>10.04341</w:t>
            </w:r>
          </w:p>
        </w:tc>
        <w:tc>
          <w:tcPr>
            <w:tcW w:w="931" w:type="pct"/>
            <w:tcBorders>
              <w:top w:val="nil"/>
              <w:left w:val="nil"/>
              <w:bottom w:val="single" w:sz="12" w:space="0" w:color="auto"/>
              <w:right w:val="nil"/>
            </w:tcBorders>
            <w:shd w:val="clear" w:color="000000" w:fill="FFFFFF"/>
            <w:noWrap/>
            <w:vAlign w:val="center"/>
            <w:hideMark/>
          </w:tcPr>
          <w:p w14:paraId="310F363A" w14:textId="77777777" w:rsidR="0054513E" w:rsidRPr="00D618B7" w:rsidRDefault="0054513E" w:rsidP="004B11B7">
            <w:pPr>
              <w:jc w:val="right"/>
              <w:rPr>
                <w:color w:val="000000"/>
              </w:rPr>
            </w:pPr>
            <w:r w:rsidRPr="00D618B7">
              <w:rPr>
                <w:color w:val="000000"/>
              </w:rPr>
              <w:t>95.4535</w:t>
            </w:r>
          </w:p>
        </w:tc>
        <w:tc>
          <w:tcPr>
            <w:tcW w:w="1040" w:type="pct"/>
            <w:tcBorders>
              <w:top w:val="nil"/>
              <w:left w:val="nil"/>
              <w:bottom w:val="single" w:sz="12" w:space="0" w:color="auto"/>
              <w:right w:val="nil"/>
            </w:tcBorders>
            <w:shd w:val="clear" w:color="000000" w:fill="FFFFFF"/>
            <w:noWrap/>
            <w:vAlign w:val="center"/>
            <w:hideMark/>
          </w:tcPr>
          <w:p w14:paraId="2FA017D4" w14:textId="77777777" w:rsidR="0054513E" w:rsidRPr="00D618B7" w:rsidRDefault="0054513E" w:rsidP="004B11B7">
            <w:pPr>
              <w:jc w:val="right"/>
              <w:rPr>
                <w:color w:val="000000"/>
              </w:rPr>
            </w:pPr>
            <w:r w:rsidRPr="00D618B7">
              <w:rPr>
                <w:color w:val="000000"/>
              </w:rPr>
              <w:t>15.56256</w:t>
            </w:r>
          </w:p>
        </w:tc>
      </w:tr>
    </w:tbl>
    <w:p w14:paraId="54E961BE" w14:textId="77777777" w:rsidR="0054513E" w:rsidRPr="00D618B7" w:rsidRDefault="0054513E" w:rsidP="0054513E"/>
    <w:p w14:paraId="1857A1EC" w14:textId="0B9DE1DA" w:rsidR="00E80D49" w:rsidRPr="00D618B7" w:rsidRDefault="0054513E" w:rsidP="0054513E">
      <w:r w:rsidRPr="00D618B7">
        <w:rPr>
          <w:i/>
          <w:iCs/>
        </w:rPr>
        <w:t>Note</w:t>
      </w:r>
      <w:r w:rsidRPr="00D618B7">
        <w:t>: This table lists the estimated mean latency to reach and standard error of early and late reach groups weeks following reach-onset.</w:t>
      </w:r>
    </w:p>
    <w:p w14:paraId="42EE1EF8" w14:textId="77777777" w:rsidR="00E80D49" w:rsidRPr="00D618B7" w:rsidRDefault="00E80D49">
      <w:r w:rsidRPr="00D618B7">
        <w:br w:type="page"/>
      </w:r>
    </w:p>
    <w:p w14:paraId="1A53EEE2" w14:textId="77777777" w:rsidR="00E80D49" w:rsidRPr="00D618B7" w:rsidRDefault="00E80D49" w:rsidP="00E80D49">
      <w:r w:rsidRPr="00D618B7">
        <w:rPr>
          <w:noProof/>
        </w:rPr>
        <w:lastRenderedPageBreak/>
        <w:drawing>
          <wp:inline distT="0" distB="0" distL="0" distR="0" wp14:anchorId="1C996320" wp14:editId="734500B5">
            <wp:extent cx="5724939" cy="4607560"/>
            <wp:effectExtent l="0" t="0" r="0" b="2540"/>
            <wp:docPr id="1820208423" name="Chart 1">
              <a:extLst xmlns:a="http://schemas.openxmlformats.org/drawingml/2006/main">
                <a:ext uri="{FF2B5EF4-FFF2-40B4-BE49-F238E27FC236}">
                  <a16:creationId xmlns:a16="http://schemas.microsoft.com/office/drawing/2014/main" id="{D8BBFEFC-6655-4B2A-A2C2-3B187F495D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D618B7">
        <w:t xml:space="preserve"> </w:t>
      </w:r>
    </w:p>
    <w:p w14:paraId="78A2560E" w14:textId="77777777" w:rsidR="001A50DE" w:rsidRPr="00D618B7" w:rsidRDefault="001A50DE" w:rsidP="001A50DE">
      <w:pPr>
        <w:pStyle w:val="Caption"/>
      </w:pPr>
      <w:bookmarkStart w:id="231" w:name="_Toc172716970"/>
      <w:r w:rsidRPr="00D618B7">
        <w:t xml:space="preserve">Figure </w:t>
      </w:r>
      <w:r>
        <w:fldChar w:fldCharType="begin"/>
      </w:r>
      <w:r>
        <w:instrText xml:space="preserve"> SEQ Figure \* ARABIC </w:instrText>
      </w:r>
      <w:r>
        <w:fldChar w:fldCharType="separate"/>
      </w:r>
      <w:r>
        <w:rPr>
          <w:noProof/>
        </w:rPr>
        <w:t>30</w:t>
      </w:r>
      <w:r>
        <w:rPr>
          <w:noProof/>
        </w:rPr>
        <w:fldChar w:fldCharType="end"/>
      </w:r>
      <w:r>
        <w:rPr>
          <w:noProof/>
        </w:rPr>
        <w:t>:</w:t>
      </w:r>
      <w:r w:rsidRPr="00D060E7">
        <w:t xml:space="preserve"> </w:t>
      </w:r>
      <w:r>
        <w:t>Velocity by week by group</w:t>
      </w:r>
      <w:bookmarkEnd w:id="231"/>
    </w:p>
    <w:p w14:paraId="71AB8232" w14:textId="77777777" w:rsidR="001A50DE" w:rsidRDefault="001A50DE" w:rsidP="001A50DE"/>
    <w:p w14:paraId="06CC5438" w14:textId="5BAEBB83" w:rsidR="001A50DE" w:rsidRPr="00D618B7" w:rsidRDefault="001A50DE" w:rsidP="001A50DE">
      <w:r w:rsidRPr="00D618B7">
        <w:t>Estimated Mean Average Velocity per Week by Group</w:t>
      </w:r>
      <w:r>
        <w:t>.</w:t>
      </w:r>
    </w:p>
    <w:p w14:paraId="7F5F71CE" w14:textId="7CD669DD" w:rsidR="0054513E" w:rsidRPr="00D618B7" w:rsidRDefault="00E80D49" w:rsidP="00E80D49">
      <w:r w:rsidRPr="00D618B7">
        <w:rPr>
          <w:i/>
          <w:iCs/>
        </w:rPr>
        <w:t>Note</w:t>
      </w:r>
      <w:r w:rsidRPr="00D618B7">
        <w:t>. This figure illustrates the estimated mean average velocity per week of observation around reach-onset by group. Error bars show standard error.</w:t>
      </w:r>
    </w:p>
    <w:p w14:paraId="577DF9B8" w14:textId="77777777" w:rsidR="008D6E37" w:rsidRPr="00D618B7" w:rsidRDefault="008D6E37" w:rsidP="008D6E37"/>
    <w:p w14:paraId="769B1A34" w14:textId="77777777" w:rsidR="008D6E37" w:rsidRPr="00D618B7" w:rsidRDefault="008D6E37" w:rsidP="008D6E37"/>
    <w:p w14:paraId="446DDA79" w14:textId="0D3162A2" w:rsidR="00BD4BB3" w:rsidRPr="00D618B7" w:rsidRDefault="00BD4BB3" w:rsidP="007C5074">
      <w:pPr>
        <w:pStyle w:val="Caption"/>
      </w:pPr>
      <w:bookmarkStart w:id="232" w:name="_Toc172716911"/>
      <w:r w:rsidRPr="00D618B7">
        <w:t xml:space="preserve">Table </w:t>
      </w:r>
      <w:r w:rsidR="00000000">
        <w:fldChar w:fldCharType="begin"/>
      </w:r>
      <w:r w:rsidR="00000000">
        <w:instrText xml:space="preserve"> SEQ Table \* ARABIC </w:instrText>
      </w:r>
      <w:r w:rsidR="00000000">
        <w:fldChar w:fldCharType="separate"/>
      </w:r>
      <w:r w:rsidR="000C6E43">
        <w:rPr>
          <w:noProof/>
        </w:rPr>
        <w:t>83</w:t>
      </w:r>
      <w:r w:rsidR="00000000">
        <w:rPr>
          <w:noProof/>
        </w:rPr>
        <w:fldChar w:fldCharType="end"/>
      </w:r>
      <w:r w:rsidR="00AE3927">
        <w:rPr>
          <w:noProof/>
        </w:rPr>
        <w:t>:</w:t>
      </w:r>
      <w:r w:rsidR="00D060E7" w:rsidRPr="00D060E7">
        <w:t xml:space="preserve"> </w:t>
      </w:r>
      <w:r w:rsidR="00D060E7">
        <w:t>Velocity by group</w:t>
      </w:r>
      <w:bookmarkEnd w:id="232"/>
    </w:p>
    <w:p w14:paraId="76ECBCCD" w14:textId="37B20B72" w:rsidR="008D6E37" w:rsidRPr="00D618B7" w:rsidRDefault="008D6E37" w:rsidP="008D6E37">
      <w:r w:rsidRPr="00D618B7">
        <w:t>Estimated Mean Average Velocity of Events by Group</w:t>
      </w:r>
    </w:p>
    <w:tbl>
      <w:tblPr>
        <w:tblW w:w="5000" w:type="pct"/>
        <w:tblLook w:val="04A0" w:firstRow="1" w:lastRow="0" w:firstColumn="1" w:lastColumn="0" w:noHBand="0" w:noVBand="1"/>
      </w:tblPr>
      <w:tblGrid>
        <w:gridCol w:w="4922"/>
        <w:gridCol w:w="1859"/>
        <w:gridCol w:w="1859"/>
      </w:tblGrid>
      <w:tr w:rsidR="008D6E37" w:rsidRPr="00D618B7" w14:paraId="0691FECD" w14:textId="77777777" w:rsidTr="004B11B7">
        <w:trPr>
          <w:trHeight w:val="346"/>
        </w:trPr>
        <w:tc>
          <w:tcPr>
            <w:tcW w:w="2848" w:type="pct"/>
            <w:tcBorders>
              <w:top w:val="nil"/>
              <w:left w:val="nil"/>
              <w:bottom w:val="single" w:sz="8" w:space="0" w:color="auto"/>
              <w:right w:val="nil"/>
            </w:tcBorders>
            <w:shd w:val="clear" w:color="auto" w:fill="auto"/>
            <w:noWrap/>
            <w:vAlign w:val="bottom"/>
            <w:hideMark/>
          </w:tcPr>
          <w:p w14:paraId="7313F8E9" w14:textId="77777777" w:rsidR="008D6E37" w:rsidRPr="00D618B7" w:rsidRDefault="008D6E37"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6040E6F9" w14:textId="77777777" w:rsidR="008D6E37" w:rsidRPr="00D618B7" w:rsidRDefault="008D6E37"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34E9C0B0" w14:textId="77777777" w:rsidR="008D6E37" w:rsidRPr="00D618B7" w:rsidRDefault="008D6E37" w:rsidP="004B11B7">
            <w:pPr>
              <w:rPr>
                <w:color w:val="000000"/>
              </w:rPr>
            </w:pPr>
            <w:r w:rsidRPr="00D618B7">
              <w:rPr>
                <w:color w:val="000000"/>
              </w:rPr>
              <w:t> </w:t>
            </w:r>
          </w:p>
        </w:tc>
      </w:tr>
      <w:tr w:rsidR="008D6E37" w:rsidRPr="00D618B7" w14:paraId="3978A8E3" w14:textId="77777777" w:rsidTr="004B11B7">
        <w:trPr>
          <w:trHeight w:val="346"/>
        </w:trPr>
        <w:tc>
          <w:tcPr>
            <w:tcW w:w="2848" w:type="pct"/>
            <w:tcBorders>
              <w:top w:val="nil"/>
              <w:left w:val="nil"/>
              <w:bottom w:val="single" w:sz="8" w:space="0" w:color="auto"/>
              <w:right w:val="nil"/>
            </w:tcBorders>
            <w:shd w:val="clear" w:color="000000" w:fill="FFFFFF"/>
            <w:vAlign w:val="center"/>
            <w:hideMark/>
          </w:tcPr>
          <w:p w14:paraId="29E8B04D" w14:textId="77777777" w:rsidR="008D6E37" w:rsidRPr="00D618B7" w:rsidRDefault="008D6E37" w:rsidP="004B11B7">
            <w:pPr>
              <w:rPr>
                <w:color w:val="000000"/>
              </w:rPr>
            </w:pPr>
            <w:r w:rsidRPr="00D618B7">
              <w:rPr>
                <w:color w:val="000000"/>
              </w:rPr>
              <w:t>Week</w:t>
            </w:r>
          </w:p>
        </w:tc>
        <w:tc>
          <w:tcPr>
            <w:tcW w:w="1076" w:type="pct"/>
            <w:tcBorders>
              <w:top w:val="nil"/>
              <w:left w:val="nil"/>
              <w:bottom w:val="single" w:sz="8" w:space="0" w:color="auto"/>
              <w:right w:val="nil"/>
            </w:tcBorders>
            <w:shd w:val="clear" w:color="000000" w:fill="FFFFFF"/>
            <w:noWrap/>
            <w:vAlign w:val="center"/>
            <w:hideMark/>
          </w:tcPr>
          <w:p w14:paraId="5EC04BCB" w14:textId="77777777" w:rsidR="008D6E37" w:rsidRPr="00D618B7" w:rsidRDefault="008D6E37" w:rsidP="004B11B7">
            <w:pPr>
              <w:jc w:val="right"/>
              <w:rPr>
                <w:color w:val="000000"/>
              </w:rPr>
            </w:pPr>
            <w:r w:rsidRPr="00D618B7">
              <w:rPr>
                <w:color w:val="000000"/>
              </w:rPr>
              <w:t>Mean</w:t>
            </w:r>
          </w:p>
        </w:tc>
        <w:tc>
          <w:tcPr>
            <w:tcW w:w="1076" w:type="pct"/>
            <w:tcBorders>
              <w:top w:val="nil"/>
              <w:left w:val="nil"/>
              <w:bottom w:val="single" w:sz="8" w:space="0" w:color="auto"/>
              <w:right w:val="nil"/>
            </w:tcBorders>
            <w:shd w:val="clear" w:color="000000" w:fill="FFFFFF"/>
            <w:noWrap/>
            <w:vAlign w:val="center"/>
            <w:hideMark/>
          </w:tcPr>
          <w:p w14:paraId="12289213" w14:textId="77777777" w:rsidR="008D6E37" w:rsidRPr="00D618B7" w:rsidRDefault="008D6E37" w:rsidP="004B11B7">
            <w:pPr>
              <w:jc w:val="right"/>
              <w:rPr>
                <w:color w:val="000000"/>
              </w:rPr>
            </w:pPr>
            <w:r w:rsidRPr="00D618B7">
              <w:rPr>
                <w:color w:val="000000"/>
              </w:rPr>
              <w:t>Std. Error</w:t>
            </w:r>
          </w:p>
        </w:tc>
      </w:tr>
      <w:tr w:rsidR="008D6E37" w:rsidRPr="00D618B7" w14:paraId="0A17E71C" w14:textId="77777777" w:rsidTr="004B11B7">
        <w:trPr>
          <w:trHeight w:val="346"/>
        </w:trPr>
        <w:tc>
          <w:tcPr>
            <w:tcW w:w="2848" w:type="pct"/>
            <w:tcBorders>
              <w:top w:val="nil"/>
              <w:left w:val="nil"/>
              <w:bottom w:val="nil"/>
              <w:right w:val="nil"/>
            </w:tcBorders>
            <w:shd w:val="clear" w:color="000000" w:fill="FFFFFF"/>
            <w:vAlign w:val="center"/>
            <w:hideMark/>
          </w:tcPr>
          <w:p w14:paraId="64F3D8F7" w14:textId="77777777" w:rsidR="008D6E37" w:rsidRPr="00D618B7" w:rsidRDefault="008D6E37" w:rsidP="004B11B7">
            <w:pPr>
              <w:rPr>
                <w:color w:val="000000"/>
              </w:rPr>
            </w:pPr>
            <w:r w:rsidRPr="00D618B7">
              <w:rPr>
                <w:color w:val="000000"/>
              </w:rPr>
              <w:t>Early Reach Group</w:t>
            </w:r>
          </w:p>
        </w:tc>
        <w:tc>
          <w:tcPr>
            <w:tcW w:w="1076" w:type="pct"/>
            <w:tcBorders>
              <w:top w:val="nil"/>
              <w:left w:val="nil"/>
              <w:bottom w:val="nil"/>
              <w:right w:val="nil"/>
            </w:tcBorders>
            <w:shd w:val="clear" w:color="000000" w:fill="FFFFFF"/>
            <w:noWrap/>
            <w:vAlign w:val="center"/>
            <w:hideMark/>
          </w:tcPr>
          <w:p w14:paraId="79D76706" w14:textId="77777777" w:rsidR="008D6E37" w:rsidRPr="00D618B7" w:rsidRDefault="008D6E37" w:rsidP="004B11B7">
            <w:pPr>
              <w:jc w:val="right"/>
              <w:rPr>
                <w:color w:val="000000"/>
              </w:rPr>
            </w:pPr>
            <w:r w:rsidRPr="00D618B7">
              <w:rPr>
                <w:color w:val="000000"/>
              </w:rPr>
              <w:t>6.94</w:t>
            </w:r>
          </w:p>
        </w:tc>
        <w:tc>
          <w:tcPr>
            <w:tcW w:w="1076" w:type="pct"/>
            <w:tcBorders>
              <w:top w:val="nil"/>
              <w:left w:val="nil"/>
              <w:bottom w:val="nil"/>
              <w:right w:val="nil"/>
            </w:tcBorders>
            <w:shd w:val="clear" w:color="000000" w:fill="FFFFFF"/>
            <w:noWrap/>
            <w:vAlign w:val="center"/>
            <w:hideMark/>
          </w:tcPr>
          <w:p w14:paraId="57985594" w14:textId="77777777" w:rsidR="008D6E37" w:rsidRPr="00D618B7" w:rsidRDefault="008D6E37" w:rsidP="004B11B7">
            <w:pPr>
              <w:jc w:val="right"/>
              <w:rPr>
                <w:color w:val="000000"/>
              </w:rPr>
            </w:pPr>
            <w:r w:rsidRPr="00D618B7">
              <w:rPr>
                <w:color w:val="000000"/>
              </w:rPr>
              <w:t>0.80</w:t>
            </w:r>
          </w:p>
        </w:tc>
      </w:tr>
      <w:tr w:rsidR="008D6E37" w:rsidRPr="00D618B7" w14:paraId="60BEBEDC" w14:textId="77777777" w:rsidTr="004B11B7">
        <w:trPr>
          <w:trHeight w:val="346"/>
        </w:trPr>
        <w:tc>
          <w:tcPr>
            <w:tcW w:w="2848" w:type="pct"/>
            <w:tcBorders>
              <w:top w:val="nil"/>
              <w:left w:val="nil"/>
              <w:bottom w:val="single" w:sz="8" w:space="0" w:color="auto"/>
              <w:right w:val="nil"/>
            </w:tcBorders>
            <w:shd w:val="clear" w:color="000000" w:fill="FFFFFF"/>
            <w:vAlign w:val="center"/>
            <w:hideMark/>
          </w:tcPr>
          <w:p w14:paraId="5209D691" w14:textId="77777777" w:rsidR="008D6E37" w:rsidRPr="00D618B7" w:rsidRDefault="008D6E37" w:rsidP="004B11B7">
            <w:pPr>
              <w:rPr>
                <w:color w:val="000000"/>
              </w:rPr>
            </w:pPr>
            <w:r w:rsidRPr="00D618B7">
              <w:rPr>
                <w:color w:val="000000"/>
              </w:rPr>
              <w:t>Late Reach Group</w:t>
            </w:r>
          </w:p>
        </w:tc>
        <w:tc>
          <w:tcPr>
            <w:tcW w:w="1076" w:type="pct"/>
            <w:tcBorders>
              <w:top w:val="nil"/>
              <w:left w:val="nil"/>
              <w:bottom w:val="single" w:sz="8" w:space="0" w:color="auto"/>
              <w:right w:val="nil"/>
            </w:tcBorders>
            <w:shd w:val="clear" w:color="000000" w:fill="FFFFFF"/>
            <w:noWrap/>
            <w:vAlign w:val="center"/>
            <w:hideMark/>
          </w:tcPr>
          <w:p w14:paraId="5E7957C2" w14:textId="77777777" w:rsidR="008D6E37" w:rsidRPr="00D618B7" w:rsidRDefault="008D6E37" w:rsidP="004B11B7">
            <w:pPr>
              <w:jc w:val="right"/>
              <w:rPr>
                <w:color w:val="000000"/>
              </w:rPr>
            </w:pPr>
            <w:r w:rsidRPr="00D618B7">
              <w:rPr>
                <w:color w:val="000000"/>
              </w:rPr>
              <w:t>10.57</w:t>
            </w:r>
          </w:p>
        </w:tc>
        <w:tc>
          <w:tcPr>
            <w:tcW w:w="1076" w:type="pct"/>
            <w:tcBorders>
              <w:top w:val="nil"/>
              <w:left w:val="nil"/>
              <w:bottom w:val="single" w:sz="8" w:space="0" w:color="auto"/>
              <w:right w:val="nil"/>
            </w:tcBorders>
            <w:shd w:val="clear" w:color="000000" w:fill="FFFFFF"/>
            <w:noWrap/>
            <w:vAlign w:val="center"/>
            <w:hideMark/>
          </w:tcPr>
          <w:p w14:paraId="70289A92" w14:textId="77777777" w:rsidR="008D6E37" w:rsidRPr="00D618B7" w:rsidRDefault="008D6E37" w:rsidP="004B11B7">
            <w:pPr>
              <w:jc w:val="right"/>
              <w:rPr>
                <w:color w:val="000000"/>
              </w:rPr>
            </w:pPr>
            <w:r w:rsidRPr="00D618B7">
              <w:rPr>
                <w:color w:val="000000"/>
              </w:rPr>
              <w:t>0.87</w:t>
            </w:r>
          </w:p>
        </w:tc>
      </w:tr>
    </w:tbl>
    <w:p w14:paraId="10ACE673" w14:textId="77777777" w:rsidR="008D6E37" w:rsidRPr="00D618B7" w:rsidRDefault="008D6E37" w:rsidP="008D6E37">
      <w:pPr>
        <w:rPr>
          <w:i/>
          <w:iCs/>
        </w:rPr>
      </w:pPr>
    </w:p>
    <w:p w14:paraId="54118C2A" w14:textId="0846EE8E" w:rsidR="005B4120" w:rsidRPr="00D618B7" w:rsidRDefault="008D6E37" w:rsidP="008D6E37">
      <w:r w:rsidRPr="00D618B7">
        <w:rPr>
          <w:i/>
          <w:iCs/>
        </w:rPr>
        <w:t>Note</w:t>
      </w:r>
      <w:r w:rsidRPr="00D618B7">
        <w:t>: This table lists the estimated mean Average Velocity and standard errors for the early and late groups.</w:t>
      </w:r>
    </w:p>
    <w:p w14:paraId="5594FA7E" w14:textId="6276BB30" w:rsidR="00047D2A" w:rsidRPr="00D618B7" w:rsidRDefault="00047D2A" w:rsidP="007C5074">
      <w:pPr>
        <w:pStyle w:val="Caption"/>
      </w:pPr>
      <w:bookmarkStart w:id="233" w:name="_Toc172716912"/>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84</w:t>
      </w:r>
      <w:r w:rsidR="00000000">
        <w:rPr>
          <w:noProof/>
        </w:rPr>
        <w:fldChar w:fldCharType="end"/>
      </w:r>
      <w:r w:rsidR="00AE3927">
        <w:rPr>
          <w:noProof/>
        </w:rPr>
        <w:t>:</w:t>
      </w:r>
      <w:r w:rsidR="00D060E7" w:rsidRPr="00D060E7">
        <w:t xml:space="preserve"> </w:t>
      </w:r>
      <w:r w:rsidR="00D060E7">
        <w:t>Velocity by week by group</w:t>
      </w:r>
      <w:bookmarkEnd w:id="233"/>
    </w:p>
    <w:p w14:paraId="43DCEAA8" w14:textId="6F6D77AC" w:rsidR="00047D2A" w:rsidRPr="00D618B7" w:rsidRDefault="00047D2A" w:rsidP="00047D2A">
      <w:r w:rsidRPr="00D618B7">
        <w:t>Estimated Mean Average Velocity per Week by Group</w:t>
      </w:r>
    </w:p>
    <w:tbl>
      <w:tblPr>
        <w:tblW w:w="9091" w:type="dxa"/>
        <w:tblLook w:val="04A0" w:firstRow="1" w:lastRow="0" w:firstColumn="1" w:lastColumn="0" w:noHBand="0" w:noVBand="1"/>
      </w:tblPr>
      <w:tblGrid>
        <w:gridCol w:w="1803"/>
        <w:gridCol w:w="1561"/>
        <w:gridCol w:w="2049"/>
        <w:gridCol w:w="1771"/>
        <w:gridCol w:w="1907"/>
      </w:tblGrid>
      <w:tr w:rsidR="00047D2A" w:rsidRPr="00D618B7" w14:paraId="2F723F88" w14:textId="77777777" w:rsidTr="004B11B7">
        <w:trPr>
          <w:trHeight w:val="347"/>
        </w:trPr>
        <w:tc>
          <w:tcPr>
            <w:tcW w:w="1803" w:type="dxa"/>
            <w:tcBorders>
              <w:top w:val="single" w:sz="12" w:space="0" w:color="auto"/>
              <w:left w:val="nil"/>
              <w:bottom w:val="nil"/>
              <w:right w:val="nil"/>
            </w:tcBorders>
            <w:shd w:val="clear" w:color="000000" w:fill="FFFFFF"/>
            <w:vAlign w:val="center"/>
            <w:hideMark/>
          </w:tcPr>
          <w:p w14:paraId="0D2302CE" w14:textId="77777777" w:rsidR="00047D2A" w:rsidRPr="00D618B7" w:rsidRDefault="00047D2A" w:rsidP="004B11B7">
            <w:pPr>
              <w:rPr>
                <w:color w:val="000000"/>
              </w:rPr>
            </w:pPr>
            <w:r w:rsidRPr="00D618B7">
              <w:rPr>
                <w:color w:val="000000"/>
              </w:rPr>
              <w:t>Week</w:t>
            </w:r>
          </w:p>
        </w:tc>
        <w:tc>
          <w:tcPr>
            <w:tcW w:w="3610" w:type="dxa"/>
            <w:gridSpan w:val="2"/>
            <w:tcBorders>
              <w:top w:val="single" w:sz="12" w:space="0" w:color="auto"/>
              <w:left w:val="nil"/>
              <w:bottom w:val="single" w:sz="12" w:space="0" w:color="auto"/>
              <w:right w:val="nil"/>
            </w:tcBorders>
            <w:shd w:val="clear" w:color="000000" w:fill="FFFFFF"/>
            <w:vAlign w:val="center"/>
            <w:hideMark/>
          </w:tcPr>
          <w:p w14:paraId="132F4F29" w14:textId="77777777" w:rsidR="00047D2A" w:rsidRPr="00D618B7" w:rsidRDefault="00047D2A" w:rsidP="004B11B7">
            <w:pPr>
              <w:jc w:val="center"/>
              <w:rPr>
                <w:color w:val="000000"/>
              </w:rPr>
            </w:pPr>
            <w:r w:rsidRPr="00D618B7">
              <w:rPr>
                <w:color w:val="000000"/>
              </w:rPr>
              <w:t>Early Reach Group</w:t>
            </w:r>
          </w:p>
        </w:tc>
        <w:tc>
          <w:tcPr>
            <w:tcW w:w="3678" w:type="dxa"/>
            <w:gridSpan w:val="2"/>
            <w:tcBorders>
              <w:top w:val="single" w:sz="12" w:space="0" w:color="auto"/>
              <w:left w:val="nil"/>
              <w:bottom w:val="single" w:sz="12" w:space="0" w:color="auto"/>
              <w:right w:val="nil"/>
            </w:tcBorders>
            <w:shd w:val="clear" w:color="000000" w:fill="FFFFFF"/>
            <w:vAlign w:val="center"/>
            <w:hideMark/>
          </w:tcPr>
          <w:p w14:paraId="18FCA5D3" w14:textId="77777777" w:rsidR="00047D2A" w:rsidRPr="00D618B7" w:rsidRDefault="00047D2A" w:rsidP="004B11B7">
            <w:pPr>
              <w:jc w:val="center"/>
              <w:rPr>
                <w:color w:val="000000"/>
              </w:rPr>
            </w:pPr>
            <w:r w:rsidRPr="00D618B7">
              <w:rPr>
                <w:color w:val="000000"/>
              </w:rPr>
              <w:t>Late Reach Group</w:t>
            </w:r>
          </w:p>
        </w:tc>
      </w:tr>
      <w:tr w:rsidR="00047D2A" w:rsidRPr="00D618B7" w14:paraId="3CC75F0E" w14:textId="77777777" w:rsidTr="004B11B7">
        <w:trPr>
          <w:trHeight w:val="347"/>
        </w:trPr>
        <w:tc>
          <w:tcPr>
            <w:tcW w:w="1803" w:type="dxa"/>
            <w:tcBorders>
              <w:top w:val="nil"/>
              <w:left w:val="nil"/>
              <w:bottom w:val="single" w:sz="12" w:space="0" w:color="auto"/>
              <w:right w:val="nil"/>
            </w:tcBorders>
            <w:shd w:val="clear" w:color="000000" w:fill="FFFFFF"/>
            <w:noWrap/>
            <w:vAlign w:val="center"/>
            <w:hideMark/>
          </w:tcPr>
          <w:p w14:paraId="4CFC20DE" w14:textId="77777777" w:rsidR="00047D2A" w:rsidRPr="00D618B7" w:rsidRDefault="00047D2A" w:rsidP="004B11B7">
            <w:pPr>
              <w:rPr>
                <w:color w:val="000000"/>
              </w:rPr>
            </w:pPr>
            <w:r w:rsidRPr="00D618B7">
              <w:rPr>
                <w:color w:val="000000"/>
              </w:rPr>
              <w:t> </w:t>
            </w:r>
          </w:p>
        </w:tc>
        <w:tc>
          <w:tcPr>
            <w:tcW w:w="1561" w:type="dxa"/>
            <w:tcBorders>
              <w:top w:val="nil"/>
              <w:left w:val="nil"/>
              <w:bottom w:val="single" w:sz="12" w:space="0" w:color="auto"/>
              <w:right w:val="nil"/>
            </w:tcBorders>
            <w:shd w:val="clear" w:color="000000" w:fill="FFFFFF"/>
            <w:noWrap/>
            <w:vAlign w:val="center"/>
            <w:hideMark/>
          </w:tcPr>
          <w:p w14:paraId="7F85C407" w14:textId="77777777" w:rsidR="00047D2A" w:rsidRPr="00D618B7" w:rsidRDefault="00047D2A" w:rsidP="004B11B7">
            <w:pPr>
              <w:jc w:val="right"/>
              <w:rPr>
                <w:color w:val="000000"/>
              </w:rPr>
            </w:pPr>
            <w:r w:rsidRPr="00D618B7">
              <w:rPr>
                <w:color w:val="000000"/>
              </w:rPr>
              <w:t>Mean</w:t>
            </w:r>
          </w:p>
        </w:tc>
        <w:tc>
          <w:tcPr>
            <w:tcW w:w="2049" w:type="dxa"/>
            <w:tcBorders>
              <w:top w:val="nil"/>
              <w:left w:val="nil"/>
              <w:bottom w:val="single" w:sz="12" w:space="0" w:color="auto"/>
              <w:right w:val="nil"/>
            </w:tcBorders>
            <w:shd w:val="clear" w:color="000000" w:fill="FFFFFF"/>
            <w:noWrap/>
            <w:vAlign w:val="center"/>
            <w:hideMark/>
          </w:tcPr>
          <w:p w14:paraId="49BE4983" w14:textId="77777777" w:rsidR="00047D2A" w:rsidRPr="00D618B7" w:rsidRDefault="00047D2A" w:rsidP="004B11B7">
            <w:pPr>
              <w:jc w:val="right"/>
              <w:rPr>
                <w:color w:val="000000"/>
              </w:rPr>
            </w:pPr>
            <w:r w:rsidRPr="00D618B7">
              <w:rPr>
                <w:color w:val="000000"/>
              </w:rPr>
              <w:t>Std. Error</w:t>
            </w:r>
          </w:p>
        </w:tc>
        <w:tc>
          <w:tcPr>
            <w:tcW w:w="1771" w:type="dxa"/>
            <w:tcBorders>
              <w:top w:val="nil"/>
              <w:left w:val="nil"/>
              <w:bottom w:val="single" w:sz="12" w:space="0" w:color="auto"/>
              <w:right w:val="nil"/>
            </w:tcBorders>
            <w:shd w:val="clear" w:color="000000" w:fill="FFFFFF"/>
            <w:noWrap/>
            <w:vAlign w:val="center"/>
            <w:hideMark/>
          </w:tcPr>
          <w:p w14:paraId="241701EE" w14:textId="77777777" w:rsidR="00047D2A" w:rsidRPr="00D618B7" w:rsidRDefault="00047D2A" w:rsidP="004B11B7">
            <w:pPr>
              <w:jc w:val="right"/>
              <w:rPr>
                <w:color w:val="000000"/>
              </w:rPr>
            </w:pPr>
            <w:r w:rsidRPr="00D618B7">
              <w:rPr>
                <w:color w:val="000000"/>
              </w:rPr>
              <w:t>Mean</w:t>
            </w:r>
          </w:p>
        </w:tc>
        <w:tc>
          <w:tcPr>
            <w:tcW w:w="1907" w:type="dxa"/>
            <w:tcBorders>
              <w:top w:val="nil"/>
              <w:left w:val="nil"/>
              <w:bottom w:val="single" w:sz="12" w:space="0" w:color="auto"/>
              <w:right w:val="nil"/>
            </w:tcBorders>
            <w:shd w:val="clear" w:color="000000" w:fill="FFFFFF"/>
            <w:noWrap/>
            <w:vAlign w:val="center"/>
            <w:hideMark/>
          </w:tcPr>
          <w:p w14:paraId="21B1CB0C" w14:textId="77777777" w:rsidR="00047D2A" w:rsidRPr="00D618B7" w:rsidRDefault="00047D2A" w:rsidP="004B11B7">
            <w:pPr>
              <w:jc w:val="right"/>
              <w:rPr>
                <w:color w:val="000000"/>
              </w:rPr>
            </w:pPr>
            <w:r w:rsidRPr="00D618B7">
              <w:rPr>
                <w:color w:val="000000"/>
              </w:rPr>
              <w:t>Std. Error</w:t>
            </w:r>
          </w:p>
        </w:tc>
      </w:tr>
      <w:tr w:rsidR="00047D2A" w:rsidRPr="00D618B7" w14:paraId="44EBA158" w14:textId="77777777" w:rsidTr="004B11B7">
        <w:trPr>
          <w:trHeight w:val="331"/>
        </w:trPr>
        <w:tc>
          <w:tcPr>
            <w:tcW w:w="1803" w:type="dxa"/>
            <w:tcBorders>
              <w:top w:val="nil"/>
              <w:left w:val="nil"/>
              <w:bottom w:val="nil"/>
              <w:right w:val="nil"/>
            </w:tcBorders>
            <w:shd w:val="clear" w:color="000000" w:fill="FFFFFF"/>
            <w:noWrap/>
            <w:vAlign w:val="center"/>
            <w:hideMark/>
          </w:tcPr>
          <w:p w14:paraId="479671CE" w14:textId="77777777" w:rsidR="00047D2A" w:rsidRPr="00D618B7" w:rsidRDefault="00047D2A" w:rsidP="004B11B7">
            <w:pPr>
              <w:jc w:val="right"/>
              <w:rPr>
                <w:color w:val="000000"/>
              </w:rPr>
            </w:pPr>
            <w:r w:rsidRPr="00D618B7">
              <w:rPr>
                <w:color w:val="000000"/>
              </w:rPr>
              <w:t>-5</w:t>
            </w:r>
          </w:p>
        </w:tc>
        <w:tc>
          <w:tcPr>
            <w:tcW w:w="1561" w:type="dxa"/>
            <w:tcBorders>
              <w:top w:val="nil"/>
              <w:left w:val="nil"/>
              <w:bottom w:val="nil"/>
              <w:right w:val="nil"/>
            </w:tcBorders>
            <w:shd w:val="clear" w:color="000000" w:fill="FFFFFF"/>
            <w:noWrap/>
            <w:vAlign w:val="center"/>
            <w:hideMark/>
          </w:tcPr>
          <w:p w14:paraId="7198BDE1" w14:textId="77777777" w:rsidR="00047D2A" w:rsidRPr="00D618B7" w:rsidRDefault="00047D2A" w:rsidP="004B11B7">
            <w:pPr>
              <w:jc w:val="right"/>
              <w:rPr>
                <w:color w:val="000000"/>
              </w:rPr>
            </w:pPr>
            <w:r w:rsidRPr="00D618B7">
              <w:rPr>
                <w:color w:val="000000"/>
              </w:rPr>
              <w:t>4.83</w:t>
            </w:r>
          </w:p>
        </w:tc>
        <w:tc>
          <w:tcPr>
            <w:tcW w:w="2049" w:type="dxa"/>
            <w:tcBorders>
              <w:top w:val="nil"/>
              <w:left w:val="nil"/>
              <w:bottom w:val="nil"/>
              <w:right w:val="nil"/>
            </w:tcBorders>
            <w:shd w:val="clear" w:color="000000" w:fill="FFFFFF"/>
            <w:noWrap/>
            <w:vAlign w:val="center"/>
            <w:hideMark/>
          </w:tcPr>
          <w:p w14:paraId="0BB95CF9" w14:textId="77777777" w:rsidR="00047D2A" w:rsidRPr="00D618B7" w:rsidRDefault="00047D2A" w:rsidP="004B11B7">
            <w:pPr>
              <w:jc w:val="right"/>
              <w:rPr>
                <w:color w:val="000000"/>
              </w:rPr>
            </w:pPr>
            <w:r w:rsidRPr="00D618B7">
              <w:rPr>
                <w:color w:val="000000"/>
              </w:rPr>
              <w:t>0.61</w:t>
            </w:r>
          </w:p>
        </w:tc>
        <w:tc>
          <w:tcPr>
            <w:tcW w:w="1771" w:type="dxa"/>
            <w:tcBorders>
              <w:top w:val="nil"/>
              <w:left w:val="nil"/>
              <w:bottom w:val="nil"/>
              <w:right w:val="nil"/>
            </w:tcBorders>
            <w:shd w:val="clear" w:color="000000" w:fill="FFFFFF"/>
            <w:noWrap/>
            <w:vAlign w:val="center"/>
            <w:hideMark/>
          </w:tcPr>
          <w:p w14:paraId="6130763A" w14:textId="77777777" w:rsidR="00047D2A" w:rsidRPr="00D618B7" w:rsidRDefault="00047D2A" w:rsidP="004B11B7">
            <w:pPr>
              <w:jc w:val="right"/>
              <w:rPr>
                <w:color w:val="000000"/>
              </w:rPr>
            </w:pPr>
            <w:r w:rsidRPr="00D618B7">
              <w:rPr>
                <w:color w:val="000000"/>
              </w:rPr>
              <w:t>7.37</w:t>
            </w:r>
          </w:p>
        </w:tc>
        <w:tc>
          <w:tcPr>
            <w:tcW w:w="1907" w:type="dxa"/>
            <w:tcBorders>
              <w:top w:val="nil"/>
              <w:left w:val="nil"/>
              <w:bottom w:val="nil"/>
              <w:right w:val="nil"/>
            </w:tcBorders>
            <w:shd w:val="clear" w:color="000000" w:fill="FFFFFF"/>
            <w:noWrap/>
            <w:vAlign w:val="center"/>
            <w:hideMark/>
          </w:tcPr>
          <w:p w14:paraId="1B346AA3" w14:textId="77777777" w:rsidR="00047D2A" w:rsidRPr="00D618B7" w:rsidRDefault="00047D2A" w:rsidP="004B11B7">
            <w:pPr>
              <w:jc w:val="right"/>
              <w:rPr>
                <w:color w:val="000000"/>
              </w:rPr>
            </w:pPr>
            <w:r w:rsidRPr="00D618B7">
              <w:rPr>
                <w:color w:val="000000"/>
              </w:rPr>
              <w:t>0.67</w:t>
            </w:r>
          </w:p>
        </w:tc>
      </w:tr>
      <w:tr w:rsidR="00047D2A" w:rsidRPr="00D618B7" w14:paraId="47934116" w14:textId="77777777" w:rsidTr="004B11B7">
        <w:trPr>
          <w:trHeight w:val="315"/>
        </w:trPr>
        <w:tc>
          <w:tcPr>
            <w:tcW w:w="1803" w:type="dxa"/>
            <w:tcBorders>
              <w:top w:val="nil"/>
              <w:left w:val="nil"/>
              <w:bottom w:val="nil"/>
              <w:right w:val="nil"/>
            </w:tcBorders>
            <w:shd w:val="clear" w:color="000000" w:fill="FFFFFF"/>
            <w:noWrap/>
            <w:vAlign w:val="center"/>
            <w:hideMark/>
          </w:tcPr>
          <w:p w14:paraId="1E99744E" w14:textId="77777777" w:rsidR="00047D2A" w:rsidRPr="00D618B7" w:rsidRDefault="00047D2A" w:rsidP="004B11B7">
            <w:pPr>
              <w:jc w:val="right"/>
              <w:rPr>
                <w:color w:val="000000"/>
              </w:rPr>
            </w:pPr>
            <w:r w:rsidRPr="00D618B7">
              <w:rPr>
                <w:color w:val="000000"/>
              </w:rPr>
              <w:t>-4</w:t>
            </w:r>
          </w:p>
        </w:tc>
        <w:tc>
          <w:tcPr>
            <w:tcW w:w="1561" w:type="dxa"/>
            <w:tcBorders>
              <w:top w:val="nil"/>
              <w:left w:val="nil"/>
              <w:bottom w:val="nil"/>
              <w:right w:val="nil"/>
            </w:tcBorders>
            <w:shd w:val="clear" w:color="000000" w:fill="FFFFFF"/>
            <w:noWrap/>
            <w:vAlign w:val="center"/>
            <w:hideMark/>
          </w:tcPr>
          <w:p w14:paraId="000F84D2" w14:textId="77777777" w:rsidR="00047D2A" w:rsidRPr="00D618B7" w:rsidRDefault="00047D2A" w:rsidP="004B11B7">
            <w:pPr>
              <w:jc w:val="right"/>
              <w:rPr>
                <w:color w:val="000000"/>
              </w:rPr>
            </w:pPr>
            <w:r w:rsidRPr="00D618B7">
              <w:rPr>
                <w:color w:val="000000"/>
              </w:rPr>
              <w:t>6.15</w:t>
            </w:r>
          </w:p>
        </w:tc>
        <w:tc>
          <w:tcPr>
            <w:tcW w:w="2049" w:type="dxa"/>
            <w:tcBorders>
              <w:top w:val="nil"/>
              <w:left w:val="nil"/>
              <w:bottom w:val="nil"/>
              <w:right w:val="nil"/>
            </w:tcBorders>
            <w:shd w:val="clear" w:color="000000" w:fill="FFFFFF"/>
            <w:noWrap/>
            <w:vAlign w:val="center"/>
            <w:hideMark/>
          </w:tcPr>
          <w:p w14:paraId="6E670D68" w14:textId="77777777" w:rsidR="00047D2A" w:rsidRPr="00D618B7" w:rsidRDefault="00047D2A" w:rsidP="004B11B7">
            <w:pPr>
              <w:jc w:val="right"/>
              <w:rPr>
                <w:color w:val="000000"/>
              </w:rPr>
            </w:pPr>
            <w:r w:rsidRPr="00D618B7">
              <w:rPr>
                <w:color w:val="000000"/>
              </w:rPr>
              <w:t>0.68</w:t>
            </w:r>
          </w:p>
        </w:tc>
        <w:tc>
          <w:tcPr>
            <w:tcW w:w="1771" w:type="dxa"/>
            <w:tcBorders>
              <w:top w:val="nil"/>
              <w:left w:val="nil"/>
              <w:bottom w:val="nil"/>
              <w:right w:val="nil"/>
            </w:tcBorders>
            <w:shd w:val="clear" w:color="000000" w:fill="FFFFFF"/>
            <w:noWrap/>
            <w:vAlign w:val="center"/>
            <w:hideMark/>
          </w:tcPr>
          <w:p w14:paraId="027A3391" w14:textId="77777777" w:rsidR="00047D2A" w:rsidRPr="00D618B7" w:rsidRDefault="00047D2A" w:rsidP="004B11B7">
            <w:pPr>
              <w:jc w:val="right"/>
              <w:rPr>
                <w:color w:val="000000"/>
              </w:rPr>
            </w:pPr>
            <w:r w:rsidRPr="00D618B7">
              <w:rPr>
                <w:color w:val="000000"/>
              </w:rPr>
              <w:t>10.45</w:t>
            </w:r>
          </w:p>
        </w:tc>
        <w:tc>
          <w:tcPr>
            <w:tcW w:w="1907" w:type="dxa"/>
            <w:tcBorders>
              <w:top w:val="nil"/>
              <w:left w:val="nil"/>
              <w:bottom w:val="nil"/>
              <w:right w:val="nil"/>
            </w:tcBorders>
            <w:shd w:val="clear" w:color="000000" w:fill="FFFFFF"/>
            <w:noWrap/>
            <w:vAlign w:val="center"/>
            <w:hideMark/>
          </w:tcPr>
          <w:p w14:paraId="2518E844" w14:textId="77777777" w:rsidR="00047D2A" w:rsidRPr="00D618B7" w:rsidRDefault="00047D2A" w:rsidP="004B11B7">
            <w:pPr>
              <w:jc w:val="right"/>
              <w:rPr>
                <w:color w:val="000000"/>
              </w:rPr>
            </w:pPr>
            <w:r w:rsidRPr="00D618B7">
              <w:rPr>
                <w:color w:val="000000"/>
              </w:rPr>
              <w:t>0.58</w:t>
            </w:r>
          </w:p>
        </w:tc>
      </w:tr>
      <w:tr w:rsidR="00047D2A" w:rsidRPr="00D618B7" w14:paraId="5289B04F" w14:textId="77777777" w:rsidTr="004B11B7">
        <w:trPr>
          <w:trHeight w:val="315"/>
        </w:trPr>
        <w:tc>
          <w:tcPr>
            <w:tcW w:w="1803" w:type="dxa"/>
            <w:tcBorders>
              <w:top w:val="nil"/>
              <w:left w:val="nil"/>
              <w:bottom w:val="nil"/>
              <w:right w:val="nil"/>
            </w:tcBorders>
            <w:shd w:val="clear" w:color="000000" w:fill="FFFFFF"/>
            <w:noWrap/>
            <w:vAlign w:val="center"/>
            <w:hideMark/>
          </w:tcPr>
          <w:p w14:paraId="7734C54D" w14:textId="77777777" w:rsidR="00047D2A" w:rsidRPr="00D618B7" w:rsidRDefault="00047D2A" w:rsidP="004B11B7">
            <w:pPr>
              <w:jc w:val="right"/>
              <w:rPr>
                <w:color w:val="000000"/>
              </w:rPr>
            </w:pPr>
            <w:r w:rsidRPr="00D618B7">
              <w:rPr>
                <w:color w:val="000000"/>
              </w:rPr>
              <w:t>-3</w:t>
            </w:r>
          </w:p>
        </w:tc>
        <w:tc>
          <w:tcPr>
            <w:tcW w:w="1561" w:type="dxa"/>
            <w:tcBorders>
              <w:top w:val="nil"/>
              <w:left w:val="nil"/>
              <w:bottom w:val="nil"/>
              <w:right w:val="nil"/>
            </w:tcBorders>
            <w:shd w:val="clear" w:color="000000" w:fill="FFFFFF"/>
            <w:noWrap/>
            <w:vAlign w:val="center"/>
            <w:hideMark/>
          </w:tcPr>
          <w:p w14:paraId="3E8212C9" w14:textId="77777777" w:rsidR="00047D2A" w:rsidRPr="00D618B7" w:rsidRDefault="00047D2A" w:rsidP="004B11B7">
            <w:pPr>
              <w:jc w:val="right"/>
              <w:rPr>
                <w:color w:val="000000"/>
              </w:rPr>
            </w:pPr>
            <w:r w:rsidRPr="00D618B7">
              <w:rPr>
                <w:color w:val="000000"/>
              </w:rPr>
              <w:t>6.09</w:t>
            </w:r>
          </w:p>
        </w:tc>
        <w:tc>
          <w:tcPr>
            <w:tcW w:w="2049" w:type="dxa"/>
            <w:tcBorders>
              <w:top w:val="nil"/>
              <w:left w:val="nil"/>
              <w:bottom w:val="nil"/>
              <w:right w:val="nil"/>
            </w:tcBorders>
            <w:shd w:val="clear" w:color="000000" w:fill="FFFFFF"/>
            <w:noWrap/>
            <w:vAlign w:val="center"/>
            <w:hideMark/>
          </w:tcPr>
          <w:p w14:paraId="1F176D95" w14:textId="77777777" w:rsidR="00047D2A" w:rsidRPr="00D618B7" w:rsidRDefault="00047D2A" w:rsidP="004B11B7">
            <w:pPr>
              <w:jc w:val="right"/>
              <w:rPr>
                <w:color w:val="000000"/>
              </w:rPr>
            </w:pPr>
            <w:r w:rsidRPr="00D618B7">
              <w:rPr>
                <w:color w:val="000000"/>
              </w:rPr>
              <w:t>0.73</w:t>
            </w:r>
          </w:p>
        </w:tc>
        <w:tc>
          <w:tcPr>
            <w:tcW w:w="1771" w:type="dxa"/>
            <w:tcBorders>
              <w:top w:val="nil"/>
              <w:left w:val="nil"/>
              <w:bottom w:val="nil"/>
              <w:right w:val="nil"/>
            </w:tcBorders>
            <w:shd w:val="clear" w:color="000000" w:fill="FFFFFF"/>
            <w:noWrap/>
            <w:vAlign w:val="center"/>
            <w:hideMark/>
          </w:tcPr>
          <w:p w14:paraId="60D3A852" w14:textId="77777777" w:rsidR="00047D2A" w:rsidRPr="00D618B7" w:rsidRDefault="00047D2A" w:rsidP="004B11B7">
            <w:pPr>
              <w:jc w:val="right"/>
              <w:rPr>
                <w:color w:val="000000"/>
              </w:rPr>
            </w:pPr>
            <w:r w:rsidRPr="00D618B7">
              <w:rPr>
                <w:color w:val="000000"/>
              </w:rPr>
              <w:t>14.01</w:t>
            </w:r>
          </w:p>
        </w:tc>
        <w:tc>
          <w:tcPr>
            <w:tcW w:w="1907" w:type="dxa"/>
            <w:tcBorders>
              <w:top w:val="nil"/>
              <w:left w:val="nil"/>
              <w:bottom w:val="nil"/>
              <w:right w:val="nil"/>
            </w:tcBorders>
            <w:shd w:val="clear" w:color="000000" w:fill="FFFFFF"/>
            <w:noWrap/>
            <w:vAlign w:val="center"/>
            <w:hideMark/>
          </w:tcPr>
          <w:p w14:paraId="32ED3EA9" w14:textId="77777777" w:rsidR="00047D2A" w:rsidRPr="00D618B7" w:rsidRDefault="00047D2A" w:rsidP="004B11B7">
            <w:pPr>
              <w:jc w:val="right"/>
              <w:rPr>
                <w:color w:val="000000"/>
              </w:rPr>
            </w:pPr>
            <w:r w:rsidRPr="00D618B7">
              <w:rPr>
                <w:color w:val="000000"/>
              </w:rPr>
              <w:t>2.76</w:t>
            </w:r>
          </w:p>
        </w:tc>
      </w:tr>
      <w:tr w:rsidR="00047D2A" w:rsidRPr="00D618B7" w14:paraId="4AE90315" w14:textId="77777777" w:rsidTr="004B11B7">
        <w:trPr>
          <w:trHeight w:val="315"/>
        </w:trPr>
        <w:tc>
          <w:tcPr>
            <w:tcW w:w="1803" w:type="dxa"/>
            <w:tcBorders>
              <w:top w:val="nil"/>
              <w:left w:val="nil"/>
              <w:bottom w:val="nil"/>
              <w:right w:val="nil"/>
            </w:tcBorders>
            <w:shd w:val="clear" w:color="000000" w:fill="FFFFFF"/>
            <w:noWrap/>
            <w:vAlign w:val="center"/>
            <w:hideMark/>
          </w:tcPr>
          <w:p w14:paraId="073DBB84" w14:textId="77777777" w:rsidR="00047D2A" w:rsidRPr="00D618B7" w:rsidRDefault="00047D2A" w:rsidP="004B11B7">
            <w:pPr>
              <w:jc w:val="right"/>
              <w:rPr>
                <w:color w:val="000000"/>
              </w:rPr>
            </w:pPr>
            <w:r w:rsidRPr="00D618B7">
              <w:rPr>
                <w:color w:val="000000"/>
              </w:rPr>
              <w:t>-2</w:t>
            </w:r>
          </w:p>
        </w:tc>
        <w:tc>
          <w:tcPr>
            <w:tcW w:w="1561" w:type="dxa"/>
            <w:tcBorders>
              <w:top w:val="nil"/>
              <w:left w:val="nil"/>
              <w:bottom w:val="nil"/>
              <w:right w:val="nil"/>
            </w:tcBorders>
            <w:shd w:val="clear" w:color="000000" w:fill="FFFFFF"/>
            <w:noWrap/>
            <w:vAlign w:val="center"/>
            <w:hideMark/>
          </w:tcPr>
          <w:p w14:paraId="664F713F" w14:textId="77777777" w:rsidR="00047D2A" w:rsidRPr="00D618B7" w:rsidRDefault="00047D2A" w:rsidP="004B11B7">
            <w:pPr>
              <w:jc w:val="right"/>
              <w:rPr>
                <w:color w:val="000000"/>
              </w:rPr>
            </w:pPr>
            <w:r w:rsidRPr="00D618B7">
              <w:rPr>
                <w:color w:val="000000"/>
              </w:rPr>
              <w:t>7.14</w:t>
            </w:r>
          </w:p>
        </w:tc>
        <w:tc>
          <w:tcPr>
            <w:tcW w:w="2049" w:type="dxa"/>
            <w:tcBorders>
              <w:top w:val="nil"/>
              <w:left w:val="nil"/>
              <w:bottom w:val="nil"/>
              <w:right w:val="nil"/>
            </w:tcBorders>
            <w:shd w:val="clear" w:color="000000" w:fill="FFFFFF"/>
            <w:noWrap/>
            <w:vAlign w:val="center"/>
            <w:hideMark/>
          </w:tcPr>
          <w:p w14:paraId="10B863DE" w14:textId="77777777" w:rsidR="00047D2A" w:rsidRPr="00D618B7" w:rsidRDefault="00047D2A" w:rsidP="004B11B7">
            <w:pPr>
              <w:jc w:val="right"/>
              <w:rPr>
                <w:color w:val="000000"/>
              </w:rPr>
            </w:pPr>
            <w:r w:rsidRPr="00D618B7">
              <w:rPr>
                <w:color w:val="000000"/>
              </w:rPr>
              <w:t>0.94</w:t>
            </w:r>
          </w:p>
        </w:tc>
        <w:tc>
          <w:tcPr>
            <w:tcW w:w="1771" w:type="dxa"/>
            <w:tcBorders>
              <w:top w:val="nil"/>
              <w:left w:val="nil"/>
              <w:bottom w:val="nil"/>
              <w:right w:val="nil"/>
            </w:tcBorders>
            <w:shd w:val="clear" w:color="000000" w:fill="FFFFFF"/>
            <w:noWrap/>
            <w:vAlign w:val="center"/>
            <w:hideMark/>
          </w:tcPr>
          <w:p w14:paraId="0CDBF74B" w14:textId="77777777" w:rsidR="00047D2A" w:rsidRPr="00D618B7" w:rsidRDefault="00047D2A" w:rsidP="004B11B7">
            <w:pPr>
              <w:jc w:val="right"/>
              <w:rPr>
                <w:color w:val="000000"/>
              </w:rPr>
            </w:pPr>
            <w:r w:rsidRPr="00D618B7">
              <w:rPr>
                <w:color w:val="000000"/>
              </w:rPr>
              <w:t>11.83</w:t>
            </w:r>
          </w:p>
        </w:tc>
        <w:tc>
          <w:tcPr>
            <w:tcW w:w="1907" w:type="dxa"/>
            <w:tcBorders>
              <w:top w:val="nil"/>
              <w:left w:val="nil"/>
              <w:bottom w:val="nil"/>
              <w:right w:val="nil"/>
            </w:tcBorders>
            <w:shd w:val="clear" w:color="000000" w:fill="FFFFFF"/>
            <w:noWrap/>
            <w:vAlign w:val="center"/>
            <w:hideMark/>
          </w:tcPr>
          <w:p w14:paraId="6DAAC233" w14:textId="77777777" w:rsidR="00047D2A" w:rsidRPr="00D618B7" w:rsidRDefault="00047D2A" w:rsidP="004B11B7">
            <w:pPr>
              <w:jc w:val="right"/>
              <w:rPr>
                <w:color w:val="000000"/>
              </w:rPr>
            </w:pPr>
            <w:r w:rsidRPr="00D618B7">
              <w:rPr>
                <w:color w:val="000000"/>
              </w:rPr>
              <w:t>0.52</w:t>
            </w:r>
          </w:p>
        </w:tc>
      </w:tr>
      <w:tr w:rsidR="00047D2A" w:rsidRPr="00D618B7" w14:paraId="08998554" w14:textId="77777777" w:rsidTr="004B11B7">
        <w:trPr>
          <w:trHeight w:val="315"/>
        </w:trPr>
        <w:tc>
          <w:tcPr>
            <w:tcW w:w="1803" w:type="dxa"/>
            <w:tcBorders>
              <w:top w:val="nil"/>
              <w:left w:val="nil"/>
              <w:bottom w:val="nil"/>
              <w:right w:val="nil"/>
            </w:tcBorders>
            <w:shd w:val="clear" w:color="000000" w:fill="FFFFFF"/>
            <w:noWrap/>
            <w:vAlign w:val="center"/>
            <w:hideMark/>
          </w:tcPr>
          <w:p w14:paraId="68280D79" w14:textId="77777777" w:rsidR="00047D2A" w:rsidRPr="00D618B7" w:rsidRDefault="00047D2A" w:rsidP="004B11B7">
            <w:pPr>
              <w:jc w:val="right"/>
              <w:rPr>
                <w:color w:val="000000"/>
              </w:rPr>
            </w:pPr>
            <w:r w:rsidRPr="00D618B7">
              <w:rPr>
                <w:color w:val="000000"/>
              </w:rPr>
              <w:t>-1</w:t>
            </w:r>
          </w:p>
        </w:tc>
        <w:tc>
          <w:tcPr>
            <w:tcW w:w="1561" w:type="dxa"/>
            <w:tcBorders>
              <w:top w:val="nil"/>
              <w:left w:val="nil"/>
              <w:bottom w:val="nil"/>
              <w:right w:val="nil"/>
            </w:tcBorders>
            <w:shd w:val="clear" w:color="000000" w:fill="FFFFFF"/>
            <w:noWrap/>
            <w:vAlign w:val="center"/>
            <w:hideMark/>
          </w:tcPr>
          <w:p w14:paraId="6399DAC8" w14:textId="77777777" w:rsidR="00047D2A" w:rsidRPr="00D618B7" w:rsidRDefault="00047D2A" w:rsidP="004B11B7">
            <w:pPr>
              <w:jc w:val="right"/>
              <w:rPr>
                <w:color w:val="000000"/>
              </w:rPr>
            </w:pPr>
            <w:r w:rsidRPr="00D618B7">
              <w:rPr>
                <w:color w:val="000000"/>
              </w:rPr>
              <w:t>5.90</w:t>
            </w:r>
          </w:p>
        </w:tc>
        <w:tc>
          <w:tcPr>
            <w:tcW w:w="2049" w:type="dxa"/>
            <w:tcBorders>
              <w:top w:val="nil"/>
              <w:left w:val="nil"/>
              <w:bottom w:val="nil"/>
              <w:right w:val="nil"/>
            </w:tcBorders>
            <w:shd w:val="clear" w:color="000000" w:fill="FFFFFF"/>
            <w:noWrap/>
            <w:vAlign w:val="center"/>
            <w:hideMark/>
          </w:tcPr>
          <w:p w14:paraId="206B2637" w14:textId="77777777" w:rsidR="00047D2A" w:rsidRPr="00D618B7" w:rsidRDefault="00047D2A" w:rsidP="004B11B7">
            <w:pPr>
              <w:jc w:val="right"/>
              <w:rPr>
                <w:color w:val="000000"/>
              </w:rPr>
            </w:pPr>
            <w:r w:rsidRPr="00D618B7">
              <w:rPr>
                <w:color w:val="000000"/>
              </w:rPr>
              <w:t>0.66</w:t>
            </w:r>
          </w:p>
        </w:tc>
        <w:tc>
          <w:tcPr>
            <w:tcW w:w="1771" w:type="dxa"/>
            <w:tcBorders>
              <w:top w:val="nil"/>
              <w:left w:val="nil"/>
              <w:bottom w:val="nil"/>
              <w:right w:val="nil"/>
            </w:tcBorders>
            <w:shd w:val="clear" w:color="000000" w:fill="FFFFFF"/>
            <w:noWrap/>
            <w:vAlign w:val="center"/>
            <w:hideMark/>
          </w:tcPr>
          <w:p w14:paraId="49A5D39D" w14:textId="77777777" w:rsidR="00047D2A" w:rsidRPr="00D618B7" w:rsidRDefault="00047D2A" w:rsidP="004B11B7">
            <w:pPr>
              <w:jc w:val="right"/>
              <w:rPr>
                <w:color w:val="000000"/>
              </w:rPr>
            </w:pPr>
            <w:r w:rsidRPr="00D618B7">
              <w:rPr>
                <w:color w:val="000000"/>
              </w:rPr>
              <w:t>10.54</w:t>
            </w:r>
          </w:p>
        </w:tc>
        <w:tc>
          <w:tcPr>
            <w:tcW w:w="1907" w:type="dxa"/>
            <w:tcBorders>
              <w:top w:val="nil"/>
              <w:left w:val="nil"/>
              <w:bottom w:val="nil"/>
              <w:right w:val="nil"/>
            </w:tcBorders>
            <w:shd w:val="clear" w:color="000000" w:fill="FFFFFF"/>
            <w:noWrap/>
            <w:vAlign w:val="center"/>
            <w:hideMark/>
          </w:tcPr>
          <w:p w14:paraId="79B3FA62" w14:textId="77777777" w:rsidR="00047D2A" w:rsidRPr="00D618B7" w:rsidRDefault="00047D2A" w:rsidP="004B11B7">
            <w:pPr>
              <w:jc w:val="right"/>
              <w:rPr>
                <w:color w:val="000000"/>
              </w:rPr>
            </w:pPr>
            <w:r w:rsidRPr="00D618B7">
              <w:rPr>
                <w:color w:val="000000"/>
              </w:rPr>
              <w:t>1.11</w:t>
            </w:r>
          </w:p>
        </w:tc>
      </w:tr>
      <w:tr w:rsidR="00047D2A" w:rsidRPr="00D618B7" w14:paraId="7DE9E26F" w14:textId="77777777" w:rsidTr="004B11B7">
        <w:trPr>
          <w:trHeight w:val="315"/>
        </w:trPr>
        <w:tc>
          <w:tcPr>
            <w:tcW w:w="1803" w:type="dxa"/>
            <w:tcBorders>
              <w:top w:val="nil"/>
              <w:left w:val="nil"/>
              <w:bottom w:val="nil"/>
              <w:right w:val="nil"/>
            </w:tcBorders>
            <w:shd w:val="clear" w:color="000000" w:fill="FFFFFF"/>
            <w:vAlign w:val="center"/>
            <w:hideMark/>
          </w:tcPr>
          <w:p w14:paraId="049CA795" w14:textId="77777777" w:rsidR="00047D2A" w:rsidRPr="00D618B7" w:rsidRDefault="00047D2A" w:rsidP="004B11B7">
            <w:pPr>
              <w:jc w:val="right"/>
              <w:rPr>
                <w:color w:val="000000"/>
              </w:rPr>
            </w:pPr>
            <w:r w:rsidRPr="00D618B7">
              <w:rPr>
                <w:color w:val="000000"/>
              </w:rPr>
              <w:t>0</w:t>
            </w:r>
          </w:p>
        </w:tc>
        <w:tc>
          <w:tcPr>
            <w:tcW w:w="1561" w:type="dxa"/>
            <w:tcBorders>
              <w:top w:val="nil"/>
              <w:left w:val="nil"/>
              <w:bottom w:val="nil"/>
              <w:right w:val="nil"/>
            </w:tcBorders>
            <w:shd w:val="clear" w:color="000000" w:fill="FFFFFF"/>
            <w:noWrap/>
            <w:vAlign w:val="center"/>
            <w:hideMark/>
          </w:tcPr>
          <w:p w14:paraId="08D5BE39" w14:textId="77777777" w:rsidR="00047D2A" w:rsidRPr="00D618B7" w:rsidRDefault="00047D2A" w:rsidP="004B11B7">
            <w:pPr>
              <w:jc w:val="right"/>
              <w:rPr>
                <w:color w:val="000000"/>
              </w:rPr>
            </w:pPr>
            <w:r w:rsidRPr="00D618B7">
              <w:rPr>
                <w:color w:val="000000"/>
              </w:rPr>
              <w:t>7.83</w:t>
            </w:r>
          </w:p>
        </w:tc>
        <w:tc>
          <w:tcPr>
            <w:tcW w:w="2049" w:type="dxa"/>
            <w:tcBorders>
              <w:top w:val="nil"/>
              <w:left w:val="nil"/>
              <w:bottom w:val="nil"/>
              <w:right w:val="nil"/>
            </w:tcBorders>
            <w:shd w:val="clear" w:color="000000" w:fill="FFFFFF"/>
            <w:noWrap/>
            <w:vAlign w:val="center"/>
            <w:hideMark/>
          </w:tcPr>
          <w:p w14:paraId="0AEF41F0" w14:textId="77777777" w:rsidR="00047D2A" w:rsidRPr="00D618B7" w:rsidRDefault="00047D2A" w:rsidP="004B11B7">
            <w:pPr>
              <w:jc w:val="right"/>
              <w:rPr>
                <w:color w:val="000000"/>
              </w:rPr>
            </w:pPr>
            <w:r w:rsidRPr="00D618B7">
              <w:rPr>
                <w:color w:val="000000"/>
              </w:rPr>
              <w:t>1.52</w:t>
            </w:r>
          </w:p>
        </w:tc>
        <w:tc>
          <w:tcPr>
            <w:tcW w:w="1771" w:type="dxa"/>
            <w:tcBorders>
              <w:top w:val="nil"/>
              <w:left w:val="nil"/>
              <w:bottom w:val="nil"/>
              <w:right w:val="nil"/>
            </w:tcBorders>
            <w:shd w:val="clear" w:color="000000" w:fill="FFFFFF"/>
            <w:noWrap/>
            <w:vAlign w:val="center"/>
            <w:hideMark/>
          </w:tcPr>
          <w:p w14:paraId="17C154A1" w14:textId="77777777" w:rsidR="00047D2A" w:rsidRPr="00D618B7" w:rsidRDefault="00047D2A" w:rsidP="004B11B7">
            <w:pPr>
              <w:jc w:val="right"/>
              <w:rPr>
                <w:color w:val="000000"/>
              </w:rPr>
            </w:pPr>
            <w:r w:rsidRPr="00D618B7">
              <w:rPr>
                <w:color w:val="000000"/>
              </w:rPr>
              <w:t>13.61</w:t>
            </w:r>
          </w:p>
        </w:tc>
        <w:tc>
          <w:tcPr>
            <w:tcW w:w="1907" w:type="dxa"/>
            <w:tcBorders>
              <w:top w:val="nil"/>
              <w:left w:val="nil"/>
              <w:bottom w:val="nil"/>
              <w:right w:val="nil"/>
            </w:tcBorders>
            <w:shd w:val="clear" w:color="000000" w:fill="FFFFFF"/>
            <w:noWrap/>
            <w:vAlign w:val="center"/>
            <w:hideMark/>
          </w:tcPr>
          <w:p w14:paraId="6ED8600E" w14:textId="77777777" w:rsidR="00047D2A" w:rsidRPr="00D618B7" w:rsidRDefault="00047D2A" w:rsidP="004B11B7">
            <w:pPr>
              <w:jc w:val="right"/>
              <w:rPr>
                <w:color w:val="000000"/>
              </w:rPr>
            </w:pPr>
            <w:r w:rsidRPr="00D618B7">
              <w:rPr>
                <w:color w:val="000000"/>
              </w:rPr>
              <w:t>3.26</w:t>
            </w:r>
          </w:p>
        </w:tc>
      </w:tr>
      <w:tr w:rsidR="00047D2A" w:rsidRPr="00D618B7" w14:paraId="5DEEA232" w14:textId="77777777" w:rsidTr="004B11B7">
        <w:trPr>
          <w:trHeight w:val="315"/>
        </w:trPr>
        <w:tc>
          <w:tcPr>
            <w:tcW w:w="1803" w:type="dxa"/>
            <w:tcBorders>
              <w:top w:val="nil"/>
              <w:left w:val="nil"/>
              <w:bottom w:val="nil"/>
              <w:right w:val="nil"/>
            </w:tcBorders>
            <w:shd w:val="clear" w:color="000000" w:fill="FFFFFF"/>
            <w:vAlign w:val="center"/>
            <w:hideMark/>
          </w:tcPr>
          <w:p w14:paraId="10A0A527" w14:textId="77777777" w:rsidR="00047D2A" w:rsidRPr="00D618B7" w:rsidRDefault="00047D2A" w:rsidP="004B11B7">
            <w:pPr>
              <w:jc w:val="right"/>
              <w:rPr>
                <w:color w:val="000000"/>
              </w:rPr>
            </w:pPr>
            <w:r w:rsidRPr="00D618B7">
              <w:rPr>
                <w:color w:val="000000"/>
              </w:rPr>
              <w:t>1</w:t>
            </w:r>
          </w:p>
        </w:tc>
        <w:tc>
          <w:tcPr>
            <w:tcW w:w="1561" w:type="dxa"/>
            <w:tcBorders>
              <w:top w:val="nil"/>
              <w:left w:val="nil"/>
              <w:bottom w:val="nil"/>
              <w:right w:val="nil"/>
            </w:tcBorders>
            <w:shd w:val="clear" w:color="000000" w:fill="FFFFFF"/>
            <w:noWrap/>
            <w:vAlign w:val="center"/>
            <w:hideMark/>
          </w:tcPr>
          <w:p w14:paraId="7DEC8123" w14:textId="77777777" w:rsidR="00047D2A" w:rsidRPr="00D618B7" w:rsidRDefault="00047D2A" w:rsidP="004B11B7">
            <w:pPr>
              <w:jc w:val="right"/>
              <w:rPr>
                <w:color w:val="000000"/>
              </w:rPr>
            </w:pPr>
            <w:r w:rsidRPr="00D618B7">
              <w:rPr>
                <w:color w:val="000000"/>
              </w:rPr>
              <w:t>6.75</w:t>
            </w:r>
          </w:p>
        </w:tc>
        <w:tc>
          <w:tcPr>
            <w:tcW w:w="2049" w:type="dxa"/>
            <w:tcBorders>
              <w:top w:val="nil"/>
              <w:left w:val="nil"/>
              <w:bottom w:val="nil"/>
              <w:right w:val="nil"/>
            </w:tcBorders>
            <w:shd w:val="clear" w:color="000000" w:fill="FFFFFF"/>
            <w:noWrap/>
            <w:vAlign w:val="center"/>
            <w:hideMark/>
          </w:tcPr>
          <w:p w14:paraId="75230FDA" w14:textId="77777777" w:rsidR="00047D2A" w:rsidRPr="00D618B7" w:rsidRDefault="00047D2A" w:rsidP="004B11B7">
            <w:pPr>
              <w:jc w:val="right"/>
              <w:rPr>
                <w:color w:val="000000"/>
              </w:rPr>
            </w:pPr>
            <w:r w:rsidRPr="00D618B7">
              <w:rPr>
                <w:color w:val="000000"/>
              </w:rPr>
              <w:t>0.55</w:t>
            </w:r>
          </w:p>
        </w:tc>
        <w:tc>
          <w:tcPr>
            <w:tcW w:w="1771" w:type="dxa"/>
            <w:tcBorders>
              <w:top w:val="nil"/>
              <w:left w:val="nil"/>
              <w:bottom w:val="nil"/>
              <w:right w:val="nil"/>
            </w:tcBorders>
            <w:shd w:val="clear" w:color="000000" w:fill="FFFFFF"/>
            <w:noWrap/>
            <w:vAlign w:val="center"/>
            <w:hideMark/>
          </w:tcPr>
          <w:p w14:paraId="5D240D03" w14:textId="77777777" w:rsidR="00047D2A" w:rsidRPr="00D618B7" w:rsidRDefault="00047D2A" w:rsidP="004B11B7">
            <w:pPr>
              <w:jc w:val="right"/>
              <w:rPr>
                <w:color w:val="000000"/>
              </w:rPr>
            </w:pPr>
            <w:r w:rsidRPr="00D618B7">
              <w:rPr>
                <w:color w:val="000000"/>
              </w:rPr>
              <w:t>5.72</w:t>
            </w:r>
          </w:p>
        </w:tc>
        <w:tc>
          <w:tcPr>
            <w:tcW w:w="1907" w:type="dxa"/>
            <w:tcBorders>
              <w:top w:val="nil"/>
              <w:left w:val="nil"/>
              <w:bottom w:val="nil"/>
              <w:right w:val="nil"/>
            </w:tcBorders>
            <w:shd w:val="clear" w:color="000000" w:fill="FFFFFF"/>
            <w:noWrap/>
            <w:vAlign w:val="center"/>
            <w:hideMark/>
          </w:tcPr>
          <w:p w14:paraId="4B141ECE" w14:textId="77777777" w:rsidR="00047D2A" w:rsidRPr="00D618B7" w:rsidRDefault="00047D2A" w:rsidP="004B11B7">
            <w:pPr>
              <w:jc w:val="right"/>
              <w:rPr>
                <w:color w:val="000000"/>
              </w:rPr>
            </w:pPr>
            <w:r w:rsidRPr="00D618B7">
              <w:rPr>
                <w:color w:val="000000"/>
              </w:rPr>
              <w:t>0.53</w:t>
            </w:r>
          </w:p>
        </w:tc>
      </w:tr>
      <w:tr w:rsidR="00047D2A" w:rsidRPr="00D618B7" w14:paraId="1DBD5E7A" w14:textId="77777777" w:rsidTr="004B11B7">
        <w:trPr>
          <w:trHeight w:val="315"/>
        </w:trPr>
        <w:tc>
          <w:tcPr>
            <w:tcW w:w="1803" w:type="dxa"/>
            <w:tcBorders>
              <w:top w:val="nil"/>
              <w:left w:val="nil"/>
              <w:bottom w:val="nil"/>
              <w:right w:val="nil"/>
            </w:tcBorders>
            <w:shd w:val="clear" w:color="000000" w:fill="FFFFFF"/>
            <w:vAlign w:val="center"/>
            <w:hideMark/>
          </w:tcPr>
          <w:p w14:paraId="26D13E71" w14:textId="77777777" w:rsidR="00047D2A" w:rsidRPr="00D618B7" w:rsidRDefault="00047D2A" w:rsidP="004B11B7">
            <w:pPr>
              <w:jc w:val="right"/>
              <w:rPr>
                <w:color w:val="000000"/>
              </w:rPr>
            </w:pPr>
            <w:r w:rsidRPr="00D618B7">
              <w:rPr>
                <w:color w:val="000000"/>
              </w:rPr>
              <w:t>2</w:t>
            </w:r>
          </w:p>
        </w:tc>
        <w:tc>
          <w:tcPr>
            <w:tcW w:w="1561" w:type="dxa"/>
            <w:tcBorders>
              <w:top w:val="nil"/>
              <w:left w:val="nil"/>
              <w:bottom w:val="nil"/>
              <w:right w:val="nil"/>
            </w:tcBorders>
            <w:shd w:val="clear" w:color="000000" w:fill="FFFFFF"/>
            <w:noWrap/>
            <w:vAlign w:val="center"/>
            <w:hideMark/>
          </w:tcPr>
          <w:p w14:paraId="44554C91" w14:textId="77777777" w:rsidR="00047D2A" w:rsidRPr="00D618B7" w:rsidRDefault="00047D2A" w:rsidP="004B11B7">
            <w:pPr>
              <w:jc w:val="right"/>
              <w:rPr>
                <w:color w:val="000000"/>
              </w:rPr>
            </w:pPr>
            <w:r w:rsidRPr="00D618B7">
              <w:rPr>
                <w:color w:val="000000"/>
              </w:rPr>
              <w:t>8.95</w:t>
            </w:r>
          </w:p>
        </w:tc>
        <w:tc>
          <w:tcPr>
            <w:tcW w:w="2049" w:type="dxa"/>
            <w:tcBorders>
              <w:top w:val="nil"/>
              <w:left w:val="nil"/>
              <w:bottom w:val="nil"/>
              <w:right w:val="nil"/>
            </w:tcBorders>
            <w:shd w:val="clear" w:color="000000" w:fill="FFFFFF"/>
            <w:noWrap/>
            <w:vAlign w:val="center"/>
            <w:hideMark/>
          </w:tcPr>
          <w:p w14:paraId="17673683" w14:textId="77777777" w:rsidR="00047D2A" w:rsidRPr="00D618B7" w:rsidRDefault="00047D2A" w:rsidP="004B11B7">
            <w:pPr>
              <w:jc w:val="right"/>
              <w:rPr>
                <w:color w:val="000000"/>
              </w:rPr>
            </w:pPr>
            <w:r w:rsidRPr="00D618B7">
              <w:rPr>
                <w:color w:val="000000"/>
              </w:rPr>
              <w:t>1.20</w:t>
            </w:r>
          </w:p>
        </w:tc>
        <w:tc>
          <w:tcPr>
            <w:tcW w:w="1771" w:type="dxa"/>
            <w:tcBorders>
              <w:top w:val="nil"/>
              <w:left w:val="nil"/>
              <w:bottom w:val="nil"/>
              <w:right w:val="nil"/>
            </w:tcBorders>
            <w:shd w:val="clear" w:color="000000" w:fill="FFFFFF"/>
            <w:noWrap/>
            <w:vAlign w:val="center"/>
            <w:hideMark/>
          </w:tcPr>
          <w:p w14:paraId="6DA2FF47" w14:textId="77777777" w:rsidR="00047D2A" w:rsidRPr="00D618B7" w:rsidRDefault="00047D2A" w:rsidP="004B11B7">
            <w:pPr>
              <w:jc w:val="right"/>
              <w:rPr>
                <w:color w:val="000000"/>
              </w:rPr>
            </w:pPr>
            <w:r w:rsidRPr="00D618B7">
              <w:rPr>
                <w:color w:val="000000"/>
              </w:rPr>
              <w:t>12.97</w:t>
            </w:r>
          </w:p>
        </w:tc>
        <w:tc>
          <w:tcPr>
            <w:tcW w:w="1907" w:type="dxa"/>
            <w:tcBorders>
              <w:top w:val="nil"/>
              <w:left w:val="nil"/>
              <w:bottom w:val="nil"/>
              <w:right w:val="nil"/>
            </w:tcBorders>
            <w:shd w:val="clear" w:color="000000" w:fill="FFFFFF"/>
            <w:noWrap/>
            <w:vAlign w:val="center"/>
            <w:hideMark/>
          </w:tcPr>
          <w:p w14:paraId="21282FC5" w14:textId="77777777" w:rsidR="00047D2A" w:rsidRPr="00D618B7" w:rsidRDefault="00047D2A" w:rsidP="004B11B7">
            <w:pPr>
              <w:jc w:val="right"/>
              <w:rPr>
                <w:color w:val="000000"/>
              </w:rPr>
            </w:pPr>
            <w:r w:rsidRPr="00D618B7">
              <w:rPr>
                <w:color w:val="000000"/>
              </w:rPr>
              <w:t>1.09</w:t>
            </w:r>
          </w:p>
        </w:tc>
      </w:tr>
      <w:tr w:rsidR="00047D2A" w:rsidRPr="00D618B7" w14:paraId="6CC00B50" w14:textId="77777777" w:rsidTr="004B11B7">
        <w:trPr>
          <w:trHeight w:val="315"/>
        </w:trPr>
        <w:tc>
          <w:tcPr>
            <w:tcW w:w="1803" w:type="dxa"/>
            <w:tcBorders>
              <w:top w:val="nil"/>
              <w:left w:val="nil"/>
              <w:bottom w:val="nil"/>
              <w:right w:val="nil"/>
            </w:tcBorders>
            <w:shd w:val="clear" w:color="000000" w:fill="FFFFFF"/>
            <w:vAlign w:val="center"/>
            <w:hideMark/>
          </w:tcPr>
          <w:p w14:paraId="04DE33DC" w14:textId="77777777" w:rsidR="00047D2A" w:rsidRPr="00D618B7" w:rsidRDefault="00047D2A" w:rsidP="004B11B7">
            <w:pPr>
              <w:jc w:val="right"/>
              <w:rPr>
                <w:color w:val="000000"/>
              </w:rPr>
            </w:pPr>
            <w:r w:rsidRPr="00D618B7">
              <w:rPr>
                <w:color w:val="000000"/>
              </w:rPr>
              <w:t>3</w:t>
            </w:r>
          </w:p>
        </w:tc>
        <w:tc>
          <w:tcPr>
            <w:tcW w:w="1561" w:type="dxa"/>
            <w:tcBorders>
              <w:top w:val="nil"/>
              <w:left w:val="nil"/>
              <w:bottom w:val="nil"/>
              <w:right w:val="nil"/>
            </w:tcBorders>
            <w:shd w:val="clear" w:color="000000" w:fill="FFFFFF"/>
            <w:noWrap/>
            <w:vAlign w:val="center"/>
            <w:hideMark/>
          </w:tcPr>
          <w:p w14:paraId="5B78219D" w14:textId="77777777" w:rsidR="00047D2A" w:rsidRPr="00D618B7" w:rsidRDefault="00047D2A" w:rsidP="004B11B7">
            <w:pPr>
              <w:jc w:val="right"/>
              <w:rPr>
                <w:color w:val="000000"/>
              </w:rPr>
            </w:pPr>
            <w:r w:rsidRPr="00D618B7">
              <w:rPr>
                <w:color w:val="000000"/>
              </w:rPr>
              <w:t>6.68</w:t>
            </w:r>
          </w:p>
        </w:tc>
        <w:tc>
          <w:tcPr>
            <w:tcW w:w="2049" w:type="dxa"/>
            <w:tcBorders>
              <w:top w:val="nil"/>
              <w:left w:val="nil"/>
              <w:bottom w:val="nil"/>
              <w:right w:val="nil"/>
            </w:tcBorders>
            <w:shd w:val="clear" w:color="000000" w:fill="FFFFFF"/>
            <w:noWrap/>
            <w:vAlign w:val="center"/>
            <w:hideMark/>
          </w:tcPr>
          <w:p w14:paraId="2AAE61B2" w14:textId="77777777" w:rsidR="00047D2A" w:rsidRPr="00D618B7" w:rsidRDefault="00047D2A" w:rsidP="004B11B7">
            <w:pPr>
              <w:jc w:val="right"/>
              <w:rPr>
                <w:color w:val="000000"/>
              </w:rPr>
            </w:pPr>
            <w:r w:rsidRPr="00D618B7">
              <w:rPr>
                <w:color w:val="000000"/>
              </w:rPr>
              <w:t>0.73</w:t>
            </w:r>
          </w:p>
        </w:tc>
        <w:tc>
          <w:tcPr>
            <w:tcW w:w="1771" w:type="dxa"/>
            <w:tcBorders>
              <w:top w:val="nil"/>
              <w:left w:val="nil"/>
              <w:bottom w:val="nil"/>
              <w:right w:val="nil"/>
            </w:tcBorders>
            <w:shd w:val="clear" w:color="000000" w:fill="FFFFFF"/>
            <w:noWrap/>
            <w:vAlign w:val="center"/>
            <w:hideMark/>
          </w:tcPr>
          <w:p w14:paraId="7EE6C573" w14:textId="77777777" w:rsidR="00047D2A" w:rsidRPr="00D618B7" w:rsidRDefault="00047D2A" w:rsidP="004B11B7">
            <w:pPr>
              <w:jc w:val="right"/>
              <w:rPr>
                <w:color w:val="000000"/>
              </w:rPr>
            </w:pPr>
            <w:r w:rsidRPr="00D618B7">
              <w:rPr>
                <w:color w:val="000000"/>
              </w:rPr>
              <w:t>11.97</w:t>
            </w:r>
          </w:p>
        </w:tc>
        <w:tc>
          <w:tcPr>
            <w:tcW w:w="1907" w:type="dxa"/>
            <w:tcBorders>
              <w:top w:val="nil"/>
              <w:left w:val="nil"/>
              <w:bottom w:val="nil"/>
              <w:right w:val="nil"/>
            </w:tcBorders>
            <w:shd w:val="clear" w:color="000000" w:fill="FFFFFF"/>
            <w:noWrap/>
            <w:vAlign w:val="center"/>
            <w:hideMark/>
          </w:tcPr>
          <w:p w14:paraId="7631BA2B" w14:textId="77777777" w:rsidR="00047D2A" w:rsidRPr="00D618B7" w:rsidRDefault="00047D2A" w:rsidP="004B11B7">
            <w:pPr>
              <w:jc w:val="right"/>
              <w:rPr>
                <w:color w:val="000000"/>
              </w:rPr>
            </w:pPr>
            <w:r w:rsidRPr="00D618B7">
              <w:rPr>
                <w:color w:val="000000"/>
              </w:rPr>
              <w:t>0.85</w:t>
            </w:r>
          </w:p>
        </w:tc>
      </w:tr>
      <w:tr w:rsidR="00047D2A" w:rsidRPr="00D618B7" w14:paraId="51700192" w14:textId="77777777" w:rsidTr="004B11B7">
        <w:trPr>
          <w:trHeight w:val="315"/>
        </w:trPr>
        <w:tc>
          <w:tcPr>
            <w:tcW w:w="1803" w:type="dxa"/>
            <w:tcBorders>
              <w:top w:val="nil"/>
              <w:left w:val="nil"/>
              <w:bottom w:val="nil"/>
              <w:right w:val="nil"/>
            </w:tcBorders>
            <w:shd w:val="clear" w:color="000000" w:fill="FFFFFF"/>
            <w:vAlign w:val="center"/>
            <w:hideMark/>
          </w:tcPr>
          <w:p w14:paraId="1E7EFA78" w14:textId="77777777" w:rsidR="00047D2A" w:rsidRPr="00D618B7" w:rsidRDefault="00047D2A" w:rsidP="004B11B7">
            <w:pPr>
              <w:jc w:val="right"/>
              <w:rPr>
                <w:color w:val="000000"/>
              </w:rPr>
            </w:pPr>
            <w:r w:rsidRPr="00D618B7">
              <w:rPr>
                <w:color w:val="000000"/>
              </w:rPr>
              <w:t>4</w:t>
            </w:r>
          </w:p>
        </w:tc>
        <w:tc>
          <w:tcPr>
            <w:tcW w:w="1561" w:type="dxa"/>
            <w:tcBorders>
              <w:top w:val="nil"/>
              <w:left w:val="nil"/>
              <w:bottom w:val="nil"/>
              <w:right w:val="nil"/>
            </w:tcBorders>
            <w:shd w:val="clear" w:color="000000" w:fill="FFFFFF"/>
            <w:noWrap/>
            <w:vAlign w:val="center"/>
            <w:hideMark/>
          </w:tcPr>
          <w:p w14:paraId="085B918F" w14:textId="77777777" w:rsidR="00047D2A" w:rsidRPr="00D618B7" w:rsidRDefault="00047D2A" w:rsidP="004B11B7">
            <w:pPr>
              <w:jc w:val="right"/>
              <w:rPr>
                <w:color w:val="000000"/>
              </w:rPr>
            </w:pPr>
            <w:r w:rsidRPr="00D618B7">
              <w:rPr>
                <w:color w:val="000000"/>
              </w:rPr>
              <w:t>7.19</w:t>
            </w:r>
          </w:p>
        </w:tc>
        <w:tc>
          <w:tcPr>
            <w:tcW w:w="2049" w:type="dxa"/>
            <w:tcBorders>
              <w:top w:val="nil"/>
              <w:left w:val="nil"/>
              <w:bottom w:val="nil"/>
              <w:right w:val="nil"/>
            </w:tcBorders>
            <w:shd w:val="clear" w:color="000000" w:fill="FFFFFF"/>
            <w:noWrap/>
            <w:vAlign w:val="center"/>
            <w:hideMark/>
          </w:tcPr>
          <w:p w14:paraId="3BEBC4C3" w14:textId="77777777" w:rsidR="00047D2A" w:rsidRPr="00D618B7" w:rsidRDefault="00047D2A" w:rsidP="004B11B7">
            <w:pPr>
              <w:jc w:val="right"/>
              <w:rPr>
                <w:color w:val="000000"/>
              </w:rPr>
            </w:pPr>
            <w:r w:rsidRPr="00D618B7">
              <w:rPr>
                <w:color w:val="000000"/>
              </w:rPr>
              <w:t>0.76</w:t>
            </w:r>
          </w:p>
        </w:tc>
        <w:tc>
          <w:tcPr>
            <w:tcW w:w="1771" w:type="dxa"/>
            <w:tcBorders>
              <w:top w:val="nil"/>
              <w:left w:val="nil"/>
              <w:bottom w:val="nil"/>
              <w:right w:val="nil"/>
            </w:tcBorders>
            <w:shd w:val="clear" w:color="000000" w:fill="FFFFFF"/>
            <w:noWrap/>
            <w:vAlign w:val="center"/>
            <w:hideMark/>
          </w:tcPr>
          <w:p w14:paraId="5EE82DF3" w14:textId="77777777" w:rsidR="00047D2A" w:rsidRPr="00D618B7" w:rsidRDefault="00047D2A" w:rsidP="004B11B7">
            <w:pPr>
              <w:jc w:val="right"/>
              <w:rPr>
                <w:color w:val="000000"/>
              </w:rPr>
            </w:pPr>
            <w:r w:rsidRPr="00D618B7">
              <w:rPr>
                <w:color w:val="000000"/>
              </w:rPr>
              <w:t>7.32</w:t>
            </w:r>
          </w:p>
        </w:tc>
        <w:tc>
          <w:tcPr>
            <w:tcW w:w="1907" w:type="dxa"/>
            <w:tcBorders>
              <w:top w:val="nil"/>
              <w:left w:val="nil"/>
              <w:bottom w:val="nil"/>
              <w:right w:val="nil"/>
            </w:tcBorders>
            <w:shd w:val="clear" w:color="000000" w:fill="FFFFFF"/>
            <w:noWrap/>
            <w:vAlign w:val="center"/>
            <w:hideMark/>
          </w:tcPr>
          <w:p w14:paraId="0C37BD90" w14:textId="77777777" w:rsidR="00047D2A" w:rsidRPr="00D618B7" w:rsidRDefault="00047D2A" w:rsidP="004B11B7">
            <w:pPr>
              <w:jc w:val="right"/>
              <w:rPr>
                <w:color w:val="000000"/>
              </w:rPr>
            </w:pPr>
            <w:r w:rsidRPr="00D618B7">
              <w:rPr>
                <w:color w:val="000000"/>
              </w:rPr>
              <w:t>0.47</w:t>
            </w:r>
          </w:p>
        </w:tc>
      </w:tr>
      <w:tr w:rsidR="00047D2A" w:rsidRPr="00D618B7" w14:paraId="59F246DE" w14:textId="77777777" w:rsidTr="004B11B7">
        <w:trPr>
          <w:trHeight w:val="331"/>
        </w:trPr>
        <w:tc>
          <w:tcPr>
            <w:tcW w:w="1803" w:type="dxa"/>
            <w:tcBorders>
              <w:top w:val="nil"/>
              <w:left w:val="nil"/>
              <w:bottom w:val="single" w:sz="12" w:space="0" w:color="auto"/>
              <w:right w:val="nil"/>
            </w:tcBorders>
            <w:shd w:val="clear" w:color="000000" w:fill="FFFFFF"/>
            <w:vAlign w:val="center"/>
            <w:hideMark/>
          </w:tcPr>
          <w:p w14:paraId="50F92A16" w14:textId="77777777" w:rsidR="00047D2A" w:rsidRPr="00D618B7" w:rsidRDefault="00047D2A" w:rsidP="004B11B7">
            <w:pPr>
              <w:jc w:val="right"/>
              <w:rPr>
                <w:color w:val="000000"/>
              </w:rPr>
            </w:pPr>
            <w:r w:rsidRPr="00D618B7">
              <w:rPr>
                <w:color w:val="000000"/>
              </w:rPr>
              <w:t>5</w:t>
            </w:r>
          </w:p>
        </w:tc>
        <w:tc>
          <w:tcPr>
            <w:tcW w:w="1561" w:type="dxa"/>
            <w:tcBorders>
              <w:top w:val="nil"/>
              <w:left w:val="nil"/>
              <w:bottom w:val="single" w:sz="12" w:space="0" w:color="auto"/>
              <w:right w:val="nil"/>
            </w:tcBorders>
            <w:shd w:val="clear" w:color="000000" w:fill="FFFFFF"/>
            <w:noWrap/>
            <w:vAlign w:val="center"/>
            <w:hideMark/>
          </w:tcPr>
          <w:p w14:paraId="01D064FD" w14:textId="77777777" w:rsidR="00047D2A" w:rsidRPr="00D618B7" w:rsidRDefault="00047D2A" w:rsidP="004B11B7">
            <w:pPr>
              <w:jc w:val="right"/>
              <w:rPr>
                <w:color w:val="000000"/>
              </w:rPr>
            </w:pPr>
            <w:r w:rsidRPr="00D618B7">
              <w:rPr>
                <w:color w:val="000000"/>
              </w:rPr>
              <w:t>8.83</w:t>
            </w:r>
          </w:p>
        </w:tc>
        <w:tc>
          <w:tcPr>
            <w:tcW w:w="2049" w:type="dxa"/>
            <w:tcBorders>
              <w:top w:val="nil"/>
              <w:left w:val="nil"/>
              <w:bottom w:val="single" w:sz="12" w:space="0" w:color="auto"/>
              <w:right w:val="nil"/>
            </w:tcBorders>
            <w:shd w:val="clear" w:color="000000" w:fill="FFFFFF"/>
            <w:noWrap/>
            <w:vAlign w:val="center"/>
            <w:hideMark/>
          </w:tcPr>
          <w:p w14:paraId="32BEECF7" w14:textId="77777777" w:rsidR="00047D2A" w:rsidRPr="00D618B7" w:rsidRDefault="00047D2A" w:rsidP="004B11B7">
            <w:pPr>
              <w:jc w:val="right"/>
              <w:rPr>
                <w:color w:val="000000"/>
              </w:rPr>
            </w:pPr>
            <w:r w:rsidRPr="00D618B7">
              <w:rPr>
                <w:color w:val="000000"/>
              </w:rPr>
              <w:t>0.97</w:t>
            </w:r>
          </w:p>
        </w:tc>
        <w:tc>
          <w:tcPr>
            <w:tcW w:w="1771" w:type="dxa"/>
            <w:tcBorders>
              <w:top w:val="nil"/>
              <w:left w:val="nil"/>
              <w:bottom w:val="single" w:sz="12" w:space="0" w:color="auto"/>
              <w:right w:val="nil"/>
            </w:tcBorders>
            <w:shd w:val="clear" w:color="000000" w:fill="FFFFFF"/>
            <w:noWrap/>
            <w:vAlign w:val="center"/>
            <w:hideMark/>
          </w:tcPr>
          <w:p w14:paraId="61959C44" w14:textId="77777777" w:rsidR="00047D2A" w:rsidRPr="00D618B7" w:rsidRDefault="00047D2A" w:rsidP="004B11B7">
            <w:pPr>
              <w:jc w:val="right"/>
              <w:rPr>
                <w:color w:val="000000"/>
              </w:rPr>
            </w:pPr>
            <w:r w:rsidRPr="00D618B7">
              <w:rPr>
                <w:color w:val="000000"/>
              </w:rPr>
              <w:t>10.53</w:t>
            </w:r>
          </w:p>
        </w:tc>
        <w:tc>
          <w:tcPr>
            <w:tcW w:w="1907" w:type="dxa"/>
            <w:tcBorders>
              <w:top w:val="nil"/>
              <w:left w:val="nil"/>
              <w:bottom w:val="single" w:sz="12" w:space="0" w:color="auto"/>
              <w:right w:val="nil"/>
            </w:tcBorders>
            <w:shd w:val="clear" w:color="000000" w:fill="FFFFFF"/>
            <w:noWrap/>
            <w:vAlign w:val="center"/>
            <w:hideMark/>
          </w:tcPr>
          <w:p w14:paraId="4398DA0F" w14:textId="77777777" w:rsidR="00047D2A" w:rsidRPr="00D618B7" w:rsidRDefault="00047D2A" w:rsidP="004B11B7">
            <w:pPr>
              <w:jc w:val="right"/>
              <w:rPr>
                <w:color w:val="000000"/>
              </w:rPr>
            </w:pPr>
            <w:r w:rsidRPr="00D618B7">
              <w:rPr>
                <w:color w:val="000000"/>
              </w:rPr>
              <w:t>0.48</w:t>
            </w:r>
          </w:p>
        </w:tc>
      </w:tr>
    </w:tbl>
    <w:p w14:paraId="3E958F2F" w14:textId="77777777" w:rsidR="00047D2A" w:rsidRPr="00D618B7" w:rsidRDefault="00047D2A" w:rsidP="00047D2A"/>
    <w:p w14:paraId="0AA2E46E" w14:textId="77777777" w:rsidR="00047D2A" w:rsidRPr="00D618B7" w:rsidRDefault="00047D2A" w:rsidP="00047D2A">
      <w:r w:rsidRPr="00D618B7">
        <w:rPr>
          <w:i/>
          <w:iCs/>
        </w:rPr>
        <w:t>Note</w:t>
      </w:r>
      <w:r w:rsidRPr="00D618B7">
        <w:t>: This table shows the estimated mean average velocity and standard errors per week of observation around reach-onset by group.</w:t>
      </w:r>
    </w:p>
    <w:p w14:paraId="08FDEC38" w14:textId="77777777" w:rsidR="00B92F0E" w:rsidRPr="00D618B7" w:rsidRDefault="00B92F0E" w:rsidP="00047D2A"/>
    <w:p w14:paraId="1048582D" w14:textId="0FC4C846" w:rsidR="00DA1B09" w:rsidRPr="00D618B7" w:rsidRDefault="00DA1B09" w:rsidP="007C5074">
      <w:pPr>
        <w:pStyle w:val="Caption"/>
      </w:pPr>
      <w:bookmarkStart w:id="234" w:name="_Toc172716913"/>
      <w:r w:rsidRPr="00D618B7">
        <w:t xml:space="preserve">Table </w:t>
      </w:r>
      <w:r w:rsidR="00000000">
        <w:fldChar w:fldCharType="begin"/>
      </w:r>
      <w:r w:rsidR="00000000">
        <w:instrText xml:space="preserve"> SEQ Table \* ARABIC </w:instrText>
      </w:r>
      <w:r w:rsidR="00000000">
        <w:fldChar w:fldCharType="separate"/>
      </w:r>
      <w:r w:rsidR="000C6E43">
        <w:rPr>
          <w:noProof/>
        </w:rPr>
        <w:t>85</w:t>
      </w:r>
      <w:r w:rsidR="00000000">
        <w:rPr>
          <w:noProof/>
        </w:rPr>
        <w:fldChar w:fldCharType="end"/>
      </w:r>
      <w:r w:rsidR="00AE3927">
        <w:rPr>
          <w:noProof/>
        </w:rPr>
        <w:t>:</w:t>
      </w:r>
      <w:r w:rsidR="00D060E7" w:rsidRPr="00D060E7">
        <w:t xml:space="preserve"> </w:t>
      </w:r>
      <w:r w:rsidR="00D060E7">
        <w:t>Velocity by proximity by group</w:t>
      </w:r>
      <w:bookmarkEnd w:id="234"/>
    </w:p>
    <w:p w14:paraId="28049D8F" w14:textId="11B96445" w:rsidR="00DA1B09" w:rsidRPr="00D618B7" w:rsidRDefault="00DA1B09" w:rsidP="00DA1B09">
      <w:r w:rsidRPr="00D618B7">
        <w:t>Estimated Mean Average Velocity of Events by Proximity and Group</w:t>
      </w:r>
    </w:p>
    <w:tbl>
      <w:tblPr>
        <w:tblW w:w="5000" w:type="pct"/>
        <w:tblLook w:val="04A0" w:firstRow="1" w:lastRow="0" w:firstColumn="1" w:lastColumn="0" w:noHBand="0" w:noVBand="1"/>
      </w:tblPr>
      <w:tblGrid>
        <w:gridCol w:w="3011"/>
        <w:gridCol w:w="1474"/>
        <w:gridCol w:w="1495"/>
        <w:gridCol w:w="1082"/>
        <w:gridCol w:w="1578"/>
      </w:tblGrid>
      <w:tr w:rsidR="00DA1B09" w:rsidRPr="00D618B7" w14:paraId="4B1EB514" w14:textId="77777777" w:rsidTr="004B11B7">
        <w:trPr>
          <w:trHeight w:val="322"/>
        </w:trPr>
        <w:tc>
          <w:tcPr>
            <w:tcW w:w="1743" w:type="pct"/>
            <w:tcBorders>
              <w:top w:val="nil"/>
              <w:left w:val="nil"/>
              <w:bottom w:val="single" w:sz="8" w:space="0" w:color="auto"/>
              <w:right w:val="nil"/>
            </w:tcBorders>
            <w:shd w:val="clear" w:color="auto" w:fill="auto"/>
            <w:noWrap/>
            <w:vAlign w:val="bottom"/>
            <w:hideMark/>
          </w:tcPr>
          <w:p w14:paraId="541D5189" w14:textId="77777777" w:rsidR="00DA1B09" w:rsidRPr="00D618B7" w:rsidRDefault="00DA1B09" w:rsidP="004B11B7">
            <w:pPr>
              <w:rPr>
                <w:color w:val="000000"/>
              </w:rPr>
            </w:pPr>
            <w:r w:rsidRPr="00D618B7">
              <w:rPr>
                <w:color w:val="000000"/>
              </w:rPr>
              <w:t> </w:t>
            </w:r>
          </w:p>
        </w:tc>
        <w:tc>
          <w:tcPr>
            <w:tcW w:w="853" w:type="pct"/>
            <w:tcBorders>
              <w:top w:val="nil"/>
              <w:left w:val="nil"/>
              <w:bottom w:val="single" w:sz="8" w:space="0" w:color="auto"/>
              <w:right w:val="nil"/>
            </w:tcBorders>
            <w:shd w:val="clear" w:color="auto" w:fill="auto"/>
            <w:noWrap/>
            <w:vAlign w:val="bottom"/>
            <w:hideMark/>
          </w:tcPr>
          <w:p w14:paraId="03CDE5C4" w14:textId="77777777" w:rsidR="00DA1B09" w:rsidRPr="00D618B7" w:rsidRDefault="00DA1B09" w:rsidP="004B11B7">
            <w:pPr>
              <w:rPr>
                <w:color w:val="000000"/>
              </w:rPr>
            </w:pPr>
            <w:r w:rsidRPr="00D618B7">
              <w:rPr>
                <w:color w:val="000000"/>
              </w:rPr>
              <w:t> </w:t>
            </w:r>
          </w:p>
        </w:tc>
        <w:tc>
          <w:tcPr>
            <w:tcW w:w="865" w:type="pct"/>
            <w:tcBorders>
              <w:top w:val="nil"/>
              <w:left w:val="nil"/>
              <w:bottom w:val="single" w:sz="8" w:space="0" w:color="auto"/>
              <w:right w:val="nil"/>
            </w:tcBorders>
            <w:shd w:val="clear" w:color="auto" w:fill="auto"/>
            <w:noWrap/>
            <w:vAlign w:val="bottom"/>
            <w:hideMark/>
          </w:tcPr>
          <w:p w14:paraId="0CF44063" w14:textId="77777777" w:rsidR="00DA1B09" w:rsidRPr="00D618B7" w:rsidRDefault="00DA1B09" w:rsidP="004B11B7">
            <w:pPr>
              <w:rPr>
                <w:color w:val="000000"/>
              </w:rPr>
            </w:pPr>
            <w:r w:rsidRPr="00D618B7">
              <w:rPr>
                <w:color w:val="000000"/>
              </w:rPr>
              <w:t> </w:t>
            </w:r>
          </w:p>
        </w:tc>
        <w:tc>
          <w:tcPr>
            <w:tcW w:w="626" w:type="pct"/>
            <w:tcBorders>
              <w:top w:val="nil"/>
              <w:left w:val="nil"/>
              <w:bottom w:val="single" w:sz="8" w:space="0" w:color="auto"/>
              <w:right w:val="nil"/>
            </w:tcBorders>
            <w:shd w:val="clear" w:color="auto" w:fill="auto"/>
            <w:noWrap/>
            <w:vAlign w:val="bottom"/>
            <w:hideMark/>
          </w:tcPr>
          <w:p w14:paraId="1156C194" w14:textId="77777777" w:rsidR="00DA1B09" w:rsidRPr="00D618B7" w:rsidRDefault="00DA1B09" w:rsidP="004B11B7">
            <w:pPr>
              <w:rPr>
                <w:color w:val="000000"/>
              </w:rPr>
            </w:pPr>
            <w:r w:rsidRPr="00D618B7">
              <w:rPr>
                <w:color w:val="000000"/>
              </w:rPr>
              <w:t> </w:t>
            </w:r>
          </w:p>
        </w:tc>
        <w:tc>
          <w:tcPr>
            <w:tcW w:w="913" w:type="pct"/>
            <w:tcBorders>
              <w:top w:val="nil"/>
              <w:left w:val="nil"/>
              <w:bottom w:val="single" w:sz="8" w:space="0" w:color="auto"/>
              <w:right w:val="nil"/>
            </w:tcBorders>
            <w:shd w:val="clear" w:color="auto" w:fill="auto"/>
            <w:noWrap/>
            <w:vAlign w:val="bottom"/>
            <w:hideMark/>
          </w:tcPr>
          <w:p w14:paraId="484CF34D" w14:textId="77777777" w:rsidR="00DA1B09" w:rsidRPr="00D618B7" w:rsidRDefault="00DA1B09" w:rsidP="004B11B7">
            <w:pPr>
              <w:rPr>
                <w:color w:val="000000"/>
              </w:rPr>
            </w:pPr>
            <w:r w:rsidRPr="00D618B7">
              <w:rPr>
                <w:color w:val="000000"/>
              </w:rPr>
              <w:t> </w:t>
            </w:r>
          </w:p>
        </w:tc>
      </w:tr>
      <w:tr w:rsidR="00DA1B09" w:rsidRPr="00D618B7" w14:paraId="193073E2" w14:textId="77777777" w:rsidTr="004B11B7">
        <w:trPr>
          <w:trHeight w:val="322"/>
        </w:trPr>
        <w:tc>
          <w:tcPr>
            <w:tcW w:w="1743" w:type="pct"/>
            <w:tcBorders>
              <w:top w:val="nil"/>
              <w:left w:val="nil"/>
              <w:bottom w:val="nil"/>
              <w:right w:val="nil"/>
            </w:tcBorders>
            <w:shd w:val="clear" w:color="000000" w:fill="FFFFFF"/>
            <w:vAlign w:val="center"/>
            <w:hideMark/>
          </w:tcPr>
          <w:p w14:paraId="74158D84" w14:textId="77777777" w:rsidR="00DA1B09" w:rsidRPr="00D618B7" w:rsidRDefault="00DA1B09" w:rsidP="004B11B7">
            <w:pPr>
              <w:rPr>
                <w:color w:val="000000"/>
              </w:rPr>
            </w:pPr>
            <w:r w:rsidRPr="00D618B7">
              <w:rPr>
                <w:color w:val="000000"/>
              </w:rPr>
              <w:t>Week</w:t>
            </w:r>
          </w:p>
        </w:tc>
        <w:tc>
          <w:tcPr>
            <w:tcW w:w="1718" w:type="pct"/>
            <w:gridSpan w:val="2"/>
            <w:tcBorders>
              <w:top w:val="nil"/>
              <w:left w:val="nil"/>
              <w:bottom w:val="single" w:sz="8" w:space="0" w:color="auto"/>
              <w:right w:val="nil"/>
            </w:tcBorders>
            <w:shd w:val="clear" w:color="000000" w:fill="FFFFFF"/>
            <w:vAlign w:val="center"/>
            <w:hideMark/>
          </w:tcPr>
          <w:p w14:paraId="79E2E534" w14:textId="77777777" w:rsidR="00DA1B09" w:rsidRPr="00D618B7" w:rsidRDefault="00DA1B09" w:rsidP="004B11B7">
            <w:pPr>
              <w:jc w:val="center"/>
              <w:rPr>
                <w:color w:val="000000"/>
              </w:rPr>
            </w:pPr>
            <w:r w:rsidRPr="00D618B7">
              <w:rPr>
                <w:color w:val="000000"/>
              </w:rPr>
              <w:t>Early Reach Group</w:t>
            </w:r>
          </w:p>
        </w:tc>
        <w:tc>
          <w:tcPr>
            <w:tcW w:w="1539" w:type="pct"/>
            <w:gridSpan w:val="2"/>
            <w:tcBorders>
              <w:top w:val="nil"/>
              <w:left w:val="nil"/>
              <w:bottom w:val="single" w:sz="8" w:space="0" w:color="auto"/>
              <w:right w:val="nil"/>
            </w:tcBorders>
            <w:shd w:val="clear" w:color="000000" w:fill="FFFFFF"/>
            <w:vAlign w:val="center"/>
            <w:hideMark/>
          </w:tcPr>
          <w:p w14:paraId="107FFD98" w14:textId="77777777" w:rsidR="00DA1B09" w:rsidRPr="00D618B7" w:rsidRDefault="00DA1B09" w:rsidP="004B11B7">
            <w:pPr>
              <w:jc w:val="center"/>
              <w:rPr>
                <w:color w:val="000000"/>
              </w:rPr>
            </w:pPr>
            <w:r w:rsidRPr="00D618B7">
              <w:rPr>
                <w:color w:val="000000"/>
              </w:rPr>
              <w:t>Late Reach Group</w:t>
            </w:r>
          </w:p>
        </w:tc>
      </w:tr>
      <w:tr w:rsidR="00DA1B09" w:rsidRPr="00D618B7" w14:paraId="72D5D631" w14:textId="77777777" w:rsidTr="004B11B7">
        <w:trPr>
          <w:trHeight w:val="322"/>
        </w:trPr>
        <w:tc>
          <w:tcPr>
            <w:tcW w:w="1743" w:type="pct"/>
            <w:tcBorders>
              <w:top w:val="nil"/>
              <w:left w:val="nil"/>
              <w:bottom w:val="single" w:sz="8" w:space="0" w:color="auto"/>
              <w:right w:val="nil"/>
            </w:tcBorders>
            <w:shd w:val="clear" w:color="000000" w:fill="FFFFFF"/>
            <w:noWrap/>
            <w:vAlign w:val="bottom"/>
            <w:hideMark/>
          </w:tcPr>
          <w:p w14:paraId="72DA5966" w14:textId="77777777" w:rsidR="00DA1B09" w:rsidRPr="00D618B7" w:rsidRDefault="00DA1B09" w:rsidP="004B11B7">
            <w:pPr>
              <w:rPr>
                <w:color w:val="000000"/>
              </w:rPr>
            </w:pPr>
            <w:r w:rsidRPr="00D618B7">
              <w:rPr>
                <w:color w:val="000000"/>
              </w:rPr>
              <w:t> </w:t>
            </w:r>
          </w:p>
        </w:tc>
        <w:tc>
          <w:tcPr>
            <w:tcW w:w="853" w:type="pct"/>
            <w:tcBorders>
              <w:top w:val="nil"/>
              <w:left w:val="nil"/>
              <w:bottom w:val="single" w:sz="8" w:space="0" w:color="auto"/>
              <w:right w:val="nil"/>
            </w:tcBorders>
            <w:shd w:val="clear" w:color="000000" w:fill="FFFFFF"/>
            <w:noWrap/>
            <w:vAlign w:val="center"/>
            <w:hideMark/>
          </w:tcPr>
          <w:p w14:paraId="3DA49604" w14:textId="77777777" w:rsidR="00DA1B09" w:rsidRPr="00D618B7" w:rsidRDefault="00DA1B09" w:rsidP="004B11B7">
            <w:pPr>
              <w:jc w:val="right"/>
              <w:rPr>
                <w:color w:val="000000"/>
              </w:rPr>
            </w:pPr>
            <w:r w:rsidRPr="00D618B7">
              <w:rPr>
                <w:color w:val="000000"/>
              </w:rPr>
              <w:t>Mean</w:t>
            </w:r>
          </w:p>
        </w:tc>
        <w:tc>
          <w:tcPr>
            <w:tcW w:w="865" w:type="pct"/>
            <w:tcBorders>
              <w:top w:val="nil"/>
              <w:left w:val="nil"/>
              <w:bottom w:val="single" w:sz="8" w:space="0" w:color="auto"/>
              <w:right w:val="nil"/>
            </w:tcBorders>
            <w:shd w:val="clear" w:color="000000" w:fill="FFFFFF"/>
            <w:noWrap/>
            <w:vAlign w:val="center"/>
            <w:hideMark/>
          </w:tcPr>
          <w:p w14:paraId="6E1BE9F2" w14:textId="77777777" w:rsidR="00DA1B09" w:rsidRPr="00D618B7" w:rsidRDefault="00DA1B09" w:rsidP="004B11B7">
            <w:pPr>
              <w:jc w:val="right"/>
              <w:rPr>
                <w:color w:val="000000"/>
              </w:rPr>
            </w:pPr>
            <w:r w:rsidRPr="00D618B7">
              <w:rPr>
                <w:color w:val="000000"/>
              </w:rPr>
              <w:t>Std. Error</w:t>
            </w:r>
          </w:p>
        </w:tc>
        <w:tc>
          <w:tcPr>
            <w:tcW w:w="626" w:type="pct"/>
            <w:tcBorders>
              <w:top w:val="nil"/>
              <w:left w:val="nil"/>
              <w:bottom w:val="single" w:sz="8" w:space="0" w:color="auto"/>
              <w:right w:val="nil"/>
            </w:tcBorders>
            <w:shd w:val="clear" w:color="000000" w:fill="FFFFFF"/>
            <w:noWrap/>
            <w:vAlign w:val="center"/>
            <w:hideMark/>
          </w:tcPr>
          <w:p w14:paraId="3FEAE898" w14:textId="77777777" w:rsidR="00DA1B09" w:rsidRPr="00D618B7" w:rsidRDefault="00DA1B09" w:rsidP="004B11B7">
            <w:pPr>
              <w:jc w:val="right"/>
              <w:rPr>
                <w:color w:val="000000"/>
              </w:rPr>
            </w:pPr>
            <w:r w:rsidRPr="00D618B7">
              <w:rPr>
                <w:color w:val="000000"/>
              </w:rPr>
              <w:t>Mean</w:t>
            </w:r>
          </w:p>
        </w:tc>
        <w:tc>
          <w:tcPr>
            <w:tcW w:w="913" w:type="pct"/>
            <w:tcBorders>
              <w:top w:val="nil"/>
              <w:left w:val="nil"/>
              <w:bottom w:val="single" w:sz="8" w:space="0" w:color="auto"/>
              <w:right w:val="nil"/>
            </w:tcBorders>
            <w:shd w:val="clear" w:color="000000" w:fill="FFFFFF"/>
            <w:noWrap/>
            <w:vAlign w:val="center"/>
            <w:hideMark/>
          </w:tcPr>
          <w:p w14:paraId="31E9D67A" w14:textId="77777777" w:rsidR="00DA1B09" w:rsidRPr="00D618B7" w:rsidRDefault="00DA1B09" w:rsidP="004B11B7">
            <w:pPr>
              <w:jc w:val="right"/>
              <w:rPr>
                <w:color w:val="000000"/>
              </w:rPr>
            </w:pPr>
            <w:r w:rsidRPr="00D618B7">
              <w:rPr>
                <w:color w:val="000000"/>
              </w:rPr>
              <w:t>Std. Error</w:t>
            </w:r>
          </w:p>
        </w:tc>
      </w:tr>
      <w:tr w:rsidR="00DA1B09" w:rsidRPr="00D618B7" w14:paraId="5EFD3F13" w14:textId="77777777" w:rsidTr="004B11B7">
        <w:trPr>
          <w:trHeight w:val="322"/>
        </w:trPr>
        <w:tc>
          <w:tcPr>
            <w:tcW w:w="1743" w:type="pct"/>
            <w:tcBorders>
              <w:top w:val="nil"/>
              <w:left w:val="nil"/>
              <w:bottom w:val="nil"/>
              <w:right w:val="nil"/>
            </w:tcBorders>
            <w:shd w:val="clear" w:color="000000" w:fill="FFFFFF"/>
            <w:hideMark/>
          </w:tcPr>
          <w:p w14:paraId="108707C5" w14:textId="77777777" w:rsidR="00DA1B09" w:rsidRPr="00D618B7" w:rsidRDefault="00DA1B09" w:rsidP="004B11B7">
            <w:pPr>
              <w:rPr>
                <w:color w:val="000000"/>
              </w:rPr>
            </w:pPr>
            <w:r w:rsidRPr="00D618B7">
              <w:t>Toy-out-of-Reach</w:t>
            </w:r>
          </w:p>
        </w:tc>
        <w:tc>
          <w:tcPr>
            <w:tcW w:w="853" w:type="pct"/>
            <w:tcBorders>
              <w:top w:val="nil"/>
              <w:left w:val="nil"/>
              <w:bottom w:val="nil"/>
              <w:right w:val="nil"/>
            </w:tcBorders>
            <w:shd w:val="clear" w:color="000000" w:fill="FFFFFF"/>
            <w:noWrap/>
            <w:vAlign w:val="center"/>
            <w:hideMark/>
          </w:tcPr>
          <w:p w14:paraId="2741CEAF" w14:textId="77777777" w:rsidR="00DA1B09" w:rsidRPr="00D618B7" w:rsidRDefault="00DA1B09" w:rsidP="004B11B7">
            <w:pPr>
              <w:jc w:val="right"/>
              <w:rPr>
                <w:color w:val="000000"/>
              </w:rPr>
            </w:pPr>
            <w:r w:rsidRPr="00D618B7">
              <w:rPr>
                <w:color w:val="000000"/>
              </w:rPr>
              <w:t>7.25</w:t>
            </w:r>
          </w:p>
        </w:tc>
        <w:tc>
          <w:tcPr>
            <w:tcW w:w="865" w:type="pct"/>
            <w:tcBorders>
              <w:top w:val="nil"/>
              <w:left w:val="nil"/>
              <w:bottom w:val="nil"/>
              <w:right w:val="nil"/>
            </w:tcBorders>
            <w:shd w:val="clear" w:color="000000" w:fill="FFFFFF"/>
            <w:noWrap/>
            <w:vAlign w:val="center"/>
            <w:hideMark/>
          </w:tcPr>
          <w:p w14:paraId="22A2D94E" w14:textId="77777777" w:rsidR="00DA1B09" w:rsidRPr="00D618B7" w:rsidRDefault="00DA1B09" w:rsidP="004B11B7">
            <w:pPr>
              <w:jc w:val="right"/>
              <w:rPr>
                <w:color w:val="000000"/>
              </w:rPr>
            </w:pPr>
            <w:r w:rsidRPr="00D618B7">
              <w:rPr>
                <w:color w:val="000000"/>
              </w:rPr>
              <w:t>1.14</w:t>
            </w:r>
          </w:p>
        </w:tc>
        <w:tc>
          <w:tcPr>
            <w:tcW w:w="626" w:type="pct"/>
            <w:tcBorders>
              <w:top w:val="nil"/>
              <w:left w:val="nil"/>
              <w:bottom w:val="nil"/>
              <w:right w:val="nil"/>
            </w:tcBorders>
            <w:shd w:val="clear" w:color="000000" w:fill="FFFFFF"/>
            <w:noWrap/>
            <w:vAlign w:val="center"/>
            <w:hideMark/>
          </w:tcPr>
          <w:p w14:paraId="5C7754FC" w14:textId="77777777" w:rsidR="00DA1B09" w:rsidRPr="00D618B7" w:rsidRDefault="00DA1B09" w:rsidP="004B11B7">
            <w:pPr>
              <w:jc w:val="right"/>
              <w:rPr>
                <w:color w:val="000000"/>
              </w:rPr>
            </w:pPr>
            <w:r w:rsidRPr="00D618B7">
              <w:rPr>
                <w:color w:val="000000"/>
              </w:rPr>
              <w:t>11.22</w:t>
            </w:r>
          </w:p>
        </w:tc>
        <w:tc>
          <w:tcPr>
            <w:tcW w:w="913" w:type="pct"/>
            <w:tcBorders>
              <w:top w:val="nil"/>
              <w:left w:val="nil"/>
              <w:bottom w:val="nil"/>
              <w:right w:val="nil"/>
            </w:tcBorders>
            <w:shd w:val="clear" w:color="000000" w:fill="FFFFFF"/>
            <w:noWrap/>
            <w:vAlign w:val="center"/>
            <w:hideMark/>
          </w:tcPr>
          <w:p w14:paraId="6904249B" w14:textId="77777777" w:rsidR="00DA1B09" w:rsidRPr="00D618B7" w:rsidRDefault="00DA1B09" w:rsidP="004B11B7">
            <w:pPr>
              <w:jc w:val="right"/>
              <w:rPr>
                <w:color w:val="000000"/>
              </w:rPr>
            </w:pPr>
            <w:r w:rsidRPr="00D618B7">
              <w:rPr>
                <w:color w:val="000000"/>
              </w:rPr>
              <w:t>1.23</w:t>
            </w:r>
          </w:p>
        </w:tc>
      </w:tr>
      <w:tr w:rsidR="00DA1B09" w:rsidRPr="00D618B7" w14:paraId="65B68338" w14:textId="77777777" w:rsidTr="004B11B7">
        <w:trPr>
          <w:trHeight w:val="322"/>
        </w:trPr>
        <w:tc>
          <w:tcPr>
            <w:tcW w:w="1743" w:type="pct"/>
            <w:tcBorders>
              <w:top w:val="nil"/>
              <w:left w:val="nil"/>
              <w:bottom w:val="nil"/>
              <w:right w:val="nil"/>
            </w:tcBorders>
            <w:shd w:val="clear" w:color="000000" w:fill="FFFFFF"/>
            <w:hideMark/>
          </w:tcPr>
          <w:p w14:paraId="3469A3E7" w14:textId="77777777" w:rsidR="00DA1B09" w:rsidRPr="00D618B7" w:rsidRDefault="00DA1B09" w:rsidP="004B11B7">
            <w:pPr>
              <w:rPr>
                <w:color w:val="000000"/>
              </w:rPr>
            </w:pPr>
            <w:r w:rsidRPr="00D618B7">
              <w:t>Toy-Moving-into-Reach</w:t>
            </w:r>
          </w:p>
        </w:tc>
        <w:tc>
          <w:tcPr>
            <w:tcW w:w="853" w:type="pct"/>
            <w:tcBorders>
              <w:top w:val="nil"/>
              <w:left w:val="nil"/>
              <w:bottom w:val="nil"/>
              <w:right w:val="nil"/>
            </w:tcBorders>
            <w:shd w:val="clear" w:color="000000" w:fill="FFFFFF"/>
            <w:noWrap/>
            <w:vAlign w:val="center"/>
            <w:hideMark/>
          </w:tcPr>
          <w:p w14:paraId="53C1B340" w14:textId="77777777" w:rsidR="00DA1B09" w:rsidRPr="00D618B7" w:rsidRDefault="00DA1B09" w:rsidP="004B11B7">
            <w:pPr>
              <w:jc w:val="right"/>
              <w:rPr>
                <w:color w:val="000000"/>
              </w:rPr>
            </w:pPr>
            <w:r w:rsidRPr="00D618B7">
              <w:rPr>
                <w:color w:val="000000"/>
              </w:rPr>
              <w:t>6.83</w:t>
            </w:r>
          </w:p>
        </w:tc>
        <w:tc>
          <w:tcPr>
            <w:tcW w:w="865" w:type="pct"/>
            <w:tcBorders>
              <w:top w:val="nil"/>
              <w:left w:val="nil"/>
              <w:bottom w:val="nil"/>
              <w:right w:val="nil"/>
            </w:tcBorders>
            <w:shd w:val="clear" w:color="000000" w:fill="FFFFFF"/>
            <w:noWrap/>
            <w:vAlign w:val="center"/>
            <w:hideMark/>
          </w:tcPr>
          <w:p w14:paraId="49069263" w14:textId="77777777" w:rsidR="00DA1B09" w:rsidRPr="00D618B7" w:rsidRDefault="00DA1B09" w:rsidP="004B11B7">
            <w:pPr>
              <w:jc w:val="right"/>
              <w:rPr>
                <w:color w:val="000000"/>
              </w:rPr>
            </w:pPr>
            <w:r w:rsidRPr="00D618B7">
              <w:rPr>
                <w:color w:val="000000"/>
              </w:rPr>
              <w:t>0.90</w:t>
            </w:r>
          </w:p>
        </w:tc>
        <w:tc>
          <w:tcPr>
            <w:tcW w:w="626" w:type="pct"/>
            <w:tcBorders>
              <w:top w:val="nil"/>
              <w:left w:val="nil"/>
              <w:bottom w:val="nil"/>
              <w:right w:val="nil"/>
            </w:tcBorders>
            <w:shd w:val="clear" w:color="000000" w:fill="FFFFFF"/>
            <w:noWrap/>
            <w:vAlign w:val="center"/>
            <w:hideMark/>
          </w:tcPr>
          <w:p w14:paraId="1C2ACEA3" w14:textId="77777777" w:rsidR="00DA1B09" w:rsidRPr="00D618B7" w:rsidRDefault="00DA1B09" w:rsidP="004B11B7">
            <w:pPr>
              <w:jc w:val="right"/>
              <w:rPr>
                <w:color w:val="000000"/>
              </w:rPr>
            </w:pPr>
            <w:r w:rsidRPr="00D618B7">
              <w:rPr>
                <w:color w:val="000000"/>
              </w:rPr>
              <w:t>11.26</w:t>
            </w:r>
          </w:p>
        </w:tc>
        <w:tc>
          <w:tcPr>
            <w:tcW w:w="913" w:type="pct"/>
            <w:tcBorders>
              <w:top w:val="nil"/>
              <w:left w:val="nil"/>
              <w:bottom w:val="nil"/>
              <w:right w:val="nil"/>
            </w:tcBorders>
            <w:shd w:val="clear" w:color="000000" w:fill="FFFFFF"/>
            <w:noWrap/>
            <w:vAlign w:val="center"/>
            <w:hideMark/>
          </w:tcPr>
          <w:p w14:paraId="3146018E" w14:textId="77777777" w:rsidR="00DA1B09" w:rsidRPr="00D618B7" w:rsidRDefault="00DA1B09" w:rsidP="004B11B7">
            <w:pPr>
              <w:jc w:val="right"/>
              <w:rPr>
                <w:color w:val="000000"/>
              </w:rPr>
            </w:pPr>
            <w:r w:rsidRPr="00D618B7">
              <w:rPr>
                <w:color w:val="000000"/>
              </w:rPr>
              <w:t>0.60</w:t>
            </w:r>
          </w:p>
        </w:tc>
      </w:tr>
      <w:tr w:rsidR="00DA1B09" w:rsidRPr="00D618B7" w14:paraId="312EFAED" w14:textId="77777777" w:rsidTr="004B11B7">
        <w:trPr>
          <w:trHeight w:val="322"/>
        </w:trPr>
        <w:tc>
          <w:tcPr>
            <w:tcW w:w="1743" w:type="pct"/>
            <w:tcBorders>
              <w:top w:val="nil"/>
              <w:left w:val="nil"/>
              <w:bottom w:val="single" w:sz="8" w:space="0" w:color="auto"/>
              <w:right w:val="nil"/>
            </w:tcBorders>
            <w:shd w:val="clear" w:color="000000" w:fill="FFFFFF"/>
            <w:hideMark/>
          </w:tcPr>
          <w:p w14:paraId="25D4E4FF" w14:textId="77777777" w:rsidR="00DA1B09" w:rsidRPr="00D618B7" w:rsidRDefault="00DA1B09" w:rsidP="004B11B7">
            <w:pPr>
              <w:rPr>
                <w:color w:val="000000"/>
              </w:rPr>
            </w:pPr>
            <w:r w:rsidRPr="00D618B7">
              <w:t>Toy-in-Reach</w:t>
            </w:r>
          </w:p>
        </w:tc>
        <w:tc>
          <w:tcPr>
            <w:tcW w:w="853" w:type="pct"/>
            <w:tcBorders>
              <w:top w:val="nil"/>
              <w:left w:val="nil"/>
              <w:bottom w:val="single" w:sz="8" w:space="0" w:color="auto"/>
              <w:right w:val="nil"/>
            </w:tcBorders>
            <w:shd w:val="clear" w:color="000000" w:fill="FFFFFF"/>
            <w:noWrap/>
            <w:vAlign w:val="center"/>
            <w:hideMark/>
          </w:tcPr>
          <w:p w14:paraId="7361C275" w14:textId="77777777" w:rsidR="00DA1B09" w:rsidRPr="00D618B7" w:rsidRDefault="00DA1B09" w:rsidP="004B11B7">
            <w:pPr>
              <w:jc w:val="right"/>
              <w:rPr>
                <w:color w:val="000000"/>
              </w:rPr>
            </w:pPr>
            <w:r w:rsidRPr="00D618B7">
              <w:rPr>
                <w:color w:val="000000"/>
              </w:rPr>
              <w:t>6.74</w:t>
            </w:r>
          </w:p>
        </w:tc>
        <w:tc>
          <w:tcPr>
            <w:tcW w:w="865" w:type="pct"/>
            <w:tcBorders>
              <w:top w:val="nil"/>
              <w:left w:val="nil"/>
              <w:bottom w:val="single" w:sz="8" w:space="0" w:color="auto"/>
              <w:right w:val="nil"/>
            </w:tcBorders>
            <w:shd w:val="clear" w:color="000000" w:fill="FFFFFF"/>
            <w:noWrap/>
            <w:vAlign w:val="center"/>
            <w:hideMark/>
          </w:tcPr>
          <w:p w14:paraId="086DE8B6" w14:textId="77777777" w:rsidR="00DA1B09" w:rsidRPr="00D618B7" w:rsidRDefault="00DA1B09" w:rsidP="004B11B7">
            <w:pPr>
              <w:jc w:val="right"/>
              <w:rPr>
                <w:color w:val="000000"/>
              </w:rPr>
            </w:pPr>
            <w:r w:rsidRPr="00D618B7">
              <w:rPr>
                <w:color w:val="000000"/>
              </w:rPr>
              <w:t>0.40</w:t>
            </w:r>
          </w:p>
        </w:tc>
        <w:tc>
          <w:tcPr>
            <w:tcW w:w="626" w:type="pct"/>
            <w:tcBorders>
              <w:top w:val="nil"/>
              <w:left w:val="nil"/>
              <w:bottom w:val="single" w:sz="8" w:space="0" w:color="auto"/>
              <w:right w:val="nil"/>
            </w:tcBorders>
            <w:shd w:val="clear" w:color="000000" w:fill="FFFFFF"/>
            <w:noWrap/>
            <w:vAlign w:val="center"/>
            <w:hideMark/>
          </w:tcPr>
          <w:p w14:paraId="7B85384C" w14:textId="77777777" w:rsidR="00DA1B09" w:rsidRPr="00D618B7" w:rsidRDefault="00DA1B09" w:rsidP="004B11B7">
            <w:pPr>
              <w:jc w:val="right"/>
              <w:rPr>
                <w:color w:val="000000"/>
              </w:rPr>
            </w:pPr>
            <w:r w:rsidRPr="00D618B7">
              <w:rPr>
                <w:color w:val="000000"/>
              </w:rPr>
              <w:t>9.24</w:t>
            </w:r>
          </w:p>
        </w:tc>
        <w:tc>
          <w:tcPr>
            <w:tcW w:w="913" w:type="pct"/>
            <w:tcBorders>
              <w:top w:val="nil"/>
              <w:left w:val="nil"/>
              <w:bottom w:val="single" w:sz="8" w:space="0" w:color="auto"/>
              <w:right w:val="nil"/>
            </w:tcBorders>
            <w:shd w:val="clear" w:color="000000" w:fill="FFFFFF"/>
            <w:noWrap/>
            <w:vAlign w:val="center"/>
            <w:hideMark/>
          </w:tcPr>
          <w:p w14:paraId="40CDC5ED" w14:textId="77777777" w:rsidR="00DA1B09" w:rsidRPr="00D618B7" w:rsidRDefault="00DA1B09" w:rsidP="004B11B7">
            <w:pPr>
              <w:jc w:val="right"/>
              <w:rPr>
                <w:color w:val="000000"/>
              </w:rPr>
            </w:pPr>
            <w:r w:rsidRPr="00D618B7">
              <w:rPr>
                <w:color w:val="000000"/>
              </w:rPr>
              <w:t>0.88</w:t>
            </w:r>
          </w:p>
        </w:tc>
      </w:tr>
    </w:tbl>
    <w:p w14:paraId="725D2A2A" w14:textId="77777777" w:rsidR="00DA1B09" w:rsidRPr="00D618B7" w:rsidRDefault="00DA1B09" w:rsidP="00DA1B09">
      <w:pPr>
        <w:rPr>
          <w:i/>
          <w:iCs/>
        </w:rPr>
      </w:pPr>
    </w:p>
    <w:p w14:paraId="7B2785D0" w14:textId="77777777" w:rsidR="00DA1B09" w:rsidRPr="00D618B7" w:rsidRDefault="00DA1B09" w:rsidP="00DA1B09">
      <w:r w:rsidRPr="00D618B7">
        <w:rPr>
          <w:i/>
          <w:iCs/>
        </w:rPr>
        <w:t>Note</w:t>
      </w:r>
      <w:r w:rsidRPr="00D618B7">
        <w:t>: This table lists the estimated mean Average Velocity and standard errors for toy-out-of-reach, toy-moving-into-reach, and toy-in-reach events by group.</w:t>
      </w:r>
    </w:p>
    <w:p w14:paraId="2CF3FB4F" w14:textId="77777777" w:rsidR="00B92F0E" w:rsidRPr="00D618B7" w:rsidRDefault="00B92F0E" w:rsidP="00047D2A"/>
    <w:p w14:paraId="7D56C630" w14:textId="1CF231ED" w:rsidR="00DA1B09" w:rsidRPr="00D618B7" w:rsidRDefault="00DA1B09" w:rsidP="00DA1B09">
      <w:r w:rsidRPr="00D618B7">
        <w:rPr>
          <w:noProof/>
        </w:rPr>
        <w:lastRenderedPageBreak/>
        <w:drawing>
          <wp:anchor distT="0" distB="0" distL="114300" distR="114300" simplePos="0" relativeHeight="252108288" behindDoc="0" locked="0" layoutInCell="1" allowOverlap="1" wp14:anchorId="2AA307D6" wp14:editId="55EBDC43">
            <wp:simplePos x="0" y="0"/>
            <wp:positionH relativeFrom="column">
              <wp:posOffset>208280</wp:posOffset>
            </wp:positionH>
            <wp:positionV relativeFrom="paragraph">
              <wp:posOffset>0</wp:posOffset>
            </wp:positionV>
            <wp:extent cx="5095875" cy="6493510"/>
            <wp:effectExtent l="0" t="0" r="9525" b="2540"/>
            <wp:wrapTopAndBottom/>
            <wp:docPr id="1009687954"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87954" name="Picture 1" descr="A diagram of a graph&#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095875" cy="6493510"/>
                    </a:xfrm>
                    <a:prstGeom prst="rect">
                      <a:avLst/>
                    </a:prstGeom>
                  </pic:spPr>
                </pic:pic>
              </a:graphicData>
            </a:graphic>
            <wp14:sizeRelH relativeFrom="margin">
              <wp14:pctWidth>0</wp14:pctWidth>
            </wp14:sizeRelH>
            <wp14:sizeRelV relativeFrom="margin">
              <wp14:pctHeight>0</wp14:pctHeight>
            </wp14:sizeRelV>
          </wp:anchor>
        </w:drawing>
      </w:r>
      <w:r w:rsidRPr="00D618B7">
        <w:t xml:space="preserve"> </w:t>
      </w:r>
    </w:p>
    <w:p w14:paraId="04FE0BA3" w14:textId="77777777" w:rsidR="00DA1B09" w:rsidRPr="00D618B7" w:rsidRDefault="00DA1B09" w:rsidP="00DA1B09"/>
    <w:p w14:paraId="3DAC0CCC" w14:textId="77777777" w:rsidR="001A50DE" w:rsidRPr="00D618B7" w:rsidRDefault="001A50DE" w:rsidP="001A50DE">
      <w:pPr>
        <w:pStyle w:val="Caption"/>
      </w:pPr>
      <w:bookmarkStart w:id="235" w:name="_Toc172716971"/>
      <w:r w:rsidRPr="00D618B7">
        <w:t xml:space="preserve">Figure </w:t>
      </w:r>
      <w:r>
        <w:fldChar w:fldCharType="begin"/>
      </w:r>
      <w:r>
        <w:instrText xml:space="preserve"> SEQ Figure \* ARABIC </w:instrText>
      </w:r>
      <w:r>
        <w:fldChar w:fldCharType="separate"/>
      </w:r>
      <w:r>
        <w:rPr>
          <w:noProof/>
        </w:rPr>
        <w:t>31</w:t>
      </w:r>
      <w:r>
        <w:rPr>
          <w:noProof/>
        </w:rPr>
        <w:fldChar w:fldCharType="end"/>
      </w:r>
      <w:r>
        <w:rPr>
          <w:noProof/>
        </w:rPr>
        <w:t>:</w:t>
      </w:r>
      <w:r w:rsidRPr="00D060E7">
        <w:t xml:space="preserve"> </w:t>
      </w:r>
      <w:r>
        <w:t>Velocity by week and proximity by group</w:t>
      </w:r>
      <w:bookmarkEnd w:id="235"/>
    </w:p>
    <w:p w14:paraId="4F395B07" w14:textId="77777777" w:rsidR="001A50DE" w:rsidRDefault="001A50DE" w:rsidP="00DA1B09"/>
    <w:p w14:paraId="159CDBE1" w14:textId="612CE89F" w:rsidR="001A50DE" w:rsidRDefault="001A50DE" w:rsidP="00DA1B09">
      <w:pPr>
        <w:rPr>
          <w:i/>
          <w:iCs/>
        </w:rPr>
      </w:pPr>
      <w:r w:rsidRPr="00D618B7">
        <w:t>Estimated Mean Movement Units per week by Proximity and</w:t>
      </w:r>
      <w:r>
        <w:t xml:space="preserve"> Group.</w:t>
      </w:r>
    </w:p>
    <w:p w14:paraId="21112AC8" w14:textId="5BF9B4E0" w:rsidR="00DA1B09" w:rsidRPr="00D618B7" w:rsidRDefault="00DA1B09" w:rsidP="00DA1B09">
      <w:r w:rsidRPr="00D618B7">
        <w:rPr>
          <w:i/>
          <w:iCs/>
        </w:rPr>
        <w:t>Note</w:t>
      </w:r>
      <w:r w:rsidRPr="00D618B7">
        <w:t>. This figure illustrates the estimated mean average velocity for proximity per week of observation around reach-onset.</w:t>
      </w:r>
    </w:p>
    <w:p w14:paraId="1C280DA7" w14:textId="53C0660F" w:rsidR="00E95B61" w:rsidRPr="00D618B7" w:rsidRDefault="00E95B61" w:rsidP="007C5074">
      <w:pPr>
        <w:pStyle w:val="Caption"/>
      </w:pPr>
      <w:bookmarkStart w:id="236" w:name="_Toc172716914"/>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86</w:t>
      </w:r>
      <w:r w:rsidR="00000000">
        <w:rPr>
          <w:noProof/>
        </w:rPr>
        <w:fldChar w:fldCharType="end"/>
      </w:r>
      <w:r w:rsidR="00D060E7">
        <w:rPr>
          <w:noProof/>
        </w:rPr>
        <w:t>:</w:t>
      </w:r>
      <w:r w:rsidR="00D060E7" w:rsidRPr="00D060E7">
        <w:t xml:space="preserve"> </w:t>
      </w:r>
      <w:r w:rsidR="00D060E7">
        <w:t>Movement units by week and proximity by group</w:t>
      </w:r>
      <w:bookmarkEnd w:id="236"/>
    </w:p>
    <w:p w14:paraId="050B50D8" w14:textId="18BCC040" w:rsidR="00E95B61" w:rsidRPr="00D618B7" w:rsidRDefault="00E95B61" w:rsidP="00E95B61">
      <w:r w:rsidRPr="00D618B7">
        <w:t>Estimated Mean Movement Units per week by Proximity and Group</w:t>
      </w:r>
    </w:p>
    <w:tbl>
      <w:tblPr>
        <w:tblW w:w="5000" w:type="pct"/>
        <w:tblLook w:val="04A0" w:firstRow="1" w:lastRow="0" w:firstColumn="1" w:lastColumn="0" w:noHBand="0" w:noVBand="1"/>
      </w:tblPr>
      <w:tblGrid>
        <w:gridCol w:w="1214"/>
        <w:gridCol w:w="1192"/>
        <w:gridCol w:w="1282"/>
        <w:gridCol w:w="1192"/>
        <w:gridCol w:w="1282"/>
        <w:gridCol w:w="1192"/>
        <w:gridCol w:w="1286"/>
      </w:tblGrid>
      <w:tr w:rsidR="00E95B61" w:rsidRPr="00D618B7" w14:paraId="1E4FA494" w14:textId="77777777" w:rsidTr="001A50DE">
        <w:trPr>
          <w:trHeight w:val="623"/>
        </w:trPr>
        <w:tc>
          <w:tcPr>
            <w:tcW w:w="702" w:type="pct"/>
            <w:tcBorders>
              <w:top w:val="single" w:sz="12" w:space="0" w:color="auto"/>
              <w:left w:val="nil"/>
              <w:bottom w:val="nil"/>
              <w:right w:val="nil"/>
            </w:tcBorders>
            <w:shd w:val="clear" w:color="000000" w:fill="FFFFFF"/>
            <w:vAlign w:val="center"/>
            <w:hideMark/>
          </w:tcPr>
          <w:p w14:paraId="1E29277E" w14:textId="77777777" w:rsidR="00E95B61" w:rsidRPr="00D618B7" w:rsidRDefault="00E95B61" w:rsidP="004B11B7">
            <w:pPr>
              <w:jc w:val="center"/>
              <w:rPr>
                <w:color w:val="000000"/>
              </w:rPr>
            </w:pPr>
            <w:r w:rsidRPr="00D618B7">
              <w:rPr>
                <w:color w:val="000000"/>
              </w:rPr>
              <w:t>Week</w:t>
            </w:r>
          </w:p>
        </w:tc>
        <w:tc>
          <w:tcPr>
            <w:tcW w:w="1432" w:type="pct"/>
            <w:gridSpan w:val="2"/>
            <w:tcBorders>
              <w:top w:val="single" w:sz="12" w:space="0" w:color="auto"/>
              <w:left w:val="nil"/>
              <w:bottom w:val="single" w:sz="12" w:space="0" w:color="auto"/>
              <w:right w:val="nil"/>
            </w:tcBorders>
            <w:shd w:val="clear" w:color="000000" w:fill="FFFFFF"/>
            <w:vAlign w:val="center"/>
            <w:hideMark/>
          </w:tcPr>
          <w:p w14:paraId="2BDCC904" w14:textId="77777777" w:rsidR="00E95B61" w:rsidRPr="00D618B7" w:rsidRDefault="00E95B61" w:rsidP="004B11B7">
            <w:pPr>
              <w:jc w:val="center"/>
              <w:rPr>
                <w:color w:val="000000"/>
              </w:rPr>
            </w:pPr>
            <w:r w:rsidRPr="00D618B7">
              <w:rPr>
                <w:color w:val="000000"/>
              </w:rPr>
              <w:t>Toy-Out-of-Reach</w:t>
            </w:r>
          </w:p>
        </w:tc>
        <w:tc>
          <w:tcPr>
            <w:tcW w:w="1432" w:type="pct"/>
            <w:gridSpan w:val="2"/>
            <w:tcBorders>
              <w:top w:val="single" w:sz="12" w:space="0" w:color="auto"/>
              <w:left w:val="nil"/>
              <w:bottom w:val="single" w:sz="12" w:space="0" w:color="auto"/>
              <w:right w:val="nil"/>
            </w:tcBorders>
            <w:shd w:val="clear" w:color="000000" w:fill="FFFFFF"/>
            <w:vAlign w:val="center"/>
            <w:hideMark/>
          </w:tcPr>
          <w:p w14:paraId="501879CA" w14:textId="77777777" w:rsidR="00E95B61" w:rsidRPr="00D618B7" w:rsidRDefault="00E95B61" w:rsidP="004B11B7">
            <w:pPr>
              <w:jc w:val="center"/>
              <w:rPr>
                <w:color w:val="000000"/>
              </w:rPr>
            </w:pPr>
            <w:r w:rsidRPr="00D618B7">
              <w:rPr>
                <w:color w:val="000000"/>
              </w:rPr>
              <w:t>Toy-Moving-into-Reach</w:t>
            </w:r>
          </w:p>
        </w:tc>
        <w:tc>
          <w:tcPr>
            <w:tcW w:w="1434" w:type="pct"/>
            <w:gridSpan w:val="2"/>
            <w:tcBorders>
              <w:top w:val="single" w:sz="12" w:space="0" w:color="auto"/>
              <w:left w:val="nil"/>
              <w:bottom w:val="single" w:sz="12" w:space="0" w:color="auto"/>
              <w:right w:val="nil"/>
            </w:tcBorders>
            <w:shd w:val="clear" w:color="000000" w:fill="FFFFFF"/>
            <w:vAlign w:val="center"/>
            <w:hideMark/>
          </w:tcPr>
          <w:p w14:paraId="56052455" w14:textId="77777777" w:rsidR="00E95B61" w:rsidRPr="00D618B7" w:rsidRDefault="00E95B61" w:rsidP="004B11B7">
            <w:pPr>
              <w:jc w:val="center"/>
              <w:rPr>
                <w:color w:val="000000"/>
              </w:rPr>
            </w:pPr>
            <w:r w:rsidRPr="00D618B7">
              <w:rPr>
                <w:color w:val="000000"/>
              </w:rPr>
              <w:t>Toy-in-Reach</w:t>
            </w:r>
          </w:p>
        </w:tc>
      </w:tr>
      <w:tr w:rsidR="00E95B61" w:rsidRPr="00D618B7" w14:paraId="596B69C6" w14:textId="77777777" w:rsidTr="001A50DE">
        <w:trPr>
          <w:trHeight w:val="342"/>
        </w:trPr>
        <w:tc>
          <w:tcPr>
            <w:tcW w:w="702" w:type="pct"/>
            <w:tcBorders>
              <w:top w:val="nil"/>
              <w:left w:val="nil"/>
              <w:bottom w:val="single" w:sz="12" w:space="0" w:color="auto"/>
              <w:right w:val="nil"/>
            </w:tcBorders>
            <w:shd w:val="clear" w:color="000000" w:fill="FFFFFF"/>
            <w:noWrap/>
            <w:vAlign w:val="center"/>
            <w:hideMark/>
          </w:tcPr>
          <w:p w14:paraId="7069711E" w14:textId="77777777" w:rsidR="00E95B61" w:rsidRPr="00D618B7" w:rsidRDefault="00E95B61" w:rsidP="004B11B7">
            <w:pPr>
              <w:rPr>
                <w:color w:val="000000"/>
              </w:rPr>
            </w:pPr>
            <w:r w:rsidRPr="00D618B7">
              <w:rPr>
                <w:color w:val="000000"/>
              </w:rPr>
              <w:t> </w:t>
            </w:r>
          </w:p>
        </w:tc>
        <w:tc>
          <w:tcPr>
            <w:tcW w:w="690" w:type="pct"/>
            <w:tcBorders>
              <w:top w:val="nil"/>
              <w:left w:val="nil"/>
              <w:bottom w:val="single" w:sz="12" w:space="0" w:color="auto"/>
              <w:right w:val="nil"/>
            </w:tcBorders>
            <w:shd w:val="clear" w:color="000000" w:fill="FFFFFF"/>
            <w:noWrap/>
            <w:vAlign w:val="center"/>
            <w:hideMark/>
          </w:tcPr>
          <w:p w14:paraId="18258450" w14:textId="77777777" w:rsidR="00E95B61" w:rsidRPr="00D618B7" w:rsidRDefault="00E95B61" w:rsidP="004B11B7">
            <w:pPr>
              <w:jc w:val="right"/>
              <w:rPr>
                <w:color w:val="000000"/>
              </w:rPr>
            </w:pPr>
            <w:r w:rsidRPr="00D618B7">
              <w:rPr>
                <w:color w:val="000000"/>
              </w:rPr>
              <w:t>Mean</w:t>
            </w:r>
          </w:p>
        </w:tc>
        <w:tc>
          <w:tcPr>
            <w:tcW w:w="742" w:type="pct"/>
            <w:tcBorders>
              <w:top w:val="nil"/>
              <w:left w:val="nil"/>
              <w:bottom w:val="single" w:sz="12" w:space="0" w:color="auto"/>
              <w:right w:val="nil"/>
            </w:tcBorders>
            <w:shd w:val="clear" w:color="000000" w:fill="FFFFFF"/>
            <w:noWrap/>
            <w:vAlign w:val="center"/>
            <w:hideMark/>
          </w:tcPr>
          <w:p w14:paraId="7251A0A4" w14:textId="77777777" w:rsidR="00E95B61" w:rsidRPr="00D618B7" w:rsidRDefault="00E95B61" w:rsidP="004B11B7">
            <w:pPr>
              <w:jc w:val="right"/>
              <w:rPr>
                <w:color w:val="000000"/>
              </w:rPr>
            </w:pPr>
            <w:r w:rsidRPr="00D618B7">
              <w:rPr>
                <w:color w:val="000000"/>
              </w:rPr>
              <w:t>Std. Error</w:t>
            </w:r>
          </w:p>
        </w:tc>
        <w:tc>
          <w:tcPr>
            <w:tcW w:w="690" w:type="pct"/>
            <w:tcBorders>
              <w:top w:val="nil"/>
              <w:left w:val="nil"/>
              <w:bottom w:val="single" w:sz="12" w:space="0" w:color="auto"/>
              <w:right w:val="nil"/>
            </w:tcBorders>
            <w:shd w:val="clear" w:color="000000" w:fill="FFFFFF"/>
            <w:noWrap/>
            <w:vAlign w:val="center"/>
            <w:hideMark/>
          </w:tcPr>
          <w:p w14:paraId="408C9A88" w14:textId="77777777" w:rsidR="00E95B61" w:rsidRPr="00D618B7" w:rsidRDefault="00E95B61" w:rsidP="004B11B7">
            <w:pPr>
              <w:jc w:val="right"/>
              <w:rPr>
                <w:color w:val="000000"/>
              </w:rPr>
            </w:pPr>
            <w:r w:rsidRPr="00D618B7">
              <w:rPr>
                <w:color w:val="000000"/>
              </w:rPr>
              <w:t>Mean</w:t>
            </w:r>
          </w:p>
        </w:tc>
        <w:tc>
          <w:tcPr>
            <w:tcW w:w="742" w:type="pct"/>
            <w:tcBorders>
              <w:top w:val="nil"/>
              <w:left w:val="nil"/>
              <w:bottom w:val="single" w:sz="12" w:space="0" w:color="auto"/>
              <w:right w:val="nil"/>
            </w:tcBorders>
            <w:shd w:val="clear" w:color="000000" w:fill="FFFFFF"/>
            <w:noWrap/>
            <w:vAlign w:val="center"/>
            <w:hideMark/>
          </w:tcPr>
          <w:p w14:paraId="6D111D0F" w14:textId="77777777" w:rsidR="00E95B61" w:rsidRPr="00D618B7" w:rsidRDefault="00E95B61" w:rsidP="004B11B7">
            <w:pPr>
              <w:jc w:val="right"/>
              <w:rPr>
                <w:color w:val="000000"/>
              </w:rPr>
            </w:pPr>
            <w:r w:rsidRPr="00D618B7">
              <w:rPr>
                <w:color w:val="000000"/>
              </w:rPr>
              <w:t>Std. Error</w:t>
            </w:r>
          </w:p>
        </w:tc>
        <w:tc>
          <w:tcPr>
            <w:tcW w:w="690" w:type="pct"/>
            <w:tcBorders>
              <w:top w:val="nil"/>
              <w:left w:val="nil"/>
              <w:bottom w:val="single" w:sz="12" w:space="0" w:color="auto"/>
              <w:right w:val="nil"/>
            </w:tcBorders>
            <w:shd w:val="clear" w:color="000000" w:fill="FFFFFF"/>
            <w:noWrap/>
            <w:vAlign w:val="center"/>
            <w:hideMark/>
          </w:tcPr>
          <w:p w14:paraId="4494B77E" w14:textId="77777777" w:rsidR="00E95B61" w:rsidRPr="00D618B7" w:rsidRDefault="00E95B61" w:rsidP="004B11B7">
            <w:pPr>
              <w:jc w:val="right"/>
              <w:rPr>
                <w:color w:val="000000"/>
              </w:rPr>
            </w:pPr>
            <w:r w:rsidRPr="00D618B7">
              <w:rPr>
                <w:color w:val="000000"/>
              </w:rPr>
              <w:t>Mean</w:t>
            </w:r>
          </w:p>
        </w:tc>
        <w:tc>
          <w:tcPr>
            <w:tcW w:w="744" w:type="pct"/>
            <w:tcBorders>
              <w:top w:val="nil"/>
              <w:left w:val="nil"/>
              <w:bottom w:val="single" w:sz="12" w:space="0" w:color="auto"/>
              <w:right w:val="nil"/>
            </w:tcBorders>
            <w:shd w:val="clear" w:color="000000" w:fill="FFFFFF"/>
            <w:noWrap/>
            <w:vAlign w:val="center"/>
            <w:hideMark/>
          </w:tcPr>
          <w:p w14:paraId="18503E1C" w14:textId="77777777" w:rsidR="00E95B61" w:rsidRPr="00D618B7" w:rsidRDefault="00E95B61" w:rsidP="004B11B7">
            <w:pPr>
              <w:jc w:val="right"/>
              <w:rPr>
                <w:color w:val="000000"/>
              </w:rPr>
            </w:pPr>
            <w:r w:rsidRPr="00D618B7">
              <w:rPr>
                <w:color w:val="000000"/>
              </w:rPr>
              <w:t>Std. Error</w:t>
            </w:r>
          </w:p>
        </w:tc>
      </w:tr>
      <w:tr w:rsidR="00E95B61" w:rsidRPr="00D618B7" w14:paraId="239F48F2" w14:textId="77777777" w:rsidTr="001A50DE">
        <w:trPr>
          <w:trHeight w:val="326"/>
        </w:trPr>
        <w:tc>
          <w:tcPr>
            <w:tcW w:w="5000" w:type="pct"/>
            <w:gridSpan w:val="7"/>
            <w:tcBorders>
              <w:top w:val="single" w:sz="12" w:space="0" w:color="auto"/>
              <w:left w:val="nil"/>
              <w:bottom w:val="nil"/>
              <w:right w:val="nil"/>
            </w:tcBorders>
            <w:shd w:val="clear" w:color="000000" w:fill="FFFFFF"/>
            <w:noWrap/>
            <w:vAlign w:val="center"/>
            <w:hideMark/>
          </w:tcPr>
          <w:p w14:paraId="08C5B437" w14:textId="77777777" w:rsidR="00E95B61" w:rsidRPr="00D618B7" w:rsidRDefault="00E95B61" w:rsidP="004B11B7">
            <w:pPr>
              <w:jc w:val="center"/>
              <w:rPr>
                <w:color w:val="000000"/>
              </w:rPr>
            </w:pPr>
            <w:r w:rsidRPr="00D618B7">
              <w:rPr>
                <w:color w:val="000000"/>
              </w:rPr>
              <w:t>Early Reach Group</w:t>
            </w:r>
          </w:p>
        </w:tc>
      </w:tr>
      <w:tr w:rsidR="00E95B61" w:rsidRPr="00D618B7" w14:paraId="416D52D8" w14:textId="77777777" w:rsidTr="001A50DE">
        <w:trPr>
          <w:trHeight w:val="311"/>
        </w:trPr>
        <w:tc>
          <w:tcPr>
            <w:tcW w:w="702" w:type="pct"/>
            <w:tcBorders>
              <w:top w:val="nil"/>
              <w:left w:val="nil"/>
              <w:bottom w:val="nil"/>
              <w:right w:val="nil"/>
            </w:tcBorders>
            <w:shd w:val="clear" w:color="000000" w:fill="FFFFFF"/>
            <w:vAlign w:val="center"/>
            <w:hideMark/>
          </w:tcPr>
          <w:p w14:paraId="30BE30C6" w14:textId="77777777" w:rsidR="00E95B61" w:rsidRPr="00D618B7" w:rsidRDefault="00E95B61" w:rsidP="004B11B7">
            <w:pPr>
              <w:jc w:val="center"/>
              <w:rPr>
                <w:color w:val="000000"/>
              </w:rPr>
            </w:pPr>
            <w:r w:rsidRPr="00D618B7">
              <w:rPr>
                <w:color w:val="000000"/>
              </w:rPr>
              <w:t>-5</w:t>
            </w:r>
          </w:p>
        </w:tc>
        <w:tc>
          <w:tcPr>
            <w:tcW w:w="690" w:type="pct"/>
            <w:tcBorders>
              <w:top w:val="nil"/>
              <w:left w:val="nil"/>
              <w:bottom w:val="nil"/>
              <w:right w:val="nil"/>
            </w:tcBorders>
            <w:shd w:val="clear" w:color="000000" w:fill="FFFFFF"/>
            <w:noWrap/>
            <w:vAlign w:val="center"/>
            <w:hideMark/>
          </w:tcPr>
          <w:p w14:paraId="0B61F300" w14:textId="77777777" w:rsidR="00E95B61" w:rsidRPr="00D618B7" w:rsidRDefault="00E95B61" w:rsidP="004B11B7">
            <w:pPr>
              <w:jc w:val="right"/>
              <w:rPr>
                <w:color w:val="000000"/>
              </w:rPr>
            </w:pPr>
            <w:r w:rsidRPr="00D618B7">
              <w:rPr>
                <w:color w:val="000000"/>
              </w:rPr>
              <w:t>5.90</w:t>
            </w:r>
          </w:p>
        </w:tc>
        <w:tc>
          <w:tcPr>
            <w:tcW w:w="742" w:type="pct"/>
            <w:tcBorders>
              <w:top w:val="nil"/>
              <w:left w:val="nil"/>
              <w:bottom w:val="nil"/>
              <w:right w:val="nil"/>
            </w:tcBorders>
            <w:shd w:val="clear" w:color="000000" w:fill="FFFFFF"/>
            <w:noWrap/>
            <w:vAlign w:val="center"/>
            <w:hideMark/>
          </w:tcPr>
          <w:p w14:paraId="47B3FD06" w14:textId="77777777" w:rsidR="00E95B61" w:rsidRPr="00D618B7" w:rsidRDefault="00E95B61" w:rsidP="004B11B7">
            <w:pPr>
              <w:jc w:val="right"/>
              <w:rPr>
                <w:color w:val="000000"/>
              </w:rPr>
            </w:pPr>
            <w:r w:rsidRPr="00D618B7">
              <w:rPr>
                <w:color w:val="000000"/>
              </w:rPr>
              <w:t>0.72</w:t>
            </w:r>
          </w:p>
        </w:tc>
        <w:tc>
          <w:tcPr>
            <w:tcW w:w="690" w:type="pct"/>
            <w:tcBorders>
              <w:top w:val="nil"/>
              <w:left w:val="nil"/>
              <w:bottom w:val="nil"/>
              <w:right w:val="nil"/>
            </w:tcBorders>
            <w:shd w:val="clear" w:color="000000" w:fill="FFFFFF"/>
            <w:noWrap/>
            <w:vAlign w:val="center"/>
            <w:hideMark/>
          </w:tcPr>
          <w:p w14:paraId="5EFEA798" w14:textId="77777777" w:rsidR="00E95B61" w:rsidRPr="00D618B7" w:rsidRDefault="00E95B61" w:rsidP="004B11B7">
            <w:pPr>
              <w:jc w:val="right"/>
              <w:rPr>
                <w:color w:val="000000"/>
              </w:rPr>
            </w:pPr>
            <w:r w:rsidRPr="00D618B7">
              <w:rPr>
                <w:color w:val="000000"/>
              </w:rPr>
              <w:t>3.09</w:t>
            </w:r>
          </w:p>
        </w:tc>
        <w:tc>
          <w:tcPr>
            <w:tcW w:w="742" w:type="pct"/>
            <w:tcBorders>
              <w:top w:val="nil"/>
              <w:left w:val="nil"/>
              <w:bottom w:val="nil"/>
              <w:right w:val="nil"/>
            </w:tcBorders>
            <w:shd w:val="clear" w:color="000000" w:fill="FFFFFF"/>
            <w:noWrap/>
            <w:vAlign w:val="center"/>
            <w:hideMark/>
          </w:tcPr>
          <w:p w14:paraId="6A7058F1" w14:textId="77777777" w:rsidR="00E95B61" w:rsidRPr="00D618B7" w:rsidRDefault="00E95B61" w:rsidP="004B11B7">
            <w:pPr>
              <w:jc w:val="right"/>
              <w:rPr>
                <w:color w:val="000000"/>
              </w:rPr>
            </w:pPr>
            <w:r w:rsidRPr="00D618B7">
              <w:rPr>
                <w:color w:val="000000"/>
              </w:rPr>
              <w:t>0.86</w:t>
            </w:r>
          </w:p>
        </w:tc>
        <w:tc>
          <w:tcPr>
            <w:tcW w:w="690" w:type="pct"/>
            <w:tcBorders>
              <w:top w:val="nil"/>
              <w:left w:val="nil"/>
              <w:bottom w:val="nil"/>
              <w:right w:val="nil"/>
            </w:tcBorders>
            <w:shd w:val="clear" w:color="000000" w:fill="FFFFFF"/>
            <w:noWrap/>
            <w:vAlign w:val="center"/>
            <w:hideMark/>
          </w:tcPr>
          <w:p w14:paraId="731116E0" w14:textId="77777777" w:rsidR="00E95B61" w:rsidRPr="00D618B7" w:rsidRDefault="00E95B61" w:rsidP="004B11B7">
            <w:pPr>
              <w:jc w:val="right"/>
              <w:rPr>
                <w:color w:val="000000"/>
              </w:rPr>
            </w:pPr>
            <w:r w:rsidRPr="00D618B7">
              <w:rPr>
                <w:color w:val="000000"/>
              </w:rPr>
              <w:t>5.50</w:t>
            </w:r>
          </w:p>
        </w:tc>
        <w:tc>
          <w:tcPr>
            <w:tcW w:w="744" w:type="pct"/>
            <w:tcBorders>
              <w:top w:val="nil"/>
              <w:left w:val="nil"/>
              <w:bottom w:val="nil"/>
              <w:right w:val="nil"/>
            </w:tcBorders>
            <w:shd w:val="clear" w:color="000000" w:fill="FFFFFF"/>
            <w:noWrap/>
            <w:vAlign w:val="center"/>
            <w:hideMark/>
          </w:tcPr>
          <w:p w14:paraId="71A77CD8" w14:textId="77777777" w:rsidR="00E95B61" w:rsidRPr="00D618B7" w:rsidRDefault="00E95B61" w:rsidP="004B11B7">
            <w:pPr>
              <w:jc w:val="right"/>
              <w:rPr>
                <w:color w:val="000000"/>
              </w:rPr>
            </w:pPr>
            <w:r w:rsidRPr="00D618B7">
              <w:rPr>
                <w:color w:val="000000"/>
              </w:rPr>
              <w:t>0.28</w:t>
            </w:r>
          </w:p>
        </w:tc>
      </w:tr>
      <w:tr w:rsidR="00E95B61" w:rsidRPr="00D618B7" w14:paraId="5DF30B2D" w14:textId="77777777" w:rsidTr="001A50DE">
        <w:trPr>
          <w:trHeight w:val="311"/>
        </w:trPr>
        <w:tc>
          <w:tcPr>
            <w:tcW w:w="702" w:type="pct"/>
            <w:tcBorders>
              <w:top w:val="nil"/>
              <w:left w:val="nil"/>
              <w:bottom w:val="nil"/>
              <w:right w:val="nil"/>
            </w:tcBorders>
            <w:shd w:val="clear" w:color="000000" w:fill="FFFFFF"/>
            <w:vAlign w:val="center"/>
            <w:hideMark/>
          </w:tcPr>
          <w:p w14:paraId="1A10035C" w14:textId="77777777" w:rsidR="00E95B61" w:rsidRPr="00D618B7" w:rsidRDefault="00E95B61" w:rsidP="004B11B7">
            <w:pPr>
              <w:jc w:val="center"/>
              <w:rPr>
                <w:color w:val="000000"/>
              </w:rPr>
            </w:pPr>
            <w:r w:rsidRPr="00D618B7">
              <w:rPr>
                <w:color w:val="000000"/>
              </w:rPr>
              <w:t>-4</w:t>
            </w:r>
          </w:p>
        </w:tc>
        <w:tc>
          <w:tcPr>
            <w:tcW w:w="690" w:type="pct"/>
            <w:tcBorders>
              <w:top w:val="nil"/>
              <w:left w:val="nil"/>
              <w:bottom w:val="nil"/>
              <w:right w:val="nil"/>
            </w:tcBorders>
            <w:shd w:val="clear" w:color="000000" w:fill="FFFFFF"/>
            <w:noWrap/>
            <w:vAlign w:val="center"/>
            <w:hideMark/>
          </w:tcPr>
          <w:p w14:paraId="735DA08F" w14:textId="77777777" w:rsidR="00E95B61" w:rsidRPr="00D618B7" w:rsidRDefault="00E95B61" w:rsidP="004B11B7">
            <w:pPr>
              <w:jc w:val="right"/>
              <w:rPr>
                <w:color w:val="000000"/>
              </w:rPr>
            </w:pPr>
            <w:r w:rsidRPr="00D618B7">
              <w:rPr>
                <w:color w:val="000000"/>
              </w:rPr>
              <w:t>5.78</w:t>
            </w:r>
          </w:p>
        </w:tc>
        <w:tc>
          <w:tcPr>
            <w:tcW w:w="742" w:type="pct"/>
            <w:tcBorders>
              <w:top w:val="nil"/>
              <w:left w:val="nil"/>
              <w:bottom w:val="nil"/>
              <w:right w:val="nil"/>
            </w:tcBorders>
            <w:shd w:val="clear" w:color="000000" w:fill="FFFFFF"/>
            <w:noWrap/>
            <w:vAlign w:val="center"/>
            <w:hideMark/>
          </w:tcPr>
          <w:p w14:paraId="69E57A5E" w14:textId="77777777" w:rsidR="00E95B61" w:rsidRPr="00D618B7" w:rsidRDefault="00E95B61" w:rsidP="004B11B7">
            <w:pPr>
              <w:jc w:val="right"/>
              <w:rPr>
                <w:color w:val="000000"/>
              </w:rPr>
            </w:pPr>
            <w:r w:rsidRPr="00D618B7">
              <w:rPr>
                <w:color w:val="000000"/>
              </w:rPr>
              <w:t>0.47</w:t>
            </w:r>
          </w:p>
        </w:tc>
        <w:tc>
          <w:tcPr>
            <w:tcW w:w="690" w:type="pct"/>
            <w:tcBorders>
              <w:top w:val="nil"/>
              <w:left w:val="nil"/>
              <w:bottom w:val="nil"/>
              <w:right w:val="nil"/>
            </w:tcBorders>
            <w:shd w:val="clear" w:color="000000" w:fill="FFFFFF"/>
            <w:noWrap/>
            <w:vAlign w:val="center"/>
            <w:hideMark/>
          </w:tcPr>
          <w:p w14:paraId="2394620F" w14:textId="77777777" w:rsidR="00E95B61" w:rsidRPr="00D618B7" w:rsidRDefault="00E95B61" w:rsidP="004B11B7">
            <w:pPr>
              <w:jc w:val="right"/>
              <w:rPr>
                <w:color w:val="000000"/>
              </w:rPr>
            </w:pPr>
            <w:r w:rsidRPr="00D618B7">
              <w:rPr>
                <w:color w:val="000000"/>
              </w:rPr>
              <w:t>6.39</w:t>
            </w:r>
          </w:p>
        </w:tc>
        <w:tc>
          <w:tcPr>
            <w:tcW w:w="742" w:type="pct"/>
            <w:tcBorders>
              <w:top w:val="nil"/>
              <w:left w:val="nil"/>
              <w:bottom w:val="nil"/>
              <w:right w:val="nil"/>
            </w:tcBorders>
            <w:shd w:val="clear" w:color="000000" w:fill="FFFFFF"/>
            <w:noWrap/>
            <w:vAlign w:val="center"/>
            <w:hideMark/>
          </w:tcPr>
          <w:p w14:paraId="0E82A13C" w14:textId="77777777" w:rsidR="00E95B61" w:rsidRPr="00D618B7" w:rsidRDefault="00E95B61" w:rsidP="004B11B7">
            <w:pPr>
              <w:jc w:val="right"/>
              <w:rPr>
                <w:color w:val="000000"/>
              </w:rPr>
            </w:pPr>
            <w:r w:rsidRPr="00D618B7">
              <w:rPr>
                <w:color w:val="000000"/>
              </w:rPr>
              <w:t>0.71</w:t>
            </w:r>
          </w:p>
        </w:tc>
        <w:tc>
          <w:tcPr>
            <w:tcW w:w="690" w:type="pct"/>
            <w:tcBorders>
              <w:top w:val="nil"/>
              <w:left w:val="nil"/>
              <w:bottom w:val="nil"/>
              <w:right w:val="nil"/>
            </w:tcBorders>
            <w:shd w:val="clear" w:color="000000" w:fill="FFFFFF"/>
            <w:noWrap/>
            <w:vAlign w:val="center"/>
            <w:hideMark/>
          </w:tcPr>
          <w:p w14:paraId="44702EB9" w14:textId="77777777" w:rsidR="00E95B61" w:rsidRPr="00D618B7" w:rsidRDefault="00E95B61" w:rsidP="004B11B7">
            <w:pPr>
              <w:jc w:val="right"/>
              <w:rPr>
                <w:color w:val="000000"/>
              </w:rPr>
            </w:pPr>
            <w:r w:rsidRPr="00D618B7">
              <w:rPr>
                <w:color w:val="000000"/>
              </w:rPr>
              <w:t>6.28</w:t>
            </w:r>
          </w:p>
        </w:tc>
        <w:tc>
          <w:tcPr>
            <w:tcW w:w="744" w:type="pct"/>
            <w:tcBorders>
              <w:top w:val="nil"/>
              <w:left w:val="nil"/>
              <w:bottom w:val="nil"/>
              <w:right w:val="nil"/>
            </w:tcBorders>
            <w:shd w:val="clear" w:color="000000" w:fill="FFFFFF"/>
            <w:noWrap/>
            <w:vAlign w:val="center"/>
            <w:hideMark/>
          </w:tcPr>
          <w:p w14:paraId="1EBD4454" w14:textId="77777777" w:rsidR="00E95B61" w:rsidRPr="00D618B7" w:rsidRDefault="00E95B61" w:rsidP="004B11B7">
            <w:pPr>
              <w:jc w:val="right"/>
              <w:rPr>
                <w:color w:val="000000"/>
              </w:rPr>
            </w:pPr>
            <w:r w:rsidRPr="00D618B7">
              <w:rPr>
                <w:color w:val="000000"/>
              </w:rPr>
              <w:t>0.96</w:t>
            </w:r>
          </w:p>
        </w:tc>
      </w:tr>
      <w:tr w:rsidR="00E95B61" w:rsidRPr="00D618B7" w14:paraId="5956CD95" w14:textId="77777777" w:rsidTr="001A50DE">
        <w:trPr>
          <w:trHeight w:val="311"/>
        </w:trPr>
        <w:tc>
          <w:tcPr>
            <w:tcW w:w="702" w:type="pct"/>
            <w:tcBorders>
              <w:top w:val="nil"/>
              <w:left w:val="nil"/>
              <w:bottom w:val="nil"/>
              <w:right w:val="nil"/>
            </w:tcBorders>
            <w:shd w:val="clear" w:color="000000" w:fill="FFFFFF"/>
            <w:vAlign w:val="center"/>
            <w:hideMark/>
          </w:tcPr>
          <w:p w14:paraId="5000B42F" w14:textId="77777777" w:rsidR="00E95B61" w:rsidRPr="00D618B7" w:rsidRDefault="00E95B61" w:rsidP="004B11B7">
            <w:pPr>
              <w:jc w:val="center"/>
              <w:rPr>
                <w:color w:val="000000"/>
              </w:rPr>
            </w:pPr>
            <w:r w:rsidRPr="00D618B7">
              <w:rPr>
                <w:color w:val="000000"/>
              </w:rPr>
              <w:t>-3</w:t>
            </w:r>
          </w:p>
        </w:tc>
        <w:tc>
          <w:tcPr>
            <w:tcW w:w="690" w:type="pct"/>
            <w:tcBorders>
              <w:top w:val="nil"/>
              <w:left w:val="nil"/>
              <w:bottom w:val="nil"/>
              <w:right w:val="nil"/>
            </w:tcBorders>
            <w:shd w:val="clear" w:color="000000" w:fill="FFFFFF"/>
            <w:noWrap/>
            <w:vAlign w:val="center"/>
            <w:hideMark/>
          </w:tcPr>
          <w:p w14:paraId="460D4C0F" w14:textId="77777777" w:rsidR="00E95B61" w:rsidRPr="00D618B7" w:rsidRDefault="00E95B61" w:rsidP="004B11B7">
            <w:pPr>
              <w:jc w:val="right"/>
              <w:rPr>
                <w:color w:val="000000"/>
              </w:rPr>
            </w:pPr>
            <w:r w:rsidRPr="00D618B7">
              <w:rPr>
                <w:color w:val="000000"/>
              </w:rPr>
              <w:t>6.31</w:t>
            </w:r>
          </w:p>
        </w:tc>
        <w:tc>
          <w:tcPr>
            <w:tcW w:w="742" w:type="pct"/>
            <w:tcBorders>
              <w:top w:val="nil"/>
              <w:left w:val="nil"/>
              <w:bottom w:val="nil"/>
              <w:right w:val="nil"/>
            </w:tcBorders>
            <w:shd w:val="clear" w:color="000000" w:fill="FFFFFF"/>
            <w:noWrap/>
            <w:vAlign w:val="center"/>
            <w:hideMark/>
          </w:tcPr>
          <w:p w14:paraId="072BC540" w14:textId="77777777" w:rsidR="00E95B61" w:rsidRPr="00D618B7" w:rsidRDefault="00E95B61" w:rsidP="004B11B7">
            <w:pPr>
              <w:jc w:val="right"/>
              <w:rPr>
                <w:color w:val="000000"/>
              </w:rPr>
            </w:pPr>
            <w:r w:rsidRPr="00D618B7">
              <w:rPr>
                <w:color w:val="000000"/>
              </w:rPr>
              <w:t>1.13</w:t>
            </w:r>
          </w:p>
        </w:tc>
        <w:tc>
          <w:tcPr>
            <w:tcW w:w="690" w:type="pct"/>
            <w:tcBorders>
              <w:top w:val="nil"/>
              <w:left w:val="nil"/>
              <w:bottom w:val="nil"/>
              <w:right w:val="nil"/>
            </w:tcBorders>
            <w:shd w:val="clear" w:color="000000" w:fill="FFFFFF"/>
            <w:noWrap/>
            <w:vAlign w:val="center"/>
            <w:hideMark/>
          </w:tcPr>
          <w:p w14:paraId="353AEE02" w14:textId="77777777" w:rsidR="00E95B61" w:rsidRPr="00D618B7" w:rsidRDefault="00E95B61" w:rsidP="004B11B7">
            <w:pPr>
              <w:jc w:val="right"/>
              <w:rPr>
                <w:color w:val="000000"/>
              </w:rPr>
            </w:pPr>
            <w:r w:rsidRPr="00D618B7">
              <w:rPr>
                <w:color w:val="000000"/>
              </w:rPr>
              <w:t>5.79</w:t>
            </w:r>
          </w:p>
        </w:tc>
        <w:tc>
          <w:tcPr>
            <w:tcW w:w="742" w:type="pct"/>
            <w:tcBorders>
              <w:top w:val="nil"/>
              <w:left w:val="nil"/>
              <w:bottom w:val="nil"/>
              <w:right w:val="nil"/>
            </w:tcBorders>
            <w:shd w:val="clear" w:color="000000" w:fill="FFFFFF"/>
            <w:noWrap/>
            <w:vAlign w:val="center"/>
            <w:hideMark/>
          </w:tcPr>
          <w:p w14:paraId="30C9A0B0" w14:textId="77777777" w:rsidR="00E95B61" w:rsidRPr="00D618B7" w:rsidRDefault="00E95B61" w:rsidP="004B11B7">
            <w:pPr>
              <w:jc w:val="right"/>
              <w:rPr>
                <w:color w:val="000000"/>
              </w:rPr>
            </w:pPr>
            <w:r w:rsidRPr="00D618B7">
              <w:rPr>
                <w:color w:val="000000"/>
              </w:rPr>
              <w:t>0.33</w:t>
            </w:r>
          </w:p>
        </w:tc>
        <w:tc>
          <w:tcPr>
            <w:tcW w:w="690" w:type="pct"/>
            <w:tcBorders>
              <w:top w:val="nil"/>
              <w:left w:val="nil"/>
              <w:bottom w:val="nil"/>
              <w:right w:val="nil"/>
            </w:tcBorders>
            <w:shd w:val="clear" w:color="000000" w:fill="FFFFFF"/>
            <w:noWrap/>
            <w:vAlign w:val="center"/>
            <w:hideMark/>
          </w:tcPr>
          <w:p w14:paraId="4226513C" w14:textId="77777777" w:rsidR="00E95B61" w:rsidRPr="00D618B7" w:rsidRDefault="00E95B61" w:rsidP="004B11B7">
            <w:pPr>
              <w:jc w:val="right"/>
              <w:rPr>
                <w:color w:val="000000"/>
              </w:rPr>
            </w:pPr>
            <w:r w:rsidRPr="00D618B7">
              <w:rPr>
                <w:color w:val="000000"/>
              </w:rPr>
              <w:t>6.16</w:t>
            </w:r>
          </w:p>
        </w:tc>
        <w:tc>
          <w:tcPr>
            <w:tcW w:w="744" w:type="pct"/>
            <w:tcBorders>
              <w:top w:val="nil"/>
              <w:left w:val="nil"/>
              <w:bottom w:val="nil"/>
              <w:right w:val="nil"/>
            </w:tcBorders>
            <w:shd w:val="clear" w:color="000000" w:fill="FFFFFF"/>
            <w:noWrap/>
            <w:vAlign w:val="center"/>
            <w:hideMark/>
          </w:tcPr>
          <w:p w14:paraId="530747B5" w14:textId="77777777" w:rsidR="00E95B61" w:rsidRPr="00D618B7" w:rsidRDefault="00E95B61" w:rsidP="004B11B7">
            <w:pPr>
              <w:jc w:val="right"/>
              <w:rPr>
                <w:color w:val="000000"/>
              </w:rPr>
            </w:pPr>
            <w:r w:rsidRPr="00D618B7">
              <w:rPr>
                <w:color w:val="000000"/>
              </w:rPr>
              <w:t>0.87</w:t>
            </w:r>
          </w:p>
        </w:tc>
      </w:tr>
      <w:tr w:rsidR="00E95B61" w:rsidRPr="00D618B7" w14:paraId="4846A2AA" w14:textId="77777777" w:rsidTr="001A50DE">
        <w:trPr>
          <w:trHeight w:val="311"/>
        </w:trPr>
        <w:tc>
          <w:tcPr>
            <w:tcW w:w="702" w:type="pct"/>
            <w:tcBorders>
              <w:top w:val="nil"/>
              <w:left w:val="nil"/>
              <w:bottom w:val="nil"/>
              <w:right w:val="nil"/>
            </w:tcBorders>
            <w:shd w:val="clear" w:color="000000" w:fill="FFFFFF"/>
            <w:vAlign w:val="center"/>
            <w:hideMark/>
          </w:tcPr>
          <w:p w14:paraId="7219BD5E" w14:textId="77777777" w:rsidR="00E95B61" w:rsidRPr="00D618B7" w:rsidRDefault="00E95B61" w:rsidP="004B11B7">
            <w:pPr>
              <w:jc w:val="center"/>
              <w:rPr>
                <w:color w:val="000000"/>
              </w:rPr>
            </w:pPr>
            <w:r w:rsidRPr="00D618B7">
              <w:rPr>
                <w:color w:val="000000"/>
              </w:rPr>
              <w:t>-2</w:t>
            </w:r>
          </w:p>
        </w:tc>
        <w:tc>
          <w:tcPr>
            <w:tcW w:w="690" w:type="pct"/>
            <w:tcBorders>
              <w:top w:val="nil"/>
              <w:left w:val="nil"/>
              <w:bottom w:val="nil"/>
              <w:right w:val="nil"/>
            </w:tcBorders>
            <w:shd w:val="clear" w:color="000000" w:fill="FFFFFF"/>
            <w:noWrap/>
            <w:vAlign w:val="center"/>
            <w:hideMark/>
          </w:tcPr>
          <w:p w14:paraId="6082C318" w14:textId="77777777" w:rsidR="00E95B61" w:rsidRPr="00D618B7" w:rsidRDefault="00E95B61" w:rsidP="004B11B7">
            <w:pPr>
              <w:jc w:val="right"/>
              <w:rPr>
                <w:color w:val="000000"/>
              </w:rPr>
            </w:pPr>
            <w:r w:rsidRPr="00D618B7">
              <w:rPr>
                <w:color w:val="000000"/>
              </w:rPr>
              <w:t>6.91</w:t>
            </w:r>
          </w:p>
        </w:tc>
        <w:tc>
          <w:tcPr>
            <w:tcW w:w="742" w:type="pct"/>
            <w:tcBorders>
              <w:top w:val="nil"/>
              <w:left w:val="nil"/>
              <w:bottom w:val="nil"/>
              <w:right w:val="nil"/>
            </w:tcBorders>
            <w:shd w:val="clear" w:color="000000" w:fill="FFFFFF"/>
            <w:noWrap/>
            <w:vAlign w:val="center"/>
            <w:hideMark/>
          </w:tcPr>
          <w:p w14:paraId="13836AFB" w14:textId="77777777" w:rsidR="00E95B61" w:rsidRPr="00D618B7" w:rsidRDefault="00E95B61" w:rsidP="004B11B7">
            <w:pPr>
              <w:jc w:val="right"/>
              <w:rPr>
                <w:color w:val="000000"/>
              </w:rPr>
            </w:pPr>
            <w:r w:rsidRPr="00D618B7">
              <w:rPr>
                <w:color w:val="000000"/>
              </w:rPr>
              <w:t>1.38</w:t>
            </w:r>
          </w:p>
        </w:tc>
        <w:tc>
          <w:tcPr>
            <w:tcW w:w="690" w:type="pct"/>
            <w:tcBorders>
              <w:top w:val="nil"/>
              <w:left w:val="nil"/>
              <w:bottom w:val="nil"/>
              <w:right w:val="nil"/>
            </w:tcBorders>
            <w:shd w:val="clear" w:color="000000" w:fill="FFFFFF"/>
            <w:noWrap/>
            <w:vAlign w:val="center"/>
            <w:hideMark/>
          </w:tcPr>
          <w:p w14:paraId="33ABCAF1" w14:textId="77777777" w:rsidR="00E95B61" w:rsidRPr="00D618B7" w:rsidRDefault="00E95B61" w:rsidP="004B11B7">
            <w:pPr>
              <w:jc w:val="right"/>
              <w:rPr>
                <w:color w:val="000000"/>
              </w:rPr>
            </w:pPr>
            <w:r w:rsidRPr="00D618B7">
              <w:rPr>
                <w:color w:val="000000"/>
              </w:rPr>
              <w:t>6.33</w:t>
            </w:r>
          </w:p>
        </w:tc>
        <w:tc>
          <w:tcPr>
            <w:tcW w:w="742" w:type="pct"/>
            <w:tcBorders>
              <w:top w:val="nil"/>
              <w:left w:val="nil"/>
              <w:bottom w:val="nil"/>
              <w:right w:val="nil"/>
            </w:tcBorders>
            <w:shd w:val="clear" w:color="000000" w:fill="FFFFFF"/>
            <w:noWrap/>
            <w:vAlign w:val="center"/>
            <w:hideMark/>
          </w:tcPr>
          <w:p w14:paraId="60955C63" w14:textId="77777777" w:rsidR="00E95B61" w:rsidRPr="00D618B7" w:rsidRDefault="00E95B61" w:rsidP="004B11B7">
            <w:pPr>
              <w:jc w:val="right"/>
              <w:rPr>
                <w:color w:val="000000"/>
              </w:rPr>
            </w:pPr>
            <w:r w:rsidRPr="00D618B7">
              <w:rPr>
                <w:color w:val="000000"/>
              </w:rPr>
              <w:t>0.70</w:t>
            </w:r>
          </w:p>
        </w:tc>
        <w:tc>
          <w:tcPr>
            <w:tcW w:w="690" w:type="pct"/>
            <w:tcBorders>
              <w:top w:val="nil"/>
              <w:left w:val="nil"/>
              <w:bottom w:val="nil"/>
              <w:right w:val="nil"/>
            </w:tcBorders>
            <w:shd w:val="clear" w:color="000000" w:fill="FFFFFF"/>
            <w:noWrap/>
            <w:vAlign w:val="center"/>
            <w:hideMark/>
          </w:tcPr>
          <w:p w14:paraId="5D061DD3" w14:textId="77777777" w:rsidR="00E95B61" w:rsidRPr="00D618B7" w:rsidRDefault="00E95B61" w:rsidP="004B11B7">
            <w:pPr>
              <w:jc w:val="right"/>
              <w:rPr>
                <w:color w:val="000000"/>
              </w:rPr>
            </w:pPr>
            <w:r w:rsidRPr="00D618B7">
              <w:rPr>
                <w:color w:val="000000"/>
              </w:rPr>
              <w:t>8.19</w:t>
            </w:r>
          </w:p>
        </w:tc>
        <w:tc>
          <w:tcPr>
            <w:tcW w:w="744" w:type="pct"/>
            <w:tcBorders>
              <w:top w:val="nil"/>
              <w:left w:val="nil"/>
              <w:bottom w:val="nil"/>
              <w:right w:val="nil"/>
            </w:tcBorders>
            <w:shd w:val="clear" w:color="000000" w:fill="FFFFFF"/>
            <w:noWrap/>
            <w:vAlign w:val="center"/>
            <w:hideMark/>
          </w:tcPr>
          <w:p w14:paraId="4EB31C04" w14:textId="77777777" w:rsidR="00E95B61" w:rsidRPr="00D618B7" w:rsidRDefault="00E95B61" w:rsidP="004B11B7">
            <w:pPr>
              <w:jc w:val="right"/>
              <w:rPr>
                <w:color w:val="000000"/>
              </w:rPr>
            </w:pPr>
            <w:r w:rsidRPr="00D618B7">
              <w:rPr>
                <w:color w:val="000000"/>
              </w:rPr>
              <w:t>0.87</w:t>
            </w:r>
          </w:p>
        </w:tc>
      </w:tr>
      <w:tr w:rsidR="00E95B61" w:rsidRPr="00D618B7" w14:paraId="3DE476DD" w14:textId="77777777" w:rsidTr="001A50DE">
        <w:trPr>
          <w:trHeight w:val="311"/>
        </w:trPr>
        <w:tc>
          <w:tcPr>
            <w:tcW w:w="702" w:type="pct"/>
            <w:tcBorders>
              <w:top w:val="nil"/>
              <w:left w:val="nil"/>
              <w:bottom w:val="nil"/>
              <w:right w:val="nil"/>
            </w:tcBorders>
            <w:shd w:val="clear" w:color="000000" w:fill="FFFFFF"/>
            <w:vAlign w:val="center"/>
            <w:hideMark/>
          </w:tcPr>
          <w:p w14:paraId="58DB2C19" w14:textId="77777777" w:rsidR="00E95B61" w:rsidRPr="00D618B7" w:rsidRDefault="00E95B61" w:rsidP="004B11B7">
            <w:pPr>
              <w:jc w:val="center"/>
              <w:rPr>
                <w:color w:val="000000"/>
              </w:rPr>
            </w:pPr>
            <w:r w:rsidRPr="00D618B7">
              <w:rPr>
                <w:color w:val="000000"/>
              </w:rPr>
              <w:t>-1</w:t>
            </w:r>
          </w:p>
        </w:tc>
        <w:tc>
          <w:tcPr>
            <w:tcW w:w="690" w:type="pct"/>
            <w:tcBorders>
              <w:top w:val="nil"/>
              <w:left w:val="nil"/>
              <w:bottom w:val="nil"/>
              <w:right w:val="nil"/>
            </w:tcBorders>
            <w:shd w:val="clear" w:color="000000" w:fill="FFFFFF"/>
            <w:noWrap/>
            <w:vAlign w:val="center"/>
            <w:hideMark/>
          </w:tcPr>
          <w:p w14:paraId="6B379AD7" w14:textId="77777777" w:rsidR="00E95B61" w:rsidRPr="00D618B7" w:rsidRDefault="00E95B61" w:rsidP="004B11B7">
            <w:pPr>
              <w:jc w:val="right"/>
              <w:rPr>
                <w:color w:val="000000"/>
              </w:rPr>
            </w:pPr>
            <w:r w:rsidRPr="00D618B7">
              <w:rPr>
                <w:color w:val="000000"/>
              </w:rPr>
              <w:t>5.74</w:t>
            </w:r>
          </w:p>
        </w:tc>
        <w:tc>
          <w:tcPr>
            <w:tcW w:w="742" w:type="pct"/>
            <w:tcBorders>
              <w:top w:val="nil"/>
              <w:left w:val="nil"/>
              <w:bottom w:val="nil"/>
              <w:right w:val="nil"/>
            </w:tcBorders>
            <w:shd w:val="clear" w:color="000000" w:fill="FFFFFF"/>
            <w:noWrap/>
            <w:vAlign w:val="center"/>
            <w:hideMark/>
          </w:tcPr>
          <w:p w14:paraId="4F3C0930" w14:textId="77777777" w:rsidR="00E95B61" w:rsidRPr="00D618B7" w:rsidRDefault="00E95B61" w:rsidP="004B11B7">
            <w:pPr>
              <w:jc w:val="right"/>
              <w:rPr>
                <w:color w:val="000000"/>
              </w:rPr>
            </w:pPr>
            <w:r w:rsidRPr="00D618B7">
              <w:rPr>
                <w:color w:val="000000"/>
              </w:rPr>
              <w:t>0.89</w:t>
            </w:r>
          </w:p>
        </w:tc>
        <w:tc>
          <w:tcPr>
            <w:tcW w:w="690" w:type="pct"/>
            <w:tcBorders>
              <w:top w:val="nil"/>
              <w:left w:val="nil"/>
              <w:bottom w:val="nil"/>
              <w:right w:val="nil"/>
            </w:tcBorders>
            <w:shd w:val="clear" w:color="000000" w:fill="FFFFFF"/>
            <w:noWrap/>
            <w:vAlign w:val="center"/>
            <w:hideMark/>
          </w:tcPr>
          <w:p w14:paraId="4D39639C" w14:textId="77777777" w:rsidR="00E95B61" w:rsidRPr="00D618B7" w:rsidRDefault="00E95B61" w:rsidP="004B11B7">
            <w:pPr>
              <w:jc w:val="right"/>
              <w:rPr>
                <w:color w:val="000000"/>
              </w:rPr>
            </w:pPr>
            <w:r w:rsidRPr="00D618B7">
              <w:rPr>
                <w:color w:val="000000"/>
              </w:rPr>
              <w:t>5.69</w:t>
            </w:r>
          </w:p>
        </w:tc>
        <w:tc>
          <w:tcPr>
            <w:tcW w:w="742" w:type="pct"/>
            <w:tcBorders>
              <w:top w:val="nil"/>
              <w:left w:val="nil"/>
              <w:bottom w:val="nil"/>
              <w:right w:val="nil"/>
            </w:tcBorders>
            <w:shd w:val="clear" w:color="000000" w:fill="FFFFFF"/>
            <w:noWrap/>
            <w:vAlign w:val="center"/>
            <w:hideMark/>
          </w:tcPr>
          <w:p w14:paraId="2DAF241A" w14:textId="77777777" w:rsidR="00E95B61" w:rsidRPr="00D618B7" w:rsidRDefault="00E95B61" w:rsidP="004B11B7">
            <w:pPr>
              <w:jc w:val="right"/>
              <w:rPr>
                <w:color w:val="000000"/>
              </w:rPr>
            </w:pPr>
            <w:r w:rsidRPr="00D618B7">
              <w:rPr>
                <w:color w:val="000000"/>
              </w:rPr>
              <w:t>1.03</w:t>
            </w:r>
          </w:p>
        </w:tc>
        <w:tc>
          <w:tcPr>
            <w:tcW w:w="690" w:type="pct"/>
            <w:tcBorders>
              <w:top w:val="nil"/>
              <w:left w:val="nil"/>
              <w:bottom w:val="nil"/>
              <w:right w:val="nil"/>
            </w:tcBorders>
            <w:shd w:val="clear" w:color="000000" w:fill="FFFFFF"/>
            <w:noWrap/>
            <w:vAlign w:val="center"/>
            <w:hideMark/>
          </w:tcPr>
          <w:p w14:paraId="3308B76A" w14:textId="77777777" w:rsidR="00E95B61" w:rsidRPr="00D618B7" w:rsidRDefault="00E95B61" w:rsidP="004B11B7">
            <w:pPr>
              <w:jc w:val="right"/>
              <w:rPr>
                <w:color w:val="000000"/>
              </w:rPr>
            </w:pPr>
            <w:r w:rsidRPr="00D618B7">
              <w:rPr>
                <w:color w:val="000000"/>
              </w:rPr>
              <w:t>6.27</w:t>
            </w:r>
          </w:p>
        </w:tc>
        <w:tc>
          <w:tcPr>
            <w:tcW w:w="744" w:type="pct"/>
            <w:tcBorders>
              <w:top w:val="nil"/>
              <w:left w:val="nil"/>
              <w:bottom w:val="nil"/>
              <w:right w:val="nil"/>
            </w:tcBorders>
            <w:shd w:val="clear" w:color="000000" w:fill="FFFFFF"/>
            <w:noWrap/>
            <w:vAlign w:val="center"/>
            <w:hideMark/>
          </w:tcPr>
          <w:p w14:paraId="7071194C" w14:textId="77777777" w:rsidR="00E95B61" w:rsidRPr="00D618B7" w:rsidRDefault="00E95B61" w:rsidP="004B11B7">
            <w:pPr>
              <w:jc w:val="right"/>
              <w:rPr>
                <w:color w:val="000000"/>
              </w:rPr>
            </w:pPr>
            <w:r w:rsidRPr="00D618B7">
              <w:rPr>
                <w:color w:val="000000"/>
              </w:rPr>
              <w:t>0.99</w:t>
            </w:r>
          </w:p>
        </w:tc>
      </w:tr>
      <w:tr w:rsidR="00E95B61" w:rsidRPr="00D618B7" w14:paraId="4BF84A8D" w14:textId="77777777" w:rsidTr="001A50DE">
        <w:trPr>
          <w:trHeight w:val="311"/>
        </w:trPr>
        <w:tc>
          <w:tcPr>
            <w:tcW w:w="702" w:type="pct"/>
            <w:tcBorders>
              <w:top w:val="nil"/>
              <w:left w:val="nil"/>
              <w:bottom w:val="nil"/>
              <w:right w:val="nil"/>
            </w:tcBorders>
            <w:shd w:val="clear" w:color="000000" w:fill="FFFFFF"/>
            <w:vAlign w:val="center"/>
            <w:hideMark/>
          </w:tcPr>
          <w:p w14:paraId="00B0D8AD" w14:textId="77777777" w:rsidR="00E95B61" w:rsidRPr="00D618B7" w:rsidRDefault="00E95B61" w:rsidP="004B11B7">
            <w:pPr>
              <w:jc w:val="center"/>
              <w:rPr>
                <w:color w:val="000000"/>
              </w:rPr>
            </w:pPr>
            <w:r w:rsidRPr="00D618B7">
              <w:rPr>
                <w:color w:val="000000"/>
              </w:rPr>
              <w:t>0</w:t>
            </w:r>
          </w:p>
        </w:tc>
        <w:tc>
          <w:tcPr>
            <w:tcW w:w="690" w:type="pct"/>
            <w:tcBorders>
              <w:top w:val="nil"/>
              <w:left w:val="nil"/>
              <w:bottom w:val="nil"/>
              <w:right w:val="nil"/>
            </w:tcBorders>
            <w:shd w:val="clear" w:color="000000" w:fill="FFFFFF"/>
            <w:noWrap/>
            <w:vAlign w:val="center"/>
            <w:hideMark/>
          </w:tcPr>
          <w:p w14:paraId="1B7516E7" w14:textId="77777777" w:rsidR="00E95B61" w:rsidRPr="00D618B7" w:rsidRDefault="00E95B61" w:rsidP="004B11B7">
            <w:pPr>
              <w:jc w:val="right"/>
              <w:rPr>
                <w:color w:val="000000"/>
              </w:rPr>
            </w:pPr>
            <w:r w:rsidRPr="00D618B7">
              <w:rPr>
                <w:color w:val="000000"/>
              </w:rPr>
              <w:t>7.59</w:t>
            </w:r>
          </w:p>
        </w:tc>
        <w:tc>
          <w:tcPr>
            <w:tcW w:w="742" w:type="pct"/>
            <w:tcBorders>
              <w:top w:val="nil"/>
              <w:left w:val="nil"/>
              <w:bottom w:val="nil"/>
              <w:right w:val="nil"/>
            </w:tcBorders>
            <w:shd w:val="clear" w:color="000000" w:fill="FFFFFF"/>
            <w:noWrap/>
            <w:vAlign w:val="center"/>
            <w:hideMark/>
          </w:tcPr>
          <w:p w14:paraId="75FC5C48" w14:textId="77777777" w:rsidR="00E95B61" w:rsidRPr="00D618B7" w:rsidRDefault="00E95B61" w:rsidP="004B11B7">
            <w:pPr>
              <w:jc w:val="right"/>
              <w:rPr>
                <w:color w:val="000000"/>
              </w:rPr>
            </w:pPr>
            <w:r w:rsidRPr="00D618B7">
              <w:rPr>
                <w:color w:val="000000"/>
              </w:rPr>
              <w:t>1.01</w:t>
            </w:r>
          </w:p>
        </w:tc>
        <w:tc>
          <w:tcPr>
            <w:tcW w:w="690" w:type="pct"/>
            <w:tcBorders>
              <w:top w:val="nil"/>
              <w:left w:val="nil"/>
              <w:bottom w:val="nil"/>
              <w:right w:val="nil"/>
            </w:tcBorders>
            <w:shd w:val="clear" w:color="000000" w:fill="FFFFFF"/>
            <w:noWrap/>
            <w:vAlign w:val="center"/>
            <w:hideMark/>
          </w:tcPr>
          <w:p w14:paraId="6D6D1C9E" w14:textId="77777777" w:rsidR="00E95B61" w:rsidRPr="00D618B7" w:rsidRDefault="00E95B61" w:rsidP="004B11B7">
            <w:pPr>
              <w:jc w:val="right"/>
              <w:rPr>
                <w:color w:val="000000"/>
              </w:rPr>
            </w:pPr>
            <w:r w:rsidRPr="00D618B7">
              <w:rPr>
                <w:color w:val="000000"/>
              </w:rPr>
              <w:t>7.80</w:t>
            </w:r>
          </w:p>
        </w:tc>
        <w:tc>
          <w:tcPr>
            <w:tcW w:w="742" w:type="pct"/>
            <w:tcBorders>
              <w:top w:val="nil"/>
              <w:left w:val="nil"/>
              <w:bottom w:val="nil"/>
              <w:right w:val="nil"/>
            </w:tcBorders>
            <w:shd w:val="clear" w:color="000000" w:fill="FFFFFF"/>
            <w:noWrap/>
            <w:vAlign w:val="center"/>
            <w:hideMark/>
          </w:tcPr>
          <w:p w14:paraId="0DEFD58F" w14:textId="77777777" w:rsidR="00E95B61" w:rsidRPr="00D618B7" w:rsidRDefault="00E95B61" w:rsidP="004B11B7">
            <w:pPr>
              <w:jc w:val="right"/>
              <w:rPr>
                <w:color w:val="000000"/>
              </w:rPr>
            </w:pPr>
            <w:r w:rsidRPr="00D618B7">
              <w:rPr>
                <w:color w:val="000000"/>
              </w:rPr>
              <w:t>1.81</w:t>
            </w:r>
          </w:p>
        </w:tc>
        <w:tc>
          <w:tcPr>
            <w:tcW w:w="690" w:type="pct"/>
            <w:tcBorders>
              <w:top w:val="nil"/>
              <w:left w:val="nil"/>
              <w:bottom w:val="nil"/>
              <w:right w:val="nil"/>
            </w:tcBorders>
            <w:shd w:val="clear" w:color="000000" w:fill="FFFFFF"/>
            <w:noWrap/>
            <w:vAlign w:val="center"/>
            <w:hideMark/>
          </w:tcPr>
          <w:p w14:paraId="44E081AD" w14:textId="77777777" w:rsidR="00E95B61" w:rsidRPr="00D618B7" w:rsidRDefault="00E95B61" w:rsidP="004B11B7">
            <w:pPr>
              <w:jc w:val="right"/>
              <w:rPr>
                <w:color w:val="000000"/>
              </w:rPr>
            </w:pPr>
            <w:r w:rsidRPr="00D618B7">
              <w:rPr>
                <w:color w:val="000000"/>
              </w:rPr>
              <w:t>8.11</w:t>
            </w:r>
          </w:p>
        </w:tc>
        <w:tc>
          <w:tcPr>
            <w:tcW w:w="744" w:type="pct"/>
            <w:tcBorders>
              <w:top w:val="nil"/>
              <w:left w:val="nil"/>
              <w:bottom w:val="nil"/>
              <w:right w:val="nil"/>
            </w:tcBorders>
            <w:shd w:val="clear" w:color="000000" w:fill="FFFFFF"/>
            <w:noWrap/>
            <w:vAlign w:val="center"/>
            <w:hideMark/>
          </w:tcPr>
          <w:p w14:paraId="73DBA28F" w14:textId="77777777" w:rsidR="00E95B61" w:rsidRPr="00D618B7" w:rsidRDefault="00E95B61" w:rsidP="004B11B7">
            <w:pPr>
              <w:jc w:val="right"/>
              <w:rPr>
                <w:color w:val="000000"/>
              </w:rPr>
            </w:pPr>
            <w:r w:rsidRPr="00D618B7">
              <w:rPr>
                <w:color w:val="000000"/>
              </w:rPr>
              <w:t>1.75</w:t>
            </w:r>
          </w:p>
        </w:tc>
      </w:tr>
      <w:tr w:rsidR="00E95B61" w:rsidRPr="00D618B7" w14:paraId="574C7367" w14:textId="77777777" w:rsidTr="001A50DE">
        <w:trPr>
          <w:trHeight w:val="311"/>
        </w:trPr>
        <w:tc>
          <w:tcPr>
            <w:tcW w:w="702" w:type="pct"/>
            <w:tcBorders>
              <w:top w:val="nil"/>
              <w:left w:val="nil"/>
              <w:bottom w:val="nil"/>
              <w:right w:val="nil"/>
            </w:tcBorders>
            <w:shd w:val="clear" w:color="000000" w:fill="FFFFFF"/>
            <w:vAlign w:val="center"/>
            <w:hideMark/>
          </w:tcPr>
          <w:p w14:paraId="0F50CDC8" w14:textId="77777777" w:rsidR="00E95B61" w:rsidRPr="00D618B7" w:rsidRDefault="00E95B61" w:rsidP="004B11B7">
            <w:pPr>
              <w:jc w:val="center"/>
              <w:rPr>
                <w:color w:val="000000"/>
              </w:rPr>
            </w:pPr>
            <w:r w:rsidRPr="00D618B7">
              <w:rPr>
                <w:color w:val="000000"/>
              </w:rPr>
              <w:t>1</w:t>
            </w:r>
          </w:p>
        </w:tc>
        <w:tc>
          <w:tcPr>
            <w:tcW w:w="690" w:type="pct"/>
            <w:tcBorders>
              <w:top w:val="nil"/>
              <w:left w:val="nil"/>
              <w:bottom w:val="nil"/>
              <w:right w:val="nil"/>
            </w:tcBorders>
            <w:shd w:val="clear" w:color="000000" w:fill="FFFFFF"/>
            <w:noWrap/>
            <w:vAlign w:val="center"/>
            <w:hideMark/>
          </w:tcPr>
          <w:p w14:paraId="29F31ADE" w14:textId="77777777" w:rsidR="00E95B61" w:rsidRPr="00D618B7" w:rsidRDefault="00E95B61" w:rsidP="004B11B7">
            <w:pPr>
              <w:jc w:val="right"/>
              <w:rPr>
                <w:color w:val="000000"/>
              </w:rPr>
            </w:pPr>
            <w:r w:rsidRPr="00D618B7">
              <w:rPr>
                <w:color w:val="000000"/>
              </w:rPr>
              <w:t>7.34</w:t>
            </w:r>
          </w:p>
        </w:tc>
        <w:tc>
          <w:tcPr>
            <w:tcW w:w="742" w:type="pct"/>
            <w:tcBorders>
              <w:top w:val="nil"/>
              <w:left w:val="nil"/>
              <w:bottom w:val="nil"/>
              <w:right w:val="nil"/>
            </w:tcBorders>
            <w:shd w:val="clear" w:color="000000" w:fill="FFFFFF"/>
            <w:noWrap/>
            <w:vAlign w:val="center"/>
            <w:hideMark/>
          </w:tcPr>
          <w:p w14:paraId="6E5A8CBD" w14:textId="77777777" w:rsidR="00E95B61" w:rsidRPr="00D618B7" w:rsidRDefault="00E95B61" w:rsidP="004B11B7">
            <w:pPr>
              <w:jc w:val="right"/>
              <w:rPr>
                <w:color w:val="000000"/>
              </w:rPr>
            </w:pPr>
            <w:r w:rsidRPr="00D618B7">
              <w:rPr>
                <w:color w:val="000000"/>
              </w:rPr>
              <w:t>0.90</w:t>
            </w:r>
          </w:p>
        </w:tc>
        <w:tc>
          <w:tcPr>
            <w:tcW w:w="690" w:type="pct"/>
            <w:tcBorders>
              <w:top w:val="nil"/>
              <w:left w:val="nil"/>
              <w:bottom w:val="nil"/>
              <w:right w:val="nil"/>
            </w:tcBorders>
            <w:shd w:val="clear" w:color="000000" w:fill="FFFFFF"/>
            <w:noWrap/>
            <w:vAlign w:val="center"/>
            <w:hideMark/>
          </w:tcPr>
          <w:p w14:paraId="22D6238D" w14:textId="77777777" w:rsidR="00E95B61" w:rsidRPr="00D618B7" w:rsidRDefault="00E95B61" w:rsidP="004B11B7">
            <w:pPr>
              <w:jc w:val="right"/>
              <w:rPr>
                <w:color w:val="000000"/>
              </w:rPr>
            </w:pPr>
            <w:r w:rsidRPr="00D618B7">
              <w:rPr>
                <w:color w:val="000000"/>
              </w:rPr>
              <w:t>5.85</w:t>
            </w:r>
          </w:p>
        </w:tc>
        <w:tc>
          <w:tcPr>
            <w:tcW w:w="742" w:type="pct"/>
            <w:tcBorders>
              <w:top w:val="nil"/>
              <w:left w:val="nil"/>
              <w:bottom w:val="nil"/>
              <w:right w:val="nil"/>
            </w:tcBorders>
            <w:shd w:val="clear" w:color="000000" w:fill="FFFFFF"/>
            <w:noWrap/>
            <w:vAlign w:val="center"/>
            <w:hideMark/>
          </w:tcPr>
          <w:p w14:paraId="0C1E997D" w14:textId="77777777" w:rsidR="00E95B61" w:rsidRPr="00D618B7" w:rsidRDefault="00E95B61" w:rsidP="004B11B7">
            <w:pPr>
              <w:jc w:val="right"/>
              <w:rPr>
                <w:color w:val="000000"/>
              </w:rPr>
            </w:pPr>
            <w:r w:rsidRPr="00D618B7">
              <w:rPr>
                <w:color w:val="000000"/>
              </w:rPr>
              <w:t>0.50</w:t>
            </w:r>
          </w:p>
        </w:tc>
        <w:tc>
          <w:tcPr>
            <w:tcW w:w="690" w:type="pct"/>
            <w:tcBorders>
              <w:top w:val="nil"/>
              <w:left w:val="nil"/>
              <w:bottom w:val="nil"/>
              <w:right w:val="nil"/>
            </w:tcBorders>
            <w:shd w:val="clear" w:color="000000" w:fill="FFFFFF"/>
            <w:noWrap/>
            <w:vAlign w:val="center"/>
            <w:hideMark/>
          </w:tcPr>
          <w:p w14:paraId="0CF30BE8" w14:textId="77777777" w:rsidR="00E95B61" w:rsidRPr="00D618B7" w:rsidRDefault="00E95B61" w:rsidP="004B11B7">
            <w:pPr>
              <w:jc w:val="right"/>
              <w:rPr>
                <w:color w:val="000000"/>
              </w:rPr>
            </w:pPr>
            <w:r w:rsidRPr="00D618B7">
              <w:rPr>
                <w:color w:val="000000"/>
              </w:rPr>
              <w:t>7.07</w:t>
            </w:r>
          </w:p>
        </w:tc>
        <w:tc>
          <w:tcPr>
            <w:tcW w:w="744" w:type="pct"/>
            <w:tcBorders>
              <w:top w:val="nil"/>
              <w:left w:val="nil"/>
              <w:bottom w:val="nil"/>
              <w:right w:val="nil"/>
            </w:tcBorders>
            <w:shd w:val="clear" w:color="000000" w:fill="FFFFFF"/>
            <w:noWrap/>
            <w:vAlign w:val="center"/>
            <w:hideMark/>
          </w:tcPr>
          <w:p w14:paraId="631C7F4C" w14:textId="77777777" w:rsidR="00E95B61" w:rsidRPr="00D618B7" w:rsidRDefault="00E95B61" w:rsidP="004B11B7">
            <w:pPr>
              <w:jc w:val="right"/>
              <w:rPr>
                <w:color w:val="000000"/>
              </w:rPr>
            </w:pPr>
            <w:r w:rsidRPr="00D618B7">
              <w:rPr>
                <w:color w:val="000000"/>
              </w:rPr>
              <w:t>0.41</w:t>
            </w:r>
          </w:p>
        </w:tc>
      </w:tr>
      <w:tr w:rsidR="00E95B61" w:rsidRPr="00D618B7" w14:paraId="55DF66F8" w14:textId="77777777" w:rsidTr="001A50DE">
        <w:trPr>
          <w:trHeight w:val="311"/>
        </w:trPr>
        <w:tc>
          <w:tcPr>
            <w:tcW w:w="702" w:type="pct"/>
            <w:tcBorders>
              <w:top w:val="nil"/>
              <w:left w:val="nil"/>
              <w:bottom w:val="nil"/>
              <w:right w:val="nil"/>
            </w:tcBorders>
            <w:shd w:val="clear" w:color="000000" w:fill="FFFFFF"/>
            <w:vAlign w:val="center"/>
            <w:hideMark/>
          </w:tcPr>
          <w:p w14:paraId="2AF42CBB" w14:textId="77777777" w:rsidR="00E95B61" w:rsidRPr="00D618B7" w:rsidRDefault="00E95B61" w:rsidP="004B11B7">
            <w:pPr>
              <w:jc w:val="center"/>
              <w:rPr>
                <w:color w:val="000000"/>
              </w:rPr>
            </w:pPr>
            <w:r w:rsidRPr="00D618B7">
              <w:rPr>
                <w:color w:val="000000"/>
              </w:rPr>
              <w:t>2</w:t>
            </w:r>
          </w:p>
        </w:tc>
        <w:tc>
          <w:tcPr>
            <w:tcW w:w="690" w:type="pct"/>
            <w:tcBorders>
              <w:top w:val="nil"/>
              <w:left w:val="nil"/>
              <w:bottom w:val="nil"/>
              <w:right w:val="nil"/>
            </w:tcBorders>
            <w:shd w:val="clear" w:color="000000" w:fill="FFFFFF"/>
            <w:noWrap/>
            <w:vAlign w:val="center"/>
            <w:hideMark/>
          </w:tcPr>
          <w:p w14:paraId="7464D480" w14:textId="77777777" w:rsidR="00E95B61" w:rsidRPr="00D618B7" w:rsidRDefault="00E95B61" w:rsidP="004B11B7">
            <w:pPr>
              <w:jc w:val="right"/>
              <w:rPr>
                <w:color w:val="000000"/>
              </w:rPr>
            </w:pPr>
            <w:r w:rsidRPr="00D618B7">
              <w:rPr>
                <w:color w:val="000000"/>
              </w:rPr>
              <w:t>10.47</w:t>
            </w:r>
          </w:p>
        </w:tc>
        <w:tc>
          <w:tcPr>
            <w:tcW w:w="742" w:type="pct"/>
            <w:tcBorders>
              <w:top w:val="nil"/>
              <w:left w:val="nil"/>
              <w:bottom w:val="nil"/>
              <w:right w:val="nil"/>
            </w:tcBorders>
            <w:shd w:val="clear" w:color="000000" w:fill="FFFFFF"/>
            <w:noWrap/>
            <w:vAlign w:val="center"/>
            <w:hideMark/>
          </w:tcPr>
          <w:p w14:paraId="5B393925" w14:textId="77777777" w:rsidR="00E95B61" w:rsidRPr="00D618B7" w:rsidRDefault="00E95B61" w:rsidP="004B11B7">
            <w:pPr>
              <w:jc w:val="right"/>
              <w:rPr>
                <w:color w:val="000000"/>
              </w:rPr>
            </w:pPr>
            <w:r w:rsidRPr="00D618B7">
              <w:rPr>
                <w:color w:val="000000"/>
              </w:rPr>
              <w:t>2.22</w:t>
            </w:r>
          </w:p>
        </w:tc>
        <w:tc>
          <w:tcPr>
            <w:tcW w:w="690" w:type="pct"/>
            <w:tcBorders>
              <w:top w:val="nil"/>
              <w:left w:val="nil"/>
              <w:bottom w:val="nil"/>
              <w:right w:val="nil"/>
            </w:tcBorders>
            <w:shd w:val="clear" w:color="000000" w:fill="FFFFFF"/>
            <w:noWrap/>
            <w:vAlign w:val="center"/>
            <w:hideMark/>
          </w:tcPr>
          <w:p w14:paraId="3D522A04" w14:textId="77777777" w:rsidR="00E95B61" w:rsidRPr="00D618B7" w:rsidRDefault="00E95B61" w:rsidP="004B11B7">
            <w:pPr>
              <w:jc w:val="right"/>
              <w:rPr>
                <w:color w:val="000000"/>
              </w:rPr>
            </w:pPr>
            <w:r w:rsidRPr="00D618B7">
              <w:rPr>
                <w:color w:val="000000"/>
              </w:rPr>
              <w:t>8.52</w:t>
            </w:r>
          </w:p>
        </w:tc>
        <w:tc>
          <w:tcPr>
            <w:tcW w:w="742" w:type="pct"/>
            <w:tcBorders>
              <w:top w:val="nil"/>
              <w:left w:val="nil"/>
              <w:bottom w:val="nil"/>
              <w:right w:val="nil"/>
            </w:tcBorders>
            <w:shd w:val="clear" w:color="000000" w:fill="FFFFFF"/>
            <w:noWrap/>
            <w:vAlign w:val="center"/>
            <w:hideMark/>
          </w:tcPr>
          <w:p w14:paraId="1422B2AC" w14:textId="77777777" w:rsidR="00E95B61" w:rsidRPr="00D618B7" w:rsidRDefault="00E95B61" w:rsidP="004B11B7">
            <w:pPr>
              <w:jc w:val="right"/>
              <w:rPr>
                <w:color w:val="000000"/>
              </w:rPr>
            </w:pPr>
            <w:r w:rsidRPr="00D618B7">
              <w:rPr>
                <w:color w:val="000000"/>
              </w:rPr>
              <w:t>1.72</w:t>
            </w:r>
          </w:p>
        </w:tc>
        <w:tc>
          <w:tcPr>
            <w:tcW w:w="690" w:type="pct"/>
            <w:tcBorders>
              <w:top w:val="nil"/>
              <w:left w:val="nil"/>
              <w:bottom w:val="nil"/>
              <w:right w:val="nil"/>
            </w:tcBorders>
            <w:shd w:val="clear" w:color="000000" w:fill="FFFFFF"/>
            <w:noWrap/>
            <w:vAlign w:val="center"/>
            <w:hideMark/>
          </w:tcPr>
          <w:p w14:paraId="122D3473" w14:textId="77777777" w:rsidR="00E95B61" w:rsidRPr="00D618B7" w:rsidRDefault="00E95B61" w:rsidP="004B11B7">
            <w:pPr>
              <w:jc w:val="right"/>
              <w:rPr>
                <w:color w:val="000000"/>
              </w:rPr>
            </w:pPr>
            <w:r w:rsidRPr="00D618B7">
              <w:rPr>
                <w:color w:val="000000"/>
              </w:rPr>
              <w:t>7.87</w:t>
            </w:r>
          </w:p>
        </w:tc>
        <w:tc>
          <w:tcPr>
            <w:tcW w:w="744" w:type="pct"/>
            <w:tcBorders>
              <w:top w:val="nil"/>
              <w:left w:val="nil"/>
              <w:bottom w:val="nil"/>
              <w:right w:val="nil"/>
            </w:tcBorders>
            <w:shd w:val="clear" w:color="000000" w:fill="FFFFFF"/>
            <w:noWrap/>
            <w:vAlign w:val="center"/>
            <w:hideMark/>
          </w:tcPr>
          <w:p w14:paraId="6B41C996" w14:textId="77777777" w:rsidR="00E95B61" w:rsidRPr="00D618B7" w:rsidRDefault="00E95B61" w:rsidP="004B11B7">
            <w:pPr>
              <w:jc w:val="right"/>
              <w:rPr>
                <w:color w:val="000000"/>
              </w:rPr>
            </w:pPr>
            <w:r w:rsidRPr="00D618B7">
              <w:rPr>
                <w:color w:val="000000"/>
              </w:rPr>
              <w:t>0.40</w:t>
            </w:r>
          </w:p>
        </w:tc>
      </w:tr>
      <w:tr w:rsidR="00E95B61" w:rsidRPr="00D618B7" w14:paraId="5989B715" w14:textId="77777777" w:rsidTr="001A50DE">
        <w:trPr>
          <w:trHeight w:val="311"/>
        </w:trPr>
        <w:tc>
          <w:tcPr>
            <w:tcW w:w="702" w:type="pct"/>
            <w:tcBorders>
              <w:top w:val="nil"/>
              <w:left w:val="nil"/>
              <w:bottom w:val="nil"/>
              <w:right w:val="nil"/>
            </w:tcBorders>
            <w:shd w:val="clear" w:color="000000" w:fill="FFFFFF"/>
            <w:vAlign w:val="center"/>
            <w:hideMark/>
          </w:tcPr>
          <w:p w14:paraId="767E0C16" w14:textId="77777777" w:rsidR="00E95B61" w:rsidRPr="00D618B7" w:rsidRDefault="00E95B61" w:rsidP="004B11B7">
            <w:pPr>
              <w:jc w:val="center"/>
              <w:rPr>
                <w:color w:val="000000"/>
              </w:rPr>
            </w:pPr>
            <w:r w:rsidRPr="00D618B7">
              <w:rPr>
                <w:color w:val="000000"/>
              </w:rPr>
              <w:t>3</w:t>
            </w:r>
          </w:p>
        </w:tc>
        <w:tc>
          <w:tcPr>
            <w:tcW w:w="690" w:type="pct"/>
            <w:tcBorders>
              <w:top w:val="nil"/>
              <w:left w:val="nil"/>
              <w:bottom w:val="nil"/>
              <w:right w:val="nil"/>
            </w:tcBorders>
            <w:shd w:val="clear" w:color="000000" w:fill="FFFFFF"/>
            <w:noWrap/>
            <w:vAlign w:val="center"/>
            <w:hideMark/>
          </w:tcPr>
          <w:p w14:paraId="5CA29995" w14:textId="77777777" w:rsidR="00E95B61" w:rsidRPr="00D618B7" w:rsidRDefault="00E95B61" w:rsidP="004B11B7">
            <w:pPr>
              <w:jc w:val="right"/>
              <w:rPr>
                <w:color w:val="000000"/>
              </w:rPr>
            </w:pPr>
            <w:r w:rsidRPr="00D618B7">
              <w:rPr>
                <w:color w:val="000000"/>
              </w:rPr>
              <w:t>6.91</w:t>
            </w:r>
          </w:p>
        </w:tc>
        <w:tc>
          <w:tcPr>
            <w:tcW w:w="742" w:type="pct"/>
            <w:tcBorders>
              <w:top w:val="nil"/>
              <w:left w:val="nil"/>
              <w:bottom w:val="nil"/>
              <w:right w:val="nil"/>
            </w:tcBorders>
            <w:shd w:val="clear" w:color="000000" w:fill="FFFFFF"/>
            <w:noWrap/>
            <w:vAlign w:val="center"/>
            <w:hideMark/>
          </w:tcPr>
          <w:p w14:paraId="64EAD10D" w14:textId="77777777" w:rsidR="00E95B61" w:rsidRPr="00D618B7" w:rsidRDefault="00E95B61" w:rsidP="004B11B7">
            <w:pPr>
              <w:jc w:val="right"/>
              <w:rPr>
                <w:color w:val="000000"/>
              </w:rPr>
            </w:pPr>
            <w:r w:rsidRPr="00D618B7">
              <w:rPr>
                <w:color w:val="000000"/>
              </w:rPr>
              <w:t>1.45</w:t>
            </w:r>
          </w:p>
        </w:tc>
        <w:tc>
          <w:tcPr>
            <w:tcW w:w="690" w:type="pct"/>
            <w:tcBorders>
              <w:top w:val="nil"/>
              <w:left w:val="nil"/>
              <w:bottom w:val="nil"/>
              <w:right w:val="nil"/>
            </w:tcBorders>
            <w:shd w:val="clear" w:color="000000" w:fill="FFFFFF"/>
            <w:noWrap/>
            <w:vAlign w:val="center"/>
            <w:hideMark/>
          </w:tcPr>
          <w:p w14:paraId="1F62DD74" w14:textId="77777777" w:rsidR="00E95B61" w:rsidRPr="00D618B7" w:rsidRDefault="00E95B61" w:rsidP="004B11B7">
            <w:pPr>
              <w:jc w:val="right"/>
              <w:rPr>
                <w:color w:val="000000"/>
              </w:rPr>
            </w:pPr>
            <w:r w:rsidRPr="00D618B7">
              <w:rPr>
                <w:color w:val="000000"/>
              </w:rPr>
              <w:t>7.05</w:t>
            </w:r>
          </w:p>
        </w:tc>
        <w:tc>
          <w:tcPr>
            <w:tcW w:w="742" w:type="pct"/>
            <w:tcBorders>
              <w:top w:val="nil"/>
              <w:left w:val="nil"/>
              <w:bottom w:val="nil"/>
              <w:right w:val="nil"/>
            </w:tcBorders>
            <w:shd w:val="clear" w:color="000000" w:fill="FFFFFF"/>
            <w:noWrap/>
            <w:vAlign w:val="center"/>
            <w:hideMark/>
          </w:tcPr>
          <w:p w14:paraId="2ED67D0A" w14:textId="77777777" w:rsidR="00E95B61" w:rsidRPr="00D618B7" w:rsidRDefault="00E95B61" w:rsidP="004B11B7">
            <w:pPr>
              <w:jc w:val="right"/>
              <w:rPr>
                <w:color w:val="000000"/>
              </w:rPr>
            </w:pPr>
            <w:r w:rsidRPr="00D618B7">
              <w:rPr>
                <w:color w:val="000000"/>
              </w:rPr>
              <w:t>0.46</w:t>
            </w:r>
          </w:p>
        </w:tc>
        <w:tc>
          <w:tcPr>
            <w:tcW w:w="690" w:type="pct"/>
            <w:tcBorders>
              <w:top w:val="nil"/>
              <w:left w:val="nil"/>
              <w:bottom w:val="nil"/>
              <w:right w:val="nil"/>
            </w:tcBorders>
            <w:shd w:val="clear" w:color="000000" w:fill="FFFFFF"/>
            <w:noWrap/>
            <w:vAlign w:val="center"/>
            <w:hideMark/>
          </w:tcPr>
          <w:p w14:paraId="7587B090" w14:textId="77777777" w:rsidR="00E95B61" w:rsidRPr="00D618B7" w:rsidRDefault="00E95B61" w:rsidP="004B11B7">
            <w:pPr>
              <w:jc w:val="right"/>
              <w:rPr>
                <w:color w:val="000000"/>
              </w:rPr>
            </w:pPr>
            <w:r w:rsidRPr="00D618B7">
              <w:rPr>
                <w:color w:val="000000"/>
              </w:rPr>
              <w:t>6.09</w:t>
            </w:r>
          </w:p>
        </w:tc>
        <w:tc>
          <w:tcPr>
            <w:tcW w:w="744" w:type="pct"/>
            <w:tcBorders>
              <w:top w:val="nil"/>
              <w:left w:val="nil"/>
              <w:bottom w:val="nil"/>
              <w:right w:val="nil"/>
            </w:tcBorders>
            <w:shd w:val="clear" w:color="000000" w:fill="FFFFFF"/>
            <w:noWrap/>
            <w:vAlign w:val="center"/>
            <w:hideMark/>
          </w:tcPr>
          <w:p w14:paraId="718D6C89" w14:textId="77777777" w:rsidR="00E95B61" w:rsidRPr="00D618B7" w:rsidRDefault="00E95B61" w:rsidP="004B11B7">
            <w:pPr>
              <w:jc w:val="right"/>
              <w:rPr>
                <w:color w:val="000000"/>
              </w:rPr>
            </w:pPr>
            <w:r w:rsidRPr="00D618B7">
              <w:rPr>
                <w:color w:val="000000"/>
              </w:rPr>
              <w:t>0.35</w:t>
            </w:r>
          </w:p>
        </w:tc>
      </w:tr>
      <w:tr w:rsidR="00E95B61" w:rsidRPr="00D618B7" w14:paraId="303F63B8" w14:textId="77777777" w:rsidTr="001A50DE">
        <w:trPr>
          <w:trHeight w:val="311"/>
        </w:trPr>
        <w:tc>
          <w:tcPr>
            <w:tcW w:w="702" w:type="pct"/>
            <w:tcBorders>
              <w:top w:val="nil"/>
              <w:left w:val="nil"/>
              <w:bottom w:val="nil"/>
              <w:right w:val="nil"/>
            </w:tcBorders>
            <w:shd w:val="clear" w:color="000000" w:fill="FFFFFF"/>
            <w:vAlign w:val="center"/>
            <w:hideMark/>
          </w:tcPr>
          <w:p w14:paraId="13418F73" w14:textId="77777777" w:rsidR="00E95B61" w:rsidRPr="00D618B7" w:rsidRDefault="00E95B61" w:rsidP="004B11B7">
            <w:pPr>
              <w:jc w:val="center"/>
              <w:rPr>
                <w:color w:val="000000"/>
              </w:rPr>
            </w:pPr>
            <w:r w:rsidRPr="00D618B7">
              <w:rPr>
                <w:color w:val="000000"/>
              </w:rPr>
              <w:t>4</w:t>
            </w:r>
          </w:p>
        </w:tc>
        <w:tc>
          <w:tcPr>
            <w:tcW w:w="690" w:type="pct"/>
            <w:tcBorders>
              <w:top w:val="nil"/>
              <w:left w:val="nil"/>
              <w:bottom w:val="nil"/>
              <w:right w:val="nil"/>
            </w:tcBorders>
            <w:shd w:val="clear" w:color="000000" w:fill="FFFFFF"/>
            <w:noWrap/>
            <w:vAlign w:val="center"/>
            <w:hideMark/>
          </w:tcPr>
          <w:p w14:paraId="5528FB0E" w14:textId="77777777" w:rsidR="00E95B61" w:rsidRPr="00D618B7" w:rsidRDefault="00E95B61" w:rsidP="004B11B7">
            <w:pPr>
              <w:jc w:val="right"/>
              <w:rPr>
                <w:color w:val="000000"/>
              </w:rPr>
            </w:pPr>
            <w:r w:rsidRPr="00D618B7">
              <w:rPr>
                <w:color w:val="000000"/>
              </w:rPr>
              <w:t>7.54</w:t>
            </w:r>
          </w:p>
        </w:tc>
        <w:tc>
          <w:tcPr>
            <w:tcW w:w="742" w:type="pct"/>
            <w:tcBorders>
              <w:top w:val="nil"/>
              <w:left w:val="nil"/>
              <w:bottom w:val="nil"/>
              <w:right w:val="nil"/>
            </w:tcBorders>
            <w:shd w:val="clear" w:color="000000" w:fill="FFFFFF"/>
            <w:noWrap/>
            <w:vAlign w:val="center"/>
            <w:hideMark/>
          </w:tcPr>
          <w:p w14:paraId="20341E7B" w14:textId="77777777" w:rsidR="00E95B61" w:rsidRPr="00D618B7" w:rsidRDefault="00E95B61" w:rsidP="004B11B7">
            <w:pPr>
              <w:jc w:val="right"/>
              <w:rPr>
                <w:color w:val="000000"/>
              </w:rPr>
            </w:pPr>
            <w:r w:rsidRPr="00D618B7">
              <w:rPr>
                <w:color w:val="000000"/>
              </w:rPr>
              <w:t>1.02</w:t>
            </w:r>
          </w:p>
        </w:tc>
        <w:tc>
          <w:tcPr>
            <w:tcW w:w="690" w:type="pct"/>
            <w:tcBorders>
              <w:top w:val="nil"/>
              <w:left w:val="nil"/>
              <w:bottom w:val="nil"/>
              <w:right w:val="nil"/>
            </w:tcBorders>
            <w:shd w:val="clear" w:color="000000" w:fill="FFFFFF"/>
            <w:noWrap/>
            <w:vAlign w:val="center"/>
            <w:hideMark/>
          </w:tcPr>
          <w:p w14:paraId="0A8218B9" w14:textId="77777777" w:rsidR="00E95B61" w:rsidRPr="00D618B7" w:rsidRDefault="00E95B61" w:rsidP="004B11B7">
            <w:pPr>
              <w:jc w:val="right"/>
              <w:rPr>
                <w:color w:val="000000"/>
              </w:rPr>
            </w:pPr>
            <w:r w:rsidRPr="00D618B7">
              <w:rPr>
                <w:color w:val="000000"/>
              </w:rPr>
              <w:t>8.06</w:t>
            </w:r>
          </w:p>
        </w:tc>
        <w:tc>
          <w:tcPr>
            <w:tcW w:w="742" w:type="pct"/>
            <w:tcBorders>
              <w:top w:val="nil"/>
              <w:left w:val="nil"/>
              <w:bottom w:val="nil"/>
              <w:right w:val="nil"/>
            </w:tcBorders>
            <w:shd w:val="clear" w:color="000000" w:fill="FFFFFF"/>
            <w:noWrap/>
            <w:vAlign w:val="center"/>
            <w:hideMark/>
          </w:tcPr>
          <w:p w14:paraId="3BFB21FC" w14:textId="77777777" w:rsidR="00E95B61" w:rsidRPr="00D618B7" w:rsidRDefault="00E95B61" w:rsidP="004B11B7">
            <w:pPr>
              <w:jc w:val="right"/>
              <w:rPr>
                <w:color w:val="000000"/>
              </w:rPr>
            </w:pPr>
            <w:r w:rsidRPr="00D618B7">
              <w:rPr>
                <w:color w:val="000000"/>
              </w:rPr>
              <w:t>0.89</w:t>
            </w:r>
          </w:p>
        </w:tc>
        <w:tc>
          <w:tcPr>
            <w:tcW w:w="690" w:type="pct"/>
            <w:tcBorders>
              <w:top w:val="nil"/>
              <w:left w:val="nil"/>
              <w:bottom w:val="nil"/>
              <w:right w:val="nil"/>
            </w:tcBorders>
            <w:shd w:val="clear" w:color="000000" w:fill="FFFFFF"/>
            <w:noWrap/>
            <w:vAlign w:val="center"/>
            <w:hideMark/>
          </w:tcPr>
          <w:p w14:paraId="2C53A3E7" w14:textId="77777777" w:rsidR="00E95B61" w:rsidRPr="00D618B7" w:rsidRDefault="00E95B61" w:rsidP="004B11B7">
            <w:pPr>
              <w:jc w:val="right"/>
              <w:rPr>
                <w:color w:val="000000"/>
              </w:rPr>
            </w:pPr>
            <w:r w:rsidRPr="00D618B7">
              <w:rPr>
                <w:color w:val="000000"/>
              </w:rPr>
              <w:t>5.96</w:t>
            </w:r>
          </w:p>
        </w:tc>
        <w:tc>
          <w:tcPr>
            <w:tcW w:w="744" w:type="pct"/>
            <w:tcBorders>
              <w:top w:val="nil"/>
              <w:left w:val="nil"/>
              <w:bottom w:val="nil"/>
              <w:right w:val="nil"/>
            </w:tcBorders>
            <w:shd w:val="clear" w:color="000000" w:fill="FFFFFF"/>
            <w:noWrap/>
            <w:vAlign w:val="center"/>
            <w:hideMark/>
          </w:tcPr>
          <w:p w14:paraId="1FC3A937" w14:textId="77777777" w:rsidR="00E95B61" w:rsidRPr="00D618B7" w:rsidRDefault="00E95B61" w:rsidP="004B11B7">
            <w:pPr>
              <w:jc w:val="right"/>
              <w:rPr>
                <w:color w:val="000000"/>
              </w:rPr>
            </w:pPr>
            <w:r w:rsidRPr="00D618B7">
              <w:rPr>
                <w:color w:val="000000"/>
              </w:rPr>
              <w:t>0.36</w:t>
            </w:r>
          </w:p>
        </w:tc>
      </w:tr>
      <w:tr w:rsidR="00E95B61" w:rsidRPr="00D618B7" w14:paraId="48BABE39" w14:textId="77777777" w:rsidTr="001A50DE">
        <w:trPr>
          <w:trHeight w:val="326"/>
        </w:trPr>
        <w:tc>
          <w:tcPr>
            <w:tcW w:w="702" w:type="pct"/>
            <w:tcBorders>
              <w:top w:val="nil"/>
              <w:left w:val="nil"/>
              <w:bottom w:val="single" w:sz="8" w:space="0" w:color="auto"/>
              <w:right w:val="nil"/>
            </w:tcBorders>
            <w:shd w:val="clear" w:color="000000" w:fill="FFFFFF"/>
            <w:vAlign w:val="center"/>
            <w:hideMark/>
          </w:tcPr>
          <w:p w14:paraId="0AE1614A" w14:textId="77777777" w:rsidR="00E95B61" w:rsidRPr="00D618B7" w:rsidRDefault="00E95B61" w:rsidP="004B11B7">
            <w:pPr>
              <w:jc w:val="center"/>
              <w:rPr>
                <w:color w:val="000000"/>
              </w:rPr>
            </w:pPr>
            <w:r w:rsidRPr="00D618B7">
              <w:rPr>
                <w:color w:val="000000"/>
              </w:rPr>
              <w:t>5</w:t>
            </w:r>
          </w:p>
        </w:tc>
        <w:tc>
          <w:tcPr>
            <w:tcW w:w="690" w:type="pct"/>
            <w:tcBorders>
              <w:top w:val="nil"/>
              <w:left w:val="nil"/>
              <w:bottom w:val="single" w:sz="8" w:space="0" w:color="auto"/>
              <w:right w:val="nil"/>
            </w:tcBorders>
            <w:shd w:val="clear" w:color="000000" w:fill="FFFFFF"/>
            <w:noWrap/>
            <w:vAlign w:val="center"/>
            <w:hideMark/>
          </w:tcPr>
          <w:p w14:paraId="035E0663" w14:textId="77777777" w:rsidR="00E95B61" w:rsidRPr="00D618B7" w:rsidRDefault="00E95B61" w:rsidP="004B11B7">
            <w:pPr>
              <w:jc w:val="right"/>
              <w:rPr>
                <w:color w:val="000000"/>
              </w:rPr>
            </w:pPr>
            <w:r w:rsidRPr="00D618B7">
              <w:rPr>
                <w:color w:val="000000"/>
              </w:rPr>
              <w:t>9.27</w:t>
            </w:r>
          </w:p>
        </w:tc>
        <w:tc>
          <w:tcPr>
            <w:tcW w:w="742" w:type="pct"/>
            <w:tcBorders>
              <w:top w:val="nil"/>
              <w:left w:val="nil"/>
              <w:bottom w:val="single" w:sz="8" w:space="0" w:color="auto"/>
              <w:right w:val="nil"/>
            </w:tcBorders>
            <w:shd w:val="clear" w:color="000000" w:fill="FFFFFF"/>
            <w:noWrap/>
            <w:vAlign w:val="center"/>
            <w:hideMark/>
          </w:tcPr>
          <w:p w14:paraId="4927C7C6" w14:textId="77777777" w:rsidR="00E95B61" w:rsidRPr="00D618B7" w:rsidRDefault="00E95B61" w:rsidP="004B11B7">
            <w:pPr>
              <w:jc w:val="right"/>
              <w:rPr>
                <w:color w:val="000000"/>
              </w:rPr>
            </w:pPr>
            <w:r w:rsidRPr="00D618B7">
              <w:rPr>
                <w:color w:val="000000"/>
              </w:rPr>
              <w:t>2.05</w:t>
            </w:r>
          </w:p>
        </w:tc>
        <w:tc>
          <w:tcPr>
            <w:tcW w:w="690" w:type="pct"/>
            <w:tcBorders>
              <w:top w:val="nil"/>
              <w:left w:val="nil"/>
              <w:bottom w:val="single" w:sz="8" w:space="0" w:color="auto"/>
              <w:right w:val="nil"/>
            </w:tcBorders>
            <w:shd w:val="clear" w:color="000000" w:fill="FFFFFF"/>
            <w:noWrap/>
            <w:vAlign w:val="center"/>
            <w:hideMark/>
          </w:tcPr>
          <w:p w14:paraId="1627DF88" w14:textId="77777777" w:rsidR="00E95B61" w:rsidRPr="00D618B7" w:rsidRDefault="00E95B61" w:rsidP="004B11B7">
            <w:pPr>
              <w:jc w:val="right"/>
              <w:rPr>
                <w:color w:val="000000"/>
              </w:rPr>
            </w:pPr>
            <w:r w:rsidRPr="00D618B7">
              <w:rPr>
                <w:color w:val="000000"/>
              </w:rPr>
              <w:t>10.53</w:t>
            </w:r>
          </w:p>
        </w:tc>
        <w:tc>
          <w:tcPr>
            <w:tcW w:w="742" w:type="pct"/>
            <w:tcBorders>
              <w:top w:val="nil"/>
              <w:left w:val="nil"/>
              <w:bottom w:val="single" w:sz="8" w:space="0" w:color="auto"/>
              <w:right w:val="nil"/>
            </w:tcBorders>
            <w:shd w:val="clear" w:color="000000" w:fill="FFFFFF"/>
            <w:noWrap/>
            <w:vAlign w:val="center"/>
            <w:hideMark/>
          </w:tcPr>
          <w:p w14:paraId="12B72DC4" w14:textId="77777777" w:rsidR="00E95B61" w:rsidRPr="00D618B7" w:rsidRDefault="00E95B61" w:rsidP="004B11B7">
            <w:pPr>
              <w:jc w:val="right"/>
              <w:rPr>
                <w:color w:val="000000"/>
              </w:rPr>
            </w:pPr>
            <w:r w:rsidRPr="00D618B7">
              <w:rPr>
                <w:color w:val="000000"/>
              </w:rPr>
              <w:t>1.38</w:t>
            </w:r>
          </w:p>
        </w:tc>
        <w:tc>
          <w:tcPr>
            <w:tcW w:w="690" w:type="pct"/>
            <w:tcBorders>
              <w:top w:val="nil"/>
              <w:left w:val="nil"/>
              <w:bottom w:val="single" w:sz="8" w:space="0" w:color="auto"/>
              <w:right w:val="nil"/>
            </w:tcBorders>
            <w:shd w:val="clear" w:color="000000" w:fill="FFFFFF"/>
            <w:noWrap/>
            <w:vAlign w:val="center"/>
            <w:hideMark/>
          </w:tcPr>
          <w:p w14:paraId="18636503" w14:textId="77777777" w:rsidR="00E95B61" w:rsidRPr="00D618B7" w:rsidRDefault="00E95B61" w:rsidP="004B11B7">
            <w:pPr>
              <w:jc w:val="right"/>
              <w:rPr>
                <w:color w:val="000000"/>
              </w:rPr>
            </w:pPr>
            <w:r w:rsidRPr="00D618B7">
              <w:rPr>
                <w:color w:val="000000"/>
              </w:rPr>
              <w:t>6.68</w:t>
            </w:r>
          </w:p>
        </w:tc>
        <w:tc>
          <w:tcPr>
            <w:tcW w:w="744" w:type="pct"/>
            <w:tcBorders>
              <w:top w:val="nil"/>
              <w:left w:val="nil"/>
              <w:bottom w:val="single" w:sz="8" w:space="0" w:color="auto"/>
              <w:right w:val="nil"/>
            </w:tcBorders>
            <w:shd w:val="clear" w:color="000000" w:fill="FFFFFF"/>
            <w:noWrap/>
            <w:vAlign w:val="center"/>
            <w:hideMark/>
          </w:tcPr>
          <w:p w14:paraId="3826EF65" w14:textId="77777777" w:rsidR="00E95B61" w:rsidRPr="00D618B7" w:rsidRDefault="00E95B61" w:rsidP="004B11B7">
            <w:pPr>
              <w:jc w:val="right"/>
              <w:rPr>
                <w:color w:val="000000"/>
              </w:rPr>
            </w:pPr>
            <w:r w:rsidRPr="00D618B7">
              <w:rPr>
                <w:color w:val="000000"/>
              </w:rPr>
              <w:t>1.10</w:t>
            </w:r>
          </w:p>
        </w:tc>
      </w:tr>
      <w:tr w:rsidR="00E95B61" w:rsidRPr="00D618B7" w14:paraId="58A759E9" w14:textId="77777777" w:rsidTr="001A50DE">
        <w:trPr>
          <w:trHeight w:val="326"/>
        </w:trPr>
        <w:tc>
          <w:tcPr>
            <w:tcW w:w="5000" w:type="pct"/>
            <w:gridSpan w:val="7"/>
            <w:tcBorders>
              <w:top w:val="single" w:sz="12" w:space="0" w:color="auto"/>
              <w:left w:val="nil"/>
              <w:bottom w:val="nil"/>
              <w:right w:val="nil"/>
            </w:tcBorders>
            <w:shd w:val="clear" w:color="000000" w:fill="FFFFFF"/>
            <w:noWrap/>
            <w:vAlign w:val="center"/>
            <w:hideMark/>
          </w:tcPr>
          <w:p w14:paraId="3F2063F4" w14:textId="77777777" w:rsidR="00E95B61" w:rsidRPr="00D618B7" w:rsidRDefault="00E95B61" w:rsidP="004B11B7">
            <w:pPr>
              <w:jc w:val="center"/>
              <w:rPr>
                <w:color w:val="000000"/>
              </w:rPr>
            </w:pPr>
            <w:r w:rsidRPr="00D618B7">
              <w:rPr>
                <w:color w:val="000000"/>
              </w:rPr>
              <w:t>Late Reach Group</w:t>
            </w:r>
          </w:p>
        </w:tc>
      </w:tr>
      <w:tr w:rsidR="00E95B61" w:rsidRPr="00D618B7" w14:paraId="15AB3147" w14:textId="77777777" w:rsidTr="001A50DE">
        <w:trPr>
          <w:trHeight w:val="311"/>
        </w:trPr>
        <w:tc>
          <w:tcPr>
            <w:tcW w:w="702" w:type="pct"/>
            <w:tcBorders>
              <w:top w:val="nil"/>
              <w:left w:val="nil"/>
              <w:bottom w:val="nil"/>
              <w:right w:val="nil"/>
            </w:tcBorders>
            <w:shd w:val="clear" w:color="000000" w:fill="FFFFFF"/>
            <w:vAlign w:val="center"/>
            <w:hideMark/>
          </w:tcPr>
          <w:p w14:paraId="27312A6B" w14:textId="77777777" w:rsidR="00E95B61" w:rsidRPr="00D618B7" w:rsidRDefault="00E95B61" w:rsidP="004B11B7">
            <w:pPr>
              <w:jc w:val="center"/>
              <w:rPr>
                <w:color w:val="000000"/>
              </w:rPr>
            </w:pPr>
            <w:r w:rsidRPr="00D618B7">
              <w:rPr>
                <w:color w:val="000000"/>
              </w:rPr>
              <w:t>-5</w:t>
            </w:r>
          </w:p>
        </w:tc>
        <w:tc>
          <w:tcPr>
            <w:tcW w:w="690" w:type="pct"/>
            <w:tcBorders>
              <w:top w:val="nil"/>
              <w:left w:val="nil"/>
              <w:bottom w:val="nil"/>
              <w:right w:val="nil"/>
            </w:tcBorders>
            <w:shd w:val="clear" w:color="000000" w:fill="FFFFFF"/>
            <w:noWrap/>
            <w:vAlign w:val="center"/>
            <w:hideMark/>
          </w:tcPr>
          <w:p w14:paraId="24351E7E" w14:textId="77777777" w:rsidR="00E95B61" w:rsidRPr="00D618B7" w:rsidRDefault="00E95B61" w:rsidP="004B11B7">
            <w:pPr>
              <w:jc w:val="right"/>
              <w:rPr>
                <w:color w:val="000000"/>
              </w:rPr>
            </w:pPr>
            <w:r w:rsidRPr="00D618B7">
              <w:rPr>
                <w:color w:val="000000"/>
              </w:rPr>
              <w:t>8.15</w:t>
            </w:r>
          </w:p>
        </w:tc>
        <w:tc>
          <w:tcPr>
            <w:tcW w:w="742" w:type="pct"/>
            <w:tcBorders>
              <w:top w:val="nil"/>
              <w:left w:val="nil"/>
              <w:bottom w:val="nil"/>
              <w:right w:val="nil"/>
            </w:tcBorders>
            <w:shd w:val="clear" w:color="000000" w:fill="FFFFFF"/>
            <w:noWrap/>
            <w:vAlign w:val="center"/>
            <w:hideMark/>
          </w:tcPr>
          <w:p w14:paraId="24DF9686" w14:textId="77777777" w:rsidR="00E95B61" w:rsidRPr="00D618B7" w:rsidRDefault="00E95B61" w:rsidP="004B11B7">
            <w:pPr>
              <w:jc w:val="right"/>
              <w:rPr>
                <w:color w:val="000000"/>
              </w:rPr>
            </w:pPr>
            <w:r w:rsidRPr="00D618B7">
              <w:rPr>
                <w:color w:val="000000"/>
              </w:rPr>
              <w:t>1.26</w:t>
            </w:r>
          </w:p>
        </w:tc>
        <w:tc>
          <w:tcPr>
            <w:tcW w:w="690" w:type="pct"/>
            <w:tcBorders>
              <w:top w:val="nil"/>
              <w:left w:val="nil"/>
              <w:bottom w:val="nil"/>
              <w:right w:val="nil"/>
            </w:tcBorders>
            <w:shd w:val="clear" w:color="000000" w:fill="FFFFFF"/>
            <w:noWrap/>
            <w:vAlign w:val="center"/>
            <w:hideMark/>
          </w:tcPr>
          <w:p w14:paraId="309E68D9" w14:textId="77777777" w:rsidR="00E95B61" w:rsidRPr="00D618B7" w:rsidRDefault="00E95B61" w:rsidP="004B11B7">
            <w:pPr>
              <w:jc w:val="right"/>
              <w:rPr>
                <w:color w:val="000000"/>
              </w:rPr>
            </w:pPr>
            <w:r w:rsidRPr="00D618B7">
              <w:rPr>
                <w:color w:val="000000"/>
              </w:rPr>
              <w:t>6.04</w:t>
            </w:r>
          </w:p>
        </w:tc>
        <w:tc>
          <w:tcPr>
            <w:tcW w:w="742" w:type="pct"/>
            <w:tcBorders>
              <w:top w:val="nil"/>
              <w:left w:val="nil"/>
              <w:bottom w:val="nil"/>
              <w:right w:val="nil"/>
            </w:tcBorders>
            <w:shd w:val="clear" w:color="000000" w:fill="FFFFFF"/>
            <w:noWrap/>
            <w:vAlign w:val="center"/>
            <w:hideMark/>
          </w:tcPr>
          <w:p w14:paraId="48292253" w14:textId="77777777" w:rsidR="00E95B61" w:rsidRPr="00D618B7" w:rsidRDefault="00E95B61" w:rsidP="004B11B7">
            <w:pPr>
              <w:jc w:val="right"/>
              <w:rPr>
                <w:color w:val="000000"/>
              </w:rPr>
            </w:pPr>
            <w:r w:rsidRPr="00D618B7">
              <w:rPr>
                <w:color w:val="000000"/>
              </w:rPr>
              <w:t>1.15</w:t>
            </w:r>
          </w:p>
        </w:tc>
        <w:tc>
          <w:tcPr>
            <w:tcW w:w="690" w:type="pct"/>
            <w:tcBorders>
              <w:top w:val="nil"/>
              <w:left w:val="nil"/>
              <w:bottom w:val="nil"/>
              <w:right w:val="nil"/>
            </w:tcBorders>
            <w:shd w:val="clear" w:color="000000" w:fill="FFFFFF"/>
            <w:noWrap/>
            <w:vAlign w:val="center"/>
            <w:hideMark/>
          </w:tcPr>
          <w:p w14:paraId="6D16ADA8" w14:textId="77777777" w:rsidR="00E95B61" w:rsidRPr="00D618B7" w:rsidRDefault="00E95B61" w:rsidP="004B11B7">
            <w:pPr>
              <w:jc w:val="right"/>
              <w:rPr>
                <w:color w:val="000000"/>
              </w:rPr>
            </w:pPr>
            <w:r w:rsidRPr="00D618B7">
              <w:rPr>
                <w:color w:val="000000"/>
              </w:rPr>
              <w:t>7.93</w:t>
            </w:r>
          </w:p>
        </w:tc>
        <w:tc>
          <w:tcPr>
            <w:tcW w:w="744" w:type="pct"/>
            <w:tcBorders>
              <w:top w:val="nil"/>
              <w:left w:val="nil"/>
              <w:bottom w:val="nil"/>
              <w:right w:val="nil"/>
            </w:tcBorders>
            <w:shd w:val="clear" w:color="000000" w:fill="FFFFFF"/>
            <w:noWrap/>
            <w:vAlign w:val="center"/>
            <w:hideMark/>
          </w:tcPr>
          <w:p w14:paraId="1A10E844" w14:textId="77777777" w:rsidR="00E95B61" w:rsidRPr="00D618B7" w:rsidRDefault="00E95B61" w:rsidP="004B11B7">
            <w:pPr>
              <w:jc w:val="right"/>
              <w:rPr>
                <w:color w:val="000000"/>
              </w:rPr>
            </w:pPr>
            <w:r w:rsidRPr="00D618B7">
              <w:rPr>
                <w:color w:val="000000"/>
              </w:rPr>
              <w:t>1.43</w:t>
            </w:r>
          </w:p>
        </w:tc>
      </w:tr>
      <w:tr w:rsidR="00E95B61" w:rsidRPr="00D618B7" w14:paraId="65EFB7CF" w14:textId="77777777" w:rsidTr="001A50DE">
        <w:trPr>
          <w:trHeight w:val="311"/>
        </w:trPr>
        <w:tc>
          <w:tcPr>
            <w:tcW w:w="702" w:type="pct"/>
            <w:tcBorders>
              <w:top w:val="nil"/>
              <w:left w:val="nil"/>
              <w:bottom w:val="nil"/>
              <w:right w:val="nil"/>
            </w:tcBorders>
            <w:shd w:val="clear" w:color="000000" w:fill="FFFFFF"/>
            <w:vAlign w:val="center"/>
            <w:hideMark/>
          </w:tcPr>
          <w:p w14:paraId="638E2996" w14:textId="77777777" w:rsidR="00E95B61" w:rsidRPr="00D618B7" w:rsidRDefault="00E95B61" w:rsidP="004B11B7">
            <w:pPr>
              <w:jc w:val="center"/>
              <w:rPr>
                <w:color w:val="000000"/>
              </w:rPr>
            </w:pPr>
            <w:r w:rsidRPr="00D618B7">
              <w:rPr>
                <w:color w:val="000000"/>
              </w:rPr>
              <w:t>-4</w:t>
            </w:r>
          </w:p>
        </w:tc>
        <w:tc>
          <w:tcPr>
            <w:tcW w:w="690" w:type="pct"/>
            <w:tcBorders>
              <w:top w:val="nil"/>
              <w:left w:val="nil"/>
              <w:bottom w:val="nil"/>
              <w:right w:val="nil"/>
            </w:tcBorders>
            <w:shd w:val="clear" w:color="000000" w:fill="FFFFFF"/>
            <w:noWrap/>
            <w:vAlign w:val="center"/>
            <w:hideMark/>
          </w:tcPr>
          <w:p w14:paraId="5FDE538E" w14:textId="77777777" w:rsidR="00E95B61" w:rsidRPr="00D618B7" w:rsidRDefault="00E95B61" w:rsidP="004B11B7">
            <w:pPr>
              <w:jc w:val="right"/>
              <w:rPr>
                <w:color w:val="000000"/>
              </w:rPr>
            </w:pPr>
            <w:r w:rsidRPr="00D618B7">
              <w:rPr>
                <w:color w:val="000000"/>
              </w:rPr>
              <w:t>12.97</w:t>
            </w:r>
          </w:p>
        </w:tc>
        <w:tc>
          <w:tcPr>
            <w:tcW w:w="742" w:type="pct"/>
            <w:tcBorders>
              <w:top w:val="nil"/>
              <w:left w:val="nil"/>
              <w:bottom w:val="nil"/>
              <w:right w:val="nil"/>
            </w:tcBorders>
            <w:shd w:val="clear" w:color="000000" w:fill="FFFFFF"/>
            <w:noWrap/>
            <w:vAlign w:val="center"/>
            <w:hideMark/>
          </w:tcPr>
          <w:p w14:paraId="6F385649" w14:textId="77777777" w:rsidR="00E95B61" w:rsidRPr="00D618B7" w:rsidRDefault="00E95B61" w:rsidP="004B11B7">
            <w:pPr>
              <w:jc w:val="right"/>
              <w:rPr>
                <w:color w:val="000000"/>
              </w:rPr>
            </w:pPr>
            <w:r w:rsidRPr="00D618B7">
              <w:rPr>
                <w:color w:val="000000"/>
              </w:rPr>
              <w:t>1.72</w:t>
            </w:r>
          </w:p>
        </w:tc>
        <w:tc>
          <w:tcPr>
            <w:tcW w:w="690" w:type="pct"/>
            <w:tcBorders>
              <w:top w:val="nil"/>
              <w:left w:val="nil"/>
              <w:bottom w:val="nil"/>
              <w:right w:val="nil"/>
            </w:tcBorders>
            <w:shd w:val="clear" w:color="000000" w:fill="FFFFFF"/>
            <w:noWrap/>
            <w:vAlign w:val="center"/>
            <w:hideMark/>
          </w:tcPr>
          <w:p w14:paraId="5F531758" w14:textId="77777777" w:rsidR="00E95B61" w:rsidRPr="00D618B7" w:rsidRDefault="00E95B61" w:rsidP="004B11B7">
            <w:pPr>
              <w:jc w:val="right"/>
              <w:rPr>
                <w:color w:val="000000"/>
              </w:rPr>
            </w:pPr>
            <w:r w:rsidRPr="00D618B7">
              <w:rPr>
                <w:color w:val="000000"/>
              </w:rPr>
              <w:t>8.90</w:t>
            </w:r>
          </w:p>
        </w:tc>
        <w:tc>
          <w:tcPr>
            <w:tcW w:w="742" w:type="pct"/>
            <w:tcBorders>
              <w:top w:val="nil"/>
              <w:left w:val="nil"/>
              <w:bottom w:val="nil"/>
              <w:right w:val="nil"/>
            </w:tcBorders>
            <w:shd w:val="clear" w:color="000000" w:fill="FFFFFF"/>
            <w:noWrap/>
            <w:vAlign w:val="center"/>
            <w:hideMark/>
          </w:tcPr>
          <w:p w14:paraId="11B3694E" w14:textId="77777777" w:rsidR="00E95B61" w:rsidRPr="00D618B7" w:rsidRDefault="00E95B61" w:rsidP="004B11B7">
            <w:pPr>
              <w:jc w:val="right"/>
              <w:rPr>
                <w:color w:val="000000"/>
              </w:rPr>
            </w:pPr>
            <w:r w:rsidRPr="00D618B7">
              <w:rPr>
                <w:color w:val="000000"/>
              </w:rPr>
              <w:t>0.72</w:t>
            </w:r>
          </w:p>
        </w:tc>
        <w:tc>
          <w:tcPr>
            <w:tcW w:w="690" w:type="pct"/>
            <w:tcBorders>
              <w:top w:val="nil"/>
              <w:left w:val="nil"/>
              <w:bottom w:val="nil"/>
              <w:right w:val="nil"/>
            </w:tcBorders>
            <w:shd w:val="clear" w:color="000000" w:fill="FFFFFF"/>
            <w:noWrap/>
            <w:vAlign w:val="center"/>
            <w:hideMark/>
          </w:tcPr>
          <w:p w14:paraId="2ADBA31D" w14:textId="77777777" w:rsidR="00E95B61" w:rsidRPr="00D618B7" w:rsidRDefault="00E95B61" w:rsidP="004B11B7">
            <w:pPr>
              <w:jc w:val="right"/>
              <w:rPr>
                <w:color w:val="000000"/>
              </w:rPr>
            </w:pPr>
            <w:r w:rsidRPr="00D618B7">
              <w:rPr>
                <w:color w:val="000000"/>
              </w:rPr>
              <w:t>9.49</w:t>
            </w:r>
          </w:p>
        </w:tc>
        <w:tc>
          <w:tcPr>
            <w:tcW w:w="744" w:type="pct"/>
            <w:tcBorders>
              <w:top w:val="nil"/>
              <w:left w:val="nil"/>
              <w:bottom w:val="nil"/>
              <w:right w:val="nil"/>
            </w:tcBorders>
            <w:shd w:val="clear" w:color="000000" w:fill="FFFFFF"/>
            <w:noWrap/>
            <w:vAlign w:val="center"/>
            <w:hideMark/>
          </w:tcPr>
          <w:p w14:paraId="470D57D7" w14:textId="77777777" w:rsidR="00E95B61" w:rsidRPr="00D618B7" w:rsidRDefault="00E95B61" w:rsidP="004B11B7">
            <w:pPr>
              <w:jc w:val="right"/>
              <w:rPr>
                <w:color w:val="000000"/>
              </w:rPr>
            </w:pPr>
            <w:r w:rsidRPr="00D618B7">
              <w:rPr>
                <w:color w:val="000000"/>
              </w:rPr>
              <w:t>0.60</w:t>
            </w:r>
          </w:p>
        </w:tc>
      </w:tr>
      <w:tr w:rsidR="00E95B61" w:rsidRPr="00D618B7" w14:paraId="7E72E14D" w14:textId="77777777" w:rsidTr="001A50DE">
        <w:trPr>
          <w:trHeight w:val="311"/>
        </w:trPr>
        <w:tc>
          <w:tcPr>
            <w:tcW w:w="702" w:type="pct"/>
            <w:tcBorders>
              <w:top w:val="nil"/>
              <w:left w:val="nil"/>
              <w:bottom w:val="nil"/>
              <w:right w:val="nil"/>
            </w:tcBorders>
            <w:shd w:val="clear" w:color="000000" w:fill="FFFFFF"/>
            <w:vAlign w:val="center"/>
            <w:hideMark/>
          </w:tcPr>
          <w:p w14:paraId="386B5ED6" w14:textId="77777777" w:rsidR="00E95B61" w:rsidRPr="00D618B7" w:rsidRDefault="00E95B61" w:rsidP="004B11B7">
            <w:pPr>
              <w:jc w:val="center"/>
              <w:rPr>
                <w:color w:val="000000"/>
              </w:rPr>
            </w:pPr>
            <w:r w:rsidRPr="00D618B7">
              <w:rPr>
                <w:color w:val="000000"/>
              </w:rPr>
              <w:t>-3</w:t>
            </w:r>
          </w:p>
        </w:tc>
        <w:tc>
          <w:tcPr>
            <w:tcW w:w="690" w:type="pct"/>
            <w:tcBorders>
              <w:top w:val="nil"/>
              <w:left w:val="nil"/>
              <w:bottom w:val="nil"/>
              <w:right w:val="nil"/>
            </w:tcBorders>
            <w:shd w:val="clear" w:color="000000" w:fill="FFFFFF"/>
            <w:noWrap/>
            <w:vAlign w:val="center"/>
            <w:hideMark/>
          </w:tcPr>
          <w:p w14:paraId="0A21FB08" w14:textId="77777777" w:rsidR="00E95B61" w:rsidRPr="00D618B7" w:rsidRDefault="00E95B61" w:rsidP="004B11B7">
            <w:pPr>
              <w:jc w:val="right"/>
              <w:rPr>
                <w:color w:val="000000"/>
              </w:rPr>
            </w:pPr>
            <w:r w:rsidRPr="00D618B7">
              <w:rPr>
                <w:color w:val="000000"/>
              </w:rPr>
              <w:t>12.53</w:t>
            </w:r>
          </w:p>
        </w:tc>
        <w:tc>
          <w:tcPr>
            <w:tcW w:w="742" w:type="pct"/>
            <w:tcBorders>
              <w:top w:val="nil"/>
              <w:left w:val="nil"/>
              <w:bottom w:val="nil"/>
              <w:right w:val="nil"/>
            </w:tcBorders>
            <w:shd w:val="clear" w:color="000000" w:fill="FFFFFF"/>
            <w:noWrap/>
            <w:vAlign w:val="center"/>
            <w:hideMark/>
          </w:tcPr>
          <w:p w14:paraId="54A819BA" w14:textId="77777777" w:rsidR="00E95B61" w:rsidRPr="00D618B7" w:rsidRDefault="00E95B61" w:rsidP="004B11B7">
            <w:pPr>
              <w:jc w:val="right"/>
              <w:rPr>
                <w:color w:val="000000"/>
              </w:rPr>
            </w:pPr>
            <w:r w:rsidRPr="00D618B7">
              <w:rPr>
                <w:color w:val="000000"/>
              </w:rPr>
              <w:t>2.76</w:t>
            </w:r>
          </w:p>
        </w:tc>
        <w:tc>
          <w:tcPr>
            <w:tcW w:w="690" w:type="pct"/>
            <w:tcBorders>
              <w:top w:val="nil"/>
              <w:left w:val="nil"/>
              <w:bottom w:val="nil"/>
              <w:right w:val="nil"/>
            </w:tcBorders>
            <w:shd w:val="clear" w:color="000000" w:fill="FFFFFF"/>
            <w:noWrap/>
            <w:vAlign w:val="center"/>
            <w:hideMark/>
          </w:tcPr>
          <w:p w14:paraId="4FEFDAC6" w14:textId="77777777" w:rsidR="00E95B61" w:rsidRPr="00D618B7" w:rsidRDefault="00E95B61" w:rsidP="004B11B7">
            <w:pPr>
              <w:jc w:val="right"/>
              <w:rPr>
                <w:color w:val="000000"/>
              </w:rPr>
            </w:pPr>
            <w:r w:rsidRPr="00D618B7">
              <w:rPr>
                <w:color w:val="000000"/>
              </w:rPr>
              <w:t>15.44</w:t>
            </w:r>
          </w:p>
        </w:tc>
        <w:tc>
          <w:tcPr>
            <w:tcW w:w="742" w:type="pct"/>
            <w:tcBorders>
              <w:top w:val="nil"/>
              <w:left w:val="nil"/>
              <w:bottom w:val="nil"/>
              <w:right w:val="nil"/>
            </w:tcBorders>
            <w:shd w:val="clear" w:color="000000" w:fill="FFFFFF"/>
            <w:noWrap/>
            <w:vAlign w:val="center"/>
            <w:hideMark/>
          </w:tcPr>
          <w:p w14:paraId="3FA8AE7A" w14:textId="77777777" w:rsidR="00E95B61" w:rsidRPr="00D618B7" w:rsidRDefault="00E95B61" w:rsidP="004B11B7">
            <w:pPr>
              <w:jc w:val="right"/>
              <w:rPr>
                <w:color w:val="000000"/>
              </w:rPr>
            </w:pPr>
            <w:r w:rsidRPr="00D618B7">
              <w:rPr>
                <w:color w:val="000000"/>
              </w:rPr>
              <w:t>3.23</w:t>
            </w:r>
          </w:p>
        </w:tc>
        <w:tc>
          <w:tcPr>
            <w:tcW w:w="690" w:type="pct"/>
            <w:tcBorders>
              <w:top w:val="nil"/>
              <w:left w:val="nil"/>
              <w:bottom w:val="nil"/>
              <w:right w:val="nil"/>
            </w:tcBorders>
            <w:shd w:val="clear" w:color="000000" w:fill="FFFFFF"/>
            <w:noWrap/>
            <w:vAlign w:val="center"/>
            <w:hideMark/>
          </w:tcPr>
          <w:p w14:paraId="453A6246" w14:textId="77777777" w:rsidR="00E95B61" w:rsidRPr="00D618B7" w:rsidRDefault="00E95B61" w:rsidP="004B11B7">
            <w:pPr>
              <w:jc w:val="right"/>
              <w:rPr>
                <w:color w:val="000000"/>
              </w:rPr>
            </w:pPr>
            <w:r w:rsidRPr="00D618B7">
              <w:rPr>
                <w:color w:val="000000"/>
              </w:rPr>
              <w:t>14.07</w:t>
            </w:r>
          </w:p>
        </w:tc>
        <w:tc>
          <w:tcPr>
            <w:tcW w:w="744" w:type="pct"/>
            <w:tcBorders>
              <w:top w:val="nil"/>
              <w:left w:val="nil"/>
              <w:bottom w:val="nil"/>
              <w:right w:val="nil"/>
            </w:tcBorders>
            <w:shd w:val="clear" w:color="000000" w:fill="FFFFFF"/>
            <w:noWrap/>
            <w:vAlign w:val="center"/>
            <w:hideMark/>
          </w:tcPr>
          <w:p w14:paraId="6BD8FD1B" w14:textId="77777777" w:rsidR="00E95B61" w:rsidRPr="00D618B7" w:rsidRDefault="00E95B61" w:rsidP="004B11B7">
            <w:pPr>
              <w:jc w:val="right"/>
              <w:rPr>
                <w:color w:val="000000"/>
              </w:rPr>
            </w:pPr>
            <w:r w:rsidRPr="00D618B7">
              <w:rPr>
                <w:color w:val="000000"/>
              </w:rPr>
              <w:t>2.32</w:t>
            </w:r>
          </w:p>
        </w:tc>
      </w:tr>
      <w:tr w:rsidR="00E95B61" w:rsidRPr="00D618B7" w14:paraId="71C10EA2" w14:textId="77777777" w:rsidTr="001A50DE">
        <w:trPr>
          <w:trHeight w:val="311"/>
        </w:trPr>
        <w:tc>
          <w:tcPr>
            <w:tcW w:w="702" w:type="pct"/>
            <w:tcBorders>
              <w:top w:val="nil"/>
              <w:left w:val="nil"/>
              <w:bottom w:val="nil"/>
              <w:right w:val="nil"/>
            </w:tcBorders>
            <w:shd w:val="clear" w:color="000000" w:fill="FFFFFF"/>
            <w:vAlign w:val="center"/>
            <w:hideMark/>
          </w:tcPr>
          <w:p w14:paraId="183A47C7" w14:textId="77777777" w:rsidR="00E95B61" w:rsidRPr="00D618B7" w:rsidRDefault="00E95B61" w:rsidP="004B11B7">
            <w:pPr>
              <w:jc w:val="center"/>
              <w:rPr>
                <w:color w:val="000000"/>
              </w:rPr>
            </w:pPr>
            <w:r w:rsidRPr="00D618B7">
              <w:rPr>
                <w:color w:val="000000"/>
              </w:rPr>
              <w:t>-2</w:t>
            </w:r>
          </w:p>
        </w:tc>
        <w:tc>
          <w:tcPr>
            <w:tcW w:w="690" w:type="pct"/>
            <w:tcBorders>
              <w:top w:val="nil"/>
              <w:left w:val="nil"/>
              <w:bottom w:val="nil"/>
              <w:right w:val="nil"/>
            </w:tcBorders>
            <w:shd w:val="clear" w:color="000000" w:fill="FFFFFF"/>
            <w:noWrap/>
            <w:vAlign w:val="center"/>
            <w:hideMark/>
          </w:tcPr>
          <w:p w14:paraId="0EE05A10" w14:textId="77777777" w:rsidR="00E95B61" w:rsidRPr="00D618B7" w:rsidRDefault="00E95B61" w:rsidP="004B11B7">
            <w:pPr>
              <w:jc w:val="right"/>
              <w:rPr>
                <w:color w:val="000000"/>
              </w:rPr>
            </w:pPr>
            <w:r w:rsidRPr="00D618B7">
              <w:rPr>
                <w:color w:val="000000"/>
              </w:rPr>
              <w:t>11.85</w:t>
            </w:r>
          </w:p>
        </w:tc>
        <w:tc>
          <w:tcPr>
            <w:tcW w:w="742" w:type="pct"/>
            <w:tcBorders>
              <w:top w:val="nil"/>
              <w:left w:val="nil"/>
              <w:bottom w:val="nil"/>
              <w:right w:val="nil"/>
            </w:tcBorders>
            <w:shd w:val="clear" w:color="000000" w:fill="FFFFFF"/>
            <w:noWrap/>
            <w:vAlign w:val="center"/>
            <w:hideMark/>
          </w:tcPr>
          <w:p w14:paraId="4FEBD734" w14:textId="77777777" w:rsidR="00E95B61" w:rsidRPr="00D618B7" w:rsidRDefault="00E95B61" w:rsidP="004B11B7">
            <w:pPr>
              <w:jc w:val="right"/>
              <w:rPr>
                <w:color w:val="000000"/>
              </w:rPr>
            </w:pPr>
            <w:r w:rsidRPr="00D618B7">
              <w:rPr>
                <w:color w:val="000000"/>
              </w:rPr>
              <w:t>0.76</w:t>
            </w:r>
          </w:p>
        </w:tc>
        <w:tc>
          <w:tcPr>
            <w:tcW w:w="690" w:type="pct"/>
            <w:tcBorders>
              <w:top w:val="nil"/>
              <w:left w:val="nil"/>
              <w:bottom w:val="nil"/>
              <w:right w:val="nil"/>
            </w:tcBorders>
            <w:shd w:val="clear" w:color="000000" w:fill="FFFFFF"/>
            <w:noWrap/>
            <w:vAlign w:val="center"/>
            <w:hideMark/>
          </w:tcPr>
          <w:p w14:paraId="25ABB2FE" w14:textId="77777777" w:rsidR="00E95B61" w:rsidRPr="00D618B7" w:rsidRDefault="00E95B61" w:rsidP="004B11B7">
            <w:pPr>
              <w:jc w:val="right"/>
              <w:rPr>
                <w:color w:val="000000"/>
              </w:rPr>
            </w:pPr>
            <w:r w:rsidRPr="00D618B7">
              <w:rPr>
                <w:color w:val="000000"/>
              </w:rPr>
              <w:t>12.19</w:t>
            </w:r>
          </w:p>
        </w:tc>
        <w:tc>
          <w:tcPr>
            <w:tcW w:w="742" w:type="pct"/>
            <w:tcBorders>
              <w:top w:val="nil"/>
              <w:left w:val="nil"/>
              <w:bottom w:val="nil"/>
              <w:right w:val="nil"/>
            </w:tcBorders>
            <w:shd w:val="clear" w:color="000000" w:fill="FFFFFF"/>
            <w:noWrap/>
            <w:vAlign w:val="center"/>
            <w:hideMark/>
          </w:tcPr>
          <w:p w14:paraId="46FE9097" w14:textId="77777777" w:rsidR="00E95B61" w:rsidRPr="00D618B7" w:rsidRDefault="00E95B61" w:rsidP="004B11B7">
            <w:pPr>
              <w:jc w:val="right"/>
              <w:rPr>
                <w:color w:val="000000"/>
              </w:rPr>
            </w:pPr>
            <w:r w:rsidRPr="00D618B7">
              <w:rPr>
                <w:color w:val="000000"/>
              </w:rPr>
              <w:t>0.64</w:t>
            </w:r>
          </w:p>
        </w:tc>
        <w:tc>
          <w:tcPr>
            <w:tcW w:w="690" w:type="pct"/>
            <w:tcBorders>
              <w:top w:val="nil"/>
              <w:left w:val="nil"/>
              <w:bottom w:val="nil"/>
              <w:right w:val="nil"/>
            </w:tcBorders>
            <w:shd w:val="clear" w:color="000000" w:fill="FFFFFF"/>
            <w:noWrap/>
            <w:vAlign w:val="center"/>
            <w:hideMark/>
          </w:tcPr>
          <w:p w14:paraId="2EFDD449" w14:textId="77777777" w:rsidR="00E95B61" w:rsidRPr="00D618B7" w:rsidRDefault="00E95B61" w:rsidP="004B11B7">
            <w:pPr>
              <w:jc w:val="right"/>
              <w:rPr>
                <w:color w:val="000000"/>
              </w:rPr>
            </w:pPr>
            <w:r w:rsidRPr="00D618B7">
              <w:rPr>
                <w:color w:val="000000"/>
              </w:rPr>
              <w:t>11.44</w:t>
            </w:r>
          </w:p>
        </w:tc>
        <w:tc>
          <w:tcPr>
            <w:tcW w:w="744" w:type="pct"/>
            <w:tcBorders>
              <w:top w:val="nil"/>
              <w:left w:val="nil"/>
              <w:bottom w:val="nil"/>
              <w:right w:val="nil"/>
            </w:tcBorders>
            <w:shd w:val="clear" w:color="000000" w:fill="FFFFFF"/>
            <w:noWrap/>
            <w:vAlign w:val="center"/>
            <w:hideMark/>
          </w:tcPr>
          <w:p w14:paraId="5AC5CFC8" w14:textId="77777777" w:rsidR="00E95B61" w:rsidRPr="00D618B7" w:rsidRDefault="00E95B61" w:rsidP="004B11B7">
            <w:pPr>
              <w:jc w:val="right"/>
              <w:rPr>
                <w:color w:val="000000"/>
              </w:rPr>
            </w:pPr>
            <w:r w:rsidRPr="00D618B7">
              <w:rPr>
                <w:color w:val="000000"/>
              </w:rPr>
              <w:t>0.40</w:t>
            </w:r>
          </w:p>
        </w:tc>
      </w:tr>
      <w:tr w:rsidR="00E95B61" w:rsidRPr="00D618B7" w14:paraId="3B7EE4A2" w14:textId="77777777" w:rsidTr="001A50DE">
        <w:trPr>
          <w:trHeight w:val="311"/>
        </w:trPr>
        <w:tc>
          <w:tcPr>
            <w:tcW w:w="702" w:type="pct"/>
            <w:tcBorders>
              <w:top w:val="nil"/>
              <w:left w:val="nil"/>
              <w:bottom w:val="nil"/>
              <w:right w:val="nil"/>
            </w:tcBorders>
            <w:shd w:val="clear" w:color="000000" w:fill="FFFFFF"/>
            <w:vAlign w:val="center"/>
            <w:hideMark/>
          </w:tcPr>
          <w:p w14:paraId="165B5B09" w14:textId="77777777" w:rsidR="00E95B61" w:rsidRPr="00D618B7" w:rsidRDefault="00E95B61" w:rsidP="004B11B7">
            <w:pPr>
              <w:jc w:val="center"/>
              <w:rPr>
                <w:color w:val="000000"/>
              </w:rPr>
            </w:pPr>
            <w:r w:rsidRPr="00D618B7">
              <w:rPr>
                <w:color w:val="000000"/>
              </w:rPr>
              <w:t>-1</w:t>
            </w:r>
          </w:p>
        </w:tc>
        <w:tc>
          <w:tcPr>
            <w:tcW w:w="690" w:type="pct"/>
            <w:tcBorders>
              <w:top w:val="nil"/>
              <w:left w:val="nil"/>
              <w:bottom w:val="nil"/>
              <w:right w:val="nil"/>
            </w:tcBorders>
            <w:shd w:val="clear" w:color="000000" w:fill="FFFFFF"/>
            <w:noWrap/>
            <w:vAlign w:val="center"/>
            <w:hideMark/>
          </w:tcPr>
          <w:p w14:paraId="49C01740" w14:textId="77777777" w:rsidR="00E95B61" w:rsidRPr="00D618B7" w:rsidRDefault="00E95B61" w:rsidP="004B11B7">
            <w:pPr>
              <w:jc w:val="right"/>
              <w:rPr>
                <w:color w:val="000000"/>
              </w:rPr>
            </w:pPr>
            <w:r w:rsidRPr="00D618B7">
              <w:rPr>
                <w:color w:val="000000"/>
              </w:rPr>
              <w:t>11.72</w:t>
            </w:r>
          </w:p>
        </w:tc>
        <w:tc>
          <w:tcPr>
            <w:tcW w:w="742" w:type="pct"/>
            <w:tcBorders>
              <w:top w:val="nil"/>
              <w:left w:val="nil"/>
              <w:bottom w:val="nil"/>
              <w:right w:val="nil"/>
            </w:tcBorders>
            <w:shd w:val="clear" w:color="000000" w:fill="FFFFFF"/>
            <w:noWrap/>
            <w:vAlign w:val="center"/>
            <w:hideMark/>
          </w:tcPr>
          <w:p w14:paraId="6948C7D1" w14:textId="77777777" w:rsidR="00E95B61" w:rsidRPr="00D618B7" w:rsidRDefault="00E95B61" w:rsidP="004B11B7">
            <w:pPr>
              <w:jc w:val="right"/>
              <w:rPr>
                <w:color w:val="000000"/>
              </w:rPr>
            </w:pPr>
            <w:r w:rsidRPr="00D618B7">
              <w:rPr>
                <w:color w:val="000000"/>
              </w:rPr>
              <w:t>1.25</w:t>
            </w:r>
          </w:p>
        </w:tc>
        <w:tc>
          <w:tcPr>
            <w:tcW w:w="690" w:type="pct"/>
            <w:tcBorders>
              <w:top w:val="nil"/>
              <w:left w:val="nil"/>
              <w:bottom w:val="nil"/>
              <w:right w:val="nil"/>
            </w:tcBorders>
            <w:shd w:val="clear" w:color="000000" w:fill="FFFFFF"/>
            <w:noWrap/>
            <w:vAlign w:val="center"/>
            <w:hideMark/>
          </w:tcPr>
          <w:p w14:paraId="28268767" w14:textId="77777777" w:rsidR="00E95B61" w:rsidRPr="00D618B7" w:rsidRDefault="00E95B61" w:rsidP="004B11B7">
            <w:pPr>
              <w:jc w:val="right"/>
              <w:rPr>
                <w:color w:val="000000"/>
              </w:rPr>
            </w:pPr>
            <w:r w:rsidRPr="00D618B7">
              <w:rPr>
                <w:color w:val="000000"/>
              </w:rPr>
              <w:t>11.22</w:t>
            </w:r>
          </w:p>
        </w:tc>
        <w:tc>
          <w:tcPr>
            <w:tcW w:w="742" w:type="pct"/>
            <w:tcBorders>
              <w:top w:val="nil"/>
              <w:left w:val="nil"/>
              <w:bottom w:val="nil"/>
              <w:right w:val="nil"/>
            </w:tcBorders>
            <w:shd w:val="clear" w:color="000000" w:fill="FFFFFF"/>
            <w:noWrap/>
            <w:vAlign w:val="center"/>
            <w:hideMark/>
          </w:tcPr>
          <w:p w14:paraId="6925322A" w14:textId="77777777" w:rsidR="00E95B61" w:rsidRPr="00D618B7" w:rsidRDefault="00E95B61" w:rsidP="004B11B7">
            <w:pPr>
              <w:jc w:val="right"/>
              <w:rPr>
                <w:color w:val="000000"/>
              </w:rPr>
            </w:pPr>
            <w:r w:rsidRPr="00D618B7">
              <w:rPr>
                <w:color w:val="000000"/>
              </w:rPr>
              <w:t>0.92</w:t>
            </w:r>
          </w:p>
        </w:tc>
        <w:tc>
          <w:tcPr>
            <w:tcW w:w="690" w:type="pct"/>
            <w:tcBorders>
              <w:top w:val="nil"/>
              <w:left w:val="nil"/>
              <w:bottom w:val="nil"/>
              <w:right w:val="nil"/>
            </w:tcBorders>
            <w:shd w:val="clear" w:color="000000" w:fill="FFFFFF"/>
            <w:noWrap/>
            <w:vAlign w:val="center"/>
            <w:hideMark/>
          </w:tcPr>
          <w:p w14:paraId="5302547E" w14:textId="77777777" w:rsidR="00E95B61" w:rsidRPr="00D618B7" w:rsidRDefault="00E95B61" w:rsidP="004B11B7">
            <w:pPr>
              <w:jc w:val="right"/>
              <w:rPr>
                <w:color w:val="000000"/>
              </w:rPr>
            </w:pPr>
            <w:r w:rsidRPr="00D618B7">
              <w:rPr>
                <w:color w:val="000000"/>
              </w:rPr>
              <w:t>8.67</w:t>
            </w:r>
          </w:p>
        </w:tc>
        <w:tc>
          <w:tcPr>
            <w:tcW w:w="744" w:type="pct"/>
            <w:tcBorders>
              <w:top w:val="nil"/>
              <w:left w:val="nil"/>
              <w:bottom w:val="nil"/>
              <w:right w:val="nil"/>
            </w:tcBorders>
            <w:shd w:val="clear" w:color="000000" w:fill="FFFFFF"/>
            <w:noWrap/>
            <w:vAlign w:val="center"/>
            <w:hideMark/>
          </w:tcPr>
          <w:p w14:paraId="1B703A72" w14:textId="77777777" w:rsidR="00E95B61" w:rsidRPr="00D618B7" w:rsidRDefault="00E95B61" w:rsidP="004B11B7">
            <w:pPr>
              <w:jc w:val="right"/>
              <w:rPr>
                <w:color w:val="000000"/>
              </w:rPr>
            </w:pPr>
            <w:r w:rsidRPr="00D618B7">
              <w:rPr>
                <w:color w:val="000000"/>
              </w:rPr>
              <w:t>1.86</w:t>
            </w:r>
          </w:p>
        </w:tc>
      </w:tr>
      <w:tr w:rsidR="00E95B61" w:rsidRPr="00D618B7" w14:paraId="03352E46" w14:textId="77777777" w:rsidTr="001A50DE">
        <w:trPr>
          <w:trHeight w:val="311"/>
        </w:trPr>
        <w:tc>
          <w:tcPr>
            <w:tcW w:w="702" w:type="pct"/>
            <w:tcBorders>
              <w:top w:val="nil"/>
              <w:left w:val="nil"/>
              <w:bottom w:val="nil"/>
              <w:right w:val="nil"/>
            </w:tcBorders>
            <w:shd w:val="clear" w:color="000000" w:fill="FFFFFF"/>
            <w:vAlign w:val="center"/>
            <w:hideMark/>
          </w:tcPr>
          <w:p w14:paraId="0E15DDB1" w14:textId="77777777" w:rsidR="00E95B61" w:rsidRPr="00D618B7" w:rsidRDefault="00E95B61" w:rsidP="004B11B7">
            <w:pPr>
              <w:jc w:val="center"/>
              <w:rPr>
                <w:color w:val="000000"/>
              </w:rPr>
            </w:pPr>
            <w:r w:rsidRPr="00D618B7">
              <w:rPr>
                <w:color w:val="000000"/>
              </w:rPr>
              <w:t>0</w:t>
            </w:r>
          </w:p>
        </w:tc>
        <w:tc>
          <w:tcPr>
            <w:tcW w:w="690" w:type="pct"/>
            <w:tcBorders>
              <w:top w:val="nil"/>
              <w:left w:val="nil"/>
              <w:bottom w:val="nil"/>
              <w:right w:val="nil"/>
            </w:tcBorders>
            <w:shd w:val="clear" w:color="000000" w:fill="FFFFFF"/>
            <w:noWrap/>
            <w:vAlign w:val="center"/>
            <w:hideMark/>
          </w:tcPr>
          <w:p w14:paraId="77E683AC" w14:textId="77777777" w:rsidR="00E95B61" w:rsidRPr="00D618B7" w:rsidRDefault="00E95B61" w:rsidP="004B11B7">
            <w:pPr>
              <w:jc w:val="right"/>
              <w:rPr>
                <w:color w:val="000000"/>
              </w:rPr>
            </w:pPr>
            <w:r w:rsidRPr="00D618B7">
              <w:rPr>
                <w:color w:val="000000"/>
              </w:rPr>
              <w:t>11.83</w:t>
            </w:r>
          </w:p>
        </w:tc>
        <w:tc>
          <w:tcPr>
            <w:tcW w:w="742" w:type="pct"/>
            <w:tcBorders>
              <w:top w:val="nil"/>
              <w:left w:val="nil"/>
              <w:bottom w:val="nil"/>
              <w:right w:val="nil"/>
            </w:tcBorders>
            <w:shd w:val="clear" w:color="000000" w:fill="FFFFFF"/>
            <w:noWrap/>
            <w:vAlign w:val="center"/>
            <w:hideMark/>
          </w:tcPr>
          <w:p w14:paraId="61565C69" w14:textId="77777777" w:rsidR="00E95B61" w:rsidRPr="00D618B7" w:rsidRDefault="00E95B61" w:rsidP="004B11B7">
            <w:pPr>
              <w:jc w:val="right"/>
              <w:rPr>
                <w:color w:val="000000"/>
              </w:rPr>
            </w:pPr>
            <w:r w:rsidRPr="00D618B7">
              <w:rPr>
                <w:color w:val="000000"/>
              </w:rPr>
              <w:t>2.75</w:t>
            </w:r>
          </w:p>
        </w:tc>
        <w:tc>
          <w:tcPr>
            <w:tcW w:w="690" w:type="pct"/>
            <w:tcBorders>
              <w:top w:val="nil"/>
              <w:left w:val="nil"/>
              <w:bottom w:val="nil"/>
              <w:right w:val="nil"/>
            </w:tcBorders>
            <w:shd w:val="clear" w:color="000000" w:fill="FFFFFF"/>
            <w:noWrap/>
            <w:vAlign w:val="center"/>
            <w:hideMark/>
          </w:tcPr>
          <w:p w14:paraId="49241CF5" w14:textId="77777777" w:rsidR="00E95B61" w:rsidRPr="00D618B7" w:rsidRDefault="00E95B61" w:rsidP="004B11B7">
            <w:pPr>
              <w:jc w:val="right"/>
              <w:rPr>
                <w:color w:val="000000"/>
              </w:rPr>
            </w:pPr>
            <w:r w:rsidRPr="00D618B7">
              <w:rPr>
                <w:color w:val="000000"/>
              </w:rPr>
              <w:t>14.40</w:t>
            </w:r>
          </w:p>
        </w:tc>
        <w:tc>
          <w:tcPr>
            <w:tcW w:w="742" w:type="pct"/>
            <w:tcBorders>
              <w:top w:val="nil"/>
              <w:left w:val="nil"/>
              <w:bottom w:val="nil"/>
              <w:right w:val="nil"/>
            </w:tcBorders>
            <w:shd w:val="clear" w:color="000000" w:fill="FFFFFF"/>
            <w:noWrap/>
            <w:vAlign w:val="center"/>
            <w:hideMark/>
          </w:tcPr>
          <w:p w14:paraId="0977C3AA" w14:textId="77777777" w:rsidR="00E95B61" w:rsidRPr="00D618B7" w:rsidRDefault="00E95B61" w:rsidP="004B11B7">
            <w:pPr>
              <w:jc w:val="right"/>
              <w:rPr>
                <w:color w:val="000000"/>
              </w:rPr>
            </w:pPr>
            <w:r w:rsidRPr="00D618B7">
              <w:rPr>
                <w:color w:val="000000"/>
              </w:rPr>
              <w:t>2.94</w:t>
            </w:r>
          </w:p>
        </w:tc>
        <w:tc>
          <w:tcPr>
            <w:tcW w:w="690" w:type="pct"/>
            <w:tcBorders>
              <w:top w:val="nil"/>
              <w:left w:val="nil"/>
              <w:bottom w:val="nil"/>
              <w:right w:val="nil"/>
            </w:tcBorders>
            <w:shd w:val="clear" w:color="000000" w:fill="FFFFFF"/>
            <w:noWrap/>
            <w:vAlign w:val="center"/>
            <w:hideMark/>
          </w:tcPr>
          <w:p w14:paraId="529A105F" w14:textId="77777777" w:rsidR="00E95B61" w:rsidRPr="00D618B7" w:rsidRDefault="00E95B61" w:rsidP="004B11B7">
            <w:pPr>
              <w:jc w:val="right"/>
              <w:rPr>
                <w:color w:val="000000"/>
              </w:rPr>
            </w:pPr>
            <w:r w:rsidRPr="00D618B7">
              <w:rPr>
                <w:color w:val="000000"/>
              </w:rPr>
              <w:t>14.60</w:t>
            </w:r>
          </w:p>
        </w:tc>
        <w:tc>
          <w:tcPr>
            <w:tcW w:w="744" w:type="pct"/>
            <w:tcBorders>
              <w:top w:val="nil"/>
              <w:left w:val="nil"/>
              <w:bottom w:val="nil"/>
              <w:right w:val="nil"/>
            </w:tcBorders>
            <w:shd w:val="clear" w:color="000000" w:fill="FFFFFF"/>
            <w:noWrap/>
            <w:vAlign w:val="center"/>
            <w:hideMark/>
          </w:tcPr>
          <w:p w14:paraId="7B72EE84" w14:textId="77777777" w:rsidR="00E95B61" w:rsidRPr="00D618B7" w:rsidRDefault="00E95B61" w:rsidP="004B11B7">
            <w:pPr>
              <w:jc w:val="right"/>
              <w:rPr>
                <w:color w:val="000000"/>
              </w:rPr>
            </w:pPr>
            <w:r w:rsidRPr="00D618B7">
              <w:rPr>
                <w:color w:val="000000"/>
              </w:rPr>
              <w:t>4.19</w:t>
            </w:r>
          </w:p>
        </w:tc>
      </w:tr>
      <w:tr w:rsidR="00E95B61" w:rsidRPr="00D618B7" w14:paraId="43A437A4" w14:textId="77777777" w:rsidTr="001A50DE">
        <w:trPr>
          <w:trHeight w:val="311"/>
        </w:trPr>
        <w:tc>
          <w:tcPr>
            <w:tcW w:w="702" w:type="pct"/>
            <w:tcBorders>
              <w:top w:val="nil"/>
              <w:left w:val="nil"/>
              <w:bottom w:val="nil"/>
              <w:right w:val="nil"/>
            </w:tcBorders>
            <w:shd w:val="clear" w:color="000000" w:fill="FFFFFF"/>
            <w:vAlign w:val="center"/>
            <w:hideMark/>
          </w:tcPr>
          <w:p w14:paraId="2A3CF1B2" w14:textId="77777777" w:rsidR="00E95B61" w:rsidRPr="00D618B7" w:rsidRDefault="00E95B61" w:rsidP="004B11B7">
            <w:pPr>
              <w:jc w:val="center"/>
              <w:rPr>
                <w:color w:val="000000"/>
              </w:rPr>
            </w:pPr>
            <w:r w:rsidRPr="00D618B7">
              <w:rPr>
                <w:color w:val="000000"/>
              </w:rPr>
              <w:t>1</w:t>
            </w:r>
          </w:p>
        </w:tc>
        <w:tc>
          <w:tcPr>
            <w:tcW w:w="690" w:type="pct"/>
            <w:tcBorders>
              <w:top w:val="nil"/>
              <w:left w:val="nil"/>
              <w:bottom w:val="nil"/>
              <w:right w:val="nil"/>
            </w:tcBorders>
            <w:shd w:val="clear" w:color="000000" w:fill="FFFFFF"/>
            <w:noWrap/>
            <w:vAlign w:val="center"/>
            <w:hideMark/>
          </w:tcPr>
          <w:p w14:paraId="7F111154" w14:textId="77777777" w:rsidR="00E95B61" w:rsidRPr="00D618B7" w:rsidRDefault="00E95B61" w:rsidP="004B11B7">
            <w:pPr>
              <w:jc w:val="right"/>
              <w:rPr>
                <w:color w:val="000000"/>
              </w:rPr>
            </w:pPr>
            <w:r w:rsidRPr="00D618B7">
              <w:rPr>
                <w:color w:val="000000"/>
              </w:rPr>
              <w:t>7.48</w:t>
            </w:r>
          </w:p>
        </w:tc>
        <w:tc>
          <w:tcPr>
            <w:tcW w:w="742" w:type="pct"/>
            <w:tcBorders>
              <w:top w:val="nil"/>
              <w:left w:val="nil"/>
              <w:bottom w:val="nil"/>
              <w:right w:val="nil"/>
            </w:tcBorders>
            <w:shd w:val="clear" w:color="000000" w:fill="FFFFFF"/>
            <w:noWrap/>
            <w:vAlign w:val="center"/>
            <w:hideMark/>
          </w:tcPr>
          <w:p w14:paraId="4CD2C84A" w14:textId="77777777" w:rsidR="00E95B61" w:rsidRPr="00D618B7" w:rsidRDefault="00E95B61" w:rsidP="004B11B7">
            <w:pPr>
              <w:jc w:val="right"/>
              <w:rPr>
                <w:color w:val="000000"/>
              </w:rPr>
            </w:pPr>
            <w:r w:rsidRPr="00D618B7">
              <w:rPr>
                <w:color w:val="000000"/>
              </w:rPr>
              <w:t>1.76</w:t>
            </w:r>
          </w:p>
        </w:tc>
        <w:tc>
          <w:tcPr>
            <w:tcW w:w="690" w:type="pct"/>
            <w:tcBorders>
              <w:top w:val="nil"/>
              <w:left w:val="nil"/>
              <w:bottom w:val="nil"/>
              <w:right w:val="nil"/>
            </w:tcBorders>
            <w:shd w:val="clear" w:color="000000" w:fill="FFFFFF"/>
            <w:noWrap/>
            <w:vAlign w:val="center"/>
            <w:hideMark/>
          </w:tcPr>
          <w:p w14:paraId="4D5A93A0" w14:textId="77777777" w:rsidR="00E95B61" w:rsidRPr="00D618B7" w:rsidRDefault="00E95B61" w:rsidP="004B11B7">
            <w:pPr>
              <w:jc w:val="right"/>
              <w:rPr>
                <w:color w:val="000000"/>
              </w:rPr>
            </w:pPr>
            <w:r w:rsidRPr="00D618B7">
              <w:rPr>
                <w:color w:val="000000"/>
              </w:rPr>
              <w:t>6.33</w:t>
            </w:r>
          </w:p>
        </w:tc>
        <w:tc>
          <w:tcPr>
            <w:tcW w:w="742" w:type="pct"/>
            <w:tcBorders>
              <w:top w:val="nil"/>
              <w:left w:val="nil"/>
              <w:bottom w:val="nil"/>
              <w:right w:val="nil"/>
            </w:tcBorders>
            <w:shd w:val="clear" w:color="000000" w:fill="FFFFFF"/>
            <w:noWrap/>
            <w:vAlign w:val="center"/>
            <w:hideMark/>
          </w:tcPr>
          <w:p w14:paraId="26DE4BAD" w14:textId="77777777" w:rsidR="00E95B61" w:rsidRPr="00D618B7" w:rsidRDefault="00E95B61" w:rsidP="004B11B7">
            <w:pPr>
              <w:jc w:val="right"/>
              <w:rPr>
                <w:color w:val="000000"/>
              </w:rPr>
            </w:pPr>
            <w:r w:rsidRPr="00D618B7">
              <w:rPr>
                <w:color w:val="000000"/>
              </w:rPr>
              <w:t>0.65</w:t>
            </w:r>
          </w:p>
        </w:tc>
        <w:tc>
          <w:tcPr>
            <w:tcW w:w="690" w:type="pct"/>
            <w:tcBorders>
              <w:top w:val="nil"/>
              <w:left w:val="nil"/>
              <w:bottom w:val="nil"/>
              <w:right w:val="nil"/>
            </w:tcBorders>
            <w:shd w:val="clear" w:color="000000" w:fill="FFFFFF"/>
            <w:noWrap/>
            <w:vAlign w:val="center"/>
            <w:hideMark/>
          </w:tcPr>
          <w:p w14:paraId="3909EA90" w14:textId="77777777" w:rsidR="00E95B61" w:rsidRPr="00D618B7" w:rsidRDefault="00E95B61" w:rsidP="004B11B7">
            <w:pPr>
              <w:jc w:val="right"/>
              <w:rPr>
                <w:color w:val="000000"/>
              </w:rPr>
            </w:pPr>
            <w:r w:rsidRPr="00D618B7">
              <w:rPr>
                <w:color w:val="000000"/>
              </w:rPr>
              <w:t>3.36</w:t>
            </w:r>
          </w:p>
        </w:tc>
        <w:tc>
          <w:tcPr>
            <w:tcW w:w="744" w:type="pct"/>
            <w:tcBorders>
              <w:top w:val="nil"/>
              <w:left w:val="nil"/>
              <w:bottom w:val="nil"/>
              <w:right w:val="nil"/>
            </w:tcBorders>
            <w:shd w:val="clear" w:color="000000" w:fill="FFFFFF"/>
            <w:noWrap/>
            <w:vAlign w:val="center"/>
            <w:hideMark/>
          </w:tcPr>
          <w:p w14:paraId="4C78716D" w14:textId="77777777" w:rsidR="00E95B61" w:rsidRPr="00D618B7" w:rsidRDefault="00E95B61" w:rsidP="004B11B7">
            <w:pPr>
              <w:jc w:val="right"/>
              <w:rPr>
                <w:color w:val="000000"/>
              </w:rPr>
            </w:pPr>
            <w:r w:rsidRPr="00D618B7">
              <w:rPr>
                <w:color w:val="000000"/>
              </w:rPr>
              <w:t>0.86</w:t>
            </w:r>
          </w:p>
        </w:tc>
      </w:tr>
      <w:tr w:rsidR="00E95B61" w:rsidRPr="00D618B7" w14:paraId="0709D3CE" w14:textId="77777777" w:rsidTr="001A50DE">
        <w:trPr>
          <w:trHeight w:val="311"/>
        </w:trPr>
        <w:tc>
          <w:tcPr>
            <w:tcW w:w="702" w:type="pct"/>
            <w:tcBorders>
              <w:top w:val="nil"/>
              <w:left w:val="nil"/>
              <w:bottom w:val="nil"/>
              <w:right w:val="nil"/>
            </w:tcBorders>
            <w:shd w:val="clear" w:color="000000" w:fill="FFFFFF"/>
            <w:vAlign w:val="center"/>
            <w:hideMark/>
          </w:tcPr>
          <w:p w14:paraId="0DF76EA4" w14:textId="77777777" w:rsidR="00E95B61" w:rsidRPr="00D618B7" w:rsidRDefault="00E95B61" w:rsidP="004B11B7">
            <w:pPr>
              <w:jc w:val="center"/>
              <w:rPr>
                <w:color w:val="000000"/>
              </w:rPr>
            </w:pPr>
            <w:r w:rsidRPr="00D618B7">
              <w:rPr>
                <w:color w:val="000000"/>
              </w:rPr>
              <w:t>2</w:t>
            </w:r>
          </w:p>
        </w:tc>
        <w:tc>
          <w:tcPr>
            <w:tcW w:w="690" w:type="pct"/>
            <w:tcBorders>
              <w:top w:val="nil"/>
              <w:left w:val="nil"/>
              <w:bottom w:val="nil"/>
              <w:right w:val="nil"/>
            </w:tcBorders>
            <w:shd w:val="clear" w:color="000000" w:fill="FFFFFF"/>
            <w:noWrap/>
            <w:vAlign w:val="center"/>
            <w:hideMark/>
          </w:tcPr>
          <w:p w14:paraId="685C37CF" w14:textId="77777777" w:rsidR="00E95B61" w:rsidRPr="00D618B7" w:rsidRDefault="00E95B61" w:rsidP="004B11B7">
            <w:pPr>
              <w:jc w:val="right"/>
              <w:rPr>
                <w:color w:val="000000"/>
              </w:rPr>
            </w:pPr>
            <w:r w:rsidRPr="00D618B7">
              <w:rPr>
                <w:color w:val="000000"/>
              </w:rPr>
              <w:t>14.57</w:t>
            </w:r>
          </w:p>
        </w:tc>
        <w:tc>
          <w:tcPr>
            <w:tcW w:w="742" w:type="pct"/>
            <w:tcBorders>
              <w:top w:val="nil"/>
              <w:left w:val="nil"/>
              <w:bottom w:val="nil"/>
              <w:right w:val="nil"/>
            </w:tcBorders>
            <w:shd w:val="clear" w:color="000000" w:fill="FFFFFF"/>
            <w:noWrap/>
            <w:vAlign w:val="center"/>
            <w:hideMark/>
          </w:tcPr>
          <w:p w14:paraId="34D5DCD0" w14:textId="77777777" w:rsidR="00E95B61" w:rsidRPr="00D618B7" w:rsidRDefault="00E95B61" w:rsidP="004B11B7">
            <w:pPr>
              <w:jc w:val="right"/>
              <w:rPr>
                <w:color w:val="000000"/>
              </w:rPr>
            </w:pPr>
            <w:r w:rsidRPr="00D618B7">
              <w:rPr>
                <w:color w:val="000000"/>
              </w:rPr>
              <w:t>2.69</w:t>
            </w:r>
          </w:p>
        </w:tc>
        <w:tc>
          <w:tcPr>
            <w:tcW w:w="690" w:type="pct"/>
            <w:tcBorders>
              <w:top w:val="nil"/>
              <w:left w:val="nil"/>
              <w:bottom w:val="nil"/>
              <w:right w:val="nil"/>
            </w:tcBorders>
            <w:shd w:val="clear" w:color="000000" w:fill="FFFFFF"/>
            <w:noWrap/>
            <w:vAlign w:val="center"/>
            <w:hideMark/>
          </w:tcPr>
          <w:p w14:paraId="0B84DE86" w14:textId="77777777" w:rsidR="00E95B61" w:rsidRPr="00D618B7" w:rsidRDefault="00E95B61" w:rsidP="004B11B7">
            <w:pPr>
              <w:jc w:val="right"/>
              <w:rPr>
                <w:color w:val="000000"/>
              </w:rPr>
            </w:pPr>
            <w:r w:rsidRPr="00D618B7">
              <w:rPr>
                <w:color w:val="000000"/>
              </w:rPr>
              <w:t>17.00</w:t>
            </w:r>
          </w:p>
        </w:tc>
        <w:tc>
          <w:tcPr>
            <w:tcW w:w="742" w:type="pct"/>
            <w:tcBorders>
              <w:top w:val="nil"/>
              <w:left w:val="nil"/>
              <w:bottom w:val="nil"/>
              <w:right w:val="nil"/>
            </w:tcBorders>
            <w:shd w:val="clear" w:color="000000" w:fill="FFFFFF"/>
            <w:noWrap/>
            <w:vAlign w:val="center"/>
            <w:hideMark/>
          </w:tcPr>
          <w:p w14:paraId="03596EAF" w14:textId="77777777" w:rsidR="00E95B61" w:rsidRPr="00D618B7" w:rsidRDefault="00E95B61" w:rsidP="004B11B7">
            <w:pPr>
              <w:jc w:val="right"/>
              <w:rPr>
                <w:color w:val="000000"/>
              </w:rPr>
            </w:pPr>
            <w:r w:rsidRPr="00D618B7">
              <w:rPr>
                <w:color w:val="000000"/>
              </w:rPr>
              <w:t>1.57</w:t>
            </w:r>
          </w:p>
        </w:tc>
        <w:tc>
          <w:tcPr>
            <w:tcW w:w="690" w:type="pct"/>
            <w:tcBorders>
              <w:top w:val="nil"/>
              <w:left w:val="nil"/>
              <w:bottom w:val="nil"/>
              <w:right w:val="nil"/>
            </w:tcBorders>
            <w:shd w:val="clear" w:color="000000" w:fill="FFFFFF"/>
            <w:noWrap/>
            <w:vAlign w:val="center"/>
            <w:hideMark/>
          </w:tcPr>
          <w:p w14:paraId="18F7E54D" w14:textId="77777777" w:rsidR="00E95B61" w:rsidRPr="00D618B7" w:rsidRDefault="00E95B61" w:rsidP="004B11B7">
            <w:pPr>
              <w:jc w:val="right"/>
              <w:rPr>
                <w:color w:val="000000"/>
              </w:rPr>
            </w:pPr>
            <w:r w:rsidRPr="00D618B7">
              <w:rPr>
                <w:color w:val="000000"/>
              </w:rPr>
              <w:t>7.33</w:t>
            </w:r>
          </w:p>
        </w:tc>
        <w:tc>
          <w:tcPr>
            <w:tcW w:w="744" w:type="pct"/>
            <w:tcBorders>
              <w:top w:val="nil"/>
              <w:left w:val="nil"/>
              <w:bottom w:val="nil"/>
              <w:right w:val="nil"/>
            </w:tcBorders>
            <w:shd w:val="clear" w:color="000000" w:fill="FFFFFF"/>
            <w:noWrap/>
            <w:vAlign w:val="center"/>
            <w:hideMark/>
          </w:tcPr>
          <w:p w14:paraId="79247783" w14:textId="77777777" w:rsidR="00E95B61" w:rsidRPr="00D618B7" w:rsidRDefault="00E95B61" w:rsidP="004B11B7">
            <w:pPr>
              <w:jc w:val="right"/>
              <w:rPr>
                <w:color w:val="000000"/>
              </w:rPr>
            </w:pPr>
            <w:r w:rsidRPr="00D618B7">
              <w:rPr>
                <w:color w:val="000000"/>
              </w:rPr>
              <w:t>1.36</w:t>
            </w:r>
          </w:p>
        </w:tc>
      </w:tr>
      <w:tr w:rsidR="00E95B61" w:rsidRPr="00D618B7" w14:paraId="64A0DD59" w14:textId="77777777" w:rsidTr="001A50DE">
        <w:trPr>
          <w:trHeight w:val="311"/>
        </w:trPr>
        <w:tc>
          <w:tcPr>
            <w:tcW w:w="702" w:type="pct"/>
            <w:tcBorders>
              <w:top w:val="nil"/>
              <w:left w:val="nil"/>
              <w:bottom w:val="nil"/>
              <w:right w:val="nil"/>
            </w:tcBorders>
            <w:shd w:val="clear" w:color="000000" w:fill="FFFFFF"/>
            <w:vAlign w:val="center"/>
            <w:hideMark/>
          </w:tcPr>
          <w:p w14:paraId="1F0F3904" w14:textId="77777777" w:rsidR="00E95B61" w:rsidRPr="00D618B7" w:rsidRDefault="00E95B61" w:rsidP="004B11B7">
            <w:pPr>
              <w:jc w:val="center"/>
              <w:rPr>
                <w:color w:val="000000"/>
              </w:rPr>
            </w:pPr>
            <w:r w:rsidRPr="00D618B7">
              <w:rPr>
                <w:color w:val="000000"/>
              </w:rPr>
              <w:t>3</w:t>
            </w:r>
          </w:p>
        </w:tc>
        <w:tc>
          <w:tcPr>
            <w:tcW w:w="690" w:type="pct"/>
            <w:tcBorders>
              <w:top w:val="nil"/>
              <w:left w:val="nil"/>
              <w:bottom w:val="nil"/>
              <w:right w:val="nil"/>
            </w:tcBorders>
            <w:shd w:val="clear" w:color="000000" w:fill="FFFFFF"/>
            <w:noWrap/>
            <w:vAlign w:val="center"/>
            <w:hideMark/>
          </w:tcPr>
          <w:p w14:paraId="260B0441" w14:textId="77777777" w:rsidR="00E95B61" w:rsidRPr="00D618B7" w:rsidRDefault="00E95B61" w:rsidP="004B11B7">
            <w:pPr>
              <w:jc w:val="right"/>
              <w:rPr>
                <w:color w:val="000000"/>
              </w:rPr>
            </w:pPr>
            <w:r w:rsidRPr="00D618B7">
              <w:rPr>
                <w:color w:val="000000"/>
              </w:rPr>
              <w:t>13.90</w:t>
            </w:r>
          </w:p>
        </w:tc>
        <w:tc>
          <w:tcPr>
            <w:tcW w:w="742" w:type="pct"/>
            <w:tcBorders>
              <w:top w:val="nil"/>
              <w:left w:val="nil"/>
              <w:bottom w:val="nil"/>
              <w:right w:val="nil"/>
            </w:tcBorders>
            <w:shd w:val="clear" w:color="000000" w:fill="FFFFFF"/>
            <w:noWrap/>
            <w:vAlign w:val="center"/>
            <w:hideMark/>
          </w:tcPr>
          <w:p w14:paraId="0FAEF520" w14:textId="77777777" w:rsidR="00E95B61" w:rsidRPr="00D618B7" w:rsidRDefault="00E95B61" w:rsidP="004B11B7">
            <w:pPr>
              <w:jc w:val="right"/>
              <w:rPr>
                <w:color w:val="000000"/>
              </w:rPr>
            </w:pPr>
            <w:r w:rsidRPr="00D618B7">
              <w:rPr>
                <w:color w:val="000000"/>
              </w:rPr>
              <w:t>1.57</w:t>
            </w:r>
          </w:p>
        </w:tc>
        <w:tc>
          <w:tcPr>
            <w:tcW w:w="690" w:type="pct"/>
            <w:tcBorders>
              <w:top w:val="nil"/>
              <w:left w:val="nil"/>
              <w:bottom w:val="nil"/>
              <w:right w:val="nil"/>
            </w:tcBorders>
            <w:shd w:val="clear" w:color="000000" w:fill="FFFFFF"/>
            <w:noWrap/>
            <w:vAlign w:val="center"/>
            <w:hideMark/>
          </w:tcPr>
          <w:p w14:paraId="45FE995A" w14:textId="77777777" w:rsidR="00E95B61" w:rsidRPr="00D618B7" w:rsidRDefault="00E95B61" w:rsidP="004B11B7">
            <w:pPr>
              <w:jc w:val="right"/>
              <w:rPr>
                <w:color w:val="000000"/>
              </w:rPr>
            </w:pPr>
            <w:r w:rsidRPr="00D618B7">
              <w:rPr>
                <w:color w:val="000000"/>
              </w:rPr>
              <w:t>12.74</w:t>
            </w:r>
          </w:p>
        </w:tc>
        <w:tc>
          <w:tcPr>
            <w:tcW w:w="742" w:type="pct"/>
            <w:tcBorders>
              <w:top w:val="nil"/>
              <w:left w:val="nil"/>
              <w:bottom w:val="nil"/>
              <w:right w:val="nil"/>
            </w:tcBorders>
            <w:shd w:val="clear" w:color="000000" w:fill="FFFFFF"/>
            <w:noWrap/>
            <w:vAlign w:val="center"/>
            <w:hideMark/>
          </w:tcPr>
          <w:p w14:paraId="534DEB89" w14:textId="77777777" w:rsidR="00E95B61" w:rsidRPr="00D618B7" w:rsidRDefault="00E95B61" w:rsidP="004B11B7">
            <w:pPr>
              <w:jc w:val="right"/>
              <w:rPr>
                <w:color w:val="000000"/>
              </w:rPr>
            </w:pPr>
            <w:r w:rsidRPr="00D618B7">
              <w:rPr>
                <w:color w:val="000000"/>
              </w:rPr>
              <w:t>0.59</w:t>
            </w:r>
          </w:p>
        </w:tc>
        <w:tc>
          <w:tcPr>
            <w:tcW w:w="690" w:type="pct"/>
            <w:tcBorders>
              <w:top w:val="nil"/>
              <w:left w:val="nil"/>
              <w:bottom w:val="nil"/>
              <w:right w:val="nil"/>
            </w:tcBorders>
            <w:shd w:val="clear" w:color="000000" w:fill="FFFFFF"/>
            <w:noWrap/>
            <w:vAlign w:val="center"/>
            <w:hideMark/>
          </w:tcPr>
          <w:p w14:paraId="6F51B870" w14:textId="77777777" w:rsidR="00E95B61" w:rsidRPr="00D618B7" w:rsidRDefault="00E95B61" w:rsidP="004B11B7">
            <w:pPr>
              <w:jc w:val="right"/>
              <w:rPr>
                <w:color w:val="000000"/>
              </w:rPr>
            </w:pPr>
            <w:r w:rsidRPr="00D618B7">
              <w:rPr>
                <w:color w:val="000000"/>
              </w:rPr>
              <w:t>9.28</w:t>
            </w:r>
          </w:p>
        </w:tc>
        <w:tc>
          <w:tcPr>
            <w:tcW w:w="744" w:type="pct"/>
            <w:tcBorders>
              <w:top w:val="nil"/>
              <w:left w:val="nil"/>
              <w:bottom w:val="nil"/>
              <w:right w:val="nil"/>
            </w:tcBorders>
            <w:shd w:val="clear" w:color="000000" w:fill="FFFFFF"/>
            <w:noWrap/>
            <w:vAlign w:val="center"/>
            <w:hideMark/>
          </w:tcPr>
          <w:p w14:paraId="2D1DA071" w14:textId="77777777" w:rsidR="00E95B61" w:rsidRPr="00D618B7" w:rsidRDefault="00E95B61" w:rsidP="004B11B7">
            <w:pPr>
              <w:jc w:val="right"/>
              <w:rPr>
                <w:color w:val="000000"/>
              </w:rPr>
            </w:pPr>
            <w:r w:rsidRPr="00D618B7">
              <w:rPr>
                <w:color w:val="000000"/>
              </w:rPr>
              <w:t>0.82</w:t>
            </w:r>
          </w:p>
        </w:tc>
      </w:tr>
      <w:tr w:rsidR="00E95B61" w:rsidRPr="00D618B7" w14:paraId="671F5EF2" w14:textId="77777777" w:rsidTr="001A50DE">
        <w:trPr>
          <w:trHeight w:val="311"/>
        </w:trPr>
        <w:tc>
          <w:tcPr>
            <w:tcW w:w="702" w:type="pct"/>
            <w:tcBorders>
              <w:top w:val="nil"/>
              <w:left w:val="nil"/>
              <w:bottom w:val="nil"/>
              <w:right w:val="nil"/>
            </w:tcBorders>
            <w:shd w:val="clear" w:color="000000" w:fill="FFFFFF"/>
            <w:vAlign w:val="center"/>
            <w:hideMark/>
          </w:tcPr>
          <w:p w14:paraId="0A58986B" w14:textId="77777777" w:rsidR="00E95B61" w:rsidRPr="00D618B7" w:rsidRDefault="00E95B61" w:rsidP="004B11B7">
            <w:pPr>
              <w:jc w:val="center"/>
              <w:rPr>
                <w:color w:val="000000"/>
              </w:rPr>
            </w:pPr>
            <w:r w:rsidRPr="00D618B7">
              <w:rPr>
                <w:color w:val="000000"/>
              </w:rPr>
              <w:t>4</w:t>
            </w:r>
          </w:p>
        </w:tc>
        <w:tc>
          <w:tcPr>
            <w:tcW w:w="690" w:type="pct"/>
            <w:tcBorders>
              <w:top w:val="nil"/>
              <w:left w:val="nil"/>
              <w:bottom w:val="nil"/>
              <w:right w:val="nil"/>
            </w:tcBorders>
            <w:shd w:val="clear" w:color="000000" w:fill="FFFFFF"/>
            <w:noWrap/>
            <w:vAlign w:val="center"/>
            <w:hideMark/>
          </w:tcPr>
          <w:p w14:paraId="03DC08BB" w14:textId="77777777" w:rsidR="00E95B61" w:rsidRPr="00D618B7" w:rsidRDefault="00E95B61" w:rsidP="004B11B7">
            <w:pPr>
              <w:jc w:val="right"/>
              <w:rPr>
                <w:color w:val="000000"/>
              </w:rPr>
            </w:pPr>
            <w:r w:rsidRPr="00D618B7">
              <w:rPr>
                <w:color w:val="000000"/>
              </w:rPr>
              <w:t>8.21</w:t>
            </w:r>
          </w:p>
        </w:tc>
        <w:tc>
          <w:tcPr>
            <w:tcW w:w="742" w:type="pct"/>
            <w:tcBorders>
              <w:top w:val="nil"/>
              <w:left w:val="nil"/>
              <w:bottom w:val="nil"/>
              <w:right w:val="nil"/>
            </w:tcBorders>
            <w:shd w:val="clear" w:color="000000" w:fill="FFFFFF"/>
            <w:noWrap/>
            <w:vAlign w:val="center"/>
            <w:hideMark/>
          </w:tcPr>
          <w:p w14:paraId="2B47A8D4" w14:textId="77777777" w:rsidR="00E95B61" w:rsidRPr="00D618B7" w:rsidRDefault="00E95B61" w:rsidP="004B11B7">
            <w:pPr>
              <w:jc w:val="right"/>
              <w:rPr>
                <w:color w:val="000000"/>
              </w:rPr>
            </w:pPr>
            <w:r w:rsidRPr="00D618B7">
              <w:rPr>
                <w:color w:val="000000"/>
              </w:rPr>
              <w:t>1.12</w:t>
            </w:r>
          </w:p>
        </w:tc>
        <w:tc>
          <w:tcPr>
            <w:tcW w:w="690" w:type="pct"/>
            <w:tcBorders>
              <w:top w:val="nil"/>
              <w:left w:val="nil"/>
              <w:bottom w:val="nil"/>
              <w:right w:val="nil"/>
            </w:tcBorders>
            <w:shd w:val="clear" w:color="000000" w:fill="FFFFFF"/>
            <w:noWrap/>
            <w:vAlign w:val="center"/>
            <w:hideMark/>
          </w:tcPr>
          <w:p w14:paraId="77249E03" w14:textId="77777777" w:rsidR="00E95B61" w:rsidRPr="00D618B7" w:rsidRDefault="00E95B61" w:rsidP="004B11B7">
            <w:pPr>
              <w:jc w:val="right"/>
              <w:rPr>
                <w:color w:val="000000"/>
              </w:rPr>
            </w:pPr>
            <w:r w:rsidRPr="00D618B7">
              <w:rPr>
                <w:color w:val="000000"/>
              </w:rPr>
              <w:t>6.29</w:t>
            </w:r>
          </w:p>
        </w:tc>
        <w:tc>
          <w:tcPr>
            <w:tcW w:w="742" w:type="pct"/>
            <w:tcBorders>
              <w:top w:val="nil"/>
              <w:left w:val="nil"/>
              <w:bottom w:val="nil"/>
              <w:right w:val="nil"/>
            </w:tcBorders>
            <w:shd w:val="clear" w:color="000000" w:fill="FFFFFF"/>
            <w:noWrap/>
            <w:vAlign w:val="center"/>
            <w:hideMark/>
          </w:tcPr>
          <w:p w14:paraId="52CEC07D" w14:textId="77777777" w:rsidR="00E95B61" w:rsidRPr="00D618B7" w:rsidRDefault="00E95B61" w:rsidP="004B11B7">
            <w:pPr>
              <w:jc w:val="right"/>
              <w:rPr>
                <w:color w:val="000000"/>
              </w:rPr>
            </w:pPr>
            <w:r w:rsidRPr="00D618B7">
              <w:rPr>
                <w:color w:val="000000"/>
              </w:rPr>
              <w:t>0.30</w:t>
            </w:r>
          </w:p>
        </w:tc>
        <w:tc>
          <w:tcPr>
            <w:tcW w:w="690" w:type="pct"/>
            <w:tcBorders>
              <w:top w:val="nil"/>
              <w:left w:val="nil"/>
              <w:bottom w:val="nil"/>
              <w:right w:val="nil"/>
            </w:tcBorders>
            <w:shd w:val="clear" w:color="000000" w:fill="FFFFFF"/>
            <w:noWrap/>
            <w:vAlign w:val="center"/>
            <w:hideMark/>
          </w:tcPr>
          <w:p w14:paraId="60BB6EB9" w14:textId="77777777" w:rsidR="00E95B61" w:rsidRPr="00D618B7" w:rsidRDefault="00E95B61" w:rsidP="004B11B7">
            <w:pPr>
              <w:jc w:val="right"/>
              <w:rPr>
                <w:color w:val="000000"/>
              </w:rPr>
            </w:pPr>
            <w:r w:rsidRPr="00D618B7">
              <w:rPr>
                <w:color w:val="000000"/>
              </w:rPr>
              <w:t>7.45</w:t>
            </w:r>
          </w:p>
        </w:tc>
        <w:tc>
          <w:tcPr>
            <w:tcW w:w="744" w:type="pct"/>
            <w:tcBorders>
              <w:top w:val="nil"/>
              <w:left w:val="nil"/>
              <w:bottom w:val="nil"/>
              <w:right w:val="nil"/>
            </w:tcBorders>
            <w:shd w:val="clear" w:color="000000" w:fill="FFFFFF"/>
            <w:noWrap/>
            <w:vAlign w:val="center"/>
            <w:hideMark/>
          </w:tcPr>
          <w:p w14:paraId="11939DF4" w14:textId="77777777" w:rsidR="00E95B61" w:rsidRPr="00D618B7" w:rsidRDefault="00E95B61" w:rsidP="004B11B7">
            <w:pPr>
              <w:jc w:val="right"/>
              <w:rPr>
                <w:color w:val="000000"/>
              </w:rPr>
            </w:pPr>
            <w:r w:rsidRPr="00D618B7">
              <w:rPr>
                <w:color w:val="000000"/>
              </w:rPr>
              <w:t>0.24</w:t>
            </w:r>
          </w:p>
        </w:tc>
      </w:tr>
      <w:tr w:rsidR="00E95B61" w:rsidRPr="00D618B7" w14:paraId="4997382D" w14:textId="77777777" w:rsidTr="001A50DE">
        <w:trPr>
          <w:trHeight w:val="326"/>
        </w:trPr>
        <w:tc>
          <w:tcPr>
            <w:tcW w:w="702" w:type="pct"/>
            <w:tcBorders>
              <w:top w:val="nil"/>
              <w:left w:val="nil"/>
              <w:bottom w:val="single" w:sz="12" w:space="0" w:color="auto"/>
              <w:right w:val="nil"/>
            </w:tcBorders>
            <w:shd w:val="clear" w:color="000000" w:fill="FFFFFF"/>
            <w:vAlign w:val="center"/>
            <w:hideMark/>
          </w:tcPr>
          <w:p w14:paraId="398A6ACB" w14:textId="77777777" w:rsidR="00E95B61" w:rsidRPr="00D618B7" w:rsidRDefault="00E95B61" w:rsidP="004B11B7">
            <w:pPr>
              <w:jc w:val="center"/>
              <w:rPr>
                <w:color w:val="000000"/>
              </w:rPr>
            </w:pPr>
            <w:r w:rsidRPr="00D618B7">
              <w:rPr>
                <w:color w:val="000000"/>
              </w:rPr>
              <w:t>5</w:t>
            </w:r>
          </w:p>
        </w:tc>
        <w:tc>
          <w:tcPr>
            <w:tcW w:w="690" w:type="pct"/>
            <w:tcBorders>
              <w:top w:val="nil"/>
              <w:left w:val="nil"/>
              <w:bottom w:val="single" w:sz="12" w:space="0" w:color="auto"/>
              <w:right w:val="nil"/>
            </w:tcBorders>
            <w:shd w:val="clear" w:color="000000" w:fill="FFFFFF"/>
            <w:noWrap/>
            <w:vAlign w:val="center"/>
            <w:hideMark/>
          </w:tcPr>
          <w:p w14:paraId="0E2FB169" w14:textId="77777777" w:rsidR="00E95B61" w:rsidRPr="00D618B7" w:rsidRDefault="00E95B61" w:rsidP="004B11B7">
            <w:pPr>
              <w:jc w:val="right"/>
              <w:rPr>
                <w:color w:val="000000"/>
              </w:rPr>
            </w:pPr>
            <w:r w:rsidRPr="00D618B7">
              <w:rPr>
                <w:color w:val="000000"/>
              </w:rPr>
              <w:t>10.22</w:t>
            </w:r>
          </w:p>
        </w:tc>
        <w:tc>
          <w:tcPr>
            <w:tcW w:w="742" w:type="pct"/>
            <w:tcBorders>
              <w:top w:val="nil"/>
              <w:left w:val="nil"/>
              <w:bottom w:val="single" w:sz="12" w:space="0" w:color="auto"/>
              <w:right w:val="nil"/>
            </w:tcBorders>
            <w:shd w:val="clear" w:color="000000" w:fill="FFFFFF"/>
            <w:noWrap/>
            <w:vAlign w:val="center"/>
            <w:hideMark/>
          </w:tcPr>
          <w:p w14:paraId="56B5BD72" w14:textId="77777777" w:rsidR="00E95B61" w:rsidRPr="00D618B7" w:rsidRDefault="00E95B61" w:rsidP="004B11B7">
            <w:pPr>
              <w:jc w:val="right"/>
              <w:rPr>
                <w:color w:val="000000"/>
              </w:rPr>
            </w:pPr>
            <w:r w:rsidRPr="00D618B7">
              <w:rPr>
                <w:color w:val="000000"/>
              </w:rPr>
              <w:t>1.30</w:t>
            </w:r>
          </w:p>
        </w:tc>
        <w:tc>
          <w:tcPr>
            <w:tcW w:w="690" w:type="pct"/>
            <w:tcBorders>
              <w:top w:val="nil"/>
              <w:left w:val="nil"/>
              <w:bottom w:val="single" w:sz="12" w:space="0" w:color="auto"/>
              <w:right w:val="nil"/>
            </w:tcBorders>
            <w:shd w:val="clear" w:color="000000" w:fill="FFFFFF"/>
            <w:noWrap/>
            <w:vAlign w:val="center"/>
            <w:hideMark/>
          </w:tcPr>
          <w:p w14:paraId="15319004" w14:textId="77777777" w:rsidR="00E95B61" w:rsidRPr="00D618B7" w:rsidRDefault="00E95B61" w:rsidP="004B11B7">
            <w:pPr>
              <w:jc w:val="right"/>
              <w:rPr>
                <w:color w:val="000000"/>
              </w:rPr>
            </w:pPr>
            <w:r w:rsidRPr="00D618B7">
              <w:rPr>
                <w:color w:val="000000"/>
              </w:rPr>
              <w:t>13.32</w:t>
            </w:r>
          </w:p>
        </w:tc>
        <w:tc>
          <w:tcPr>
            <w:tcW w:w="742" w:type="pct"/>
            <w:tcBorders>
              <w:top w:val="nil"/>
              <w:left w:val="nil"/>
              <w:bottom w:val="single" w:sz="12" w:space="0" w:color="auto"/>
              <w:right w:val="nil"/>
            </w:tcBorders>
            <w:shd w:val="clear" w:color="000000" w:fill="FFFFFF"/>
            <w:noWrap/>
            <w:vAlign w:val="center"/>
            <w:hideMark/>
          </w:tcPr>
          <w:p w14:paraId="296E9583" w14:textId="77777777" w:rsidR="00E95B61" w:rsidRPr="00D618B7" w:rsidRDefault="00E95B61" w:rsidP="004B11B7">
            <w:pPr>
              <w:jc w:val="right"/>
              <w:rPr>
                <w:color w:val="000000"/>
              </w:rPr>
            </w:pPr>
            <w:r w:rsidRPr="00D618B7">
              <w:rPr>
                <w:color w:val="000000"/>
              </w:rPr>
              <w:t>0.61</w:t>
            </w:r>
          </w:p>
        </w:tc>
        <w:tc>
          <w:tcPr>
            <w:tcW w:w="690" w:type="pct"/>
            <w:tcBorders>
              <w:top w:val="nil"/>
              <w:left w:val="nil"/>
              <w:bottom w:val="single" w:sz="12" w:space="0" w:color="auto"/>
              <w:right w:val="nil"/>
            </w:tcBorders>
            <w:shd w:val="clear" w:color="000000" w:fill="FFFFFF"/>
            <w:noWrap/>
            <w:vAlign w:val="center"/>
            <w:hideMark/>
          </w:tcPr>
          <w:p w14:paraId="126A94F0" w14:textId="77777777" w:rsidR="00E95B61" w:rsidRPr="00D618B7" w:rsidRDefault="00E95B61" w:rsidP="004B11B7">
            <w:pPr>
              <w:jc w:val="right"/>
              <w:rPr>
                <w:color w:val="000000"/>
              </w:rPr>
            </w:pPr>
            <w:r w:rsidRPr="00D618B7">
              <w:rPr>
                <w:color w:val="000000"/>
              </w:rPr>
              <w:t>8.05</w:t>
            </w:r>
          </w:p>
        </w:tc>
        <w:tc>
          <w:tcPr>
            <w:tcW w:w="744" w:type="pct"/>
            <w:tcBorders>
              <w:top w:val="nil"/>
              <w:left w:val="nil"/>
              <w:bottom w:val="single" w:sz="12" w:space="0" w:color="auto"/>
              <w:right w:val="nil"/>
            </w:tcBorders>
            <w:shd w:val="clear" w:color="000000" w:fill="FFFFFF"/>
            <w:noWrap/>
            <w:vAlign w:val="center"/>
            <w:hideMark/>
          </w:tcPr>
          <w:p w14:paraId="1DE08691" w14:textId="77777777" w:rsidR="00E95B61" w:rsidRPr="00D618B7" w:rsidRDefault="00E95B61" w:rsidP="004B11B7">
            <w:pPr>
              <w:jc w:val="right"/>
              <w:rPr>
                <w:color w:val="000000"/>
              </w:rPr>
            </w:pPr>
            <w:r w:rsidRPr="00D618B7">
              <w:rPr>
                <w:color w:val="000000"/>
              </w:rPr>
              <w:t>0.46</w:t>
            </w:r>
          </w:p>
        </w:tc>
      </w:tr>
    </w:tbl>
    <w:p w14:paraId="4952E579" w14:textId="77777777" w:rsidR="00E95B61" w:rsidRPr="00D618B7" w:rsidRDefault="00E95B61" w:rsidP="00E95B61">
      <w:pPr>
        <w:rPr>
          <w:i/>
          <w:iCs/>
        </w:rPr>
      </w:pPr>
    </w:p>
    <w:p w14:paraId="0C3A259B" w14:textId="12A40BE9" w:rsidR="00395777" w:rsidRPr="00D618B7" w:rsidRDefault="00E95B61" w:rsidP="00E95B61">
      <w:r w:rsidRPr="00D618B7">
        <w:rPr>
          <w:i/>
          <w:iCs/>
        </w:rPr>
        <w:t>Note</w:t>
      </w:r>
      <w:r w:rsidRPr="00D618B7">
        <w:t>: This table lists the estimated mean average velocity and standard errors for toy-out-of-reach, toy-moving-into-reach, and toy-in-reach by group for each week of observation around reach-onset.</w:t>
      </w:r>
    </w:p>
    <w:p w14:paraId="3A69A13E" w14:textId="77777777" w:rsidR="00395777" w:rsidRPr="00D618B7" w:rsidRDefault="00395777">
      <w:r w:rsidRPr="00D618B7">
        <w:br w:type="page"/>
      </w:r>
    </w:p>
    <w:p w14:paraId="07D99785" w14:textId="77777777" w:rsidR="005B326D" w:rsidRPr="00D618B7" w:rsidRDefault="005B326D" w:rsidP="005B326D">
      <w:r w:rsidRPr="00D618B7">
        <w:rPr>
          <w:noProof/>
        </w:rPr>
        <w:lastRenderedPageBreak/>
        <w:drawing>
          <wp:inline distT="0" distB="0" distL="0" distR="0" wp14:anchorId="4344602E" wp14:editId="312A9A81">
            <wp:extent cx="5943600" cy="4586605"/>
            <wp:effectExtent l="0" t="0" r="0" b="4445"/>
            <wp:docPr id="495342102" name="Chart 1">
              <a:extLst xmlns:a="http://schemas.openxmlformats.org/drawingml/2006/main">
                <a:ext uri="{FF2B5EF4-FFF2-40B4-BE49-F238E27FC236}">
                  <a16:creationId xmlns:a16="http://schemas.microsoft.com/office/drawing/2014/main" id="{B759F082-8C6A-442D-87C7-1C37D8AFE3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Pr="00D618B7">
        <w:t xml:space="preserve"> </w:t>
      </w:r>
    </w:p>
    <w:p w14:paraId="46E31D25" w14:textId="77777777" w:rsidR="001A50DE" w:rsidRPr="00D618B7" w:rsidRDefault="001A50DE" w:rsidP="001A50DE">
      <w:pPr>
        <w:pStyle w:val="Caption"/>
      </w:pPr>
      <w:bookmarkStart w:id="237" w:name="_Toc172716972"/>
      <w:r w:rsidRPr="00D618B7">
        <w:t xml:space="preserve">Figure </w:t>
      </w:r>
      <w:r>
        <w:fldChar w:fldCharType="begin"/>
      </w:r>
      <w:r>
        <w:instrText xml:space="preserve"> SEQ Figure \* ARABIC </w:instrText>
      </w:r>
      <w:r>
        <w:fldChar w:fldCharType="separate"/>
      </w:r>
      <w:r>
        <w:rPr>
          <w:noProof/>
        </w:rPr>
        <w:t>32</w:t>
      </w:r>
      <w:r>
        <w:rPr>
          <w:noProof/>
        </w:rPr>
        <w:fldChar w:fldCharType="end"/>
      </w:r>
      <w:r>
        <w:rPr>
          <w:noProof/>
        </w:rPr>
        <w:t>:</w:t>
      </w:r>
      <w:r w:rsidRPr="00D060E7">
        <w:rPr>
          <w:noProof/>
        </w:rPr>
        <w:t xml:space="preserve"> </w:t>
      </w:r>
      <w:r>
        <w:t>Movement units per week by group</w:t>
      </w:r>
      <w:bookmarkEnd w:id="237"/>
    </w:p>
    <w:p w14:paraId="4ED0E051" w14:textId="77777777" w:rsidR="001A50DE" w:rsidRDefault="001A50DE" w:rsidP="001A50DE"/>
    <w:p w14:paraId="11E1F8A0" w14:textId="3E3A5EFD" w:rsidR="001A50DE" w:rsidRPr="00D618B7" w:rsidRDefault="001A50DE" w:rsidP="001A50DE">
      <w:r w:rsidRPr="00D618B7">
        <w:t>Estimated Mean Average Movement Units per Week by Group</w:t>
      </w:r>
      <w:r>
        <w:t>.</w:t>
      </w:r>
    </w:p>
    <w:p w14:paraId="41966F9B" w14:textId="10D4B4F1" w:rsidR="005B326D" w:rsidRPr="00D618B7" w:rsidRDefault="005B326D" w:rsidP="005B326D">
      <w:r w:rsidRPr="00D618B7">
        <w:rPr>
          <w:i/>
          <w:iCs/>
        </w:rPr>
        <w:t>Note</w:t>
      </w:r>
      <w:r w:rsidRPr="00D618B7">
        <w:t>. This figure illustrates the estimated mean movement units for each week of observation around reach-onset by group. Error bars show standard error.</w:t>
      </w:r>
    </w:p>
    <w:p w14:paraId="037B2102" w14:textId="77777777" w:rsidR="005B326D" w:rsidRPr="00D618B7" w:rsidRDefault="005B326D" w:rsidP="004E2AD9">
      <w:pPr>
        <w:rPr>
          <w:b/>
          <w:bCs/>
        </w:rPr>
      </w:pPr>
    </w:p>
    <w:p w14:paraId="1F3F00E9" w14:textId="77777777" w:rsidR="005B326D" w:rsidRPr="00D618B7" w:rsidRDefault="005B326D" w:rsidP="004E2AD9">
      <w:pPr>
        <w:rPr>
          <w:b/>
          <w:bCs/>
        </w:rPr>
      </w:pPr>
    </w:p>
    <w:p w14:paraId="6A193C8A" w14:textId="3AA25C26" w:rsidR="005B326D" w:rsidRPr="00D618B7" w:rsidRDefault="005B326D" w:rsidP="007C5074">
      <w:pPr>
        <w:pStyle w:val="Caption"/>
      </w:pPr>
      <w:bookmarkStart w:id="238" w:name="_Toc172716915"/>
      <w:r w:rsidRPr="00D618B7">
        <w:t xml:space="preserve">Table </w:t>
      </w:r>
      <w:r w:rsidR="00000000">
        <w:fldChar w:fldCharType="begin"/>
      </w:r>
      <w:r w:rsidR="00000000">
        <w:instrText xml:space="preserve"> SEQ Table \* ARABIC </w:instrText>
      </w:r>
      <w:r w:rsidR="00000000">
        <w:fldChar w:fldCharType="separate"/>
      </w:r>
      <w:r w:rsidR="000C6E43">
        <w:rPr>
          <w:noProof/>
        </w:rPr>
        <w:t>87</w:t>
      </w:r>
      <w:r w:rsidR="00000000">
        <w:rPr>
          <w:noProof/>
        </w:rPr>
        <w:fldChar w:fldCharType="end"/>
      </w:r>
      <w:r w:rsidR="00AE3927">
        <w:rPr>
          <w:noProof/>
        </w:rPr>
        <w:t>:</w:t>
      </w:r>
      <w:r w:rsidR="00D060E7" w:rsidRPr="00D060E7">
        <w:t xml:space="preserve"> </w:t>
      </w:r>
      <w:r w:rsidR="00D060E7">
        <w:t>Movement units by group</w:t>
      </w:r>
      <w:bookmarkEnd w:id="238"/>
    </w:p>
    <w:p w14:paraId="2C3191C4" w14:textId="0DF0CDF1" w:rsidR="004E2AD9" w:rsidRPr="00D618B7" w:rsidRDefault="004E2AD9" w:rsidP="004E2AD9">
      <w:r w:rsidRPr="00D618B7">
        <w:t>Estimated Mean Movement Units by Group</w:t>
      </w:r>
    </w:p>
    <w:tbl>
      <w:tblPr>
        <w:tblW w:w="5000" w:type="pct"/>
        <w:tblLook w:val="04A0" w:firstRow="1" w:lastRow="0" w:firstColumn="1" w:lastColumn="0" w:noHBand="0" w:noVBand="1"/>
      </w:tblPr>
      <w:tblGrid>
        <w:gridCol w:w="4922"/>
        <w:gridCol w:w="1859"/>
        <w:gridCol w:w="1859"/>
      </w:tblGrid>
      <w:tr w:rsidR="004E2AD9" w:rsidRPr="00D618B7" w14:paraId="715A2065" w14:textId="77777777" w:rsidTr="004B11B7">
        <w:trPr>
          <w:trHeight w:val="346"/>
        </w:trPr>
        <w:tc>
          <w:tcPr>
            <w:tcW w:w="2848" w:type="pct"/>
            <w:tcBorders>
              <w:top w:val="nil"/>
              <w:left w:val="nil"/>
              <w:bottom w:val="single" w:sz="8" w:space="0" w:color="auto"/>
              <w:right w:val="nil"/>
            </w:tcBorders>
            <w:shd w:val="clear" w:color="auto" w:fill="auto"/>
            <w:noWrap/>
            <w:vAlign w:val="bottom"/>
            <w:hideMark/>
          </w:tcPr>
          <w:p w14:paraId="04B1E586" w14:textId="77777777" w:rsidR="004E2AD9" w:rsidRPr="00D618B7" w:rsidRDefault="004E2AD9"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37BEE693" w14:textId="77777777" w:rsidR="004E2AD9" w:rsidRPr="00D618B7" w:rsidRDefault="004E2AD9" w:rsidP="004B11B7">
            <w:pPr>
              <w:rPr>
                <w:color w:val="000000"/>
              </w:rPr>
            </w:pPr>
            <w:r w:rsidRPr="00D618B7">
              <w:rPr>
                <w:color w:val="000000"/>
              </w:rPr>
              <w:t> </w:t>
            </w:r>
          </w:p>
        </w:tc>
        <w:tc>
          <w:tcPr>
            <w:tcW w:w="1076" w:type="pct"/>
            <w:tcBorders>
              <w:top w:val="nil"/>
              <w:left w:val="nil"/>
              <w:bottom w:val="single" w:sz="8" w:space="0" w:color="auto"/>
              <w:right w:val="nil"/>
            </w:tcBorders>
            <w:shd w:val="clear" w:color="auto" w:fill="auto"/>
            <w:noWrap/>
            <w:vAlign w:val="bottom"/>
            <w:hideMark/>
          </w:tcPr>
          <w:p w14:paraId="31A06547" w14:textId="77777777" w:rsidR="004E2AD9" w:rsidRPr="00D618B7" w:rsidRDefault="004E2AD9" w:rsidP="004B11B7">
            <w:pPr>
              <w:rPr>
                <w:color w:val="000000"/>
              </w:rPr>
            </w:pPr>
            <w:r w:rsidRPr="00D618B7">
              <w:rPr>
                <w:color w:val="000000"/>
              </w:rPr>
              <w:t> </w:t>
            </w:r>
          </w:p>
        </w:tc>
      </w:tr>
      <w:tr w:rsidR="004E2AD9" w:rsidRPr="00D618B7" w14:paraId="5D97B6D8" w14:textId="77777777" w:rsidTr="004B11B7">
        <w:trPr>
          <w:trHeight w:val="346"/>
        </w:trPr>
        <w:tc>
          <w:tcPr>
            <w:tcW w:w="2848" w:type="pct"/>
            <w:tcBorders>
              <w:top w:val="nil"/>
              <w:left w:val="nil"/>
              <w:bottom w:val="single" w:sz="8" w:space="0" w:color="auto"/>
              <w:right w:val="nil"/>
            </w:tcBorders>
            <w:shd w:val="clear" w:color="000000" w:fill="FFFFFF"/>
            <w:vAlign w:val="center"/>
            <w:hideMark/>
          </w:tcPr>
          <w:p w14:paraId="2999A719" w14:textId="77777777" w:rsidR="004E2AD9" w:rsidRPr="00D618B7" w:rsidRDefault="004E2AD9" w:rsidP="004B11B7">
            <w:pPr>
              <w:rPr>
                <w:color w:val="000000"/>
              </w:rPr>
            </w:pPr>
            <w:r w:rsidRPr="00D618B7">
              <w:rPr>
                <w:color w:val="000000"/>
              </w:rPr>
              <w:t>Week</w:t>
            </w:r>
          </w:p>
        </w:tc>
        <w:tc>
          <w:tcPr>
            <w:tcW w:w="1076" w:type="pct"/>
            <w:tcBorders>
              <w:top w:val="nil"/>
              <w:left w:val="nil"/>
              <w:bottom w:val="single" w:sz="8" w:space="0" w:color="auto"/>
              <w:right w:val="nil"/>
            </w:tcBorders>
            <w:shd w:val="clear" w:color="000000" w:fill="FFFFFF"/>
            <w:noWrap/>
            <w:vAlign w:val="center"/>
            <w:hideMark/>
          </w:tcPr>
          <w:p w14:paraId="06AC2CD9" w14:textId="77777777" w:rsidR="004E2AD9" w:rsidRPr="00D618B7" w:rsidRDefault="004E2AD9" w:rsidP="004B11B7">
            <w:pPr>
              <w:jc w:val="right"/>
              <w:rPr>
                <w:color w:val="000000"/>
              </w:rPr>
            </w:pPr>
            <w:r w:rsidRPr="00D618B7">
              <w:rPr>
                <w:color w:val="000000"/>
              </w:rPr>
              <w:t>Mean</w:t>
            </w:r>
          </w:p>
        </w:tc>
        <w:tc>
          <w:tcPr>
            <w:tcW w:w="1076" w:type="pct"/>
            <w:tcBorders>
              <w:top w:val="nil"/>
              <w:left w:val="nil"/>
              <w:bottom w:val="single" w:sz="8" w:space="0" w:color="auto"/>
              <w:right w:val="nil"/>
            </w:tcBorders>
            <w:shd w:val="clear" w:color="000000" w:fill="FFFFFF"/>
            <w:noWrap/>
            <w:vAlign w:val="center"/>
            <w:hideMark/>
          </w:tcPr>
          <w:p w14:paraId="16412E3E" w14:textId="77777777" w:rsidR="004E2AD9" w:rsidRPr="00D618B7" w:rsidRDefault="004E2AD9" w:rsidP="004B11B7">
            <w:pPr>
              <w:jc w:val="right"/>
              <w:rPr>
                <w:color w:val="000000"/>
              </w:rPr>
            </w:pPr>
            <w:r w:rsidRPr="00D618B7">
              <w:rPr>
                <w:color w:val="000000"/>
              </w:rPr>
              <w:t>Std. Error</w:t>
            </w:r>
          </w:p>
        </w:tc>
      </w:tr>
      <w:tr w:rsidR="004E2AD9" w:rsidRPr="00D618B7" w14:paraId="0E7A3ADF" w14:textId="77777777" w:rsidTr="004B11B7">
        <w:trPr>
          <w:trHeight w:val="346"/>
        </w:trPr>
        <w:tc>
          <w:tcPr>
            <w:tcW w:w="2848" w:type="pct"/>
            <w:tcBorders>
              <w:top w:val="nil"/>
              <w:left w:val="nil"/>
              <w:bottom w:val="nil"/>
              <w:right w:val="nil"/>
            </w:tcBorders>
            <w:shd w:val="clear" w:color="000000" w:fill="FFFFFF"/>
            <w:vAlign w:val="center"/>
            <w:hideMark/>
          </w:tcPr>
          <w:p w14:paraId="204E70C2" w14:textId="77777777" w:rsidR="004E2AD9" w:rsidRPr="00D618B7" w:rsidRDefault="004E2AD9" w:rsidP="004B11B7">
            <w:pPr>
              <w:rPr>
                <w:color w:val="000000"/>
              </w:rPr>
            </w:pPr>
            <w:r w:rsidRPr="00D618B7">
              <w:rPr>
                <w:color w:val="000000"/>
              </w:rPr>
              <w:t>Early Reach Group</w:t>
            </w:r>
          </w:p>
        </w:tc>
        <w:tc>
          <w:tcPr>
            <w:tcW w:w="1076" w:type="pct"/>
            <w:tcBorders>
              <w:top w:val="nil"/>
              <w:left w:val="nil"/>
              <w:bottom w:val="nil"/>
              <w:right w:val="nil"/>
            </w:tcBorders>
            <w:shd w:val="clear" w:color="000000" w:fill="FFFFFF"/>
            <w:noWrap/>
            <w:vAlign w:val="center"/>
            <w:hideMark/>
          </w:tcPr>
          <w:p w14:paraId="7C4898B7" w14:textId="77777777" w:rsidR="004E2AD9" w:rsidRPr="00D618B7" w:rsidRDefault="004E2AD9" w:rsidP="004B11B7">
            <w:pPr>
              <w:jc w:val="right"/>
              <w:rPr>
                <w:color w:val="000000"/>
              </w:rPr>
            </w:pPr>
            <w:r w:rsidRPr="00D618B7">
              <w:rPr>
                <w:color w:val="000000"/>
              </w:rPr>
              <w:t>22.89</w:t>
            </w:r>
          </w:p>
        </w:tc>
        <w:tc>
          <w:tcPr>
            <w:tcW w:w="1076" w:type="pct"/>
            <w:tcBorders>
              <w:top w:val="nil"/>
              <w:left w:val="nil"/>
              <w:bottom w:val="nil"/>
              <w:right w:val="nil"/>
            </w:tcBorders>
            <w:shd w:val="clear" w:color="000000" w:fill="FFFFFF"/>
            <w:noWrap/>
            <w:vAlign w:val="center"/>
            <w:hideMark/>
          </w:tcPr>
          <w:p w14:paraId="0817A74F" w14:textId="77777777" w:rsidR="004E2AD9" w:rsidRPr="00D618B7" w:rsidRDefault="004E2AD9" w:rsidP="004B11B7">
            <w:pPr>
              <w:jc w:val="right"/>
              <w:rPr>
                <w:color w:val="000000"/>
              </w:rPr>
            </w:pPr>
            <w:r w:rsidRPr="00D618B7">
              <w:rPr>
                <w:color w:val="000000"/>
              </w:rPr>
              <w:t>1.75</w:t>
            </w:r>
          </w:p>
        </w:tc>
      </w:tr>
      <w:tr w:rsidR="004E2AD9" w:rsidRPr="00D618B7" w14:paraId="095EDA7D" w14:textId="77777777" w:rsidTr="004B11B7">
        <w:trPr>
          <w:trHeight w:val="346"/>
        </w:trPr>
        <w:tc>
          <w:tcPr>
            <w:tcW w:w="2848" w:type="pct"/>
            <w:tcBorders>
              <w:top w:val="nil"/>
              <w:left w:val="nil"/>
              <w:bottom w:val="single" w:sz="8" w:space="0" w:color="auto"/>
              <w:right w:val="nil"/>
            </w:tcBorders>
            <w:shd w:val="clear" w:color="000000" w:fill="FFFFFF"/>
            <w:vAlign w:val="center"/>
            <w:hideMark/>
          </w:tcPr>
          <w:p w14:paraId="02314732" w14:textId="77777777" w:rsidR="004E2AD9" w:rsidRPr="00D618B7" w:rsidRDefault="004E2AD9" w:rsidP="004B11B7">
            <w:pPr>
              <w:rPr>
                <w:color w:val="000000"/>
              </w:rPr>
            </w:pPr>
            <w:r w:rsidRPr="00D618B7">
              <w:rPr>
                <w:color w:val="000000"/>
              </w:rPr>
              <w:t>Late Reach Group</w:t>
            </w:r>
          </w:p>
        </w:tc>
        <w:tc>
          <w:tcPr>
            <w:tcW w:w="1076" w:type="pct"/>
            <w:tcBorders>
              <w:top w:val="nil"/>
              <w:left w:val="nil"/>
              <w:bottom w:val="single" w:sz="8" w:space="0" w:color="auto"/>
              <w:right w:val="nil"/>
            </w:tcBorders>
            <w:shd w:val="clear" w:color="000000" w:fill="FFFFFF"/>
            <w:noWrap/>
            <w:vAlign w:val="center"/>
            <w:hideMark/>
          </w:tcPr>
          <w:p w14:paraId="3784F5E6" w14:textId="77777777" w:rsidR="004E2AD9" w:rsidRPr="00D618B7" w:rsidRDefault="004E2AD9" w:rsidP="004B11B7">
            <w:pPr>
              <w:jc w:val="right"/>
              <w:rPr>
                <w:color w:val="000000"/>
              </w:rPr>
            </w:pPr>
            <w:r w:rsidRPr="00D618B7">
              <w:rPr>
                <w:color w:val="000000"/>
              </w:rPr>
              <w:t>27.41</w:t>
            </w:r>
          </w:p>
        </w:tc>
        <w:tc>
          <w:tcPr>
            <w:tcW w:w="1076" w:type="pct"/>
            <w:tcBorders>
              <w:top w:val="nil"/>
              <w:left w:val="nil"/>
              <w:bottom w:val="single" w:sz="8" w:space="0" w:color="auto"/>
              <w:right w:val="nil"/>
            </w:tcBorders>
            <w:shd w:val="clear" w:color="000000" w:fill="FFFFFF"/>
            <w:noWrap/>
            <w:vAlign w:val="center"/>
            <w:hideMark/>
          </w:tcPr>
          <w:p w14:paraId="02DA3CE5" w14:textId="77777777" w:rsidR="004E2AD9" w:rsidRPr="00D618B7" w:rsidRDefault="004E2AD9" w:rsidP="004B11B7">
            <w:pPr>
              <w:jc w:val="right"/>
              <w:rPr>
                <w:color w:val="000000"/>
              </w:rPr>
            </w:pPr>
            <w:r w:rsidRPr="00D618B7">
              <w:rPr>
                <w:color w:val="000000"/>
              </w:rPr>
              <w:t>1.08</w:t>
            </w:r>
          </w:p>
        </w:tc>
      </w:tr>
    </w:tbl>
    <w:p w14:paraId="16F090DB" w14:textId="77777777" w:rsidR="004E2AD9" w:rsidRPr="00D618B7" w:rsidRDefault="004E2AD9" w:rsidP="004E2AD9">
      <w:pPr>
        <w:rPr>
          <w:i/>
          <w:iCs/>
        </w:rPr>
      </w:pPr>
    </w:p>
    <w:p w14:paraId="25F1E8CF" w14:textId="54AAD948" w:rsidR="004E2AD9" w:rsidRPr="00D618B7" w:rsidRDefault="004E2AD9" w:rsidP="004E2AD9">
      <w:r w:rsidRPr="00D618B7">
        <w:rPr>
          <w:i/>
          <w:iCs/>
        </w:rPr>
        <w:t>Note</w:t>
      </w:r>
      <w:r w:rsidRPr="00D618B7">
        <w:t xml:space="preserve">: This table lists the estimated mean </w:t>
      </w:r>
      <w:r w:rsidR="005B326D" w:rsidRPr="00D618B7">
        <w:t xml:space="preserve">movement units </w:t>
      </w:r>
      <w:r w:rsidRPr="00D618B7">
        <w:t>and standard errors for the early and late groups.</w:t>
      </w:r>
    </w:p>
    <w:p w14:paraId="7CAB27A2" w14:textId="16FED707" w:rsidR="00505F44" w:rsidRPr="00D618B7" w:rsidRDefault="00505F44" w:rsidP="007C5074">
      <w:pPr>
        <w:pStyle w:val="Caption"/>
      </w:pPr>
      <w:bookmarkStart w:id="239" w:name="_Toc172716916"/>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88</w:t>
      </w:r>
      <w:r w:rsidR="00000000">
        <w:rPr>
          <w:noProof/>
        </w:rPr>
        <w:fldChar w:fldCharType="end"/>
      </w:r>
      <w:r w:rsidR="00AE3927">
        <w:rPr>
          <w:noProof/>
        </w:rPr>
        <w:t>:</w:t>
      </w:r>
      <w:r w:rsidR="00D060E7" w:rsidRPr="00D060E7">
        <w:t xml:space="preserve"> </w:t>
      </w:r>
      <w:r w:rsidR="00D060E7">
        <w:t>Movement units per week by group</w:t>
      </w:r>
      <w:bookmarkEnd w:id="239"/>
    </w:p>
    <w:p w14:paraId="13CB06AD" w14:textId="6316CC5E" w:rsidR="00505F44" w:rsidRPr="00D618B7" w:rsidRDefault="00505F44" w:rsidP="00505F44">
      <w:r w:rsidRPr="00D618B7">
        <w:t>Estimated Mean Average Movement Units per Week by Group</w:t>
      </w:r>
    </w:p>
    <w:tbl>
      <w:tblPr>
        <w:tblW w:w="8564" w:type="dxa"/>
        <w:tblLook w:val="04A0" w:firstRow="1" w:lastRow="0" w:firstColumn="1" w:lastColumn="0" w:noHBand="0" w:noVBand="1"/>
      </w:tblPr>
      <w:tblGrid>
        <w:gridCol w:w="1790"/>
        <w:gridCol w:w="1759"/>
        <w:gridCol w:w="1533"/>
        <w:gridCol w:w="2118"/>
        <w:gridCol w:w="1364"/>
      </w:tblGrid>
      <w:tr w:rsidR="00505F44" w:rsidRPr="00D618B7" w14:paraId="4D351C5D" w14:textId="77777777" w:rsidTr="004B11B7">
        <w:trPr>
          <w:trHeight w:val="345"/>
        </w:trPr>
        <w:tc>
          <w:tcPr>
            <w:tcW w:w="1790" w:type="dxa"/>
            <w:tcBorders>
              <w:top w:val="single" w:sz="12" w:space="0" w:color="auto"/>
              <w:left w:val="nil"/>
              <w:bottom w:val="nil"/>
              <w:right w:val="nil"/>
            </w:tcBorders>
            <w:shd w:val="clear" w:color="000000" w:fill="FFFFFF"/>
            <w:vAlign w:val="center"/>
            <w:hideMark/>
          </w:tcPr>
          <w:p w14:paraId="6ECBE087" w14:textId="77777777" w:rsidR="00505F44" w:rsidRPr="00D618B7" w:rsidRDefault="00505F44" w:rsidP="004B11B7">
            <w:pPr>
              <w:rPr>
                <w:color w:val="000000"/>
              </w:rPr>
            </w:pPr>
            <w:r w:rsidRPr="00D618B7">
              <w:rPr>
                <w:color w:val="000000"/>
              </w:rPr>
              <w:t>Week</w:t>
            </w:r>
          </w:p>
        </w:tc>
        <w:tc>
          <w:tcPr>
            <w:tcW w:w="3292" w:type="dxa"/>
            <w:gridSpan w:val="2"/>
            <w:tcBorders>
              <w:top w:val="single" w:sz="12" w:space="0" w:color="auto"/>
              <w:left w:val="nil"/>
              <w:bottom w:val="single" w:sz="12" w:space="0" w:color="auto"/>
              <w:right w:val="nil"/>
            </w:tcBorders>
            <w:shd w:val="clear" w:color="000000" w:fill="FFFFFF"/>
            <w:vAlign w:val="center"/>
            <w:hideMark/>
          </w:tcPr>
          <w:p w14:paraId="1E719866" w14:textId="77777777" w:rsidR="00505F44" w:rsidRPr="00D618B7" w:rsidRDefault="00505F44" w:rsidP="004B11B7">
            <w:pPr>
              <w:jc w:val="center"/>
              <w:rPr>
                <w:color w:val="000000"/>
              </w:rPr>
            </w:pPr>
            <w:r w:rsidRPr="00D618B7">
              <w:rPr>
                <w:color w:val="000000"/>
              </w:rPr>
              <w:t>Early Reach Group</w:t>
            </w:r>
          </w:p>
        </w:tc>
        <w:tc>
          <w:tcPr>
            <w:tcW w:w="3482" w:type="dxa"/>
            <w:gridSpan w:val="2"/>
            <w:tcBorders>
              <w:top w:val="single" w:sz="12" w:space="0" w:color="auto"/>
              <w:left w:val="nil"/>
              <w:bottom w:val="single" w:sz="12" w:space="0" w:color="auto"/>
              <w:right w:val="nil"/>
            </w:tcBorders>
            <w:shd w:val="clear" w:color="000000" w:fill="FFFFFF"/>
            <w:vAlign w:val="center"/>
            <w:hideMark/>
          </w:tcPr>
          <w:p w14:paraId="06F0568D" w14:textId="77777777" w:rsidR="00505F44" w:rsidRPr="00D618B7" w:rsidRDefault="00505F44" w:rsidP="004B11B7">
            <w:pPr>
              <w:jc w:val="center"/>
              <w:rPr>
                <w:color w:val="000000"/>
              </w:rPr>
            </w:pPr>
            <w:r w:rsidRPr="00D618B7">
              <w:rPr>
                <w:color w:val="000000"/>
              </w:rPr>
              <w:t>Late Reach Group</w:t>
            </w:r>
          </w:p>
        </w:tc>
      </w:tr>
      <w:tr w:rsidR="00505F44" w:rsidRPr="00D618B7" w14:paraId="35A71FA7" w14:textId="77777777" w:rsidTr="004B11B7">
        <w:trPr>
          <w:trHeight w:val="345"/>
        </w:trPr>
        <w:tc>
          <w:tcPr>
            <w:tcW w:w="1790" w:type="dxa"/>
            <w:tcBorders>
              <w:top w:val="nil"/>
              <w:left w:val="nil"/>
              <w:bottom w:val="single" w:sz="12" w:space="0" w:color="auto"/>
              <w:right w:val="nil"/>
            </w:tcBorders>
            <w:shd w:val="clear" w:color="000000" w:fill="FFFFFF"/>
            <w:noWrap/>
            <w:vAlign w:val="center"/>
            <w:hideMark/>
          </w:tcPr>
          <w:p w14:paraId="098DFE05" w14:textId="77777777" w:rsidR="00505F44" w:rsidRPr="00D618B7" w:rsidRDefault="00505F44" w:rsidP="004B11B7">
            <w:pPr>
              <w:rPr>
                <w:color w:val="000000"/>
              </w:rPr>
            </w:pPr>
            <w:r w:rsidRPr="00D618B7">
              <w:rPr>
                <w:color w:val="000000"/>
              </w:rPr>
              <w:t> </w:t>
            </w:r>
          </w:p>
        </w:tc>
        <w:tc>
          <w:tcPr>
            <w:tcW w:w="1759" w:type="dxa"/>
            <w:tcBorders>
              <w:top w:val="nil"/>
              <w:left w:val="nil"/>
              <w:bottom w:val="single" w:sz="12" w:space="0" w:color="auto"/>
              <w:right w:val="nil"/>
            </w:tcBorders>
            <w:shd w:val="clear" w:color="000000" w:fill="FFFFFF"/>
            <w:noWrap/>
            <w:vAlign w:val="center"/>
            <w:hideMark/>
          </w:tcPr>
          <w:p w14:paraId="2756BE50" w14:textId="77777777" w:rsidR="00505F44" w:rsidRPr="00D618B7" w:rsidRDefault="00505F44" w:rsidP="004B11B7">
            <w:pPr>
              <w:jc w:val="right"/>
              <w:rPr>
                <w:color w:val="000000"/>
              </w:rPr>
            </w:pPr>
            <w:r w:rsidRPr="00D618B7">
              <w:rPr>
                <w:color w:val="000000"/>
              </w:rPr>
              <w:t>Mean</w:t>
            </w:r>
          </w:p>
        </w:tc>
        <w:tc>
          <w:tcPr>
            <w:tcW w:w="1533" w:type="dxa"/>
            <w:tcBorders>
              <w:top w:val="nil"/>
              <w:left w:val="nil"/>
              <w:bottom w:val="single" w:sz="12" w:space="0" w:color="auto"/>
              <w:right w:val="nil"/>
            </w:tcBorders>
            <w:shd w:val="clear" w:color="000000" w:fill="FFFFFF"/>
            <w:noWrap/>
            <w:vAlign w:val="center"/>
            <w:hideMark/>
          </w:tcPr>
          <w:p w14:paraId="45CFDB41" w14:textId="77777777" w:rsidR="00505F44" w:rsidRPr="00D618B7" w:rsidRDefault="00505F44" w:rsidP="004B11B7">
            <w:pPr>
              <w:jc w:val="right"/>
              <w:rPr>
                <w:color w:val="000000"/>
              </w:rPr>
            </w:pPr>
            <w:r w:rsidRPr="00D618B7">
              <w:rPr>
                <w:color w:val="000000"/>
              </w:rPr>
              <w:t>Std. Error</w:t>
            </w:r>
          </w:p>
        </w:tc>
        <w:tc>
          <w:tcPr>
            <w:tcW w:w="2118" w:type="dxa"/>
            <w:tcBorders>
              <w:top w:val="nil"/>
              <w:left w:val="nil"/>
              <w:bottom w:val="single" w:sz="12" w:space="0" w:color="auto"/>
              <w:right w:val="nil"/>
            </w:tcBorders>
            <w:shd w:val="clear" w:color="000000" w:fill="FFFFFF"/>
            <w:noWrap/>
            <w:vAlign w:val="center"/>
            <w:hideMark/>
          </w:tcPr>
          <w:p w14:paraId="521B1E6F" w14:textId="77777777" w:rsidR="00505F44" w:rsidRPr="00D618B7" w:rsidRDefault="00505F44" w:rsidP="004B11B7">
            <w:pPr>
              <w:jc w:val="right"/>
              <w:rPr>
                <w:color w:val="000000"/>
              </w:rPr>
            </w:pPr>
            <w:r w:rsidRPr="00D618B7">
              <w:rPr>
                <w:color w:val="000000"/>
              </w:rPr>
              <w:t>Mean</w:t>
            </w:r>
          </w:p>
        </w:tc>
        <w:tc>
          <w:tcPr>
            <w:tcW w:w="1364" w:type="dxa"/>
            <w:tcBorders>
              <w:top w:val="nil"/>
              <w:left w:val="nil"/>
              <w:bottom w:val="single" w:sz="12" w:space="0" w:color="auto"/>
              <w:right w:val="nil"/>
            </w:tcBorders>
            <w:shd w:val="clear" w:color="000000" w:fill="FFFFFF"/>
            <w:noWrap/>
            <w:vAlign w:val="center"/>
            <w:hideMark/>
          </w:tcPr>
          <w:p w14:paraId="756B6FA6" w14:textId="77777777" w:rsidR="00505F44" w:rsidRPr="00D618B7" w:rsidRDefault="00505F44" w:rsidP="004B11B7">
            <w:pPr>
              <w:jc w:val="right"/>
              <w:rPr>
                <w:color w:val="000000"/>
              </w:rPr>
            </w:pPr>
            <w:r w:rsidRPr="00D618B7">
              <w:rPr>
                <w:color w:val="000000"/>
              </w:rPr>
              <w:t>Std. Error</w:t>
            </w:r>
          </w:p>
        </w:tc>
      </w:tr>
      <w:tr w:rsidR="00505F44" w:rsidRPr="00D618B7" w14:paraId="45DC5849" w14:textId="77777777" w:rsidTr="004B11B7">
        <w:trPr>
          <w:trHeight w:val="328"/>
        </w:trPr>
        <w:tc>
          <w:tcPr>
            <w:tcW w:w="1790" w:type="dxa"/>
            <w:tcBorders>
              <w:top w:val="nil"/>
              <w:left w:val="nil"/>
              <w:bottom w:val="nil"/>
              <w:right w:val="nil"/>
            </w:tcBorders>
            <w:shd w:val="clear" w:color="000000" w:fill="FFFFFF"/>
            <w:noWrap/>
            <w:vAlign w:val="center"/>
            <w:hideMark/>
          </w:tcPr>
          <w:p w14:paraId="67761651" w14:textId="77777777" w:rsidR="00505F44" w:rsidRPr="00D618B7" w:rsidRDefault="00505F44" w:rsidP="004B11B7">
            <w:pPr>
              <w:jc w:val="center"/>
              <w:rPr>
                <w:color w:val="000000"/>
              </w:rPr>
            </w:pPr>
            <w:r w:rsidRPr="00D618B7">
              <w:rPr>
                <w:color w:val="000000"/>
              </w:rPr>
              <w:t>-5</w:t>
            </w:r>
          </w:p>
        </w:tc>
        <w:tc>
          <w:tcPr>
            <w:tcW w:w="1759" w:type="dxa"/>
            <w:tcBorders>
              <w:top w:val="nil"/>
              <w:left w:val="nil"/>
              <w:bottom w:val="nil"/>
              <w:right w:val="nil"/>
            </w:tcBorders>
            <w:shd w:val="clear" w:color="000000" w:fill="FFFFFF"/>
            <w:noWrap/>
            <w:vAlign w:val="center"/>
            <w:hideMark/>
          </w:tcPr>
          <w:p w14:paraId="38431AA9" w14:textId="77777777" w:rsidR="00505F44" w:rsidRPr="00D618B7" w:rsidRDefault="00505F44" w:rsidP="004B11B7">
            <w:pPr>
              <w:jc w:val="right"/>
              <w:rPr>
                <w:color w:val="000000"/>
              </w:rPr>
            </w:pPr>
            <w:r w:rsidRPr="00D618B7">
              <w:rPr>
                <w:color w:val="000000"/>
              </w:rPr>
              <w:t>24.00</w:t>
            </w:r>
          </w:p>
        </w:tc>
        <w:tc>
          <w:tcPr>
            <w:tcW w:w="1533" w:type="dxa"/>
            <w:tcBorders>
              <w:top w:val="nil"/>
              <w:left w:val="nil"/>
              <w:bottom w:val="nil"/>
              <w:right w:val="nil"/>
            </w:tcBorders>
            <w:shd w:val="clear" w:color="000000" w:fill="FFFFFF"/>
            <w:noWrap/>
            <w:vAlign w:val="center"/>
            <w:hideMark/>
          </w:tcPr>
          <w:p w14:paraId="01629B31" w14:textId="77777777" w:rsidR="00505F44" w:rsidRPr="00D618B7" w:rsidRDefault="00505F44" w:rsidP="004B11B7">
            <w:pPr>
              <w:jc w:val="right"/>
              <w:rPr>
                <w:color w:val="000000"/>
              </w:rPr>
            </w:pPr>
            <w:r w:rsidRPr="00D618B7">
              <w:rPr>
                <w:color w:val="000000"/>
              </w:rPr>
              <w:t>3.10</w:t>
            </w:r>
          </w:p>
        </w:tc>
        <w:tc>
          <w:tcPr>
            <w:tcW w:w="2118" w:type="dxa"/>
            <w:tcBorders>
              <w:top w:val="nil"/>
              <w:left w:val="nil"/>
              <w:bottom w:val="nil"/>
              <w:right w:val="nil"/>
            </w:tcBorders>
            <w:shd w:val="clear" w:color="000000" w:fill="FFFFFF"/>
            <w:noWrap/>
            <w:vAlign w:val="center"/>
            <w:hideMark/>
          </w:tcPr>
          <w:p w14:paraId="3EE85974" w14:textId="77777777" w:rsidR="00505F44" w:rsidRPr="00D618B7" w:rsidRDefault="00505F44" w:rsidP="004B11B7">
            <w:pPr>
              <w:jc w:val="right"/>
              <w:rPr>
                <w:color w:val="000000"/>
              </w:rPr>
            </w:pPr>
            <w:r w:rsidRPr="00D618B7">
              <w:rPr>
                <w:color w:val="000000"/>
              </w:rPr>
              <w:t>21.62</w:t>
            </w:r>
          </w:p>
        </w:tc>
        <w:tc>
          <w:tcPr>
            <w:tcW w:w="1364" w:type="dxa"/>
            <w:tcBorders>
              <w:top w:val="nil"/>
              <w:left w:val="nil"/>
              <w:bottom w:val="nil"/>
              <w:right w:val="nil"/>
            </w:tcBorders>
            <w:shd w:val="clear" w:color="000000" w:fill="FFFFFF"/>
            <w:noWrap/>
            <w:vAlign w:val="center"/>
            <w:hideMark/>
          </w:tcPr>
          <w:p w14:paraId="72BC88E3" w14:textId="77777777" w:rsidR="00505F44" w:rsidRPr="00D618B7" w:rsidRDefault="00505F44" w:rsidP="004B11B7">
            <w:pPr>
              <w:jc w:val="right"/>
              <w:rPr>
                <w:color w:val="000000"/>
              </w:rPr>
            </w:pPr>
            <w:r w:rsidRPr="00D618B7">
              <w:rPr>
                <w:color w:val="000000"/>
              </w:rPr>
              <w:t>1.63</w:t>
            </w:r>
          </w:p>
        </w:tc>
      </w:tr>
      <w:tr w:rsidR="00505F44" w:rsidRPr="00D618B7" w14:paraId="51D5ADD7" w14:textId="77777777" w:rsidTr="004B11B7">
        <w:trPr>
          <w:trHeight w:val="313"/>
        </w:trPr>
        <w:tc>
          <w:tcPr>
            <w:tcW w:w="1790" w:type="dxa"/>
            <w:tcBorders>
              <w:top w:val="nil"/>
              <w:left w:val="nil"/>
              <w:bottom w:val="nil"/>
              <w:right w:val="nil"/>
            </w:tcBorders>
            <w:shd w:val="clear" w:color="000000" w:fill="FFFFFF"/>
            <w:noWrap/>
            <w:vAlign w:val="center"/>
            <w:hideMark/>
          </w:tcPr>
          <w:p w14:paraId="3133D10C" w14:textId="77777777" w:rsidR="00505F44" w:rsidRPr="00D618B7" w:rsidRDefault="00505F44" w:rsidP="004B11B7">
            <w:pPr>
              <w:jc w:val="center"/>
              <w:rPr>
                <w:color w:val="000000"/>
              </w:rPr>
            </w:pPr>
            <w:r w:rsidRPr="00D618B7">
              <w:rPr>
                <w:color w:val="000000"/>
              </w:rPr>
              <w:t>-4</w:t>
            </w:r>
          </w:p>
        </w:tc>
        <w:tc>
          <w:tcPr>
            <w:tcW w:w="1759" w:type="dxa"/>
            <w:tcBorders>
              <w:top w:val="nil"/>
              <w:left w:val="nil"/>
              <w:bottom w:val="nil"/>
              <w:right w:val="nil"/>
            </w:tcBorders>
            <w:shd w:val="clear" w:color="000000" w:fill="FFFFFF"/>
            <w:noWrap/>
            <w:vAlign w:val="center"/>
            <w:hideMark/>
          </w:tcPr>
          <w:p w14:paraId="2BE77BBF" w14:textId="77777777" w:rsidR="00505F44" w:rsidRPr="00D618B7" w:rsidRDefault="00505F44" w:rsidP="004B11B7">
            <w:pPr>
              <w:jc w:val="right"/>
              <w:rPr>
                <w:color w:val="000000"/>
              </w:rPr>
            </w:pPr>
            <w:r w:rsidRPr="00D618B7">
              <w:rPr>
                <w:color w:val="000000"/>
              </w:rPr>
              <w:t>16.10</w:t>
            </w:r>
          </w:p>
        </w:tc>
        <w:tc>
          <w:tcPr>
            <w:tcW w:w="1533" w:type="dxa"/>
            <w:tcBorders>
              <w:top w:val="nil"/>
              <w:left w:val="nil"/>
              <w:bottom w:val="nil"/>
              <w:right w:val="nil"/>
            </w:tcBorders>
            <w:shd w:val="clear" w:color="000000" w:fill="FFFFFF"/>
            <w:noWrap/>
            <w:vAlign w:val="center"/>
            <w:hideMark/>
          </w:tcPr>
          <w:p w14:paraId="6A8325AD" w14:textId="77777777" w:rsidR="00505F44" w:rsidRPr="00D618B7" w:rsidRDefault="00505F44" w:rsidP="004B11B7">
            <w:pPr>
              <w:jc w:val="right"/>
              <w:rPr>
                <w:color w:val="000000"/>
              </w:rPr>
            </w:pPr>
            <w:r w:rsidRPr="00D618B7">
              <w:rPr>
                <w:color w:val="000000"/>
              </w:rPr>
              <w:t>3.99</w:t>
            </w:r>
          </w:p>
        </w:tc>
        <w:tc>
          <w:tcPr>
            <w:tcW w:w="2118" w:type="dxa"/>
            <w:tcBorders>
              <w:top w:val="nil"/>
              <w:left w:val="nil"/>
              <w:bottom w:val="nil"/>
              <w:right w:val="nil"/>
            </w:tcBorders>
            <w:shd w:val="clear" w:color="000000" w:fill="FFFFFF"/>
            <w:noWrap/>
            <w:vAlign w:val="center"/>
            <w:hideMark/>
          </w:tcPr>
          <w:p w14:paraId="44494F24" w14:textId="77777777" w:rsidR="00505F44" w:rsidRPr="00D618B7" w:rsidRDefault="00505F44" w:rsidP="004B11B7">
            <w:pPr>
              <w:jc w:val="right"/>
              <w:rPr>
                <w:color w:val="000000"/>
              </w:rPr>
            </w:pPr>
            <w:r w:rsidRPr="00D618B7">
              <w:rPr>
                <w:color w:val="000000"/>
              </w:rPr>
              <w:t>21.46</w:t>
            </w:r>
          </w:p>
        </w:tc>
        <w:tc>
          <w:tcPr>
            <w:tcW w:w="1364" w:type="dxa"/>
            <w:tcBorders>
              <w:top w:val="nil"/>
              <w:left w:val="nil"/>
              <w:bottom w:val="nil"/>
              <w:right w:val="nil"/>
            </w:tcBorders>
            <w:shd w:val="clear" w:color="000000" w:fill="FFFFFF"/>
            <w:noWrap/>
            <w:vAlign w:val="center"/>
            <w:hideMark/>
          </w:tcPr>
          <w:p w14:paraId="4B6DE421" w14:textId="77777777" w:rsidR="00505F44" w:rsidRPr="00D618B7" w:rsidRDefault="00505F44" w:rsidP="004B11B7">
            <w:pPr>
              <w:jc w:val="right"/>
              <w:rPr>
                <w:color w:val="000000"/>
              </w:rPr>
            </w:pPr>
            <w:r w:rsidRPr="00D618B7">
              <w:rPr>
                <w:color w:val="000000"/>
              </w:rPr>
              <w:t>2.13</w:t>
            </w:r>
          </w:p>
        </w:tc>
      </w:tr>
      <w:tr w:rsidR="00505F44" w:rsidRPr="00D618B7" w14:paraId="1CD840E9" w14:textId="77777777" w:rsidTr="004B11B7">
        <w:trPr>
          <w:trHeight w:val="313"/>
        </w:trPr>
        <w:tc>
          <w:tcPr>
            <w:tcW w:w="1790" w:type="dxa"/>
            <w:tcBorders>
              <w:top w:val="nil"/>
              <w:left w:val="nil"/>
              <w:bottom w:val="nil"/>
              <w:right w:val="nil"/>
            </w:tcBorders>
            <w:shd w:val="clear" w:color="000000" w:fill="FFFFFF"/>
            <w:noWrap/>
            <w:vAlign w:val="center"/>
            <w:hideMark/>
          </w:tcPr>
          <w:p w14:paraId="0D7AE182" w14:textId="77777777" w:rsidR="00505F44" w:rsidRPr="00D618B7" w:rsidRDefault="00505F44" w:rsidP="004B11B7">
            <w:pPr>
              <w:jc w:val="center"/>
              <w:rPr>
                <w:color w:val="000000"/>
              </w:rPr>
            </w:pPr>
            <w:r w:rsidRPr="00D618B7">
              <w:rPr>
                <w:color w:val="000000"/>
              </w:rPr>
              <w:t>-3</w:t>
            </w:r>
          </w:p>
        </w:tc>
        <w:tc>
          <w:tcPr>
            <w:tcW w:w="1759" w:type="dxa"/>
            <w:tcBorders>
              <w:top w:val="nil"/>
              <w:left w:val="nil"/>
              <w:bottom w:val="nil"/>
              <w:right w:val="nil"/>
            </w:tcBorders>
            <w:shd w:val="clear" w:color="000000" w:fill="FFFFFF"/>
            <w:noWrap/>
            <w:vAlign w:val="center"/>
            <w:hideMark/>
          </w:tcPr>
          <w:p w14:paraId="3E29E7E2" w14:textId="77777777" w:rsidR="00505F44" w:rsidRPr="00D618B7" w:rsidRDefault="00505F44" w:rsidP="004B11B7">
            <w:pPr>
              <w:jc w:val="right"/>
              <w:rPr>
                <w:color w:val="000000"/>
              </w:rPr>
            </w:pPr>
            <w:r w:rsidRPr="00D618B7">
              <w:rPr>
                <w:color w:val="000000"/>
              </w:rPr>
              <w:t>15.89</w:t>
            </w:r>
          </w:p>
        </w:tc>
        <w:tc>
          <w:tcPr>
            <w:tcW w:w="1533" w:type="dxa"/>
            <w:tcBorders>
              <w:top w:val="nil"/>
              <w:left w:val="nil"/>
              <w:bottom w:val="nil"/>
              <w:right w:val="nil"/>
            </w:tcBorders>
            <w:shd w:val="clear" w:color="000000" w:fill="FFFFFF"/>
            <w:noWrap/>
            <w:vAlign w:val="center"/>
            <w:hideMark/>
          </w:tcPr>
          <w:p w14:paraId="68B190A8" w14:textId="77777777" w:rsidR="00505F44" w:rsidRPr="00D618B7" w:rsidRDefault="00505F44" w:rsidP="004B11B7">
            <w:pPr>
              <w:jc w:val="right"/>
              <w:rPr>
                <w:color w:val="000000"/>
              </w:rPr>
            </w:pPr>
            <w:r w:rsidRPr="00D618B7">
              <w:rPr>
                <w:color w:val="000000"/>
              </w:rPr>
              <w:t>0.78</w:t>
            </w:r>
          </w:p>
        </w:tc>
        <w:tc>
          <w:tcPr>
            <w:tcW w:w="2118" w:type="dxa"/>
            <w:tcBorders>
              <w:top w:val="nil"/>
              <w:left w:val="nil"/>
              <w:bottom w:val="nil"/>
              <w:right w:val="nil"/>
            </w:tcBorders>
            <w:shd w:val="clear" w:color="000000" w:fill="FFFFFF"/>
            <w:noWrap/>
            <w:vAlign w:val="center"/>
            <w:hideMark/>
          </w:tcPr>
          <w:p w14:paraId="7F0768C6" w14:textId="77777777" w:rsidR="00505F44" w:rsidRPr="00D618B7" w:rsidRDefault="00505F44" w:rsidP="004B11B7">
            <w:pPr>
              <w:jc w:val="right"/>
              <w:rPr>
                <w:color w:val="000000"/>
              </w:rPr>
            </w:pPr>
            <w:r w:rsidRPr="00D618B7">
              <w:rPr>
                <w:color w:val="000000"/>
              </w:rPr>
              <w:t>24.07</w:t>
            </w:r>
          </w:p>
        </w:tc>
        <w:tc>
          <w:tcPr>
            <w:tcW w:w="1364" w:type="dxa"/>
            <w:tcBorders>
              <w:top w:val="nil"/>
              <w:left w:val="nil"/>
              <w:bottom w:val="nil"/>
              <w:right w:val="nil"/>
            </w:tcBorders>
            <w:shd w:val="clear" w:color="000000" w:fill="FFFFFF"/>
            <w:noWrap/>
            <w:vAlign w:val="center"/>
            <w:hideMark/>
          </w:tcPr>
          <w:p w14:paraId="5A4B7BC6" w14:textId="77777777" w:rsidR="00505F44" w:rsidRPr="00D618B7" w:rsidRDefault="00505F44" w:rsidP="004B11B7">
            <w:pPr>
              <w:jc w:val="right"/>
              <w:rPr>
                <w:color w:val="000000"/>
              </w:rPr>
            </w:pPr>
            <w:r w:rsidRPr="00D618B7">
              <w:rPr>
                <w:color w:val="000000"/>
              </w:rPr>
              <w:t>0.97</w:t>
            </w:r>
          </w:p>
        </w:tc>
      </w:tr>
      <w:tr w:rsidR="00505F44" w:rsidRPr="00D618B7" w14:paraId="714AD881" w14:textId="77777777" w:rsidTr="004B11B7">
        <w:trPr>
          <w:trHeight w:val="313"/>
        </w:trPr>
        <w:tc>
          <w:tcPr>
            <w:tcW w:w="1790" w:type="dxa"/>
            <w:tcBorders>
              <w:top w:val="nil"/>
              <w:left w:val="nil"/>
              <w:bottom w:val="nil"/>
              <w:right w:val="nil"/>
            </w:tcBorders>
            <w:shd w:val="clear" w:color="000000" w:fill="FFFFFF"/>
            <w:noWrap/>
            <w:vAlign w:val="center"/>
            <w:hideMark/>
          </w:tcPr>
          <w:p w14:paraId="2F3EE64A" w14:textId="77777777" w:rsidR="00505F44" w:rsidRPr="00D618B7" w:rsidRDefault="00505F44" w:rsidP="004B11B7">
            <w:pPr>
              <w:jc w:val="center"/>
              <w:rPr>
                <w:color w:val="000000"/>
              </w:rPr>
            </w:pPr>
            <w:r w:rsidRPr="00D618B7">
              <w:rPr>
                <w:color w:val="000000"/>
              </w:rPr>
              <w:t>-2</w:t>
            </w:r>
          </w:p>
        </w:tc>
        <w:tc>
          <w:tcPr>
            <w:tcW w:w="1759" w:type="dxa"/>
            <w:tcBorders>
              <w:top w:val="nil"/>
              <w:left w:val="nil"/>
              <w:bottom w:val="nil"/>
              <w:right w:val="nil"/>
            </w:tcBorders>
            <w:shd w:val="clear" w:color="000000" w:fill="FFFFFF"/>
            <w:noWrap/>
            <w:vAlign w:val="center"/>
            <w:hideMark/>
          </w:tcPr>
          <w:p w14:paraId="1B156ED7" w14:textId="77777777" w:rsidR="00505F44" w:rsidRPr="00D618B7" w:rsidRDefault="00505F44" w:rsidP="004B11B7">
            <w:pPr>
              <w:jc w:val="right"/>
              <w:rPr>
                <w:color w:val="000000"/>
              </w:rPr>
            </w:pPr>
            <w:r w:rsidRPr="00D618B7">
              <w:rPr>
                <w:color w:val="000000"/>
              </w:rPr>
              <w:t>23.12</w:t>
            </w:r>
          </w:p>
        </w:tc>
        <w:tc>
          <w:tcPr>
            <w:tcW w:w="1533" w:type="dxa"/>
            <w:tcBorders>
              <w:top w:val="nil"/>
              <w:left w:val="nil"/>
              <w:bottom w:val="nil"/>
              <w:right w:val="nil"/>
            </w:tcBorders>
            <w:shd w:val="clear" w:color="000000" w:fill="FFFFFF"/>
            <w:noWrap/>
            <w:vAlign w:val="center"/>
            <w:hideMark/>
          </w:tcPr>
          <w:p w14:paraId="2049EC4C" w14:textId="77777777" w:rsidR="00505F44" w:rsidRPr="00D618B7" w:rsidRDefault="00505F44" w:rsidP="004B11B7">
            <w:pPr>
              <w:jc w:val="right"/>
              <w:rPr>
                <w:color w:val="000000"/>
              </w:rPr>
            </w:pPr>
            <w:r w:rsidRPr="00D618B7">
              <w:rPr>
                <w:color w:val="000000"/>
              </w:rPr>
              <w:t>1.90</w:t>
            </w:r>
          </w:p>
        </w:tc>
        <w:tc>
          <w:tcPr>
            <w:tcW w:w="2118" w:type="dxa"/>
            <w:tcBorders>
              <w:top w:val="nil"/>
              <w:left w:val="nil"/>
              <w:bottom w:val="nil"/>
              <w:right w:val="nil"/>
            </w:tcBorders>
            <w:shd w:val="clear" w:color="000000" w:fill="FFFFFF"/>
            <w:noWrap/>
            <w:vAlign w:val="center"/>
            <w:hideMark/>
          </w:tcPr>
          <w:p w14:paraId="4EFAF04E" w14:textId="77777777" w:rsidR="00505F44" w:rsidRPr="00D618B7" w:rsidRDefault="00505F44" w:rsidP="004B11B7">
            <w:pPr>
              <w:jc w:val="right"/>
              <w:rPr>
                <w:color w:val="000000"/>
              </w:rPr>
            </w:pPr>
            <w:r w:rsidRPr="00D618B7">
              <w:rPr>
                <w:color w:val="000000"/>
              </w:rPr>
              <w:t>26.57</w:t>
            </w:r>
          </w:p>
        </w:tc>
        <w:tc>
          <w:tcPr>
            <w:tcW w:w="1364" w:type="dxa"/>
            <w:tcBorders>
              <w:top w:val="nil"/>
              <w:left w:val="nil"/>
              <w:bottom w:val="nil"/>
              <w:right w:val="nil"/>
            </w:tcBorders>
            <w:shd w:val="clear" w:color="000000" w:fill="FFFFFF"/>
            <w:noWrap/>
            <w:vAlign w:val="center"/>
            <w:hideMark/>
          </w:tcPr>
          <w:p w14:paraId="0BE1D23B" w14:textId="77777777" w:rsidR="00505F44" w:rsidRPr="00D618B7" w:rsidRDefault="00505F44" w:rsidP="004B11B7">
            <w:pPr>
              <w:jc w:val="right"/>
              <w:rPr>
                <w:color w:val="000000"/>
              </w:rPr>
            </w:pPr>
            <w:r w:rsidRPr="00D618B7">
              <w:rPr>
                <w:color w:val="000000"/>
              </w:rPr>
              <w:t>3.15</w:t>
            </w:r>
          </w:p>
        </w:tc>
      </w:tr>
      <w:tr w:rsidR="00505F44" w:rsidRPr="00D618B7" w14:paraId="7351D926" w14:textId="77777777" w:rsidTr="004B11B7">
        <w:trPr>
          <w:trHeight w:val="313"/>
        </w:trPr>
        <w:tc>
          <w:tcPr>
            <w:tcW w:w="1790" w:type="dxa"/>
            <w:tcBorders>
              <w:top w:val="nil"/>
              <w:left w:val="nil"/>
              <w:bottom w:val="nil"/>
              <w:right w:val="nil"/>
            </w:tcBorders>
            <w:shd w:val="clear" w:color="000000" w:fill="FFFFFF"/>
            <w:noWrap/>
            <w:vAlign w:val="center"/>
            <w:hideMark/>
          </w:tcPr>
          <w:p w14:paraId="5F60BA1B" w14:textId="77777777" w:rsidR="00505F44" w:rsidRPr="00D618B7" w:rsidRDefault="00505F44" w:rsidP="004B11B7">
            <w:pPr>
              <w:jc w:val="center"/>
              <w:rPr>
                <w:color w:val="000000"/>
              </w:rPr>
            </w:pPr>
            <w:r w:rsidRPr="00D618B7">
              <w:rPr>
                <w:color w:val="000000"/>
              </w:rPr>
              <w:t>-1</w:t>
            </w:r>
          </w:p>
        </w:tc>
        <w:tc>
          <w:tcPr>
            <w:tcW w:w="1759" w:type="dxa"/>
            <w:tcBorders>
              <w:top w:val="nil"/>
              <w:left w:val="nil"/>
              <w:bottom w:val="nil"/>
              <w:right w:val="nil"/>
            </w:tcBorders>
            <w:shd w:val="clear" w:color="000000" w:fill="FFFFFF"/>
            <w:noWrap/>
            <w:vAlign w:val="center"/>
            <w:hideMark/>
          </w:tcPr>
          <w:p w14:paraId="1CD097B8" w14:textId="77777777" w:rsidR="00505F44" w:rsidRPr="00D618B7" w:rsidRDefault="00505F44" w:rsidP="004B11B7">
            <w:pPr>
              <w:jc w:val="right"/>
              <w:rPr>
                <w:color w:val="000000"/>
              </w:rPr>
            </w:pPr>
            <w:r w:rsidRPr="00D618B7">
              <w:rPr>
                <w:color w:val="000000"/>
              </w:rPr>
              <w:t>18.81</w:t>
            </w:r>
          </w:p>
        </w:tc>
        <w:tc>
          <w:tcPr>
            <w:tcW w:w="1533" w:type="dxa"/>
            <w:tcBorders>
              <w:top w:val="nil"/>
              <w:left w:val="nil"/>
              <w:bottom w:val="nil"/>
              <w:right w:val="nil"/>
            </w:tcBorders>
            <w:shd w:val="clear" w:color="000000" w:fill="FFFFFF"/>
            <w:noWrap/>
            <w:vAlign w:val="center"/>
            <w:hideMark/>
          </w:tcPr>
          <w:p w14:paraId="095935A1" w14:textId="77777777" w:rsidR="00505F44" w:rsidRPr="00D618B7" w:rsidRDefault="00505F44" w:rsidP="004B11B7">
            <w:pPr>
              <w:jc w:val="right"/>
              <w:rPr>
                <w:color w:val="000000"/>
              </w:rPr>
            </w:pPr>
            <w:r w:rsidRPr="00D618B7">
              <w:rPr>
                <w:color w:val="000000"/>
              </w:rPr>
              <w:t>0.94</w:t>
            </w:r>
          </w:p>
        </w:tc>
        <w:tc>
          <w:tcPr>
            <w:tcW w:w="2118" w:type="dxa"/>
            <w:tcBorders>
              <w:top w:val="nil"/>
              <w:left w:val="nil"/>
              <w:bottom w:val="nil"/>
              <w:right w:val="nil"/>
            </w:tcBorders>
            <w:shd w:val="clear" w:color="000000" w:fill="FFFFFF"/>
            <w:noWrap/>
            <w:vAlign w:val="center"/>
            <w:hideMark/>
          </w:tcPr>
          <w:p w14:paraId="3E6B156A" w14:textId="77777777" w:rsidR="00505F44" w:rsidRPr="00D618B7" w:rsidRDefault="00505F44" w:rsidP="004B11B7">
            <w:pPr>
              <w:jc w:val="right"/>
              <w:rPr>
                <w:color w:val="000000"/>
              </w:rPr>
            </w:pPr>
            <w:r w:rsidRPr="00D618B7">
              <w:rPr>
                <w:color w:val="000000"/>
              </w:rPr>
              <w:t>27.76</w:t>
            </w:r>
          </w:p>
        </w:tc>
        <w:tc>
          <w:tcPr>
            <w:tcW w:w="1364" w:type="dxa"/>
            <w:tcBorders>
              <w:top w:val="nil"/>
              <w:left w:val="nil"/>
              <w:bottom w:val="nil"/>
              <w:right w:val="nil"/>
            </w:tcBorders>
            <w:shd w:val="clear" w:color="000000" w:fill="FFFFFF"/>
            <w:noWrap/>
            <w:vAlign w:val="center"/>
            <w:hideMark/>
          </w:tcPr>
          <w:p w14:paraId="2D2158A1" w14:textId="77777777" w:rsidR="00505F44" w:rsidRPr="00D618B7" w:rsidRDefault="00505F44" w:rsidP="004B11B7">
            <w:pPr>
              <w:jc w:val="right"/>
              <w:rPr>
                <w:color w:val="000000"/>
              </w:rPr>
            </w:pPr>
            <w:r w:rsidRPr="00D618B7">
              <w:rPr>
                <w:color w:val="000000"/>
              </w:rPr>
              <w:t>0.93</w:t>
            </w:r>
          </w:p>
        </w:tc>
      </w:tr>
      <w:tr w:rsidR="00505F44" w:rsidRPr="00D618B7" w14:paraId="5B644D29" w14:textId="77777777" w:rsidTr="004B11B7">
        <w:trPr>
          <w:trHeight w:val="313"/>
        </w:trPr>
        <w:tc>
          <w:tcPr>
            <w:tcW w:w="1790" w:type="dxa"/>
            <w:tcBorders>
              <w:top w:val="nil"/>
              <w:left w:val="nil"/>
              <w:bottom w:val="nil"/>
              <w:right w:val="nil"/>
            </w:tcBorders>
            <w:shd w:val="clear" w:color="000000" w:fill="FFFFFF"/>
            <w:vAlign w:val="center"/>
            <w:hideMark/>
          </w:tcPr>
          <w:p w14:paraId="26047DA5" w14:textId="77777777" w:rsidR="00505F44" w:rsidRPr="00D618B7" w:rsidRDefault="00505F44" w:rsidP="004B11B7">
            <w:pPr>
              <w:jc w:val="center"/>
              <w:rPr>
                <w:color w:val="000000"/>
              </w:rPr>
            </w:pPr>
            <w:r w:rsidRPr="00D618B7">
              <w:rPr>
                <w:color w:val="000000"/>
              </w:rPr>
              <w:t>0</w:t>
            </w:r>
          </w:p>
        </w:tc>
        <w:tc>
          <w:tcPr>
            <w:tcW w:w="1759" w:type="dxa"/>
            <w:tcBorders>
              <w:top w:val="nil"/>
              <w:left w:val="nil"/>
              <w:bottom w:val="nil"/>
              <w:right w:val="nil"/>
            </w:tcBorders>
            <w:shd w:val="clear" w:color="000000" w:fill="FFFFFF"/>
            <w:noWrap/>
            <w:vAlign w:val="center"/>
            <w:hideMark/>
          </w:tcPr>
          <w:p w14:paraId="1554D9B8" w14:textId="77777777" w:rsidR="00505F44" w:rsidRPr="00D618B7" w:rsidRDefault="00505F44" w:rsidP="004B11B7">
            <w:pPr>
              <w:jc w:val="right"/>
              <w:rPr>
                <w:color w:val="000000"/>
              </w:rPr>
            </w:pPr>
            <w:r w:rsidRPr="00D618B7">
              <w:rPr>
                <w:color w:val="000000"/>
              </w:rPr>
              <w:t>22.78</w:t>
            </w:r>
          </w:p>
        </w:tc>
        <w:tc>
          <w:tcPr>
            <w:tcW w:w="1533" w:type="dxa"/>
            <w:tcBorders>
              <w:top w:val="nil"/>
              <w:left w:val="nil"/>
              <w:bottom w:val="nil"/>
              <w:right w:val="nil"/>
            </w:tcBorders>
            <w:shd w:val="clear" w:color="000000" w:fill="FFFFFF"/>
            <w:noWrap/>
            <w:vAlign w:val="center"/>
            <w:hideMark/>
          </w:tcPr>
          <w:p w14:paraId="733112DA" w14:textId="77777777" w:rsidR="00505F44" w:rsidRPr="00D618B7" w:rsidRDefault="00505F44" w:rsidP="004B11B7">
            <w:pPr>
              <w:jc w:val="right"/>
              <w:rPr>
                <w:color w:val="000000"/>
              </w:rPr>
            </w:pPr>
            <w:r w:rsidRPr="00D618B7">
              <w:rPr>
                <w:color w:val="000000"/>
              </w:rPr>
              <w:t>2.17</w:t>
            </w:r>
          </w:p>
        </w:tc>
        <w:tc>
          <w:tcPr>
            <w:tcW w:w="2118" w:type="dxa"/>
            <w:tcBorders>
              <w:top w:val="nil"/>
              <w:left w:val="nil"/>
              <w:bottom w:val="nil"/>
              <w:right w:val="nil"/>
            </w:tcBorders>
            <w:shd w:val="clear" w:color="000000" w:fill="FFFFFF"/>
            <w:noWrap/>
            <w:vAlign w:val="center"/>
            <w:hideMark/>
          </w:tcPr>
          <w:p w14:paraId="3CAD1913" w14:textId="77777777" w:rsidR="00505F44" w:rsidRPr="00D618B7" w:rsidRDefault="00505F44" w:rsidP="004B11B7">
            <w:pPr>
              <w:jc w:val="right"/>
              <w:rPr>
                <w:color w:val="000000"/>
              </w:rPr>
            </w:pPr>
            <w:r w:rsidRPr="00D618B7">
              <w:rPr>
                <w:color w:val="000000"/>
              </w:rPr>
              <w:t>28.23</w:t>
            </w:r>
          </w:p>
        </w:tc>
        <w:tc>
          <w:tcPr>
            <w:tcW w:w="1364" w:type="dxa"/>
            <w:tcBorders>
              <w:top w:val="nil"/>
              <w:left w:val="nil"/>
              <w:bottom w:val="nil"/>
              <w:right w:val="nil"/>
            </w:tcBorders>
            <w:shd w:val="clear" w:color="000000" w:fill="FFFFFF"/>
            <w:noWrap/>
            <w:vAlign w:val="center"/>
            <w:hideMark/>
          </w:tcPr>
          <w:p w14:paraId="57A7CCAF" w14:textId="77777777" w:rsidR="00505F44" w:rsidRPr="00D618B7" w:rsidRDefault="00505F44" w:rsidP="004B11B7">
            <w:pPr>
              <w:jc w:val="right"/>
              <w:rPr>
                <w:color w:val="000000"/>
              </w:rPr>
            </w:pPr>
            <w:r w:rsidRPr="00D618B7">
              <w:rPr>
                <w:color w:val="000000"/>
              </w:rPr>
              <w:t>1.11</w:t>
            </w:r>
          </w:p>
        </w:tc>
      </w:tr>
      <w:tr w:rsidR="00505F44" w:rsidRPr="00D618B7" w14:paraId="7861C6EA" w14:textId="77777777" w:rsidTr="004B11B7">
        <w:trPr>
          <w:trHeight w:val="313"/>
        </w:trPr>
        <w:tc>
          <w:tcPr>
            <w:tcW w:w="1790" w:type="dxa"/>
            <w:tcBorders>
              <w:top w:val="nil"/>
              <w:left w:val="nil"/>
              <w:bottom w:val="nil"/>
              <w:right w:val="nil"/>
            </w:tcBorders>
            <w:shd w:val="clear" w:color="000000" w:fill="FFFFFF"/>
            <w:vAlign w:val="center"/>
            <w:hideMark/>
          </w:tcPr>
          <w:p w14:paraId="31F0F3D7" w14:textId="77777777" w:rsidR="00505F44" w:rsidRPr="00D618B7" w:rsidRDefault="00505F44" w:rsidP="004B11B7">
            <w:pPr>
              <w:jc w:val="center"/>
              <w:rPr>
                <w:color w:val="000000"/>
              </w:rPr>
            </w:pPr>
            <w:r w:rsidRPr="00D618B7">
              <w:rPr>
                <w:color w:val="000000"/>
              </w:rPr>
              <w:t>1</w:t>
            </w:r>
          </w:p>
        </w:tc>
        <w:tc>
          <w:tcPr>
            <w:tcW w:w="1759" w:type="dxa"/>
            <w:tcBorders>
              <w:top w:val="nil"/>
              <w:left w:val="nil"/>
              <w:bottom w:val="nil"/>
              <w:right w:val="nil"/>
            </w:tcBorders>
            <w:shd w:val="clear" w:color="000000" w:fill="FFFFFF"/>
            <w:noWrap/>
            <w:vAlign w:val="center"/>
            <w:hideMark/>
          </w:tcPr>
          <w:p w14:paraId="03C73FB3" w14:textId="77777777" w:rsidR="00505F44" w:rsidRPr="00D618B7" w:rsidRDefault="00505F44" w:rsidP="004B11B7">
            <w:pPr>
              <w:jc w:val="right"/>
              <w:rPr>
                <w:color w:val="000000"/>
              </w:rPr>
            </w:pPr>
            <w:r w:rsidRPr="00D618B7">
              <w:rPr>
                <w:color w:val="000000"/>
              </w:rPr>
              <w:t>22.50</w:t>
            </w:r>
          </w:p>
        </w:tc>
        <w:tc>
          <w:tcPr>
            <w:tcW w:w="1533" w:type="dxa"/>
            <w:tcBorders>
              <w:top w:val="nil"/>
              <w:left w:val="nil"/>
              <w:bottom w:val="nil"/>
              <w:right w:val="nil"/>
            </w:tcBorders>
            <w:shd w:val="clear" w:color="000000" w:fill="FFFFFF"/>
            <w:noWrap/>
            <w:vAlign w:val="center"/>
            <w:hideMark/>
          </w:tcPr>
          <w:p w14:paraId="0DE3592C" w14:textId="77777777" w:rsidR="00505F44" w:rsidRPr="00D618B7" w:rsidRDefault="00505F44" w:rsidP="004B11B7">
            <w:pPr>
              <w:jc w:val="right"/>
              <w:rPr>
                <w:color w:val="000000"/>
              </w:rPr>
            </w:pPr>
            <w:r w:rsidRPr="00D618B7">
              <w:rPr>
                <w:color w:val="000000"/>
              </w:rPr>
              <w:t>1.92</w:t>
            </w:r>
          </w:p>
        </w:tc>
        <w:tc>
          <w:tcPr>
            <w:tcW w:w="2118" w:type="dxa"/>
            <w:tcBorders>
              <w:top w:val="nil"/>
              <w:left w:val="nil"/>
              <w:bottom w:val="nil"/>
              <w:right w:val="nil"/>
            </w:tcBorders>
            <w:shd w:val="clear" w:color="000000" w:fill="FFFFFF"/>
            <w:noWrap/>
            <w:vAlign w:val="center"/>
            <w:hideMark/>
          </w:tcPr>
          <w:p w14:paraId="65E0A7BA" w14:textId="77777777" w:rsidR="00505F44" w:rsidRPr="00D618B7" w:rsidRDefault="00505F44" w:rsidP="004B11B7">
            <w:pPr>
              <w:jc w:val="right"/>
              <w:rPr>
                <w:color w:val="000000"/>
              </w:rPr>
            </w:pPr>
            <w:r w:rsidRPr="00D618B7">
              <w:rPr>
                <w:color w:val="000000"/>
              </w:rPr>
              <w:t>26.46</w:t>
            </w:r>
          </w:p>
        </w:tc>
        <w:tc>
          <w:tcPr>
            <w:tcW w:w="1364" w:type="dxa"/>
            <w:tcBorders>
              <w:top w:val="nil"/>
              <w:left w:val="nil"/>
              <w:bottom w:val="nil"/>
              <w:right w:val="nil"/>
            </w:tcBorders>
            <w:shd w:val="clear" w:color="000000" w:fill="FFFFFF"/>
            <w:noWrap/>
            <w:vAlign w:val="center"/>
            <w:hideMark/>
          </w:tcPr>
          <w:p w14:paraId="768F73FE" w14:textId="77777777" w:rsidR="00505F44" w:rsidRPr="00D618B7" w:rsidRDefault="00505F44" w:rsidP="004B11B7">
            <w:pPr>
              <w:jc w:val="right"/>
              <w:rPr>
                <w:color w:val="000000"/>
              </w:rPr>
            </w:pPr>
            <w:r w:rsidRPr="00D618B7">
              <w:rPr>
                <w:color w:val="000000"/>
              </w:rPr>
              <w:t>2.74</w:t>
            </w:r>
          </w:p>
        </w:tc>
      </w:tr>
      <w:tr w:rsidR="00505F44" w:rsidRPr="00D618B7" w14:paraId="6D5C8E13" w14:textId="77777777" w:rsidTr="004B11B7">
        <w:trPr>
          <w:trHeight w:val="313"/>
        </w:trPr>
        <w:tc>
          <w:tcPr>
            <w:tcW w:w="1790" w:type="dxa"/>
            <w:tcBorders>
              <w:top w:val="nil"/>
              <w:left w:val="nil"/>
              <w:bottom w:val="nil"/>
              <w:right w:val="nil"/>
            </w:tcBorders>
            <w:shd w:val="clear" w:color="000000" w:fill="FFFFFF"/>
            <w:vAlign w:val="center"/>
            <w:hideMark/>
          </w:tcPr>
          <w:p w14:paraId="5A18F1B9" w14:textId="77777777" w:rsidR="00505F44" w:rsidRPr="00D618B7" w:rsidRDefault="00505F44" w:rsidP="004B11B7">
            <w:pPr>
              <w:jc w:val="center"/>
              <w:rPr>
                <w:color w:val="000000"/>
              </w:rPr>
            </w:pPr>
            <w:r w:rsidRPr="00D618B7">
              <w:rPr>
                <w:color w:val="000000"/>
              </w:rPr>
              <w:t>2</w:t>
            </w:r>
          </w:p>
        </w:tc>
        <w:tc>
          <w:tcPr>
            <w:tcW w:w="1759" w:type="dxa"/>
            <w:tcBorders>
              <w:top w:val="nil"/>
              <w:left w:val="nil"/>
              <w:bottom w:val="nil"/>
              <w:right w:val="nil"/>
            </w:tcBorders>
            <w:shd w:val="clear" w:color="000000" w:fill="FFFFFF"/>
            <w:noWrap/>
            <w:vAlign w:val="center"/>
            <w:hideMark/>
          </w:tcPr>
          <w:p w14:paraId="09FE23A5" w14:textId="77777777" w:rsidR="00505F44" w:rsidRPr="00D618B7" w:rsidRDefault="00505F44" w:rsidP="004B11B7">
            <w:pPr>
              <w:jc w:val="right"/>
              <w:rPr>
                <w:color w:val="000000"/>
              </w:rPr>
            </w:pPr>
            <w:r w:rsidRPr="00D618B7">
              <w:rPr>
                <w:color w:val="000000"/>
              </w:rPr>
              <w:t>27.78</w:t>
            </w:r>
          </w:p>
        </w:tc>
        <w:tc>
          <w:tcPr>
            <w:tcW w:w="1533" w:type="dxa"/>
            <w:tcBorders>
              <w:top w:val="nil"/>
              <w:left w:val="nil"/>
              <w:bottom w:val="nil"/>
              <w:right w:val="nil"/>
            </w:tcBorders>
            <w:shd w:val="clear" w:color="000000" w:fill="FFFFFF"/>
            <w:noWrap/>
            <w:vAlign w:val="center"/>
            <w:hideMark/>
          </w:tcPr>
          <w:p w14:paraId="75AA37D2" w14:textId="77777777" w:rsidR="00505F44" w:rsidRPr="00D618B7" w:rsidRDefault="00505F44" w:rsidP="004B11B7">
            <w:pPr>
              <w:jc w:val="right"/>
              <w:rPr>
                <w:color w:val="000000"/>
              </w:rPr>
            </w:pPr>
            <w:r w:rsidRPr="00D618B7">
              <w:rPr>
                <w:color w:val="000000"/>
              </w:rPr>
              <w:t>2.93</w:t>
            </w:r>
          </w:p>
        </w:tc>
        <w:tc>
          <w:tcPr>
            <w:tcW w:w="2118" w:type="dxa"/>
            <w:tcBorders>
              <w:top w:val="nil"/>
              <w:left w:val="nil"/>
              <w:bottom w:val="nil"/>
              <w:right w:val="nil"/>
            </w:tcBorders>
            <w:shd w:val="clear" w:color="000000" w:fill="FFFFFF"/>
            <w:noWrap/>
            <w:vAlign w:val="center"/>
            <w:hideMark/>
          </w:tcPr>
          <w:p w14:paraId="1E2C6D0D" w14:textId="77777777" w:rsidR="00505F44" w:rsidRPr="00D618B7" w:rsidRDefault="00505F44" w:rsidP="004B11B7">
            <w:pPr>
              <w:jc w:val="right"/>
              <w:rPr>
                <w:color w:val="000000"/>
              </w:rPr>
            </w:pPr>
            <w:r w:rsidRPr="00D618B7">
              <w:rPr>
                <w:color w:val="000000"/>
              </w:rPr>
              <w:t>30.40</w:t>
            </w:r>
          </w:p>
        </w:tc>
        <w:tc>
          <w:tcPr>
            <w:tcW w:w="1364" w:type="dxa"/>
            <w:tcBorders>
              <w:top w:val="nil"/>
              <w:left w:val="nil"/>
              <w:bottom w:val="nil"/>
              <w:right w:val="nil"/>
            </w:tcBorders>
            <w:shd w:val="clear" w:color="000000" w:fill="FFFFFF"/>
            <w:noWrap/>
            <w:vAlign w:val="center"/>
            <w:hideMark/>
          </w:tcPr>
          <w:p w14:paraId="296045A5" w14:textId="77777777" w:rsidR="00505F44" w:rsidRPr="00D618B7" w:rsidRDefault="00505F44" w:rsidP="004B11B7">
            <w:pPr>
              <w:jc w:val="right"/>
              <w:rPr>
                <w:color w:val="000000"/>
              </w:rPr>
            </w:pPr>
            <w:r w:rsidRPr="00D618B7">
              <w:rPr>
                <w:color w:val="000000"/>
              </w:rPr>
              <w:t>1.00</w:t>
            </w:r>
          </w:p>
        </w:tc>
      </w:tr>
      <w:tr w:rsidR="00505F44" w:rsidRPr="00D618B7" w14:paraId="5147DC21" w14:textId="77777777" w:rsidTr="004B11B7">
        <w:trPr>
          <w:trHeight w:val="313"/>
        </w:trPr>
        <w:tc>
          <w:tcPr>
            <w:tcW w:w="1790" w:type="dxa"/>
            <w:tcBorders>
              <w:top w:val="nil"/>
              <w:left w:val="nil"/>
              <w:bottom w:val="nil"/>
              <w:right w:val="nil"/>
            </w:tcBorders>
            <w:shd w:val="clear" w:color="000000" w:fill="FFFFFF"/>
            <w:vAlign w:val="center"/>
            <w:hideMark/>
          </w:tcPr>
          <w:p w14:paraId="12C36584" w14:textId="77777777" w:rsidR="00505F44" w:rsidRPr="00D618B7" w:rsidRDefault="00505F44" w:rsidP="004B11B7">
            <w:pPr>
              <w:jc w:val="center"/>
              <w:rPr>
                <w:color w:val="000000"/>
              </w:rPr>
            </w:pPr>
            <w:r w:rsidRPr="00D618B7">
              <w:rPr>
                <w:color w:val="000000"/>
              </w:rPr>
              <w:t>3</w:t>
            </w:r>
          </w:p>
        </w:tc>
        <w:tc>
          <w:tcPr>
            <w:tcW w:w="1759" w:type="dxa"/>
            <w:tcBorders>
              <w:top w:val="nil"/>
              <w:left w:val="nil"/>
              <w:bottom w:val="nil"/>
              <w:right w:val="nil"/>
            </w:tcBorders>
            <w:shd w:val="clear" w:color="000000" w:fill="FFFFFF"/>
            <w:noWrap/>
            <w:vAlign w:val="center"/>
            <w:hideMark/>
          </w:tcPr>
          <w:p w14:paraId="6D1A411B" w14:textId="77777777" w:rsidR="00505F44" w:rsidRPr="00D618B7" w:rsidRDefault="00505F44" w:rsidP="004B11B7">
            <w:pPr>
              <w:jc w:val="right"/>
              <w:rPr>
                <w:color w:val="000000"/>
              </w:rPr>
            </w:pPr>
            <w:r w:rsidRPr="00D618B7">
              <w:rPr>
                <w:color w:val="000000"/>
              </w:rPr>
              <w:t>25.08</w:t>
            </w:r>
          </w:p>
        </w:tc>
        <w:tc>
          <w:tcPr>
            <w:tcW w:w="1533" w:type="dxa"/>
            <w:tcBorders>
              <w:top w:val="nil"/>
              <w:left w:val="nil"/>
              <w:bottom w:val="nil"/>
              <w:right w:val="nil"/>
            </w:tcBorders>
            <w:shd w:val="clear" w:color="000000" w:fill="FFFFFF"/>
            <w:noWrap/>
            <w:vAlign w:val="center"/>
            <w:hideMark/>
          </w:tcPr>
          <w:p w14:paraId="2340A5F1" w14:textId="77777777" w:rsidR="00505F44" w:rsidRPr="00D618B7" w:rsidRDefault="00505F44" w:rsidP="004B11B7">
            <w:pPr>
              <w:jc w:val="right"/>
              <w:rPr>
                <w:color w:val="000000"/>
              </w:rPr>
            </w:pPr>
            <w:r w:rsidRPr="00D618B7">
              <w:rPr>
                <w:color w:val="000000"/>
              </w:rPr>
              <w:t>3.48</w:t>
            </w:r>
          </w:p>
        </w:tc>
        <w:tc>
          <w:tcPr>
            <w:tcW w:w="2118" w:type="dxa"/>
            <w:tcBorders>
              <w:top w:val="nil"/>
              <w:left w:val="nil"/>
              <w:bottom w:val="nil"/>
              <w:right w:val="nil"/>
            </w:tcBorders>
            <w:shd w:val="clear" w:color="000000" w:fill="FFFFFF"/>
            <w:noWrap/>
            <w:vAlign w:val="center"/>
            <w:hideMark/>
          </w:tcPr>
          <w:p w14:paraId="022ACF38" w14:textId="77777777" w:rsidR="00505F44" w:rsidRPr="00D618B7" w:rsidRDefault="00505F44" w:rsidP="004B11B7">
            <w:pPr>
              <w:jc w:val="right"/>
              <w:rPr>
                <w:color w:val="000000"/>
              </w:rPr>
            </w:pPr>
            <w:r w:rsidRPr="00D618B7">
              <w:rPr>
                <w:color w:val="000000"/>
              </w:rPr>
              <w:t>29.20</w:t>
            </w:r>
          </w:p>
        </w:tc>
        <w:tc>
          <w:tcPr>
            <w:tcW w:w="1364" w:type="dxa"/>
            <w:tcBorders>
              <w:top w:val="nil"/>
              <w:left w:val="nil"/>
              <w:bottom w:val="nil"/>
              <w:right w:val="nil"/>
            </w:tcBorders>
            <w:shd w:val="clear" w:color="000000" w:fill="FFFFFF"/>
            <w:noWrap/>
            <w:vAlign w:val="center"/>
            <w:hideMark/>
          </w:tcPr>
          <w:p w14:paraId="3F5C4174" w14:textId="77777777" w:rsidR="00505F44" w:rsidRPr="00D618B7" w:rsidRDefault="00505F44" w:rsidP="004B11B7">
            <w:pPr>
              <w:jc w:val="right"/>
              <w:rPr>
                <w:color w:val="000000"/>
              </w:rPr>
            </w:pPr>
            <w:r w:rsidRPr="00D618B7">
              <w:rPr>
                <w:color w:val="000000"/>
              </w:rPr>
              <w:t>1.02</w:t>
            </w:r>
          </w:p>
        </w:tc>
      </w:tr>
      <w:tr w:rsidR="00505F44" w:rsidRPr="00D618B7" w14:paraId="3E93EB86" w14:textId="77777777" w:rsidTr="004B11B7">
        <w:trPr>
          <w:trHeight w:val="313"/>
        </w:trPr>
        <w:tc>
          <w:tcPr>
            <w:tcW w:w="1790" w:type="dxa"/>
            <w:tcBorders>
              <w:top w:val="nil"/>
              <w:left w:val="nil"/>
              <w:bottom w:val="nil"/>
              <w:right w:val="nil"/>
            </w:tcBorders>
            <w:shd w:val="clear" w:color="000000" w:fill="FFFFFF"/>
            <w:vAlign w:val="center"/>
            <w:hideMark/>
          </w:tcPr>
          <w:p w14:paraId="4CD4B86D" w14:textId="77777777" w:rsidR="00505F44" w:rsidRPr="00D618B7" w:rsidRDefault="00505F44" w:rsidP="004B11B7">
            <w:pPr>
              <w:jc w:val="center"/>
              <w:rPr>
                <w:color w:val="000000"/>
              </w:rPr>
            </w:pPr>
            <w:r w:rsidRPr="00D618B7">
              <w:rPr>
                <w:color w:val="000000"/>
              </w:rPr>
              <w:t>4</w:t>
            </w:r>
          </w:p>
        </w:tc>
        <w:tc>
          <w:tcPr>
            <w:tcW w:w="1759" w:type="dxa"/>
            <w:tcBorders>
              <w:top w:val="nil"/>
              <w:left w:val="nil"/>
              <w:bottom w:val="nil"/>
              <w:right w:val="nil"/>
            </w:tcBorders>
            <w:shd w:val="clear" w:color="000000" w:fill="FFFFFF"/>
            <w:noWrap/>
            <w:vAlign w:val="center"/>
            <w:hideMark/>
          </w:tcPr>
          <w:p w14:paraId="17B410A8" w14:textId="77777777" w:rsidR="00505F44" w:rsidRPr="00D618B7" w:rsidRDefault="00505F44" w:rsidP="004B11B7">
            <w:pPr>
              <w:jc w:val="right"/>
              <w:rPr>
                <w:color w:val="000000"/>
              </w:rPr>
            </w:pPr>
            <w:r w:rsidRPr="00D618B7">
              <w:rPr>
                <w:color w:val="000000"/>
              </w:rPr>
              <w:t>27.04</w:t>
            </w:r>
          </w:p>
        </w:tc>
        <w:tc>
          <w:tcPr>
            <w:tcW w:w="1533" w:type="dxa"/>
            <w:tcBorders>
              <w:top w:val="nil"/>
              <w:left w:val="nil"/>
              <w:bottom w:val="nil"/>
              <w:right w:val="nil"/>
            </w:tcBorders>
            <w:shd w:val="clear" w:color="000000" w:fill="FFFFFF"/>
            <w:noWrap/>
            <w:vAlign w:val="center"/>
            <w:hideMark/>
          </w:tcPr>
          <w:p w14:paraId="71EFB573" w14:textId="77777777" w:rsidR="00505F44" w:rsidRPr="00D618B7" w:rsidRDefault="00505F44" w:rsidP="004B11B7">
            <w:pPr>
              <w:jc w:val="right"/>
              <w:rPr>
                <w:color w:val="000000"/>
              </w:rPr>
            </w:pPr>
            <w:r w:rsidRPr="00D618B7">
              <w:rPr>
                <w:color w:val="000000"/>
              </w:rPr>
              <w:t>3.24</w:t>
            </w:r>
          </w:p>
        </w:tc>
        <w:tc>
          <w:tcPr>
            <w:tcW w:w="2118" w:type="dxa"/>
            <w:tcBorders>
              <w:top w:val="nil"/>
              <w:left w:val="nil"/>
              <w:bottom w:val="nil"/>
              <w:right w:val="nil"/>
            </w:tcBorders>
            <w:shd w:val="clear" w:color="000000" w:fill="FFFFFF"/>
            <w:noWrap/>
            <w:vAlign w:val="center"/>
            <w:hideMark/>
          </w:tcPr>
          <w:p w14:paraId="1410F45E" w14:textId="77777777" w:rsidR="00505F44" w:rsidRPr="00D618B7" w:rsidRDefault="00505F44" w:rsidP="004B11B7">
            <w:pPr>
              <w:jc w:val="right"/>
              <w:rPr>
                <w:color w:val="000000"/>
              </w:rPr>
            </w:pPr>
            <w:r w:rsidRPr="00D618B7">
              <w:rPr>
                <w:color w:val="000000"/>
              </w:rPr>
              <w:t>28.54</w:t>
            </w:r>
          </w:p>
        </w:tc>
        <w:tc>
          <w:tcPr>
            <w:tcW w:w="1364" w:type="dxa"/>
            <w:tcBorders>
              <w:top w:val="nil"/>
              <w:left w:val="nil"/>
              <w:bottom w:val="nil"/>
              <w:right w:val="nil"/>
            </w:tcBorders>
            <w:shd w:val="clear" w:color="000000" w:fill="FFFFFF"/>
            <w:noWrap/>
            <w:vAlign w:val="center"/>
            <w:hideMark/>
          </w:tcPr>
          <w:p w14:paraId="697B69BA" w14:textId="77777777" w:rsidR="00505F44" w:rsidRPr="00D618B7" w:rsidRDefault="00505F44" w:rsidP="004B11B7">
            <w:pPr>
              <w:jc w:val="right"/>
              <w:rPr>
                <w:color w:val="000000"/>
              </w:rPr>
            </w:pPr>
            <w:r w:rsidRPr="00D618B7">
              <w:rPr>
                <w:color w:val="000000"/>
              </w:rPr>
              <w:t>1.49</w:t>
            </w:r>
          </w:p>
        </w:tc>
      </w:tr>
      <w:tr w:rsidR="00505F44" w:rsidRPr="00D618B7" w14:paraId="4C27E3D3" w14:textId="77777777" w:rsidTr="004B11B7">
        <w:trPr>
          <w:trHeight w:val="328"/>
        </w:trPr>
        <w:tc>
          <w:tcPr>
            <w:tcW w:w="1790" w:type="dxa"/>
            <w:tcBorders>
              <w:top w:val="nil"/>
              <w:left w:val="nil"/>
              <w:bottom w:val="single" w:sz="12" w:space="0" w:color="auto"/>
              <w:right w:val="nil"/>
            </w:tcBorders>
            <w:shd w:val="clear" w:color="000000" w:fill="FFFFFF"/>
            <w:vAlign w:val="center"/>
            <w:hideMark/>
          </w:tcPr>
          <w:p w14:paraId="4BBF3D2F" w14:textId="77777777" w:rsidR="00505F44" w:rsidRPr="00D618B7" w:rsidRDefault="00505F44" w:rsidP="004B11B7">
            <w:pPr>
              <w:jc w:val="center"/>
              <w:rPr>
                <w:color w:val="000000"/>
              </w:rPr>
            </w:pPr>
            <w:r w:rsidRPr="00D618B7">
              <w:rPr>
                <w:color w:val="000000"/>
              </w:rPr>
              <w:t>5</w:t>
            </w:r>
          </w:p>
        </w:tc>
        <w:tc>
          <w:tcPr>
            <w:tcW w:w="1759" w:type="dxa"/>
            <w:tcBorders>
              <w:top w:val="nil"/>
              <w:left w:val="nil"/>
              <w:bottom w:val="single" w:sz="12" w:space="0" w:color="auto"/>
              <w:right w:val="nil"/>
            </w:tcBorders>
            <w:shd w:val="clear" w:color="000000" w:fill="FFFFFF"/>
            <w:noWrap/>
            <w:vAlign w:val="center"/>
            <w:hideMark/>
          </w:tcPr>
          <w:p w14:paraId="029B152F" w14:textId="77777777" w:rsidR="00505F44" w:rsidRPr="00D618B7" w:rsidRDefault="00505F44" w:rsidP="004B11B7">
            <w:pPr>
              <w:jc w:val="right"/>
              <w:rPr>
                <w:color w:val="000000"/>
              </w:rPr>
            </w:pPr>
            <w:r w:rsidRPr="00D618B7">
              <w:rPr>
                <w:color w:val="000000"/>
              </w:rPr>
              <w:t>28.67</w:t>
            </w:r>
          </w:p>
        </w:tc>
        <w:tc>
          <w:tcPr>
            <w:tcW w:w="1533" w:type="dxa"/>
            <w:tcBorders>
              <w:top w:val="nil"/>
              <w:left w:val="nil"/>
              <w:bottom w:val="single" w:sz="12" w:space="0" w:color="auto"/>
              <w:right w:val="nil"/>
            </w:tcBorders>
            <w:shd w:val="clear" w:color="000000" w:fill="FFFFFF"/>
            <w:noWrap/>
            <w:vAlign w:val="center"/>
            <w:hideMark/>
          </w:tcPr>
          <w:p w14:paraId="12886F23" w14:textId="77777777" w:rsidR="00505F44" w:rsidRPr="00D618B7" w:rsidRDefault="00505F44" w:rsidP="004B11B7">
            <w:pPr>
              <w:jc w:val="right"/>
              <w:rPr>
                <w:color w:val="000000"/>
              </w:rPr>
            </w:pPr>
            <w:r w:rsidRPr="00D618B7">
              <w:rPr>
                <w:color w:val="000000"/>
              </w:rPr>
              <w:t>2.95</w:t>
            </w:r>
          </w:p>
        </w:tc>
        <w:tc>
          <w:tcPr>
            <w:tcW w:w="2118" w:type="dxa"/>
            <w:tcBorders>
              <w:top w:val="nil"/>
              <w:left w:val="nil"/>
              <w:bottom w:val="single" w:sz="12" w:space="0" w:color="auto"/>
              <w:right w:val="nil"/>
            </w:tcBorders>
            <w:shd w:val="clear" w:color="000000" w:fill="FFFFFF"/>
            <w:noWrap/>
            <w:vAlign w:val="center"/>
            <w:hideMark/>
          </w:tcPr>
          <w:p w14:paraId="171C5B00" w14:textId="77777777" w:rsidR="00505F44" w:rsidRPr="00D618B7" w:rsidRDefault="00505F44" w:rsidP="004B11B7">
            <w:pPr>
              <w:jc w:val="right"/>
              <w:rPr>
                <w:color w:val="000000"/>
              </w:rPr>
            </w:pPr>
            <w:r w:rsidRPr="00D618B7">
              <w:rPr>
                <w:color w:val="000000"/>
              </w:rPr>
              <w:t>37.17</w:t>
            </w:r>
          </w:p>
        </w:tc>
        <w:tc>
          <w:tcPr>
            <w:tcW w:w="1364" w:type="dxa"/>
            <w:tcBorders>
              <w:top w:val="nil"/>
              <w:left w:val="nil"/>
              <w:bottom w:val="single" w:sz="12" w:space="0" w:color="auto"/>
              <w:right w:val="nil"/>
            </w:tcBorders>
            <w:shd w:val="clear" w:color="000000" w:fill="FFFFFF"/>
            <w:noWrap/>
            <w:vAlign w:val="center"/>
            <w:hideMark/>
          </w:tcPr>
          <w:p w14:paraId="35DBCBD8" w14:textId="77777777" w:rsidR="00505F44" w:rsidRPr="00D618B7" w:rsidRDefault="00505F44" w:rsidP="004B11B7">
            <w:pPr>
              <w:jc w:val="right"/>
              <w:rPr>
                <w:color w:val="000000"/>
              </w:rPr>
            </w:pPr>
            <w:r w:rsidRPr="00D618B7">
              <w:rPr>
                <w:color w:val="000000"/>
              </w:rPr>
              <w:t>1.71</w:t>
            </w:r>
          </w:p>
        </w:tc>
      </w:tr>
    </w:tbl>
    <w:p w14:paraId="315C04FF" w14:textId="77777777" w:rsidR="00505F44" w:rsidRPr="00D618B7" w:rsidRDefault="00505F44" w:rsidP="00505F44"/>
    <w:p w14:paraId="32388154" w14:textId="77777777" w:rsidR="00505F44" w:rsidRPr="00D618B7" w:rsidRDefault="00505F44" w:rsidP="00505F44">
      <w:r w:rsidRPr="00D618B7">
        <w:rPr>
          <w:i/>
          <w:iCs/>
        </w:rPr>
        <w:t>Note</w:t>
      </w:r>
      <w:r w:rsidRPr="00D618B7">
        <w:t>: This table shows the estimated mean movement units and standard errors for each week of observation around reach-onset.</w:t>
      </w:r>
    </w:p>
    <w:p w14:paraId="76423562" w14:textId="77777777" w:rsidR="00D96FFB" w:rsidRPr="00D618B7" w:rsidRDefault="00D96FFB"/>
    <w:p w14:paraId="52E4281A" w14:textId="77777777" w:rsidR="00D96FFB" w:rsidRPr="00D618B7" w:rsidRDefault="00D96FFB"/>
    <w:p w14:paraId="4DDC7825" w14:textId="244949B7" w:rsidR="00D96FFB" w:rsidRPr="00D618B7" w:rsidRDefault="00D96FFB" w:rsidP="007C5074">
      <w:pPr>
        <w:pStyle w:val="Caption"/>
      </w:pPr>
      <w:bookmarkStart w:id="240" w:name="_Toc172716917"/>
      <w:r w:rsidRPr="00D618B7">
        <w:t xml:space="preserve">Table </w:t>
      </w:r>
      <w:r w:rsidR="00000000">
        <w:fldChar w:fldCharType="begin"/>
      </w:r>
      <w:r w:rsidR="00000000">
        <w:instrText xml:space="preserve"> SEQ Table \* ARABIC </w:instrText>
      </w:r>
      <w:r w:rsidR="00000000">
        <w:fldChar w:fldCharType="separate"/>
      </w:r>
      <w:r w:rsidR="000C6E43">
        <w:rPr>
          <w:noProof/>
        </w:rPr>
        <w:t>89</w:t>
      </w:r>
      <w:r w:rsidR="00000000">
        <w:rPr>
          <w:noProof/>
        </w:rPr>
        <w:fldChar w:fldCharType="end"/>
      </w:r>
      <w:r w:rsidR="00AE3927">
        <w:rPr>
          <w:noProof/>
        </w:rPr>
        <w:t>:</w:t>
      </w:r>
      <w:r w:rsidR="00D060E7" w:rsidRPr="00D060E7">
        <w:t xml:space="preserve"> </w:t>
      </w:r>
      <w:r w:rsidR="00D060E7">
        <w:t>Movement units per proximity by group</w:t>
      </w:r>
      <w:bookmarkEnd w:id="240"/>
    </w:p>
    <w:p w14:paraId="4BDC2590" w14:textId="60699741" w:rsidR="00D96FFB" w:rsidRPr="00D618B7" w:rsidRDefault="00D96FFB" w:rsidP="00D96FFB">
      <w:r w:rsidRPr="00D618B7">
        <w:t>Estimated Mean Movement Units by Proximity and Group</w:t>
      </w:r>
    </w:p>
    <w:tbl>
      <w:tblPr>
        <w:tblW w:w="5000" w:type="pct"/>
        <w:tblLook w:val="04A0" w:firstRow="1" w:lastRow="0" w:firstColumn="1" w:lastColumn="0" w:noHBand="0" w:noVBand="1"/>
      </w:tblPr>
      <w:tblGrid>
        <w:gridCol w:w="3011"/>
        <w:gridCol w:w="1474"/>
        <w:gridCol w:w="1495"/>
        <w:gridCol w:w="1082"/>
        <w:gridCol w:w="1578"/>
      </w:tblGrid>
      <w:tr w:rsidR="00D96FFB" w:rsidRPr="00D618B7" w14:paraId="6AB167DB" w14:textId="77777777" w:rsidTr="004B11B7">
        <w:trPr>
          <w:trHeight w:val="322"/>
        </w:trPr>
        <w:tc>
          <w:tcPr>
            <w:tcW w:w="1743" w:type="pct"/>
            <w:tcBorders>
              <w:top w:val="nil"/>
              <w:left w:val="nil"/>
              <w:bottom w:val="single" w:sz="8" w:space="0" w:color="auto"/>
              <w:right w:val="nil"/>
            </w:tcBorders>
            <w:shd w:val="clear" w:color="auto" w:fill="auto"/>
            <w:noWrap/>
            <w:vAlign w:val="bottom"/>
            <w:hideMark/>
          </w:tcPr>
          <w:p w14:paraId="5799D1BD" w14:textId="77777777" w:rsidR="00D96FFB" w:rsidRPr="00D618B7" w:rsidRDefault="00D96FFB" w:rsidP="004B11B7">
            <w:pPr>
              <w:rPr>
                <w:color w:val="000000"/>
              </w:rPr>
            </w:pPr>
            <w:r w:rsidRPr="00D618B7">
              <w:rPr>
                <w:color w:val="000000"/>
              </w:rPr>
              <w:t> </w:t>
            </w:r>
          </w:p>
        </w:tc>
        <w:tc>
          <w:tcPr>
            <w:tcW w:w="853" w:type="pct"/>
            <w:tcBorders>
              <w:top w:val="nil"/>
              <w:left w:val="nil"/>
              <w:bottom w:val="single" w:sz="8" w:space="0" w:color="auto"/>
              <w:right w:val="nil"/>
            </w:tcBorders>
            <w:shd w:val="clear" w:color="auto" w:fill="auto"/>
            <w:noWrap/>
            <w:vAlign w:val="bottom"/>
            <w:hideMark/>
          </w:tcPr>
          <w:p w14:paraId="431023FD" w14:textId="77777777" w:rsidR="00D96FFB" w:rsidRPr="00D618B7" w:rsidRDefault="00D96FFB" w:rsidP="004B11B7">
            <w:pPr>
              <w:rPr>
                <w:color w:val="000000"/>
              </w:rPr>
            </w:pPr>
            <w:r w:rsidRPr="00D618B7">
              <w:rPr>
                <w:color w:val="000000"/>
              </w:rPr>
              <w:t> </w:t>
            </w:r>
          </w:p>
        </w:tc>
        <w:tc>
          <w:tcPr>
            <w:tcW w:w="865" w:type="pct"/>
            <w:tcBorders>
              <w:top w:val="nil"/>
              <w:left w:val="nil"/>
              <w:bottom w:val="single" w:sz="8" w:space="0" w:color="auto"/>
              <w:right w:val="nil"/>
            </w:tcBorders>
            <w:shd w:val="clear" w:color="auto" w:fill="auto"/>
            <w:noWrap/>
            <w:vAlign w:val="bottom"/>
            <w:hideMark/>
          </w:tcPr>
          <w:p w14:paraId="5D418311" w14:textId="77777777" w:rsidR="00D96FFB" w:rsidRPr="00D618B7" w:rsidRDefault="00D96FFB" w:rsidP="004B11B7">
            <w:pPr>
              <w:rPr>
                <w:color w:val="000000"/>
              </w:rPr>
            </w:pPr>
            <w:r w:rsidRPr="00D618B7">
              <w:rPr>
                <w:color w:val="000000"/>
              </w:rPr>
              <w:t> </w:t>
            </w:r>
          </w:p>
        </w:tc>
        <w:tc>
          <w:tcPr>
            <w:tcW w:w="626" w:type="pct"/>
            <w:tcBorders>
              <w:top w:val="nil"/>
              <w:left w:val="nil"/>
              <w:bottom w:val="single" w:sz="8" w:space="0" w:color="auto"/>
              <w:right w:val="nil"/>
            </w:tcBorders>
            <w:shd w:val="clear" w:color="auto" w:fill="auto"/>
            <w:noWrap/>
            <w:vAlign w:val="bottom"/>
            <w:hideMark/>
          </w:tcPr>
          <w:p w14:paraId="354DFB11" w14:textId="77777777" w:rsidR="00D96FFB" w:rsidRPr="00D618B7" w:rsidRDefault="00D96FFB" w:rsidP="004B11B7">
            <w:pPr>
              <w:rPr>
                <w:color w:val="000000"/>
              </w:rPr>
            </w:pPr>
            <w:r w:rsidRPr="00D618B7">
              <w:rPr>
                <w:color w:val="000000"/>
              </w:rPr>
              <w:t> </w:t>
            </w:r>
          </w:p>
        </w:tc>
        <w:tc>
          <w:tcPr>
            <w:tcW w:w="913" w:type="pct"/>
            <w:tcBorders>
              <w:top w:val="nil"/>
              <w:left w:val="nil"/>
              <w:bottom w:val="single" w:sz="8" w:space="0" w:color="auto"/>
              <w:right w:val="nil"/>
            </w:tcBorders>
            <w:shd w:val="clear" w:color="auto" w:fill="auto"/>
            <w:noWrap/>
            <w:vAlign w:val="bottom"/>
            <w:hideMark/>
          </w:tcPr>
          <w:p w14:paraId="0BA5977E" w14:textId="77777777" w:rsidR="00D96FFB" w:rsidRPr="00D618B7" w:rsidRDefault="00D96FFB" w:rsidP="004B11B7">
            <w:pPr>
              <w:rPr>
                <w:color w:val="000000"/>
              </w:rPr>
            </w:pPr>
            <w:r w:rsidRPr="00D618B7">
              <w:rPr>
                <w:color w:val="000000"/>
              </w:rPr>
              <w:t> </w:t>
            </w:r>
          </w:p>
        </w:tc>
      </w:tr>
      <w:tr w:rsidR="00D96FFB" w:rsidRPr="00D618B7" w14:paraId="60FC799E" w14:textId="77777777" w:rsidTr="004B11B7">
        <w:trPr>
          <w:trHeight w:val="322"/>
        </w:trPr>
        <w:tc>
          <w:tcPr>
            <w:tcW w:w="1743" w:type="pct"/>
            <w:tcBorders>
              <w:top w:val="nil"/>
              <w:left w:val="nil"/>
              <w:bottom w:val="nil"/>
              <w:right w:val="nil"/>
            </w:tcBorders>
            <w:shd w:val="clear" w:color="000000" w:fill="FFFFFF"/>
            <w:vAlign w:val="center"/>
            <w:hideMark/>
          </w:tcPr>
          <w:p w14:paraId="32EA2768" w14:textId="77777777" w:rsidR="00D96FFB" w:rsidRPr="00D618B7" w:rsidRDefault="00D96FFB" w:rsidP="004B11B7">
            <w:pPr>
              <w:rPr>
                <w:color w:val="000000"/>
              </w:rPr>
            </w:pPr>
            <w:r w:rsidRPr="00D618B7">
              <w:rPr>
                <w:color w:val="000000"/>
              </w:rPr>
              <w:t>Week</w:t>
            </w:r>
          </w:p>
        </w:tc>
        <w:tc>
          <w:tcPr>
            <w:tcW w:w="1718" w:type="pct"/>
            <w:gridSpan w:val="2"/>
            <w:tcBorders>
              <w:top w:val="nil"/>
              <w:left w:val="nil"/>
              <w:bottom w:val="single" w:sz="8" w:space="0" w:color="auto"/>
              <w:right w:val="nil"/>
            </w:tcBorders>
            <w:shd w:val="clear" w:color="000000" w:fill="FFFFFF"/>
            <w:vAlign w:val="center"/>
            <w:hideMark/>
          </w:tcPr>
          <w:p w14:paraId="5BF69B5E" w14:textId="77777777" w:rsidR="00D96FFB" w:rsidRPr="00D618B7" w:rsidRDefault="00D96FFB" w:rsidP="004B11B7">
            <w:pPr>
              <w:jc w:val="center"/>
              <w:rPr>
                <w:color w:val="000000"/>
              </w:rPr>
            </w:pPr>
            <w:r w:rsidRPr="00D618B7">
              <w:rPr>
                <w:color w:val="000000"/>
              </w:rPr>
              <w:t>Early Reach Group</w:t>
            </w:r>
          </w:p>
        </w:tc>
        <w:tc>
          <w:tcPr>
            <w:tcW w:w="1539" w:type="pct"/>
            <w:gridSpan w:val="2"/>
            <w:tcBorders>
              <w:top w:val="nil"/>
              <w:left w:val="nil"/>
              <w:bottom w:val="single" w:sz="8" w:space="0" w:color="auto"/>
              <w:right w:val="nil"/>
            </w:tcBorders>
            <w:shd w:val="clear" w:color="000000" w:fill="FFFFFF"/>
            <w:vAlign w:val="center"/>
            <w:hideMark/>
          </w:tcPr>
          <w:p w14:paraId="1EB35625" w14:textId="77777777" w:rsidR="00D96FFB" w:rsidRPr="00D618B7" w:rsidRDefault="00D96FFB" w:rsidP="004B11B7">
            <w:pPr>
              <w:jc w:val="center"/>
              <w:rPr>
                <w:color w:val="000000"/>
              </w:rPr>
            </w:pPr>
            <w:r w:rsidRPr="00D618B7">
              <w:rPr>
                <w:color w:val="000000"/>
              </w:rPr>
              <w:t>Late Reach Group</w:t>
            </w:r>
          </w:p>
        </w:tc>
      </w:tr>
      <w:tr w:rsidR="00D96FFB" w:rsidRPr="00D618B7" w14:paraId="4C802466" w14:textId="77777777" w:rsidTr="004B11B7">
        <w:trPr>
          <w:trHeight w:val="322"/>
        </w:trPr>
        <w:tc>
          <w:tcPr>
            <w:tcW w:w="1743" w:type="pct"/>
            <w:tcBorders>
              <w:top w:val="nil"/>
              <w:left w:val="nil"/>
              <w:bottom w:val="single" w:sz="8" w:space="0" w:color="auto"/>
              <w:right w:val="nil"/>
            </w:tcBorders>
            <w:shd w:val="clear" w:color="000000" w:fill="FFFFFF"/>
            <w:noWrap/>
            <w:vAlign w:val="bottom"/>
            <w:hideMark/>
          </w:tcPr>
          <w:p w14:paraId="50D29ABC" w14:textId="77777777" w:rsidR="00D96FFB" w:rsidRPr="00D618B7" w:rsidRDefault="00D96FFB" w:rsidP="004B11B7">
            <w:pPr>
              <w:rPr>
                <w:color w:val="000000"/>
              </w:rPr>
            </w:pPr>
            <w:r w:rsidRPr="00D618B7">
              <w:rPr>
                <w:color w:val="000000"/>
              </w:rPr>
              <w:t> </w:t>
            </w:r>
          </w:p>
        </w:tc>
        <w:tc>
          <w:tcPr>
            <w:tcW w:w="853" w:type="pct"/>
            <w:tcBorders>
              <w:top w:val="nil"/>
              <w:left w:val="nil"/>
              <w:bottom w:val="single" w:sz="8" w:space="0" w:color="auto"/>
              <w:right w:val="nil"/>
            </w:tcBorders>
            <w:shd w:val="clear" w:color="000000" w:fill="FFFFFF"/>
            <w:noWrap/>
            <w:vAlign w:val="center"/>
            <w:hideMark/>
          </w:tcPr>
          <w:p w14:paraId="3A86ED32" w14:textId="77777777" w:rsidR="00D96FFB" w:rsidRPr="00D618B7" w:rsidRDefault="00D96FFB" w:rsidP="004B11B7">
            <w:pPr>
              <w:jc w:val="right"/>
              <w:rPr>
                <w:color w:val="000000"/>
              </w:rPr>
            </w:pPr>
            <w:r w:rsidRPr="00D618B7">
              <w:rPr>
                <w:color w:val="000000"/>
              </w:rPr>
              <w:t>Mean</w:t>
            </w:r>
          </w:p>
        </w:tc>
        <w:tc>
          <w:tcPr>
            <w:tcW w:w="865" w:type="pct"/>
            <w:tcBorders>
              <w:top w:val="nil"/>
              <w:left w:val="nil"/>
              <w:bottom w:val="single" w:sz="8" w:space="0" w:color="auto"/>
              <w:right w:val="nil"/>
            </w:tcBorders>
            <w:shd w:val="clear" w:color="000000" w:fill="FFFFFF"/>
            <w:noWrap/>
            <w:vAlign w:val="center"/>
            <w:hideMark/>
          </w:tcPr>
          <w:p w14:paraId="65467B44" w14:textId="77777777" w:rsidR="00D96FFB" w:rsidRPr="00D618B7" w:rsidRDefault="00D96FFB" w:rsidP="004B11B7">
            <w:pPr>
              <w:jc w:val="right"/>
              <w:rPr>
                <w:color w:val="000000"/>
              </w:rPr>
            </w:pPr>
            <w:r w:rsidRPr="00D618B7">
              <w:rPr>
                <w:color w:val="000000"/>
              </w:rPr>
              <w:t>Std. Error</w:t>
            </w:r>
          </w:p>
        </w:tc>
        <w:tc>
          <w:tcPr>
            <w:tcW w:w="626" w:type="pct"/>
            <w:tcBorders>
              <w:top w:val="nil"/>
              <w:left w:val="nil"/>
              <w:bottom w:val="single" w:sz="8" w:space="0" w:color="auto"/>
              <w:right w:val="nil"/>
            </w:tcBorders>
            <w:shd w:val="clear" w:color="000000" w:fill="FFFFFF"/>
            <w:noWrap/>
            <w:vAlign w:val="center"/>
            <w:hideMark/>
          </w:tcPr>
          <w:p w14:paraId="5BF3D351" w14:textId="77777777" w:rsidR="00D96FFB" w:rsidRPr="00D618B7" w:rsidRDefault="00D96FFB" w:rsidP="004B11B7">
            <w:pPr>
              <w:jc w:val="right"/>
              <w:rPr>
                <w:color w:val="000000"/>
              </w:rPr>
            </w:pPr>
            <w:r w:rsidRPr="00D618B7">
              <w:rPr>
                <w:color w:val="000000"/>
              </w:rPr>
              <w:t>Mean</w:t>
            </w:r>
          </w:p>
        </w:tc>
        <w:tc>
          <w:tcPr>
            <w:tcW w:w="913" w:type="pct"/>
            <w:tcBorders>
              <w:top w:val="nil"/>
              <w:left w:val="nil"/>
              <w:bottom w:val="single" w:sz="8" w:space="0" w:color="auto"/>
              <w:right w:val="nil"/>
            </w:tcBorders>
            <w:shd w:val="clear" w:color="000000" w:fill="FFFFFF"/>
            <w:noWrap/>
            <w:vAlign w:val="center"/>
            <w:hideMark/>
          </w:tcPr>
          <w:p w14:paraId="33FEAEAE" w14:textId="77777777" w:rsidR="00D96FFB" w:rsidRPr="00D618B7" w:rsidRDefault="00D96FFB" w:rsidP="004B11B7">
            <w:pPr>
              <w:jc w:val="right"/>
              <w:rPr>
                <w:color w:val="000000"/>
              </w:rPr>
            </w:pPr>
            <w:r w:rsidRPr="00D618B7">
              <w:rPr>
                <w:color w:val="000000"/>
              </w:rPr>
              <w:t>Std. Error</w:t>
            </w:r>
          </w:p>
        </w:tc>
      </w:tr>
      <w:tr w:rsidR="00D96FFB" w:rsidRPr="00D618B7" w14:paraId="7D53D77F" w14:textId="77777777" w:rsidTr="004B11B7">
        <w:trPr>
          <w:trHeight w:val="322"/>
        </w:trPr>
        <w:tc>
          <w:tcPr>
            <w:tcW w:w="1743" w:type="pct"/>
            <w:tcBorders>
              <w:top w:val="nil"/>
              <w:left w:val="nil"/>
              <w:bottom w:val="nil"/>
              <w:right w:val="nil"/>
            </w:tcBorders>
            <w:shd w:val="clear" w:color="000000" w:fill="FFFFFF"/>
            <w:hideMark/>
          </w:tcPr>
          <w:p w14:paraId="6B013910" w14:textId="77777777" w:rsidR="00D96FFB" w:rsidRPr="00D618B7" w:rsidRDefault="00D96FFB" w:rsidP="004B11B7">
            <w:pPr>
              <w:rPr>
                <w:color w:val="000000"/>
              </w:rPr>
            </w:pPr>
            <w:r w:rsidRPr="00D618B7">
              <w:t>Toy-out-of-Reach</w:t>
            </w:r>
          </w:p>
        </w:tc>
        <w:tc>
          <w:tcPr>
            <w:tcW w:w="853" w:type="pct"/>
            <w:tcBorders>
              <w:top w:val="nil"/>
              <w:left w:val="nil"/>
              <w:bottom w:val="nil"/>
              <w:right w:val="nil"/>
            </w:tcBorders>
            <w:shd w:val="clear" w:color="000000" w:fill="FFFFFF"/>
            <w:noWrap/>
            <w:vAlign w:val="center"/>
            <w:hideMark/>
          </w:tcPr>
          <w:p w14:paraId="28F71D1D" w14:textId="77777777" w:rsidR="00D96FFB" w:rsidRPr="00D618B7" w:rsidRDefault="00D96FFB" w:rsidP="004B11B7">
            <w:pPr>
              <w:jc w:val="right"/>
              <w:rPr>
                <w:color w:val="000000"/>
              </w:rPr>
            </w:pPr>
            <w:r w:rsidRPr="00D618B7">
              <w:rPr>
                <w:color w:val="000000"/>
              </w:rPr>
              <w:t>14.68</w:t>
            </w:r>
          </w:p>
        </w:tc>
        <w:tc>
          <w:tcPr>
            <w:tcW w:w="865" w:type="pct"/>
            <w:tcBorders>
              <w:top w:val="nil"/>
              <w:left w:val="nil"/>
              <w:bottom w:val="nil"/>
              <w:right w:val="nil"/>
            </w:tcBorders>
            <w:shd w:val="clear" w:color="000000" w:fill="FFFFFF"/>
            <w:noWrap/>
            <w:vAlign w:val="center"/>
            <w:hideMark/>
          </w:tcPr>
          <w:p w14:paraId="2B24B695" w14:textId="77777777" w:rsidR="00D96FFB" w:rsidRPr="00D618B7" w:rsidRDefault="00D96FFB" w:rsidP="004B11B7">
            <w:pPr>
              <w:jc w:val="right"/>
              <w:rPr>
                <w:color w:val="000000"/>
              </w:rPr>
            </w:pPr>
            <w:r w:rsidRPr="00D618B7">
              <w:rPr>
                <w:color w:val="000000"/>
              </w:rPr>
              <w:t>2.00</w:t>
            </w:r>
          </w:p>
        </w:tc>
        <w:tc>
          <w:tcPr>
            <w:tcW w:w="626" w:type="pct"/>
            <w:tcBorders>
              <w:top w:val="nil"/>
              <w:left w:val="nil"/>
              <w:bottom w:val="nil"/>
              <w:right w:val="nil"/>
            </w:tcBorders>
            <w:shd w:val="clear" w:color="000000" w:fill="FFFFFF"/>
            <w:noWrap/>
            <w:vAlign w:val="center"/>
            <w:hideMark/>
          </w:tcPr>
          <w:p w14:paraId="3A7D2BD3" w14:textId="77777777" w:rsidR="00D96FFB" w:rsidRPr="00D618B7" w:rsidRDefault="00D96FFB" w:rsidP="004B11B7">
            <w:pPr>
              <w:jc w:val="right"/>
              <w:rPr>
                <w:color w:val="000000"/>
              </w:rPr>
            </w:pPr>
            <w:r w:rsidRPr="00D618B7">
              <w:rPr>
                <w:color w:val="000000"/>
              </w:rPr>
              <w:t>22.34</w:t>
            </w:r>
          </w:p>
        </w:tc>
        <w:tc>
          <w:tcPr>
            <w:tcW w:w="913" w:type="pct"/>
            <w:tcBorders>
              <w:top w:val="nil"/>
              <w:left w:val="nil"/>
              <w:bottom w:val="nil"/>
              <w:right w:val="nil"/>
            </w:tcBorders>
            <w:shd w:val="clear" w:color="000000" w:fill="FFFFFF"/>
            <w:noWrap/>
            <w:vAlign w:val="center"/>
            <w:hideMark/>
          </w:tcPr>
          <w:p w14:paraId="6F07123E" w14:textId="77777777" w:rsidR="00D96FFB" w:rsidRPr="00D618B7" w:rsidRDefault="00D96FFB" w:rsidP="004B11B7">
            <w:pPr>
              <w:jc w:val="right"/>
              <w:rPr>
                <w:color w:val="000000"/>
              </w:rPr>
            </w:pPr>
            <w:r w:rsidRPr="00D618B7">
              <w:rPr>
                <w:color w:val="000000"/>
              </w:rPr>
              <w:t>0.85</w:t>
            </w:r>
          </w:p>
        </w:tc>
      </w:tr>
      <w:tr w:rsidR="00D96FFB" w:rsidRPr="00D618B7" w14:paraId="131C8B7F" w14:textId="77777777" w:rsidTr="004B11B7">
        <w:trPr>
          <w:trHeight w:val="322"/>
        </w:trPr>
        <w:tc>
          <w:tcPr>
            <w:tcW w:w="1743" w:type="pct"/>
            <w:tcBorders>
              <w:top w:val="nil"/>
              <w:left w:val="nil"/>
              <w:bottom w:val="nil"/>
              <w:right w:val="nil"/>
            </w:tcBorders>
            <w:shd w:val="clear" w:color="000000" w:fill="FFFFFF"/>
            <w:hideMark/>
          </w:tcPr>
          <w:p w14:paraId="147F1076" w14:textId="77777777" w:rsidR="00D96FFB" w:rsidRPr="00D618B7" w:rsidRDefault="00D96FFB" w:rsidP="004B11B7">
            <w:pPr>
              <w:rPr>
                <w:color w:val="000000"/>
              </w:rPr>
            </w:pPr>
            <w:r w:rsidRPr="00D618B7">
              <w:t>Toy-Moving-into-Reach</w:t>
            </w:r>
          </w:p>
        </w:tc>
        <w:tc>
          <w:tcPr>
            <w:tcW w:w="853" w:type="pct"/>
            <w:tcBorders>
              <w:top w:val="nil"/>
              <w:left w:val="nil"/>
              <w:bottom w:val="nil"/>
              <w:right w:val="nil"/>
            </w:tcBorders>
            <w:shd w:val="clear" w:color="000000" w:fill="FFFFFF"/>
            <w:noWrap/>
            <w:vAlign w:val="center"/>
            <w:hideMark/>
          </w:tcPr>
          <w:p w14:paraId="69A732F1" w14:textId="77777777" w:rsidR="00D96FFB" w:rsidRPr="00D618B7" w:rsidRDefault="00D96FFB" w:rsidP="004B11B7">
            <w:pPr>
              <w:jc w:val="right"/>
              <w:rPr>
                <w:color w:val="000000"/>
              </w:rPr>
            </w:pPr>
            <w:r w:rsidRPr="00D618B7">
              <w:rPr>
                <w:color w:val="000000"/>
              </w:rPr>
              <w:t>34.34</w:t>
            </w:r>
          </w:p>
        </w:tc>
        <w:tc>
          <w:tcPr>
            <w:tcW w:w="865" w:type="pct"/>
            <w:tcBorders>
              <w:top w:val="nil"/>
              <w:left w:val="nil"/>
              <w:bottom w:val="nil"/>
              <w:right w:val="nil"/>
            </w:tcBorders>
            <w:shd w:val="clear" w:color="000000" w:fill="FFFFFF"/>
            <w:noWrap/>
            <w:vAlign w:val="center"/>
            <w:hideMark/>
          </w:tcPr>
          <w:p w14:paraId="4E5A2A9B" w14:textId="77777777" w:rsidR="00D96FFB" w:rsidRPr="00D618B7" w:rsidRDefault="00D96FFB" w:rsidP="004B11B7">
            <w:pPr>
              <w:jc w:val="right"/>
              <w:rPr>
                <w:color w:val="000000"/>
              </w:rPr>
            </w:pPr>
            <w:r w:rsidRPr="00D618B7">
              <w:rPr>
                <w:color w:val="000000"/>
              </w:rPr>
              <w:t>1.73</w:t>
            </w:r>
          </w:p>
        </w:tc>
        <w:tc>
          <w:tcPr>
            <w:tcW w:w="626" w:type="pct"/>
            <w:tcBorders>
              <w:top w:val="nil"/>
              <w:left w:val="nil"/>
              <w:bottom w:val="nil"/>
              <w:right w:val="nil"/>
            </w:tcBorders>
            <w:shd w:val="clear" w:color="000000" w:fill="FFFFFF"/>
            <w:noWrap/>
            <w:vAlign w:val="center"/>
            <w:hideMark/>
          </w:tcPr>
          <w:p w14:paraId="74215B17" w14:textId="77777777" w:rsidR="00D96FFB" w:rsidRPr="00D618B7" w:rsidRDefault="00D96FFB" w:rsidP="004B11B7">
            <w:pPr>
              <w:jc w:val="right"/>
              <w:rPr>
                <w:color w:val="000000"/>
              </w:rPr>
            </w:pPr>
            <w:r w:rsidRPr="00D618B7">
              <w:rPr>
                <w:color w:val="000000"/>
              </w:rPr>
              <w:t>38.33</w:t>
            </w:r>
          </w:p>
        </w:tc>
        <w:tc>
          <w:tcPr>
            <w:tcW w:w="913" w:type="pct"/>
            <w:tcBorders>
              <w:top w:val="nil"/>
              <w:left w:val="nil"/>
              <w:bottom w:val="nil"/>
              <w:right w:val="nil"/>
            </w:tcBorders>
            <w:shd w:val="clear" w:color="000000" w:fill="FFFFFF"/>
            <w:noWrap/>
            <w:vAlign w:val="center"/>
            <w:hideMark/>
          </w:tcPr>
          <w:p w14:paraId="3EB078F1" w14:textId="77777777" w:rsidR="00D96FFB" w:rsidRPr="00D618B7" w:rsidRDefault="00D96FFB" w:rsidP="004B11B7">
            <w:pPr>
              <w:jc w:val="right"/>
              <w:rPr>
                <w:color w:val="000000"/>
              </w:rPr>
            </w:pPr>
            <w:r w:rsidRPr="00D618B7">
              <w:rPr>
                <w:color w:val="000000"/>
              </w:rPr>
              <w:t>1.12</w:t>
            </w:r>
          </w:p>
        </w:tc>
      </w:tr>
      <w:tr w:rsidR="00D96FFB" w:rsidRPr="00D618B7" w14:paraId="6CDB40FA" w14:textId="77777777" w:rsidTr="004B11B7">
        <w:trPr>
          <w:trHeight w:val="322"/>
        </w:trPr>
        <w:tc>
          <w:tcPr>
            <w:tcW w:w="1743" w:type="pct"/>
            <w:tcBorders>
              <w:top w:val="nil"/>
              <w:left w:val="nil"/>
              <w:bottom w:val="single" w:sz="8" w:space="0" w:color="auto"/>
              <w:right w:val="nil"/>
            </w:tcBorders>
            <w:shd w:val="clear" w:color="000000" w:fill="FFFFFF"/>
            <w:hideMark/>
          </w:tcPr>
          <w:p w14:paraId="492047BA" w14:textId="77777777" w:rsidR="00D96FFB" w:rsidRPr="00D618B7" w:rsidRDefault="00D96FFB" w:rsidP="004B11B7">
            <w:pPr>
              <w:rPr>
                <w:color w:val="000000"/>
              </w:rPr>
            </w:pPr>
            <w:r w:rsidRPr="00D618B7">
              <w:t>Toy-in-Reach</w:t>
            </w:r>
          </w:p>
        </w:tc>
        <w:tc>
          <w:tcPr>
            <w:tcW w:w="853" w:type="pct"/>
            <w:tcBorders>
              <w:top w:val="nil"/>
              <w:left w:val="nil"/>
              <w:bottom w:val="single" w:sz="8" w:space="0" w:color="auto"/>
              <w:right w:val="nil"/>
            </w:tcBorders>
            <w:shd w:val="clear" w:color="000000" w:fill="FFFFFF"/>
            <w:noWrap/>
            <w:vAlign w:val="center"/>
            <w:hideMark/>
          </w:tcPr>
          <w:p w14:paraId="766C7412" w14:textId="77777777" w:rsidR="00D96FFB" w:rsidRPr="00D618B7" w:rsidRDefault="00D96FFB" w:rsidP="004B11B7">
            <w:pPr>
              <w:jc w:val="right"/>
              <w:rPr>
                <w:color w:val="000000"/>
              </w:rPr>
            </w:pPr>
            <w:r w:rsidRPr="00D618B7">
              <w:rPr>
                <w:color w:val="000000"/>
              </w:rPr>
              <w:t>19.64</w:t>
            </w:r>
          </w:p>
        </w:tc>
        <w:tc>
          <w:tcPr>
            <w:tcW w:w="865" w:type="pct"/>
            <w:tcBorders>
              <w:top w:val="nil"/>
              <w:left w:val="nil"/>
              <w:bottom w:val="single" w:sz="8" w:space="0" w:color="auto"/>
              <w:right w:val="nil"/>
            </w:tcBorders>
            <w:shd w:val="clear" w:color="000000" w:fill="FFFFFF"/>
            <w:noWrap/>
            <w:vAlign w:val="center"/>
            <w:hideMark/>
          </w:tcPr>
          <w:p w14:paraId="39ADDE03" w14:textId="77777777" w:rsidR="00D96FFB" w:rsidRPr="00D618B7" w:rsidRDefault="00D96FFB" w:rsidP="004B11B7">
            <w:pPr>
              <w:jc w:val="right"/>
              <w:rPr>
                <w:color w:val="000000"/>
              </w:rPr>
            </w:pPr>
            <w:r w:rsidRPr="00D618B7">
              <w:rPr>
                <w:color w:val="000000"/>
              </w:rPr>
              <w:t>2.64</w:t>
            </w:r>
          </w:p>
        </w:tc>
        <w:tc>
          <w:tcPr>
            <w:tcW w:w="626" w:type="pct"/>
            <w:tcBorders>
              <w:top w:val="nil"/>
              <w:left w:val="nil"/>
              <w:bottom w:val="single" w:sz="8" w:space="0" w:color="auto"/>
              <w:right w:val="nil"/>
            </w:tcBorders>
            <w:shd w:val="clear" w:color="000000" w:fill="FFFFFF"/>
            <w:noWrap/>
            <w:vAlign w:val="center"/>
            <w:hideMark/>
          </w:tcPr>
          <w:p w14:paraId="5E2ADC26" w14:textId="77777777" w:rsidR="00D96FFB" w:rsidRPr="00D618B7" w:rsidRDefault="00D96FFB" w:rsidP="004B11B7">
            <w:pPr>
              <w:jc w:val="right"/>
              <w:rPr>
                <w:color w:val="000000"/>
              </w:rPr>
            </w:pPr>
            <w:r w:rsidRPr="00D618B7">
              <w:rPr>
                <w:color w:val="000000"/>
              </w:rPr>
              <w:t>21.56</w:t>
            </w:r>
          </w:p>
        </w:tc>
        <w:tc>
          <w:tcPr>
            <w:tcW w:w="913" w:type="pct"/>
            <w:tcBorders>
              <w:top w:val="nil"/>
              <w:left w:val="nil"/>
              <w:bottom w:val="single" w:sz="8" w:space="0" w:color="auto"/>
              <w:right w:val="nil"/>
            </w:tcBorders>
            <w:shd w:val="clear" w:color="000000" w:fill="FFFFFF"/>
            <w:noWrap/>
            <w:vAlign w:val="center"/>
            <w:hideMark/>
          </w:tcPr>
          <w:p w14:paraId="2D4C8D73" w14:textId="77777777" w:rsidR="00D96FFB" w:rsidRPr="00D618B7" w:rsidRDefault="00D96FFB" w:rsidP="004B11B7">
            <w:pPr>
              <w:jc w:val="right"/>
              <w:rPr>
                <w:color w:val="000000"/>
              </w:rPr>
            </w:pPr>
            <w:r w:rsidRPr="00D618B7">
              <w:rPr>
                <w:color w:val="000000"/>
              </w:rPr>
              <w:t>2.12</w:t>
            </w:r>
          </w:p>
        </w:tc>
      </w:tr>
    </w:tbl>
    <w:p w14:paraId="3258AC9C" w14:textId="77777777" w:rsidR="00D96FFB" w:rsidRPr="00D618B7" w:rsidRDefault="00D96FFB" w:rsidP="00D96FFB">
      <w:pPr>
        <w:rPr>
          <w:i/>
          <w:iCs/>
        </w:rPr>
      </w:pPr>
    </w:p>
    <w:p w14:paraId="0EE2A4D5" w14:textId="77777777" w:rsidR="00D96FFB" w:rsidRPr="00D618B7" w:rsidRDefault="00D96FFB" w:rsidP="00D96FFB">
      <w:r w:rsidRPr="00D618B7">
        <w:rPr>
          <w:i/>
          <w:iCs/>
        </w:rPr>
        <w:t>Note</w:t>
      </w:r>
      <w:r w:rsidRPr="00D618B7">
        <w:t>: This table lists the estimated mean Average Velocity and standard errors for toy-out-of-reach, toy-moving-into-reach, and toy-in-reach events by group.</w:t>
      </w:r>
    </w:p>
    <w:p w14:paraId="60F69A58" w14:textId="6506D9F3" w:rsidR="00E63639" w:rsidRPr="00D618B7" w:rsidRDefault="00E63639">
      <w:r w:rsidRPr="00D618B7">
        <w:br w:type="page"/>
      </w:r>
    </w:p>
    <w:p w14:paraId="6AB4E9EF" w14:textId="01998575" w:rsidR="00E63639" w:rsidRPr="00D618B7" w:rsidRDefault="00E63639" w:rsidP="007C5074">
      <w:pPr>
        <w:pStyle w:val="Caption"/>
      </w:pPr>
      <w:bookmarkStart w:id="241" w:name="_Toc172716918"/>
      <w:r w:rsidRPr="00D618B7">
        <w:lastRenderedPageBreak/>
        <w:t xml:space="preserve">Table </w:t>
      </w:r>
      <w:r w:rsidR="00000000">
        <w:fldChar w:fldCharType="begin"/>
      </w:r>
      <w:r w:rsidR="00000000">
        <w:instrText xml:space="preserve"> SEQ Table \* ARABIC </w:instrText>
      </w:r>
      <w:r w:rsidR="00000000">
        <w:fldChar w:fldCharType="separate"/>
      </w:r>
      <w:r w:rsidR="000C6E43">
        <w:rPr>
          <w:noProof/>
        </w:rPr>
        <w:t>90</w:t>
      </w:r>
      <w:r w:rsidR="00000000">
        <w:rPr>
          <w:noProof/>
        </w:rPr>
        <w:fldChar w:fldCharType="end"/>
      </w:r>
      <w:r w:rsidR="00AE3927">
        <w:rPr>
          <w:noProof/>
        </w:rPr>
        <w:t>:</w:t>
      </w:r>
      <w:r w:rsidR="00D060E7" w:rsidRPr="00D060E7">
        <w:t xml:space="preserve"> </w:t>
      </w:r>
      <w:r w:rsidR="00D060E7">
        <w:t>Movement units by week and proximity by group</w:t>
      </w:r>
      <w:bookmarkEnd w:id="241"/>
    </w:p>
    <w:p w14:paraId="08A72E12" w14:textId="5C8477D9" w:rsidR="00C8553F" w:rsidRPr="00D618B7" w:rsidRDefault="00C8553F" w:rsidP="00C8553F">
      <w:r w:rsidRPr="00D618B7">
        <w:t>Estimated Mean Movement Units per week by Proximity and Group</w:t>
      </w:r>
    </w:p>
    <w:tbl>
      <w:tblPr>
        <w:tblW w:w="9025" w:type="dxa"/>
        <w:tblLook w:val="04A0" w:firstRow="1" w:lastRow="0" w:firstColumn="1" w:lastColumn="0" w:noHBand="0" w:noVBand="1"/>
      </w:tblPr>
      <w:tblGrid>
        <w:gridCol w:w="1267"/>
        <w:gridCol w:w="1245"/>
        <w:gridCol w:w="1340"/>
        <w:gridCol w:w="1245"/>
        <w:gridCol w:w="1340"/>
        <w:gridCol w:w="1245"/>
        <w:gridCol w:w="1343"/>
      </w:tblGrid>
      <w:tr w:rsidR="00C8553F" w:rsidRPr="00D618B7" w14:paraId="48941ABB" w14:textId="77777777" w:rsidTr="004B11B7">
        <w:trPr>
          <w:trHeight w:val="623"/>
        </w:trPr>
        <w:tc>
          <w:tcPr>
            <w:tcW w:w="1267" w:type="dxa"/>
            <w:tcBorders>
              <w:top w:val="single" w:sz="12" w:space="0" w:color="auto"/>
              <w:left w:val="nil"/>
              <w:bottom w:val="nil"/>
              <w:right w:val="nil"/>
            </w:tcBorders>
            <w:shd w:val="clear" w:color="000000" w:fill="FFFFFF"/>
            <w:vAlign w:val="center"/>
            <w:hideMark/>
          </w:tcPr>
          <w:p w14:paraId="109F126D" w14:textId="77777777" w:rsidR="00C8553F" w:rsidRPr="00D618B7" w:rsidRDefault="00C8553F" w:rsidP="004B11B7">
            <w:pPr>
              <w:jc w:val="center"/>
              <w:rPr>
                <w:color w:val="000000"/>
              </w:rPr>
            </w:pPr>
            <w:r w:rsidRPr="00D618B7">
              <w:rPr>
                <w:color w:val="000000"/>
              </w:rPr>
              <w:t>Week</w:t>
            </w:r>
          </w:p>
        </w:tc>
        <w:tc>
          <w:tcPr>
            <w:tcW w:w="2585" w:type="dxa"/>
            <w:gridSpan w:val="2"/>
            <w:tcBorders>
              <w:top w:val="single" w:sz="12" w:space="0" w:color="auto"/>
              <w:left w:val="nil"/>
              <w:bottom w:val="single" w:sz="12" w:space="0" w:color="auto"/>
              <w:right w:val="nil"/>
            </w:tcBorders>
            <w:shd w:val="clear" w:color="000000" w:fill="FFFFFF"/>
            <w:vAlign w:val="center"/>
            <w:hideMark/>
          </w:tcPr>
          <w:p w14:paraId="4192A7AE" w14:textId="77777777" w:rsidR="00C8553F" w:rsidRPr="00D618B7" w:rsidRDefault="00C8553F" w:rsidP="004B11B7">
            <w:pPr>
              <w:jc w:val="center"/>
              <w:rPr>
                <w:color w:val="000000"/>
              </w:rPr>
            </w:pPr>
            <w:r w:rsidRPr="00D618B7">
              <w:rPr>
                <w:color w:val="000000"/>
              </w:rPr>
              <w:t>Toy-Out-of-Reach</w:t>
            </w:r>
          </w:p>
        </w:tc>
        <w:tc>
          <w:tcPr>
            <w:tcW w:w="2585" w:type="dxa"/>
            <w:gridSpan w:val="2"/>
            <w:tcBorders>
              <w:top w:val="single" w:sz="12" w:space="0" w:color="auto"/>
              <w:left w:val="nil"/>
              <w:bottom w:val="single" w:sz="12" w:space="0" w:color="auto"/>
              <w:right w:val="nil"/>
            </w:tcBorders>
            <w:shd w:val="clear" w:color="000000" w:fill="FFFFFF"/>
            <w:vAlign w:val="center"/>
            <w:hideMark/>
          </w:tcPr>
          <w:p w14:paraId="32378E03" w14:textId="77777777" w:rsidR="00C8553F" w:rsidRPr="00D618B7" w:rsidRDefault="00C8553F" w:rsidP="004B11B7">
            <w:pPr>
              <w:jc w:val="center"/>
              <w:rPr>
                <w:color w:val="000000"/>
              </w:rPr>
            </w:pPr>
            <w:r w:rsidRPr="00D618B7">
              <w:rPr>
                <w:color w:val="000000"/>
              </w:rPr>
              <w:t>Toy-Moving-into-Reach</w:t>
            </w:r>
          </w:p>
        </w:tc>
        <w:tc>
          <w:tcPr>
            <w:tcW w:w="2588" w:type="dxa"/>
            <w:gridSpan w:val="2"/>
            <w:tcBorders>
              <w:top w:val="single" w:sz="12" w:space="0" w:color="auto"/>
              <w:left w:val="nil"/>
              <w:bottom w:val="single" w:sz="12" w:space="0" w:color="auto"/>
              <w:right w:val="nil"/>
            </w:tcBorders>
            <w:shd w:val="clear" w:color="000000" w:fill="FFFFFF"/>
            <w:vAlign w:val="center"/>
            <w:hideMark/>
          </w:tcPr>
          <w:p w14:paraId="184FCDBA" w14:textId="77777777" w:rsidR="00C8553F" w:rsidRPr="00D618B7" w:rsidRDefault="00C8553F" w:rsidP="004B11B7">
            <w:pPr>
              <w:jc w:val="center"/>
              <w:rPr>
                <w:color w:val="000000"/>
              </w:rPr>
            </w:pPr>
            <w:r w:rsidRPr="00D618B7">
              <w:rPr>
                <w:color w:val="000000"/>
              </w:rPr>
              <w:t>Toy-in-Reach</w:t>
            </w:r>
          </w:p>
        </w:tc>
      </w:tr>
      <w:tr w:rsidR="00C8553F" w:rsidRPr="00D618B7" w14:paraId="1102AB41" w14:textId="77777777" w:rsidTr="004B11B7">
        <w:trPr>
          <w:trHeight w:val="342"/>
        </w:trPr>
        <w:tc>
          <w:tcPr>
            <w:tcW w:w="1267" w:type="dxa"/>
            <w:tcBorders>
              <w:top w:val="nil"/>
              <w:left w:val="nil"/>
              <w:bottom w:val="single" w:sz="12" w:space="0" w:color="auto"/>
              <w:right w:val="nil"/>
            </w:tcBorders>
            <w:shd w:val="clear" w:color="000000" w:fill="FFFFFF"/>
            <w:noWrap/>
            <w:vAlign w:val="center"/>
            <w:hideMark/>
          </w:tcPr>
          <w:p w14:paraId="74D260AE" w14:textId="77777777" w:rsidR="00C8553F" w:rsidRPr="00D618B7" w:rsidRDefault="00C8553F" w:rsidP="004B11B7">
            <w:pPr>
              <w:rPr>
                <w:color w:val="000000"/>
              </w:rPr>
            </w:pPr>
            <w:r w:rsidRPr="00D618B7">
              <w:rPr>
                <w:color w:val="000000"/>
              </w:rPr>
              <w:t> </w:t>
            </w:r>
          </w:p>
        </w:tc>
        <w:tc>
          <w:tcPr>
            <w:tcW w:w="1245" w:type="dxa"/>
            <w:tcBorders>
              <w:top w:val="nil"/>
              <w:left w:val="nil"/>
              <w:bottom w:val="single" w:sz="12" w:space="0" w:color="auto"/>
              <w:right w:val="nil"/>
            </w:tcBorders>
            <w:shd w:val="clear" w:color="000000" w:fill="FFFFFF"/>
            <w:noWrap/>
            <w:vAlign w:val="center"/>
            <w:hideMark/>
          </w:tcPr>
          <w:p w14:paraId="45D3F0DE" w14:textId="77777777" w:rsidR="00C8553F" w:rsidRPr="00D618B7" w:rsidRDefault="00C8553F" w:rsidP="004B11B7">
            <w:pPr>
              <w:jc w:val="right"/>
              <w:rPr>
                <w:color w:val="000000"/>
              </w:rPr>
            </w:pPr>
            <w:r w:rsidRPr="00D618B7">
              <w:rPr>
                <w:color w:val="000000"/>
              </w:rPr>
              <w:t>Mean</w:t>
            </w:r>
          </w:p>
        </w:tc>
        <w:tc>
          <w:tcPr>
            <w:tcW w:w="1340" w:type="dxa"/>
            <w:tcBorders>
              <w:top w:val="nil"/>
              <w:left w:val="nil"/>
              <w:bottom w:val="single" w:sz="12" w:space="0" w:color="auto"/>
              <w:right w:val="nil"/>
            </w:tcBorders>
            <w:shd w:val="clear" w:color="000000" w:fill="FFFFFF"/>
            <w:noWrap/>
            <w:vAlign w:val="center"/>
            <w:hideMark/>
          </w:tcPr>
          <w:p w14:paraId="6ECC3FA6" w14:textId="77777777" w:rsidR="00C8553F" w:rsidRPr="00D618B7" w:rsidRDefault="00C8553F" w:rsidP="004B11B7">
            <w:pPr>
              <w:jc w:val="right"/>
              <w:rPr>
                <w:color w:val="000000"/>
              </w:rPr>
            </w:pPr>
            <w:r w:rsidRPr="00D618B7">
              <w:rPr>
                <w:color w:val="000000"/>
              </w:rPr>
              <w:t>Std. Error</w:t>
            </w:r>
          </w:p>
        </w:tc>
        <w:tc>
          <w:tcPr>
            <w:tcW w:w="1245" w:type="dxa"/>
            <w:tcBorders>
              <w:top w:val="nil"/>
              <w:left w:val="nil"/>
              <w:bottom w:val="single" w:sz="12" w:space="0" w:color="auto"/>
              <w:right w:val="nil"/>
            </w:tcBorders>
            <w:shd w:val="clear" w:color="000000" w:fill="FFFFFF"/>
            <w:noWrap/>
            <w:vAlign w:val="center"/>
            <w:hideMark/>
          </w:tcPr>
          <w:p w14:paraId="2CB2BCB1" w14:textId="77777777" w:rsidR="00C8553F" w:rsidRPr="00D618B7" w:rsidRDefault="00C8553F" w:rsidP="004B11B7">
            <w:pPr>
              <w:jc w:val="right"/>
              <w:rPr>
                <w:color w:val="000000"/>
              </w:rPr>
            </w:pPr>
            <w:r w:rsidRPr="00D618B7">
              <w:rPr>
                <w:color w:val="000000"/>
              </w:rPr>
              <w:t>Mean</w:t>
            </w:r>
          </w:p>
        </w:tc>
        <w:tc>
          <w:tcPr>
            <w:tcW w:w="1340" w:type="dxa"/>
            <w:tcBorders>
              <w:top w:val="nil"/>
              <w:left w:val="nil"/>
              <w:bottom w:val="single" w:sz="12" w:space="0" w:color="auto"/>
              <w:right w:val="nil"/>
            </w:tcBorders>
            <w:shd w:val="clear" w:color="000000" w:fill="FFFFFF"/>
            <w:noWrap/>
            <w:vAlign w:val="center"/>
            <w:hideMark/>
          </w:tcPr>
          <w:p w14:paraId="5FFD8FAA" w14:textId="77777777" w:rsidR="00C8553F" w:rsidRPr="00D618B7" w:rsidRDefault="00C8553F" w:rsidP="004B11B7">
            <w:pPr>
              <w:jc w:val="right"/>
              <w:rPr>
                <w:color w:val="000000"/>
              </w:rPr>
            </w:pPr>
            <w:r w:rsidRPr="00D618B7">
              <w:rPr>
                <w:color w:val="000000"/>
              </w:rPr>
              <w:t>Std. Error</w:t>
            </w:r>
          </w:p>
        </w:tc>
        <w:tc>
          <w:tcPr>
            <w:tcW w:w="1245" w:type="dxa"/>
            <w:tcBorders>
              <w:top w:val="nil"/>
              <w:left w:val="nil"/>
              <w:bottom w:val="single" w:sz="12" w:space="0" w:color="auto"/>
              <w:right w:val="nil"/>
            </w:tcBorders>
            <w:shd w:val="clear" w:color="000000" w:fill="FFFFFF"/>
            <w:noWrap/>
            <w:vAlign w:val="center"/>
            <w:hideMark/>
          </w:tcPr>
          <w:p w14:paraId="1D7D63E5" w14:textId="77777777" w:rsidR="00C8553F" w:rsidRPr="00D618B7" w:rsidRDefault="00C8553F" w:rsidP="004B11B7">
            <w:pPr>
              <w:jc w:val="right"/>
              <w:rPr>
                <w:color w:val="000000"/>
              </w:rPr>
            </w:pPr>
            <w:r w:rsidRPr="00D618B7">
              <w:rPr>
                <w:color w:val="000000"/>
              </w:rPr>
              <w:t>Mean</w:t>
            </w:r>
          </w:p>
        </w:tc>
        <w:tc>
          <w:tcPr>
            <w:tcW w:w="1343" w:type="dxa"/>
            <w:tcBorders>
              <w:top w:val="nil"/>
              <w:left w:val="nil"/>
              <w:bottom w:val="single" w:sz="12" w:space="0" w:color="auto"/>
              <w:right w:val="nil"/>
            </w:tcBorders>
            <w:shd w:val="clear" w:color="000000" w:fill="FFFFFF"/>
            <w:noWrap/>
            <w:vAlign w:val="center"/>
            <w:hideMark/>
          </w:tcPr>
          <w:p w14:paraId="6E6E1AAF" w14:textId="77777777" w:rsidR="00C8553F" w:rsidRPr="00D618B7" w:rsidRDefault="00C8553F" w:rsidP="004B11B7">
            <w:pPr>
              <w:jc w:val="right"/>
              <w:rPr>
                <w:color w:val="000000"/>
              </w:rPr>
            </w:pPr>
            <w:r w:rsidRPr="00D618B7">
              <w:rPr>
                <w:color w:val="000000"/>
              </w:rPr>
              <w:t>Std. Error</w:t>
            </w:r>
          </w:p>
        </w:tc>
      </w:tr>
      <w:tr w:rsidR="00C8553F" w:rsidRPr="00D618B7" w14:paraId="324B71E3" w14:textId="77777777" w:rsidTr="004B11B7">
        <w:trPr>
          <w:trHeight w:val="326"/>
        </w:trPr>
        <w:tc>
          <w:tcPr>
            <w:tcW w:w="9025" w:type="dxa"/>
            <w:gridSpan w:val="7"/>
            <w:tcBorders>
              <w:top w:val="single" w:sz="12" w:space="0" w:color="auto"/>
              <w:left w:val="nil"/>
              <w:bottom w:val="nil"/>
              <w:right w:val="nil"/>
            </w:tcBorders>
            <w:shd w:val="clear" w:color="000000" w:fill="FFFFFF"/>
            <w:noWrap/>
            <w:vAlign w:val="center"/>
            <w:hideMark/>
          </w:tcPr>
          <w:p w14:paraId="2E70A3DF" w14:textId="77777777" w:rsidR="00C8553F" w:rsidRPr="00D618B7" w:rsidRDefault="00C8553F" w:rsidP="004B11B7">
            <w:pPr>
              <w:jc w:val="center"/>
              <w:rPr>
                <w:color w:val="000000"/>
              </w:rPr>
            </w:pPr>
            <w:r w:rsidRPr="00D618B7">
              <w:rPr>
                <w:color w:val="000000"/>
              </w:rPr>
              <w:t>Early Reach Group</w:t>
            </w:r>
          </w:p>
        </w:tc>
      </w:tr>
      <w:tr w:rsidR="00C8553F" w:rsidRPr="00D618B7" w14:paraId="6FB7E0B6" w14:textId="77777777" w:rsidTr="004B11B7">
        <w:trPr>
          <w:trHeight w:val="311"/>
        </w:trPr>
        <w:tc>
          <w:tcPr>
            <w:tcW w:w="1267" w:type="dxa"/>
            <w:tcBorders>
              <w:top w:val="nil"/>
              <w:left w:val="nil"/>
              <w:bottom w:val="nil"/>
              <w:right w:val="nil"/>
            </w:tcBorders>
            <w:shd w:val="clear" w:color="000000" w:fill="FFFFFF"/>
            <w:vAlign w:val="center"/>
            <w:hideMark/>
          </w:tcPr>
          <w:p w14:paraId="135CDD12" w14:textId="77777777" w:rsidR="00C8553F" w:rsidRPr="00D618B7" w:rsidRDefault="00C8553F" w:rsidP="004B11B7">
            <w:pPr>
              <w:jc w:val="center"/>
              <w:rPr>
                <w:color w:val="000000"/>
              </w:rPr>
            </w:pPr>
            <w:r w:rsidRPr="00D618B7">
              <w:rPr>
                <w:color w:val="000000"/>
              </w:rPr>
              <w:t>-5</w:t>
            </w:r>
          </w:p>
        </w:tc>
        <w:tc>
          <w:tcPr>
            <w:tcW w:w="1245" w:type="dxa"/>
            <w:tcBorders>
              <w:top w:val="nil"/>
              <w:left w:val="nil"/>
              <w:bottom w:val="nil"/>
              <w:right w:val="nil"/>
            </w:tcBorders>
            <w:shd w:val="clear" w:color="000000" w:fill="FFFFFF"/>
            <w:noWrap/>
            <w:vAlign w:val="center"/>
            <w:hideMark/>
          </w:tcPr>
          <w:p w14:paraId="6C99B994" w14:textId="77777777" w:rsidR="00C8553F" w:rsidRPr="00D618B7" w:rsidRDefault="00C8553F" w:rsidP="004B11B7">
            <w:pPr>
              <w:jc w:val="right"/>
              <w:rPr>
                <w:color w:val="000000"/>
              </w:rPr>
            </w:pPr>
            <w:r w:rsidRPr="00D618B7">
              <w:rPr>
                <w:color w:val="000000"/>
              </w:rPr>
              <w:t>10.49</w:t>
            </w:r>
          </w:p>
        </w:tc>
        <w:tc>
          <w:tcPr>
            <w:tcW w:w="1340" w:type="dxa"/>
            <w:tcBorders>
              <w:top w:val="nil"/>
              <w:left w:val="nil"/>
              <w:bottom w:val="nil"/>
              <w:right w:val="nil"/>
            </w:tcBorders>
            <w:shd w:val="clear" w:color="000000" w:fill="FFFFFF"/>
            <w:noWrap/>
            <w:vAlign w:val="center"/>
            <w:hideMark/>
          </w:tcPr>
          <w:p w14:paraId="60714BE3" w14:textId="77777777" w:rsidR="00C8553F" w:rsidRPr="00D618B7" w:rsidRDefault="00C8553F" w:rsidP="004B11B7">
            <w:pPr>
              <w:jc w:val="right"/>
              <w:rPr>
                <w:color w:val="000000"/>
              </w:rPr>
            </w:pPr>
            <w:r w:rsidRPr="00D618B7">
              <w:rPr>
                <w:color w:val="000000"/>
              </w:rPr>
              <w:t>2.16</w:t>
            </w:r>
          </w:p>
        </w:tc>
        <w:tc>
          <w:tcPr>
            <w:tcW w:w="1245" w:type="dxa"/>
            <w:tcBorders>
              <w:top w:val="nil"/>
              <w:left w:val="nil"/>
              <w:bottom w:val="nil"/>
              <w:right w:val="nil"/>
            </w:tcBorders>
            <w:shd w:val="clear" w:color="000000" w:fill="FFFFFF"/>
            <w:noWrap/>
            <w:vAlign w:val="center"/>
            <w:hideMark/>
          </w:tcPr>
          <w:p w14:paraId="75793DAC" w14:textId="77777777" w:rsidR="00C8553F" w:rsidRPr="00D618B7" w:rsidRDefault="00C8553F" w:rsidP="004B11B7">
            <w:pPr>
              <w:jc w:val="right"/>
              <w:rPr>
                <w:color w:val="000000"/>
              </w:rPr>
            </w:pPr>
            <w:r w:rsidRPr="00D618B7">
              <w:rPr>
                <w:color w:val="000000"/>
              </w:rPr>
              <w:t>42.16</w:t>
            </w:r>
          </w:p>
        </w:tc>
        <w:tc>
          <w:tcPr>
            <w:tcW w:w="1340" w:type="dxa"/>
            <w:tcBorders>
              <w:top w:val="nil"/>
              <w:left w:val="nil"/>
              <w:bottom w:val="nil"/>
              <w:right w:val="nil"/>
            </w:tcBorders>
            <w:shd w:val="clear" w:color="000000" w:fill="FFFFFF"/>
            <w:noWrap/>
            <w:vAlign w:val="center"/>
            <w:hideMark/>
          </w:tcPr>
          <w:p w14:paraId="473FD324" w14:textId="77777777" w:rsidR="00C8553F" w:rsidRPr="00D618B7" w:rsidRDefault="00C8553F" w:rsidP="004B11B7">
            <w:pPr>
              <w:jc w:val="right"/>
              <w:rPr>
                <w:color w:val="000000"/>
              </w:rPr>
            </w:pPr>
            <w:r w:rsidRPr="00D618B7">
              <w:rPr>
                <w:color w:val="000000"/>
              </w:rPr>
              <w:t>9.13</w:t>
            </w:r>
          </w:p>
        </w:tc>
        <w:tc>
          <w:tcPr>
            <w:tcW w:w="1245" w:type="dxa"/>
            <w:tcBorders>
              <w:top w:val="nil"/>
              <w:left w:val="nil"/>
              <w:bottom w:val="nil"/>
              <w:right w:val="nil"/>
            </w:tcBorders>
            <w:shd w:val="clear" w:color="000000" w:fill="FFFFFF"/>
            <w:noWrap/>
            <w:vAlign w:val="center"/>
            <w:hideMark/>
          </w:tcPr>
          <w:p w14:paraId="7693D608" w14:textId="77777777" w:rsidR="00C8553F" w:rsidRPr="00D618B7" w:rsidRDefault="00C8553F" w:rsidP="004B11B7">
            <w:pPr>
              <w:jc w:val="right"/>
              <w:rPr>
                <w:color w:val="000000"/>
              </w:rPr>
            </w:pPr>
            <w:r w:rsidRPr="00D618B7">
              <w:rPr>
                <w:color w:val="000000"/>
              </w:rPr>
              <w:t>19.34</w:t>
            </w:r>
          </w:p>
        </w:tc>
        <w:tc>
          <w:tcPr>
            <w:tcW w:w="1343" w:type="dxa"/>
            <w:tcBorders>
              <w:top w:val="nil"/>
              <w:left w:val="nil"/>
              <w:bottom w:val="nil"/>
              <w:right w:val="nil"/>
            </w:tcBorders>
            <w:shd w:val="clear" w:color="000000" w:fill="FFFFFF"/>
            <w:noWrap/>
            <w:vAlign w:val="center"/>
            <w:hideMark/>
          </w:tcPr>
          <w:p w14:paraId="2086D576" w14:textId="77777777" w:rsidR="00C8553F" w:rsidRPr="00D618B7" w:rsidRDefault="00C8553F" w:rsidP="004B11B7">
            <w:pPr>
              <w:jc w:val="right"/>
              <w:rPr>
                <w:color w:val="000000"/>
              </w:rPr>
            </w:pPr>
            <w:r w:rsidRPr="00D618B7">
              <w:rPr>
                <w:color w:val="000000"/>
              </w:rPr>
              <w:t>2.18</w:t>
            </w:r>
          </w:p>
        </w:tc>
      </w:tr>
      <w:tr w:rsidR="00C8553F" w:rsidRPr="00D618B7" w14:paraId="5BD682BB" w14:textId="77777777" w:rsidTr="004B11B7">
        <w:trPr>
          <w:trHeight w:val="311"/>
        </w:trPr>
        <w:tc>
          <w:tcPr>
            <w:tcW w:w="1267" w:type="dxa"/>
            <w:tcBorders>
              <w:top w:val="nil"/>
              <w:left w:val="nil"/>
              <w:bottom w:val="nil"/>
              <w:right w:val="nil"/>
            </w:tcBorders>
            <w:shd w:val="clear" w:color="000000" w:fill="FFFFFF"/>
            <w:vAlign w:val="center"/>
            <w:hideMark/>
          </w:tcPr>
          <w:p w14:paraId="7C34A5F1" w14:textId="77777777" w:rsidR="00C8553F" w:rsidRPr="00D618B7" w:rsidRDefault="00C8553F" w:rsidP="004B11B7">
            <w:pPr>
              <w:jc w:val="center"/>
              <w:rPr>
                <w:color w:val="000000"/>
              </w:rPr>
            </w:pPr>
            <w:r w:rsidRPr="00D618B7">
              <w:rPr>
                <w:color w:val="000000"/>
              </w:rPr>
              <w:t>-4</w:t>
            </w:r>
          </w:p>
        </w:tc>
        <w:tc>
          <w:tcPr>
            <w:tcW w:w="1245" w:type="dxa"/>
            <w:tcBorders>
              <w:top w:val="nil"/>
              <w:left w:val="nil"/>
              <w:bottom w:val="nil"/>
              <w:right w:val="nil"/>
            </w:tcBorders>
            <w:shd w:val="clear" w:color="000000" w:fill="FFFFFF"/>
            <w:noWrap/>
            <w:vAlign w:val="center"/>
            <w:hideMark/>
          </w:tcPr>
          <w:p w14:paraId="0ACF0A43" w14:textId="77777777" w:rsidR="00C8553F" w:rsidRPr="00D618B7" w:rsidRDefault="00C8553F" w:rsidP="004B11B7">
            <w:pPr>
              <w:jc w:val="right"/>
              <w:rPr>
                <w:color w:val="000000"/>
              </w:rPr>
            </w:pPr>
            <w:r w:rsidRPr="00D618B7">
              <w:rPr>
                <w:color w:val="000000"/>
              </w:rPr>
              <w:t>8.04</w:t>
            </w:r>
          </w:p>
        </w:tc>
        <w:tc>
          <w:tcPr>
            <w:tcW w:w="1340" w:type="dxa"/>
            <w:tcBorders>
              <w:top w:val="nil"/>
              <w:left w:val="nil"/>
              <w:bottom w:val="nil"/>
              <w:right w:val="nil"/>
            </w:tcBorders>
            <w:shd w:val="clear" w:color="000000" w:fill="FFFFFF"/>
            <w:noWrap/>
            <w:vAlign w:val="center"/>
            <w:hideMark/>
          </w:tcPr>
          <w:p w14:paraId="43C95B9F" w14:textId="77777777" w:rsidR="00C8553F" w:rsidRPr="00D618B7" w:rsidRDefault="00C8553F" w:rsidP="004B11B7">
            <w:pPr>
              <w:jc w:val="right"/>
              <w:rPr>
                <w:color w:val="000000"/>
              </w:rPr>
            </w:pPr>
            <w:r w:rsidRPr="00D618B7">
              <w:rPr>
                <w:color w:val="000000"/>
              </w:rPr>
              <w:t>3.83</w:t>
            </w:r>
          </w:p>
        </w:tc>
        <w:tc>
          <w:tcPr>
            <w:tcW w:w="1245" w:type="dxa"/>
            <w:tcBorders>
              <w:top w:val="nil"/>
              <w:left w:val="nil"/>
              <w:bottom w:val="nil"/>
              <w:right w:val="nil"/>
            </w:tcBorders>
            <w:shd w:val="clear" w:color="000000" w:fill="FFFFFF"/>
            <w:noWrap/>
            <w:vAlign w:val="center"/>
            <w:hideMark/>
          </w:tcPr>
          <w:p w14:paraId="1ECCADD8" w14:textId="77777777" w:rsidR="00C8553F" w:rsidRPr="00D618B7" w:rsidRDefault="00C8553F" w:rsidP="004B11B7">
            <w:pPr>
              <w:jc w:val="right"/>
              <w:rPr>
                <w:color w:val="000000"/>
              </w:rPr>
            </w:pPr>
            <w:r w:rsidRPr="00D618B7">
              <w:rPr>
                <w:color w:val="000000"/>
              </w:rPr>
              <w:t>27.54</w:t>
            </w:r>
          </w:p>
        </w:tc>
        <w:tc>
          <w:tcPr>
            <w:tcW w:w="1340" w:type="dxa"/>
            <w:tcBorders>
              <w:top w:val="nil"/>
              <w:left w:val="nil"/>
              <w:bottom w:val="nil"/>
              <w:right w:val="nil"/>
            </w:tcBorders>
            <w:shd w:val="clear" w:color="000000" w:fill="FFFFFF"/>
            <w:noWrap/>
            <w:vAlign w:val="center"/>
            <w:hideMark/>
          </w:tcPr>
          <w:p w14:paraId="2D35EB19" w14:textId="77777777" w:rsidR="00C8553F" w:rsidRPr="00D618B7" w:rsidRDefault="00C8553F" w:rsidP="004B11B7">
            <w:pPr>
              <w:jc w:val="right"/>
              <w:rPr>
                <w:color w:val="000000"/>
              </w:rPr>
            </w:pPr>
            <w:r w:rsidRPr="00D618B7">
              <w:rPr>
                <w:color w:val="000000"/>
              </w:rPr>
              <w:t>3.95</w:t>
            </w:r>
          </w:p>
        </w:tc>
        <w:tc>
          <w:tcPr>
            <w:tcW w:w="1245" w:type="dxa"/>
            <w:tcBorders>
              <w:top w:val="nil"/>
              <w:left w:val="nil"/>
              <w:bottom w:val="nil"/>
              <w:right w:val="nil"/>
            </w:tcBorders>
            <w:shd w:val="clear" w:color="000000" w:fill="FFFFFF"/>
            <w:noWrap/>
            <w:vAlign w:val="center"/>
            <w:hideMark/>
          </w:tcPr>
          <w:p w14:paraId="0888D755" w14:textId="77777777" w:rsidR="00C8553F" w:rsidRPr="00D618B7" w:rsidRDefault="00C8553F" w:rsidP="004B11B7">
            <w:pPr>
              <w:jc w:val="right"/>
              <w:rPr>
                <w:color w:val="000000"/>
              </w:rPr>
            </w:pPr>
            <w:r w:rsidRPr="00D618B7">
              <w:rPr>
                <w:color w:val="000000"/>
              </w:rPr>
              <w:t>12.73</w:t>
            </w:r>
          </w:p>
        </w:tc>
        <w:tc>
          <w:tcPr>
            <w:tcW w:w="1343" w:type="dxa"/>
            <w:tcBorders>
              <w:top w:val="nil"/>
              <w:left w:val="nil"/>
              <w:bottom w:val="nil"/>
              <w:right w:val="nil"/>
            </w:tcBorders>
            <w:shd w:val="clear" w:color="000000" w:fill="FFFFFF"/>
            <w:noWrap/>
            <w:vAlign w:val="center"/>
            <w:hideMark/>
          </w:tcPr>
          <w:p w14:paraId="04B982AB" w14:textId="77777777" w:rsidR="00C8553F" w:rsidRPr="00D618B7" w:rsidRDefault="00C8553F" w:rsidP="004B11B7">
            <w:pPr>
              <w:jc w:val="right"/>
              <w:rPr>
                <w:color w:val="000000"/>
              </w:rPr>
            </w:pPr>
            <w:r w:rsidRPr="00D618B7">
              <w:rPr>
                <w:color w:val="000000"/>
              </w:rPr>
              <w:t>4.21</w:t>
            </w:r>
          </w:p>
        </w:tc>
      </w:tr>
      <w:tr w:rsidR="00C8553F" w:rsidRPr="00D618B7" w14:paraId="2C05C0F7" w14:textId="77777777" w:rsidTr="004B11B7">
        <w:trPr>
          <w:trHeight w:val="311"/>
        </w:trPr>
        <w:tc>
          <w:tcPr>
            <w:tcW w:w="1267" w:type="dxa"/>
            <w:tcBorders>
              <w:top w:val="nil"/>
              <w:left w:val="nil"/>
              <w:bottom w:val="nil"/>
              <w:right w:val="nil"/>
            </w:tcBorders>
            <w:shd w:val="clear" w:color="000000" w:fill="FFFFFF"/>
            <w:vAlign w:val="center"/>
            <w:hideMark/>
          </w:tcPr>
          <w:p w14:paraId="4F622B01" w14:textId="77777777" w:rsidR="00C8553F" w:rsidRPr="00D618B7" w:rsidRDefault="00C8553F" w:rsidP="004B11B7">
            <w:pPr>
              <w:jc w:val="center"/>
              <w:rPr>
                <w:color w:val="000000"/>
              </w:rPr>
            </w:pPr>
            <w:r w:rsidRPr="00D618B7">
              <w:rPr>
                <w:color w:val="000000"/>
              </w:rPr>
              <w:t>-3</w:t>
            </w:r>
          </w:p>
        </w:tc>
        <w:tc>
          <w:tcPr>
            <w:tcW w:w="1245" w:type="dxa"/>
            <w:tcBorders>
              <w:top w:val="nil"/>
              <w:left w:val="nil"/>
              <w:bottom w:val="nil"/>
              <w:right w:val="nil"/>
            </w:tcBorders>
            <w:shd w:val="clear" w:color="000000" w:fill="FFFFFF"/>
            <w:noWrap/>
            <w:vAlign w:val="center"/>
            <w:hideMark/>
          </w:tcPr>
          <w:p w14:paraId="0418B4DC" w14:textId="77777777" w:rsidR="00C8553F" w:rsidRPr="00D618B7" w:rsidRDefault="00C8553F" w:rsidP="004B11B7">
            <w:pPr>
              <w:jc w:val="right"/>
              <w:rPr>
                <w:color w:val="000000"/>
              </w:rPr>
            </w:pPr>
            <w:r w:rsidRPr="00D618B7">
              <w:rPr>
                <w:color w:val="000000"/>
              </w:rPr>
              <w:t>8.35</w:t>
            </w:r>
          </w:p>
        </w:tc>
        <w:tc>
          <w:tcPr>
            <w:tcW w:w="1340" w:type="dxa"/>
            <w:tcBorders>
              <w:top w:val="nil"/>
              <w:left w:val="nil"/>
              <w:bottom w:val="nil"/>
              <w:right w:val="nil"/>
            </w:tcBorders>
            <w:shd w:val="clear" w:color="000000" w:fill="FFFFFF"/>
            <w:noWrap/>
            <w:vAlign w:val="center"/>
            <w:hideMark/>
          </w:tcPr>
          <w:p w14:paraId="42DF1A30" w14:textId="77777777" w:rsidR="00C8553F" w:rsidRPr="00D618B7" w:rsidRDefault="00C8553F" w:rsidP="004B11B7">
            <w:pPr>
              <w:jc w:val="right"/>
              <w:rPr>
                <w:color w:val="000000"/>
              </w:rPr>
            </w:pPr>
            <w:r w:rsidRPr="00D618B7">
              <w:rPr>
                <w:color w:val="000000"/>
              </w:rPr>
              <w:t>1.56</w:t>
            </w:r>
          </w:p>
        </w:tc>
        <w:tc>
          <w:tcPr>
            <w:tcW w:w="1245" w:type="dxa"/>
            <w:tcBorders>
              <w:top w:val="nil"/>
              <w:left w:val="nil"/>
              <w:bottom w:val="nil"/>
              <w:right w:val="nil"/>
            </w:tcBorders>
            <w:shd w:val="clear" w:color="000000" w:fill="FFFFFF"/>
            <w:noWrap/>
            <w:vAlign w:val="center"/>
            <w:hideMark/>
          </w:tcPr>
          <w:p w14:paraId="03FC7B1C" w14:textId="77777777" w:rsidR="00C8553F" w:rsidRPr="00D618B7" w:rsidRDefault="00C8553F" w:rsidP="004B11B7">
            <w:pPr>
              <w:jc w:val="right"/>
              <w:rPr>
                <w:color w:val="000000"/>
              </w:rPr>
            </w:pPr>
            <w:r w:rsidRPr="00D618B7">
              <w:rPr>
                <w:color w:val="000000"/>
              </w:rPr>
              <w:t>29.15</w:t>
            </w:r>
          </w:p>
        </w:tc>
        <w:tc>
          <w:tcPr>
            <w:tcW w:w="1340" w:type="dxa"/>
            <w:tcBorders>
              <w:top w:val="nil"/>
              <w:left w:val="nil"/>
              <w:bottom w:val="nil"/>
              <w:right w:val="nil"/>
            </w:tcBorders>
            <w:shd w:val="clear" w:color="000000" w:fill="FFFFFF"/>
            <w:noWrap/>
            <w:vAlign w:val="center"/>
            <w:hideMark/>
          </w:tcPr>
          <w:p w14:paraId="080B8238" w14:textId="77777777" w:rsidR="00C8553F" w:rsidRPr="00D618B7" w:rsidRDefault="00C8553F" w:rsidP="004B11B7">
            <w:pPr>
              <w:jc w:val="right"/>
              <w:rPr>
                <w:color w:val="000000"/>
              </w:rPr>
            </w:pPr>
            <w:r w:rsidRPr="00D618B7">
              <w:rPr>
                <w:color w:val="000000"/>
              </w:rPr>
              <w:t>2.70</w:t>
            </w:r>
          </w:p>
        </w:tc>
        <w:tc>
          <w:tcPr>
            <w:tcW w:w="1245" w:type="dxa"/>
            <w:tcBorders>
              <w:top w:val="nil"/>
              <w:left w:val="nil"/>
              <w:bottom w:val="nil"/>
              <w:right w:val="nil"/>
            </w:tcBorders>
            <w:shd w:val="clear" w:color="000000" w:fill="FFFFFF"/>
            <w:noWrap/>
            <w:vAlign w:val="center"/>
            <w:hideMark/>
          </w:tcPr>
          <w:p w14:paraId="3C8F55CB" w14:textId="77777777" w:rsidR="00C8553F" w:rsidRPr="00D618B7" w:rsidRDefault="00C8553F" w:rsidP="004B11B7">
            <w:pPr>
              <w:jc w:val="right"/>
              <w:rPr>
                <w:color w:val="000000"/>
              </w:rPr>
            </w:pPr>
            <w:r w:rsidRPr="00D618B7">
              <w:rPr>
                <w:color w:val="000000"/>
              </w:rPr>
              <w:t>10.16</w:t>
            </w:r>
          </w:p>
        </w:tc>
        <w:tc>
          <w:tcPr>
            <w:tcW w:w="1343" w:type="dxa"/>
            <w:tcBorders>
              <w:top w:val="nil"/>
              <w:left w:val="nil"/>
              <w:bottom w:val="nil"/>
              <w:right w:val="nil"/>
            </w:tcBorders>
            <w:shd w:val="clear" w:color="000000" w:fill="FFFFFF"/>
            <w:noWrap/>
            <w:vAlign w:val="center"/>
            <w:hideMark/>
          </w:tcPr>
          <w:p w14:paraId="61DB101B" w14:textId="77777777" w:rsidR="00C8553F" w:rsidRPr="00D618B7" w:rsidRDefault="00C8553F" w:rsidP="004B11B7">
            <w:pPr>
              <w:jc w:val="right"/>
              <w:rPr>
                <w:color w:val="000000"/>
              </w:rPr>
            </w:pPr>
            <w:r w:rsidRPr="00D618B7">
              <w:rPr>
                <w:color w:val="000000"/>
              </w:rPr>
              <w:t>2.56</w:t>
            </w:r>
          </w:p>
        </w:tc>
      </w:tr>
      <w:tr w:rsidR="00C8553F" w:rsidRPr="00D618B7" w14:paraId="150874AB" w14:textId="77777777" w:rsidTr="004B11B7">
        <w:trPr>
          <w:trHeight w:val="311"/>
        </w:trPr>
        <w:tc>
          <w:tcPr>
            <w:tcW w:w="1267" w:type="dxa"/>
            <w:tcBorders>
              <w:top w:val="nil"/>
              <w:left w:val="nil"/>
              <w:bottom w:val="nil"/>
              <w:right w:val="nil"/>
            </w:tcBorders>
            <w:shd w:val="clear" w:color="000000" w:fill="FFFFFF"/>
            <w:vAlign w:val="center"/>
            <w:hideMark/>
          </w:tcPr>
          <w:p w14:paraId="73C87F72" w14:textId="77777777" w:rsidR="00C8553F" w:rsidRPr="00D618B7" w:rsidRDefault="00C8553F" w:rsidP="004B11B7">
            <w:pPr>
              <w:jc w:val="center"/>
              <w:rPr>
                <w:color w:val="000000"/>
              </w:rPr>
            </w:pPr>
            <w:r w:rsidRPr="00D618B7">
              <w:rPr>
                <w:color w:val="000000"/>
              </w:rPr>
              <w:t>-2</w:t>
            </w:r>
          </w:p>
        </w:tc>
        <w:tc>
          <w:tcPr>
            <w:tcW w:w="1245" w:type="dxa"/>
            <w:tcBorders>
              <w:top w:val="nil"/>
              <w:left w:val="nil"/>
              <w:bottom w:val="nil"/>
              <w:right w:val="nil"/>
            </w:tcBorders>
            <w:shd w:val="clear" w:color="000000" w:fill="FFFFFF"/>
            <w:noWrap/>
            <w:vAlign w:val="center"/>
            <w:hideMark/>
          </w:tcPr>
          <w:p w14:paraId="6DCE2FB3" w14:textId="77777777" w:rsidR="00C8553F" w:rsidRPr="00D618B7" w:rsidRDefault="00C8553F" w:rsidP="004B11B7">
            <w:pPr>
              <w:jc w:val="right"/>
              <w:rPr>
                <w:color w:val="000000"/>
              </w:rPr>
            </w:pPr>
            <w:r w:rsidRPr="00D618B7">
              <w:rPr>
                <w:color w:val="000000"/>
              </w:rPr>
              <w:t>17.69</w:t>
            </w:r>
          </w:p>
        </w:tc>
        <w:tc>
          <w:tcPr>
            <w:tcW w:w="1340" w:type="dxa"/>
            <w:tcBorders>
              <w:top w:val="nil"/>
              <w:left w:val="nil"/>
              <w:bottom w:val="nil"/>
              <w:right w:val="nil"/>
            </w:tcBorders>
            <w:shd w:val="clear" w:color="000000" w:fill="FFFFFF"/>
            <w:noWrap/>
            <w:vAlign w:val="center"/>
            <w:hideMark/>
          </w:tcPr>
          <w:p w14:paraId="1A08C676" w14:textId="77777777" w:rsidR="00C8553F" w:rsidRPr="00D618B7" w:rsidRDefault="00C8553F" w:rsidP="004B11B7">
            <w:pPr>
              <w:jc w:val="right"/>
              <w:rPr>
                <w:color w:val="000000"/>
              </w:rPr>
            </w:pPr>
            <w:r w:rsidRPr="00D618B7">
              <w:rPr>
                <w:color w:val="000000"/>
              </w:rPr>
              <w:t>3.13</w:t>
            </w:r>
          </w:p>
        </w:tc>
        <w:tc>
          <w:tcPr>
            <w:tcW w:w="1245" w:type="dxa"/>
            <w:tcBorders>
              <w:top w:val="nil"/>
              <w:left w:val="nil"/>
              <w:bottom w:val="nil"/>
              <w:right w:val="nil"/>
            </w:tcBorders>
            <w:shd w:val="clear" w:color="000000" w:fill="FFFFFF"/>
            <w:noWrap/>
            <w:vAlign w:val="center"/>
            <w:hideMark/>
          </w:tcPr>
          <w:p w14:paraId="5DB26E03" w14:textId="77777777" w:rsidR="00C8553F" w:rsidRPr="00D618B7" w:rsidRDefault="00C8553F" w:rsidP="004B11B7">
            <w:pPr>
              <w:jc w:val="right"/>
              <w:rPr>
                <w:color w:val="000000"/>
              </w:rPr>
            </w:pPr>
            <w:r w:rsidRPr="00D618B7">
              <w:rPr>
                <w:color w:val="000000"/>
              </w:rPr>
              <w:t>35.72</w:t>
            </w:r>
          </w:p>
        </w:tc>
        <w:tc>
          <w:tcPr>
            <w:tcW w:w="1340" w:type="dxa"/>
            <w:tcBorders>
              <w:top w:val="nil"/>
              <w:left w:val="nil"/>
              <w:bottom w:val="nil"/>
              <w:right w:val="nil"/>
            </w:tcBorders>
            <w:shd w:val="clear" w:color="000000" w:fill="FFFFFF"/>
            <w:noWrap/>
            <w:vAlign w:val="center"/>
            <w:hideMark/>
          </w:tcPr>
          <w:p w14:paraId="21335E6E" w14:textId="77777777" w:rsidR="00C8553F" w:rsidRPr="00D618B7" w:rsidRDefault="00C8553F" w:rsidP="004B11B7">
            <w:pPr>
              <w:jc w:val="right"/>
              <w:rPr>
                <w:color w:val="000000"/>
              </w:rPr>
            </w:pPr>
            <w:r w:rsidRPr="00D618B7">
              <w:rPr>
                <w:color w:val="000000"/>
              </w:rPr>
              <w:t>1.39</w:t>
            </w:r>
          </w:p>
        </w:tc>
        <w:tc>
          <w:tcPr>
            <w:tcW w:w="1245" w:type="dxa"/>
            <w:tcBorders>
              <w:top w:val="nil"/>
              <w:left w:val="nil"/>
              <w:bottom w:val="nil"/>
              <w:right w:val="nil"/>
            </w:tcBorders>
            <w:shd w:val="clear" w:color="000000" w:fill="FFFFFF"/>
            <w:noWrap/>
            <w:vAlign w:val="center"/>
            <w:hideMark/>
          </w:tcPr>
          <w:p w14:paraId="4ABA66AB" w14:textId="77777777" w:rsidR="00C8553F" w:rsidRPr="00D618B7" w:rsidRDefault="00C8553F" w:rsidP="004B11B7">
            <w:pPr>
              <w:jc w:val="right"/>
              <w:rPr>
                <w:color w:val="000000"/>
              </w:rPr>
            </w:pPr>
            <w:r w:rsidRPr="00D618B7">
              <w:rPr>
                <w:color w:val="000000"/>
              </w:rPr>
              <w:t>15.93</w:t>
            </w:r>
          </w:p>
        </w:tc>
        <w:tc>
          <w:tcPr>
            <w:tcW w:w="1343" w:type="dxa"/>
            <w:tcBorders>
              <w:top w:val="nil"/>
              <w:left w:val="nil"/>
              <w:bottom w:val="nil"/>
              <w:right w:val="nil"/>
            </w:tcBorders>
            <w:shd w:val="clear" w:color="000000" w:fill="FFFFFF"/>
            <w:noWrap/>
            <w:vAlign w:val="center"/>
            <w:hideMark/>
          </w:tcPr>
          <w:p w14:paraId="6C019D9D" w14:textId="77777777" w:rsidR="00C8553F" w:rsidRPr="00D618B7" w:rsidRDefault="00C8553F" w:rsidP="004B11B7">
            <w:pPr>
              <w:jc w:val="right"/>
              <w:rPr>
                <w:color w:val="000000"/>
              </w:rPr>
            </w:pPr>
            <w:r w:rsidRPr="00D618B7">
              <w:rPr>
                <w:color w:val="000000"/>
              </w:rPr>
              <w:t>2.22</w:t>
            </w:r>
          </w:p>
        </w:tc>
      </w:tr>
      <w:tr w:rsidR="00C8553F" w:rsidRPr="00D618B7" w14:paraId="333DB04E" w14:textId="77777777" w:rsidTr="004B11B7">
        <w:trPr>
          <w:trHeight w:val="311"/>
        </w:trPr>
        <w:tc>
          <w:tcPr>
            <w:tcW w:w="1267" w:type="dxa"/>
            <w:tcBorders>
              <w:top w:val="nil"/>
              <w:left w:val="nil"/>
              <w:bottom w:val="nil"/>
              <w:right w:val="nil"/>
            </w:tcBorders>
            <w:shd w:val="clear" w:color="000000" w:fill="FFFFFF"/>
            <w:vAlign w:val="center"/>
            <w:hideMark/>
          </w:tcPr>
          <w:p w14:paraId="00707581" w14:textId="77777777" w:rsidR="00C8553F" w:rsidRPr="00D618B7" w:rsidRDefault="00C8553F" w:rsidP="004B11B7">
            <w:pPr>
              <w:jc w:val="center"/>
              <w:rPr>
                <w:color w:val="000000"/>
              </w:rPr>
            </w:pPr>
            <w:r w:rsidRPr="00D618B7">
              <w:rPr>
                <w:color w:val="000000"/>
              </w:rPr>
              <w:t>-1</w:t>
            </w:r>
          </w:p>
        </w:tc>
        <w:tc>
          <w:tcPr>
            <w:tcW w:w="1245" w:type="dxa"/>
            <w:tcBorders>
              <w:top w:val="nil"/>
              <w:left w:val="nil"/>
              <w:bottom w:val="nil"/>
              <w:right w:val="nil"/>
            </w:tcBorders>
            <w:shd w:val="clear" w:color="000000" w:fill="FFFFFF"/>
            <w:noWrap/>
            <w:vAlign w:val="center"/>
            <w:hideMark/>
          </w:tcPr>
          <w:p w14:paraId="75587DDF" w14:textId="77777777" w:rsidR="00C8553F" w:rsidRPr="00D618B7" w:rsidRDefault="00C8553F" w:rsidP="004B11B7">
            <w:pPr>
              <w:jc w:val="right"/>
              <w:rPr>
                <w:color w:val="000000"/>
              </w:rPr>
            </w:pPr>
            <w:r w:rsidRPr="00D618B7">
              <w:rPr>
                <w:color w:val="000000"/>
              </w:rPr>
              <w:t>10.50</w:t>
            </w:r>
          </w:p>
        </w:tc>
        <w:tc>
          <w:tcPr>
            <w:tcW w:w="1340" w:type="dxa"/>
            <w:tcBorders>
              <w:top w:val="nil"/>
              <w:left w:val="nil"/>
              <w:bottom w:val="nil"/>
              <w:right w:val="nil"/>
            </w:tcBorders>
            <w:shd w:val="clear" w:color="000000" w:fill="FFFFFF"/>
            <w:noWrap/>
            <w:vAlign w:val="center"/>
            <w:hideMark/>
          </w:tcPr>
          <w:p w14:paraId="5EE1D410" w14:textId="77777777" w:rsidR="00C8553F" w:rsidRPr="00D618B7" w:rsidRDefault="00C8553F" w:rsidP="004B11B7">
            <w:pPr>
              <w:jc w:val="right"/>
              <w:rPr>
                <w:color w:val="000000"/>
              </w:rPr>
            </w:pPr>
            <w:r w:rsidRPr="00D618B7">
              <w:rPr>
                <w:color w:val="000000"/>
              </w:rPr>
              <w:t>1.28</w:t>
            </w:r>
          </w:p>
        </w:tc>
        <w:tc>
          <w:tcPr>
            <w:tcW w:w="1245" w:type="dxa"/>
            <w:tcBorders>
              <w:top w:val="nil"/>
              <w:left w:val="nil"/>
              <w:bottom w:val="nil"/>
              <w:right w:val="nil"/>
            </w:tcBorders>
            <w:shd w:val="clear" w:color="000000" w:fill="FFFFFF"/>
            <w:noWrap/>
            <w:vAlign w:val="center"/>
            <w:hideMark/>
          </w:tcPr>
          <w:p w14:paraId="18915F87" w14:textId="77777777" w:rsidR="00C8553F" w:rsidRPr="00D618B7" w:rsidRDefault="00C8553F" w:rsidP="004B11B7">
            <w:pPr>
              <w:jc w:val="right"/>
              <w:rPr>
                <w:color w:val="000000"/>
              </w:rPr>
            </w:pPr>
            <w:r w:rsidRPr="00D618B7">
              <w:rPr>
                <w:color w:val="000000"/>
              </w:rPr>
              <w:t>32.44</w:t>
            </w:r>
          </w:p>
        </w:tc>
        <w:tc>
          <w:tcPr>
            <w:tcW w:w="1340" w:type="dxa"/>
            <w:tcBorders>
              <w:top w:val="nil"/>
              <w:left w:val="nil"/>
              <w:bottom w:val="nil"/>
              <w:right w:val="nil"/>
            </w:tcBorders>
            <w:shd w:val="clear" w:color="000000" w:fill="FFFFFF"/>
            <w:noWrap/>
            <w:vAlign w:val="center"/>
            <w:hideMark/>
          </w:tcPr>
          <w:p w14:paraId="1C0A7F3C" w14:textId="77777777" w:rsidR="00C8553F" w:rsidRPr="00D618B7" w:rsidRDefault="00C8553F" w:rsidP="004B11B7">
            <w:pPr>
              <w:jc w:val="right"/>
              <w:rPr>
                <w:color w:val="000000"/>
              </w:rPr>
            </w:pPr>
            <w:r w:rsidRPr="00D618B7">
              <w:rPr>
                <w:color w:val="000000"/>
              </w:rPr>
              <w:t>2.13</w:t>
            </w:r>
          </w:p>
        </w:tc>
        <w:tc>
          <w:tcPr>
            <w:tcW w:w="1245" w:type="dxa"/>
            <w:tcBorders>
              <w:top w:val="nil"/>
              <w:left w:val="nil"/>
              <w:bottom w:val="nil"/>
              <w:right w:val="nil"/>
            </w:tcBorders>
            <w:shd w:val="clear" w:color="000000" w:fill="FFFFFF"/>
            <w:noWrap/>
            <w:vAlign w:val="center"/>
            <w:hideMark/>
          </w:tcPr>
          <w:p w14:paraId="59BFD552" w14:textId="77777777" w:rsidR="00C8553F" w:rsidRPr="00D618B7" w:rsidRDefault="00C8553F" w:rsidP="004B11B7">
            <w:pPr>
              <w:jc w:val="right"/>
              <w:rPr>
                <w:color w:val="000000"/>
              </w:rPr>
            </w:pPr>
            <w:r w:rsidRPr="00D618B7">
              <w:rPr>
                <w:color w:val="000000"/>
              </w:rPr>
              <w:t>13.49</w:t>
            </w:r>
          </w:p>
        </w:tc>
        <w:tc>
          <w:tcPr>
            <w:tcW w:w="1343" w:type="dxa"/>
            <w:tcBorders>
              <w:top w:val="nil"/>
              <w:left w:val="nil"/>
              <w:bottom w:val="nil"/>
              <w:right w:val="nil"/>
            </w:tcBorders>
            <w:shd w:val="clear" w:color="000000" w:fill="FFFFFF"/>
            <w:noWrap/>
            <w:vAlign w:val="center"/>
            <w:hideMark/>
          </w:tcPr>
          <w:p w14:paraId="2F67914B" w14:textId="77777777" w:rsidR="00C8553F" w:rsidRPr="00D618B7" w:rsidRDefault="00C8553F" w:rsidP="004B11B7">
            <w:pPr>
              <w:jc w:val="right"/>
              <w:rPr>
                <w:color w:val="000000"/>
              </w:rPr>
            </w:pPr>
            <w:r w:rsidRPr="00D618B7">
              <w:rPr>
                <w:color w:val="000000"/>
              </w:rPr>
              <w:t>2.37</w:t>
            </w:r>
          </w:p>
        </w:tc>
      </w:tr>
      <w:tr w:rsidR="00C8553F" w:rsidRPr="00D618B7" w14:paraId="7B2EABA1" w14:textId="77777777" w:rsidTr="004B11B7">
        <w:trPr>
          <w:trHeight w:val="311"/>
        </w:trPr>
        <w:tc>
          <w:tcPr>
            <w:tcW w:w="1267" w:type="dxa"/>
            <w:tcBorders>
              <w:top w:val="nil"/>
              <w:left w:val="nil"/>
              <w:bottom w:val="nil"/>
              <w:right w:val="nil"/>
            </w:tcBorders>
            <w:shd w:val="clear" w:color="000000" w:fill="FFFFFF"/>
            <w:vAlign w:val="center"/>
            <w:hideMark/>
          </w:tcPr>
          <w:p w14:paraId="60A173CE" w14:textId="77777777" w:rsidR="00C8553F" w:rsidRPr="00D618B7" w:rsidRDefault="00C8553F" w:rsidP="004B11B7">
            <w:pPr>
              <w:jc w:val="center"/>
              <w:rPr>
                <w:color w:val="000000"/>
              </w:rPr>
            </w:pPr>
            <w:r w:rsidRPr="00D618B7">
              <w:rPr>
                <w:color w:val="000000"/>
              </w:rPr>
              <w:t>0</w:t>
            </w:r>
          </w:p>
        </w:tc>
        <w:tc>
          <w:tcPr>
            <w:tcW w:w="1245" w:type="dxa"/>
            <w:tcBorders>
              <w:top w:val="nil"/>
              <w:left w:val="nil"/>
              <w:bottom w:val="nil"/>
              <w:right w:val="nil"/>
            </w:tcBorders>
            <w:shd w:val="clear" w:color="000000" w:fill="FFFFFF"/>
            <w:noWrap/>
            <w:vAlign w:val="center"/>
            <w:hideMark/>
          </w:tcPr>
          <w:p w14:paraId="2CE48D04" w14:textId="77777777" w:rsidR="00C8553F" w:rsidRPr="00D618B7" w:rsidRDefault="00C8553F" w:rsidP="004B11B7">
            <w:pPr>
              <w:jc w:val="right"/>
              <w:rPr>
                <w:color w:val="000000"/>
              </w:rPr>
            </w:pPr>
            <w:r w:rsidRPr="00D618B7">
              <w:rPr>
                <w:color w:val="000000"/>
              </w:rPr>
              <w:t>16.30</w:t>
            </w:r>
          </w:p>
        </w:tc>
        <w:tc>
          <w:tcPr>
            <w:tcW w:w="1340" w:type="dxa"/>
            <w:tcBorders>
              <w:top w:val="nil"/>
              <w:left w:val="nil"/>
              <w:bottom w:val="nil"/>
              <w:right w:val="nil"/>
            </w:tcBorders>
            <w:shd w:val="clear" w:color="000000" w:fill="FFFFFF"/>
            <w:noWrap/>
            <w:vAlign w:val="center"/>
            <w:hideMark/>
          </w:tcPr>
          <w:p w14:paraId="57028A80" w14:textId="77777777" w:rsidR="00C8553F" w:rsidRPr="00D618B7" w:rsidRDefault="00C8553F" w:rsidP="004B11B7">
            <w:pPr>
              <w:jc w:val="right"/>
              <w:rPr>
                <w:color w:val="000000"/>
              </w:rPr>
            </w:pPr>
            <w:r w:rsidRPr="00D618B7">
              <w:rPr>
                <w:color w:val="000000"/>
              </w:rPr>
              <w:t>2.72</w:t>
            </w:r>
          </w:p>
        </w:tc>
        <w:tc>
          <w:tcPr>
            <w:tcW w:w="1245" w:type="dxa"/>
            <w:tcBorders>
              <w:top w:val="nil"/>
              <w:left w:val="nil"/>
              <w:bottom w:val="nil"/>
              <w:right w:val="nil"/>
            </w:tcBorders>
            <w:shd w:val="clear" w:color="000000" w:fill="FFFFFF"/>
            <w:noWrap/>
            <w:vAlign w:val="center"/>
            <w:hideMark/>
          </w:tcPr>
          <w:p w14:paraId="1788253F" w14:textId="77777777" w:rsidR="00C8553F" w:rsidRPr="00D618B7" w:rsidRDefault="00C8553F" w:rsidP="004B11B7">
            <w:pPr>
              <w:jc w:val="right"/>
              <w:rPr>
                <w:color w:val="000000"/>
              </w:rPr>
            </w:pPr>
            <w:r w:rsidRPr="00D618B7">
              <w:rPr>
                <w:color w:val="000000"/>
              </w:rPr>
              <w:t>33.79</w:t>
            </w:r>
          </w:p>
        </w:tc>
        <w:tc>
          <w:tcPr>
            <w:tcW w:w="1340" w:type="dxa"/>
            <w:tcBorders>
              <w:top w:val="nil"/>
              <w:left w:val="nil"/>
              <w:bottom w:val="nil"/>
              <w:right w:val="nil"/>
            </w:tcBorders>
            <w:shd w:val="clear" w:color="000000" w:fill="FFFFFF"/>
            <w:noWrap/>
            <w:vAlign w:val="center"/>
            <w:hideMark/>
          </w:tcPr>
          <w:p w14:paraId="5D09A612" w14:textId="77777777" w:rsidR="00C8553F" w:rsidRPr="00D618B7" w:rsidRDefault="00C8553F" w:rsidP="004B11B7">
            <w:pPr>
              <w:jc w:val="right"/>
              <w:rPr>
                <w:color w:val="000000"/>
              </w:rPr>
            </w:pPr>
            <w:r w:rsidRPr="00D618B7">
              <w:rPr>
                <w:color w:val="000000"/>
              </w:rPr>
              <w:t>3.23</w:t>
            </w:r>
          </w:p>
        </w:tc>
        <w:tc>
          <w:tcPr>
            <w:tcW w:w="1245" w:type="dxa"/>
            <w:tcBorders>
              <w:top w:val="nil"/>
              <w:left w:val="nil"/>
              <w:bottom w:val="nil"/>
              <w:right w:val="nil"/>
            </w:tcBorders>
            <w:shd w:val="clear" w:color="000000" w:fill="FFFFFF"/>
            <w:noWrap/>
            <w:vAlign w:val="center"/>
            <w:hideMark/>
          </w:tcPr>
          <w:p w14:paraId="5634E59E" w14:textId="77777777" w:rsidR="00C8553F" w:rsidRPr="00D618B7" w:rsidRDefault="00C8553F" w:rsidP="004B11B7">
            <w:pPr>
              <w:jc w:val="right"/>
              <w:rPr>
                <w:color w:val="000000"/>
              </w:rPr>
            </w:pPr>
            <w:r w:rsidRPr="00D618B7">
              <w:rPr>
                <w:color w:val="000000"/>
              </w:rPr>
              <w:t>18.26</w:t>
            </w:r>
          </w:p>
        </w:tc>
        <w:tc>
          <w:tcPr>
            <w:tcW w:w="1343" w:type="dxa"/>
            <w:tcBorders>
              <w:top w:val="nil"/>
              <w:left w:val="nil"/>
              <w:bottom w:val="nil"/>
              <w:right w:val="nil"/>
            </w:tcBorders>
            <w:shd w:val="clear" w:color="000000" w:fill="FFFFFF"/>
            <w:noWrap/>
            <w:vAlign w:val="center"/>
            <w:hideMark/>
          </w:tcPr>
          <w:p w14:paraId="4659B983" w14:textId="77777777" w:rsidR="00C8553F" w:rsidRPr="00D618B7" w:rsidRDefault="00C8553F" w:rsidP="004B11B7">
            <w:pPr>
              <w:jc w:val="right"/>
              <w:rPr>
                <w:color w:val="000000"/>
              </w:rPr>
            </w:pPr>
            <w:r w:rsidRPr="00D618B7">
              <w:rPr>
                <w:color w:val="000000"/>
              </w:rPr>
              <w:t>2.28</w:t>
            </w:r>
          </w:p>
        </w:tc>
      </w:tr>
      <w:tr w:rsidR="00C8553F" w:rsidRPr="00D618B7" w14:paraId="55BEE70E" w14:textId="77777777" w:rsidTr="004B11B7">
        <w:trPr>
          <w:trHeight w:val="311"/>
        </w:trPr>
        <w:tc>
          <w:tcPr>
            <w:tcW w:w="1267" w:type="dxa"/>
            <w:tcBorders>
              <w:top w:val="nil"/>
              <w:left w:val="nil"/>
              <w:bottom w:val="nil"/>
              <w:right w:val="nil"/>
            </w:tcBorders>
            <w:shd w:val="clear" w:color="000000" w:fill="FFFFFF"/>
            <w:vAlign w:val="center"/>
            <w:hideMark/>
          </w:tcPr>
          <w:p w14:paraId="487B45E9" w14:textId="77777777" w:rsidR="00C8553F" w:rsidRPr="00D618B7" w:rsidRDefault="00C8553F" w:rsidP="004B11B7">
            <w:pPr>
              <w:jc w:val="center"/>
              <w:rPr>
                <w:color w:val="000000"/>
              </w:rPr>
            </w:pPr>
            <w:r w:rsidRPr="00D618B7">
              <w:rPr>
                <w:color w:val="000000"/>
              </w:rPr>
              <w:t>1</w:t>
            </w:r>
          </w:p>
        </w:tc>
        <w:tc>
          <w:tcPr>
            <w:tcW w:w="1245" w:type="dxa"/>
            <w:tcBorders>
              <w:top w:val="nil"/>
              <w:left w:val="nil"/>
              <w:bottom w:val="nil"/>
              <w:right w:val="nil"/>
            </w:tcBorders>
            <w:shd w:val="clear" w:color="000000" w:fill="FFFFFF"/>
            <w:noWrap/>
            <w:vAlign w:val="center"/>
            <w:hideMark/>
          </w:tcPr>
          <w:p w14:paraId="3C35D064" w14:textId="77777777" w:rsidR="00C8553F" w:rsidRPr="00D618B7" w:rsidRDefault="00C8553F" w:rsidP="004B11B7">
            <w:pPr>
              <w:jc w:val="right"/>
              <w:rPr>
                <w:color w:val="000000"/>
              </w:rPr>
            </w:pPr>
            <w:r w:rsidRPr="00D618B7">
              <w:rPr>
                <w:color w:val="000000"/>
              </w:rPr>
              <w:t>16.52</w:t>
            </w:r>
          </w:p>
        </w:tc>
        <w:tc>
          <w:tcPr>
            <w:tcW w:w="1340" w:type="dxa"/>
            <w:tcBorders>
              <w:top w:val="nil"/>
              <w:left w:val="nil"/>
              <w:bottom w:val="nil"/>
              <w:right w:val="nil"/>
            </w:tcBorders>
            <w:shd w:val="clear" w:color="000000" w:fill="FFFFFF"/>
            <w:noWrap/>
            <w:vAlign w:val="center"/>
            <w:hideMark/>
          </w:tcPr>
          <w:p w14:paraId="77885083" w14:textId="77777777" w:rsidR="00C8553F" w:rsidRPr="00D618B7" w:rsidRDefault="00C8553F" w:rsidP="004B11B7">
            <w:pPr>
              <w:jc w:val="right"/>
              <w:rPr>
                <w:color w:val="000000"/>
              </w:rPr>
            </w:pPr>
            <w:r w:rsidRPr="00D618B7">
              <w:rPr>
                <w:color w:val="000000"/>
              </w:rPr>
              <w:t>2.65</w:t>
            </w:r>
          </w:p>
        </w:tc>
        <w:tc>
          <w:tcPr>
            <w:tcW w:w="1245" w:type="dxa"/>
            <w:tcBorders>
              <w:top w:val="nil"/>
              <w:left w:val="nil"/>
              <w:bottom w:val="nil"/>
              <w:right w:val="nil"/>
            </w:tcBorders>
            <w:shd w:val="clear" w:color="000000" w:fill="FFFFFF"/>
            <w:noWrap/>
            <w:vAlign w:val="center"/>
            <w:hideMark/>
          </w:tcPr>
          <w:p w14:paraId="438596AB" w14:textId="77777777" w:rsidR="00C8553F" w:rsidRPr="00D618B7" w:rsidRDefault="00C8553F" w:rsidP="004B11B7">
            <w:pPr>
              <w:jc w:val="right"/>
              <w:rPr>
                <w:color w:val="000000"/>
              </w:rPr>
            </w:pPr>
            <w:r w:rsidRPr="00D618B7">
              <w:rPr>
                <w:color w:val="000000"/>
              </w:rPr>
              <w:t>33.87</w:t>
            </w:r>
          </w:p>
        </w:tc>
        <w:tc>
          <w:tcPr>
            <w:tcW w:w="1340" w:type="dxa"/>
            <w:tcBorders>
              <w:top w:val="nil"/>
              <w:left w:val="nil"/>
              <w:bottom w:val="nil"/>
              <w:right w:val="nil"/>
            </w:tcBorders>
            <w:shd w:val="clear" w:color="000000" w:fill="FFFFFF"/>
            <w:noWrap/>
            <w:vAlign w:val="center"/>
            <w:hideMark/>
          </w:tcPr>
          <w:p w14:paraId="76F1F94E" w14:textId="77777777" w:rsidR="00C8553F" w:rsidRPr="00D618B7" w:rsidRDefault="00C8553F" w:rsidP="004B11B7">
            <w:pPr>
              <w:jc w:val="right"/>
              <w:rPr>
                <w:color w:val="000000"/>
              </w:rPr>
            </w:pPr>
            <w:r w:rsidRPr="00D618B7">
              <w:rPr>
                <w:color w:val="000000"/>
              </w:rPr>
              <w:t>2.10</w:t>
            </w:r>
          </w:p>
        </w:tc>
        <w:tc>
          <w:tcPr>
            <w:tcW w:w="1245" w:type="dxa"/>
            <w:tcBorders>
              <w:top w:val="nil"/>
              <w:left w:val="nil"/>
              <w:bottom w:val="nil"/>
              <w:right w:val="nil"/>
            </w:tcBorders>
            <w:shd w:val="clear" w:color="000000" w:fill="FFFFFF"/>
            <w:noWrap/>
            <w:vAlign w:val="center"/>
            <w:hideMark/>
          </w:tcPr>
          <w:p w14:paraId="3BF627B6" w14:textId="77777777" w:rsidR="00C8553F" w:rsidRPr="00D618B7" w:rsidRDefault="00C8553F" w:rsidP="004B11B7">
            <w:pPr>
              <w:jc w:val="right"/>
              <w:rPr>
                <w:color w:val="000000"/>
              </w:rPr>
            </w:pPr>
            <w:r w:rsidRPr="00D618B7">
              <w:rPr>
                <w:color w:val="000000"/>
              </w:rPr>
              <w:t>17.10</w:t>
            </w:r>
          </w:p>
        </w:tc>
        <w:tc>
          <w:tcPr>
            <w:tcW w:w="1343" w:type="dxa"/>
            <w:tcBorders>
              <w:top w:val="nil"/>
              <w:left w:val="nil"/>
              <w:bottom w:val="nil"/>
              <w:right w:val="nil"/>
            </w:tcBorders>
            <w:shd w:val="clear" w:color="000000" w:fill="FFFFFF"/>
            <w:noWrap/>
            <w:vAlign w:val="center"/>
            <w:hideMark/>
          </w:tcPr>
          <w:p w14:paraId="6D5E4D0D" w14:textId="77777777" w:rsidR="00C8553F" w:rsidRPr="00D618B7" w:rsidRDefault="00C8553F" w:rsidP="004B11B7">
            <w:pPr>
              <w:jc w:val="right"/>
              <w:rPr>
                <w:color w:val="000000"/>
              </w:rPr>
            </w:pPr>
            <w:r w:rsidRPr="00D618B7">
              <w:rPr>
                <w:color w:val="000000"/>
              </w:rPr>
              <w:t>6.21</w:t>
            </w:r>
          </w:p>
        </w:tc>
      </w:tr>
      <w:tr w:rsidR="00C8553F" w:rsidRPr="00D618B7" w14:paraId="7F618759" w14:textId="77777777" w:rsidTr="004B11B7">
        <w:trPr>
          <w:trHeight w:val="311"/>
        </w:trPr>
        <w:tc>
          <w:tcPr>
            <w:tcW w:w="1267" w:type="dxa"/>
            <w:tcBorders>
              <w:top w:val="nil"/>
              <w:left w:val="nil"/>
              <w:bottom w:val="nil"/>
              <w:right w:val="nil"/>
            </w:tcBorders>
            <w:shd w:val="clear" w:color="000000" w:fill="FFFFFF"/>
            <w:vAlign w:val="center"/>
            <w:hideMark/>
          </w:tcPr>
          <w:p w14:paraId="17B2DD54" w14:textId="77777777" w:rsidR="00C8553F" w:rsidRPr="00D618B7" w:rsidRDefault="00C8553F" w:rsidP="004B11B7">
            <w:pPr>
              <w:jc w:val="center"/>
              <w:rPr>
                <w:color w:val="000000"/>
              </w:rPr>
            </w:pPr>
            <w:r w:rsidRPr="00D618B7">
              <w:rPr>
                <w:color w:val="000000"/>
              </w:rPr>
              <w:t>2</w:t>
            </w:r>
          </w:p>
        </w:tc>
        <w:tc>
          <w:tcPr>
            <w:tcW w:w="1245" w:type="dxa"/>
            <w:tcBorders>
              <w:top w:val="nil"/>
              <w:left w:val="nil"/>
              <w:bottom w:val="nil"/>
              <w:right w:val="nil"/>
            </w:tcBorders>
            <w:shd w:val="clear" w:color="000000" w:fill="FFFFFF"/>
            <w:noWrap/>
            <w:vAlign w:val="center"/>
            <w:hideMark/>
          </w:tcPr>
          <w:p w14:paraId="43E19FCE" w14:textId="77777777" w:rsidR="00C8553F" w:rsidRPr="00D618B7" w:rsidRDefault="00C8553F" w:rsidP="004B11B7">
            <w:pPr>
              <w:jc w:val="right"/>
              <w:rPr>
                <w:color w:val="000000"/>
              </w:rPr>
            </w:pPr>
            <w:r w:rsidRPr="00D618B7">
              <w:rPr>
                <w:color w:val="000000"/>
              </w:rPr>
              <w:t>19.96</w:t>
            </w:r>
          </w:p>
        </w:tc>
        <w:tc>
          <w:tcPr>
            <w:tcW w:w="1340" w:type="dxa"/>
            <w:tcBorders>
              <w:top w:val="nil"/>
              <w:left w:val="nil"/>
              <w:bottom w:val="nil"/>
              <w:right w:val="nil"/>
            </w:tcBorders>
            <w:shd w:val="clear" w:color="000000" w:fill="FFFFFF"/>
            <w:noWrap/>
            <w:vAlign w:val="center"/>
            <w:hideMark/>
          </w:tcPr>
          <w:p w14:paraId="41BC75D5" w14:textId="77777777" w:rsidR="00C8553F" w:rsidRPr="00D618B7" w:rsidRDefault="00C8553F" w:rsidP="004B11B7">
            <w:pPr>
              <w:jc w:val="right"/>
              <w:rPr>
                <w:color w:val="000000"/>
              </w:rPr>
            </w:pPr>
            <w:r w:rsidRPr="00D618B7">
              <w:rPr>
                <w:color w:val="000000"/>
              </w:rPr>
              <w:t>2.84</w:t>
            </w:r>
          </w:p>
        </w:tc>
        <w:tc>
          <w:tcPr>
            <w:tcW w:w="1245" w:type="dxa"/>
            <w:tcBorders>
              <w:top w:val="nil"/>
              <w:left w:val="nil"/>
              <w:bottom w:val="nil"/>
              <w:right w:val="nil"/>
            </w:tcBorders>
            <w:shd w:val="clear" w:color="000000" w:fill="FFFFFF"/>
            <w:noWrap/>
            <w:vAlign w:val="center"/>
            <w:hideMark/>
          </w:tcPr>
          <w:p w14:paraId="7601379B" w14:textId="77777777" w:rsidR="00C8553F" w:rsidRPr="00D618B7" w:rsidRDefault="00C8553F" w:rsidP="004B11B7">
            <w:pPr>
              <w:jc w:val="right"/>
              <w:rPr>
                <w:color w:val="000000"/>
              </w:rPr>
            </w:pPr>
            <w:r w:rsidRPr="00D618B7">
              <w:rPr>
                <w:color w:val="000000"/>
              </w:rPr>
              <w:t>38.38</w:t>
            </w:r>
          </w:p>
        </w:tc>
        <w:tc>
          <w:tcPr>
            <w:tcW w:w="1340" w:type="dxa"/>
            <w:tcBorders>
              <w:top w:val="nil"/>
              <w:left w:val="nil"/>
              <w:bottom w:val="nil"/>
              <w:right w:val="nil"/>
            </w:tcBorders>
            <w:shd w:val="clear" w:color="000000" w:fill="FFFFFF"/>
            <w:noWrap/>
            <w:vAlign w:val="center"/>
            <w:hideMark/>
          </w:tcPr>
          <w:p w14:paraId="27BF1D3C" w14:textId="77777777" w:rsidR="00C8553F" w:rsidRPr="00D618B7" w:rsidRDefault="00C8553F" w:rsidP="004B11B7">
            <w:pPr>
              <w:jc w:val="right"/>
              <w:rPr>
                <w:color w:val="000000"/>
              </w:rPr>
            </w:pPr>
            <w:r w:rsidRPr="00D618B7">
              <w:rPr>
                <w:color w:val="000000"/>
              </w:rPr>
              <w:t>2.18</w:t>
            </w:r>
          </w:p>
        </w:tc>
        <w:tc>
          <w:tcPr>
            <w:tcW w:w="1245" w:type="dxa"/>
            <w:tcBorders>
              <w:top w:val="nil"/>
              <w:left w:val="nil"/>
              <w:bottom w:val="nil"/>
              <w:right w:val="nil"/>
            </w:tcBorders>
            <w:shd w:val="clear" w:color="000000" w:fill="FFFFFF"/>
            <w:noWrap/>
            <w:vAlign w:val="center"/>
            <w:hideMark/>
          </w:tcPr>
          <w:p w14:paraId="69D15E3C" w14:textId="77777777" w:rsidR="00C8553F" w:rsidRPr="00D618B7" w:rsidRDefault="00C8553F" w:rsidP="004B11B7">
            <w:pPr>
              <w:jc w:val="right"/>
              <w:rPr>
                <w:color w:val="000000"/>
              </w:rPr>
            </w:pPr>
            <w:r w:rsidRPr="00D618B7">
              <w:rPr>
                <w:color w:val="000000"/>
              </w:rPr>
              <w:t>25.01</w:t>
            </w:r>
          </w:p>
        </w:tc>
        <w:tc>
          <w:tcPr>
            <w:tcW w:w="1343" w:type="dxa"/>
            <w:tcBorders>
              <w:top w:val="nil"/>
              <w:left w:val="nil"/>
              <w:bottom w:val="nil"/>
              <w:right w:val="nil"/>
            </w:tcBorders>
            <w:shd w:val="clear" w:color="000000" w:fill="FFFFFF"/>
            <w:noWrap/>
            <w:vAlign w:val="center"/>
            <w:hideMark/>
          </w:tcPr>
          <w:p w14:paraId="20192307" w14:textId="77777777" w:rsidR="00C8553F" w:rsidRPr="00D618B7" w:rsidRDefault="00C8553F" w:rsidP="004B11B7">
            <w:pPr>
              <w:jc w:val="right"/>
              <w:rPr>
                <w:color w:val="000000"/>
              </w:rPr>
            </w:pPr>
            <w:r w:rsidRPr="00D618B7">
              <w:rPr>
                <w:color w:val="000000"/>
              </w:rPr>
              <w:t>5.94</w:t>
            </w:r>
          </w:p>
        </w:tc>
      </w:tr>
      <w:tr w:rsidR="00C8553F" w:rsidRPr="00D618B7" w14:paraId="019B86A6" w14:textId="77777777" w:rsidTr="004B11B7">
        <w:trPr>
          <w:trHeight w:val="311"/>
        </w:trPr>
        <w:tc>
          <w:tcPr>
            <w:tcW w:w="1267" w:type="dxa"/>
            <w:tcBorders>
              <w:top w:val="nil"/>
              <w:left w:val="nil"/>
              <w:bottom w:val="nil"/>
              <w:right w:val="nil"/>
            </w:tcBorders>
            <w:shd w:val="clear" w:color="000000" w:fill="FFFFFF"/>
            <w:vAlign w:val="center"/>
            <w:hideMark/>
          </w:tcPr>
          <w:p w14:paraId="5B92704B" w14:textId="77777777" w:rsidR="00C8553F" w:rsidRPr="00D618B7" w:rsidRDefault="00C8553F" w:rsidP="004B11B7">
            <w:pPr>
              <w:jc w:val="center"/>
              <w:rPr>
                <w:color w:val="000000"/>
              </w:rPr>
            </w:pPr>
            <w:r w:rsidRPr="00D618B7">
              <w:rPr>
                <w:color w:val="000000"/>
              </w:rPr>
              <w:t>3</w:t>
            </w:r>
          </w:p>
        </w:tc>
        <w:tc>
          <w:tcPr>
            <w:tcW w:w="1245" w:type="dxa"/>
            <w:tcBorders>
              <w:top w:val="nil"/>
              <w:left w:val="nil"/>
              <w:bottom w:val="nil"/>
              <w:right w:val="nil"/>
            </w:tcBorders>
            <w:shd w:val="clear" w:color="000000" w:fill="FFFFFF"/>
            <w:noWrap/>
            <w:vAlign w:val="center"/>
            <w:hideMark/>
          </w:tcPr>
          <w:p w14:paraId="1BEADCF7" w14:textId="77777777" w:rsidR="00C8553F" w:rsidRPr="00D618B7" w:rsidRDefault="00C8553F" w:rsidP="004B11B7">
            <w:pPr>
              <w:jc w:val="right"/>
              <w:rPr>
                <w:color w:val="000000"/>
              </w:rPr>
            </w:pPr>
            <w:r w:rsidRPr="00D618B7">
              <w:rPr>
                <w:color w:val="000000"/>
              </w:rPr>
              <w:t>15.07</w:t>
            </w:r>
          </w:p>
        </w:tc>
        <w:tc>
          <w:tcPr>
            <w:tcW w:w="1340" w:type="dxa"/>
            <w:tcBorders>
              <w:top w:val="nil"/>
              <w:left w:val="nil"/>
              <w:bottom w:val="nil"/>
              <w:right w:val="nil"/>
            </w:tcBorders>
            <w:shd w:val="clear" w:color="000000" w:fill="FFFFFF"/>
            <w:noWrap/>
            <w:vAlign w:val="center"/>
            <w:hideMark/>
          </w:tcPr>
          <w:p w14:paraId="1C2BC2E7" w14:textId="77777777" w:rsidR="00C8553F" w:rsidRPr="00D618B7" w:rsidRDefault="00C8553F" w:rsidP="004B11B7">
            <w:pPr>
              <w:jc w:val="right"/>
              <w:rPr>
                <w:color w:val="000000"/>
              </w:rPr>
            </w:pPr>
            <w:r w:rsidRPr="00D618B7">
              <w:rPr>
                <w:color w:val="000000"/>
              </w:rPr>
              <w:t>3.30</w:t>
            </w:r>
          </w:p>
        </w:tc>
        <w:tc>
          <w:tcPr>
            <w:tcW w:w="1245" w:type="dxa"/>
            <w:tcBorders>
              <w:top w:val="nil"/>
              <w:left w:val="nil"/>
              <w:bottom w:val="nil"/>
              <w:right w:val="nil"/>
            </w:tcBorders>
            <w:shd w:val="clear" w:color="000000" w:fill="FFFFFF"/>
            <w:noWrap/>
            <w:vAlign w:val="center"/>
            <w:hideMark/>
          </w:tcPr>
          <w:p w14:paraId="55E0E338" w14:textId="77777777" w:rsidR="00C8553F" w:rsidRPr="00D618B7" w:rsidRDefault="00C8553F" w:rsidP="004B11B7">
            <w:pPr>
              <w:jc w:val="right"/>
              <w:rPr>
                <w:color w:val="000000"/>
              </w:rPr>
            </w:pPr>
            <w:r w:rsidRPr="00D618B7">
              <w:rPr>
                <w:color w:val="000000"/>
              </w:rPr>
              <w:t>36.03</w:t>
            </w:r>
          </w:p>
        </w:tc>
        <w:tc>
          <w:tcPr>
            <w:tcW w:w="1340" w:type="dxa"/>
            <w:tcBorders>
              <w:top w:val="nil"/>
              <w:left w:val="nil"/>
              <w:bottom w:val="nil"/>
              <w:right w:val="nil"/>
            </w:tcBorders>
            <w:shd w:val="clear" w:color="000000" w:fill="FFFFFF"/>
            <w:noWrap/>
            <w:vAlign w:val="center"/>
            <w:hideMark/>
          </w:tcPr>
          <w:p w14:paraId="2F79CA3D" w14:textId="77777777" w:rsidR="00C8553F" w:rsidRPr="00D618B7" w:rsidRDefault="00C8553F" w:rsidP="004B11B7">
            <w:pPr>
              <w:jc w:val="right"/>
              <w:rPr>
                <w:color w:val="000000"/>
              </w:rPr>
            </w:pPr>
            <w:r w:rsidRPr="00D618B7">
              <w:rPr>
                <w:color w:val="000000"/>
              </w:rPr>
              <w:t>2.55</w:t>
            </w:r>
          </w:p>
        </w:tc>
        <w:tc>
          <w:tcPr>
            <w:tcW w:w="1245" w:type="dxa"/>
            <w:tcBorders>
              <w:top w:val="nil"/>
              <w:left w:val="nil"/>
              <w:bottom w:val="nil"/>
              <w:right w:val="nil"/>
            </w:tcBorders>
            <w:shd w:val="clear" w:color="000000" w:fill="FFFFFF"/>
            <w:noWrap/>
            <w:vAlign w:val="center"/>
            <w:hideMark/>
          </w:tcPr>
          <w:p w14:paraId="6E505967" w14:textId="77777777" w:rsidR="00C8553F" w:rsidRPr="00D618B7" w:rsidRDefault="00C8553F" w:rsidP="004B11B7">
            <w:pPr>
              <w:jc w:val="right"/>
              <w:rPr>
                <w:color w:val="000000"/>
              </w:rPr>
            </w:pPr>
            <w:r w:rsidRPr="00D618B7">
              <w:rPr>
                <w:color w:val="000000"/>
              </w:rPr>
              <w:t>24.13</w:t>
            </w:r>
          </w:p>
        </w:tc>
        <w:tc>
          <w:tcPr>
            <w:tcW w:w="1343" w:type="dxa"/>
            <w:tcBorders>
              <w:top w:val="nil"/>
              <w:left w:val="nil"/>
              <w:bottom w:val="nil"/>
              <w:right w:val="nil"/>
            </w:tcBorders>
            <w:shd w:val="clear" w:color="000000" w:fill="FFFFFF"/>
            <w:noWrap/>
            <w:vAlign w:val="center"/>
            <w:hideMark/>
          </w:tcPr>
          <w:p w14:paraId="1B82BD0E" w14:textId="77777777" w:rsidR="00C8553F" w:rsidRPr="00D618B7" w:rsidRDefault="00C8553F" w:rsidP="004B11B7">
            <w:pPr>
              <w:jc w:val="right"/>
              <w:rPr>
                <w:color w:val="000000"/>
              </w:rPr>
            </w:pPr>
            <w:r w:rsidRPr="00D618B7">
              <w:rPr>
                <w:color w:val="000000"/>
              </w:rPr>
              <w:t>6.35</w:t>
            </w:r>
          </w:p>
        </w:tc>
      </w:tr>
      <w:tr w:rsidR="00C8553F" w:rsidRPr="00D618B7" w14:paraId="62EBDA93" w14:textId="77777777" w:rsidTr="004B11B7">
        <w:trPr>
          <w:trHeight w:val="311"/>
        </w:trPr>
        <w:tc>
          <w:tcPr>
            <w:tcW w:w="1267" w:type="dxa"/>
            <w:tcBorders>
              <w:top w:val="nil"/>
              <w:left w:val="nil"/>
              <w:bottom w:val="nil"/>
              <w:right w:val="nil"/>
            </w:tcBorders>
            <w:shd w:val="clear" w:color="000000" w:fill="FFFFFF"/>
            <w:vAlign w:val="center"/>
            <w:hideMark/>
          </w:tcPr>
          <w:p w14:paraId="4689497F" w14:textId="77777777" w:rsidR="00C8553F" w:rsidRPr="00D618B7" w:rsidRDefault="00C8553F" w:rsidP="004B11B7">
            <w:pPr>
              <w:jc w:val="center"/>
              <w:rPr>
                <w:color w:val="000000"/>
              </w:rPr>
            </w:pPr>
            <w:r w:rsidRPr="00D618B7">
              <w:rPr>
                <w:color w:val="000000"/>
              </w:rPr>
              <w:t>4</w:t>
            </w:r>
          </w:p>
        </w:tc>
        <w:tc>
          <w:tcPr>
            <w:tcW w:w="1245" w:type="dxa"/>
            <w:tcBorders>
              <w:top w:val="nil"/>
              <w:left w:val="nil"/>
              <w:bottom w:val="nil"/>
              <w:right w:val="nil"/>
            </w:tcBorders>
            <w:shd w:val="clear" w:color="000000" w:fill="FFFFFF"/>
            <w:noWrap/>
            <w:vAlign w:val="center"/>
            <w:hideMark/>
          </w:tcPr>
          <w:p w14:paraId="1BD57A03" w14:textId="77777777" w:rsidR="00C8553F" w:rsidRPr="00D618B7" w:rsidRDefault="00C8553F" w:rsidP="004B11B7">
            <w:pPr>
              <w:jc w:val="right"/>
              <w:rPr>
                <w:color w:val="000000"/>
              </w:rPr>
            </w:pPr>
            <w:r w:rsidRPr="00D618B7">
              <w:rPr>
                <w:color w:val="000000"/>
              </w:rPr>
              <w:t>19.56</w:t>
            </w:r>
          </w:p>
        </w:tc>
        <w:tc>
          <w:tcPr>
            <w:tcW w:w="1340" w:type="dxa"/>
            <w:tcBorders>
              <w:top w:val="nil"/>
              <w:left w:val="nil"/>
              <w:bottom w:val="nil"/>
              <w:right w:val="nil"/>
            </w:tcBorders>
            <w:shd w:val="clear" w:color="000000" w:fill="FFFFFF"/>
            <w:noWrap/>
            <w:vAlign w:val="center"/>
            <w:hideMark/>
          </w:tcPr>
          <w:p w14:paraId="67B6811B" w14:textId="77777777" w:rsidR="00C8553F" w:rsidRPr="00D618B7" w:rsidRDefault="00C8553F" w:rsidP="004B11B7">
            <w:pPr>
              <w:jc w:val="right"/>
              <w:rPr>
                <w:color w:val="000000"/>
              </w:rPr>
            </w:pPr>
            <w:r w:rsidRPr="00D618B7">
              <w:rPr>
                <w:color w:val="000000"/>
              </w:rPr>
              <w:t>2.32</w:t>
            </w:r>
          </w:p>
        </w:tc>
        <w:tc>
          <w:tcPr>
            <w:tcW w:w="1245" w:type="dxa"/>
            <w:tcBorders>
              <w:top w:val="nil"/>
              <w:left w:val="nil"/>
              <w:bottom w:val="nil"/>
              <w:right w:val="nil"/>
            </w:tcBorders>
            <w:shd w:val="clear" w:color="000000" w:fill="FFFFFF"/>
            <w:noWrap/>
            <w:vAlign w:val="center"/>
            <w:hideMark/>
          </w:tcPr>
          <w:p w14:paraId="5F83D59A" w14:textId="77777777" w:rsidR="00C8553F" w:rsidRPr="00D618B7" w:rsidRDefault="00C8553F" w:rsidP="004B11B7">
            <w:pPr>
              <w:jc w:val="right"/>
              <w:rPr>
                <w:color w:val="000000"/>
              </w:rPr>
            </w:pPr>
            <w:r w:rsidRPr="00D618B7">
              <w:rPr>
                <w:color w:val="000000"/>
              </w:rPr>
              <w:t>33.11</w:t>
            </w:r>
          </w:p>
        </w:tc>
        <w:tc>
          <w:tcPr>
            <w:tcW w:w="1340" w:type="dxa"/>
            <w:tcBorders>
              <w:top w:val="nil"/>
              <w:left w:val="nil"/>
              <w:bottom w:val="nil"/>
              <w:right w:val="nil"/>
            </w:tcBorders>
            <w:shd w:val="clear" w:color="000000" w:fill="FFFFFF"/>
            <w:noWrap/>
            <w:vAlign w:val="center"/>
            <w:hideMark/>
          </w:tcPr>
          <w:p w14:paraId="5FA66B41" w14:textId="77777777" w:rsidR="00C8553F" w:rsidRPr="00D618B7" w:rsidRDefault="00C8553F" w:rsidP="004B11B7">
            <w:pPr>
              <w:jc w:val="right"/>
              <w:rPr>
                <w:color w:val="000000"/>
              </w:rPr>
            </w:pPr>
            <w:r w:rsidRPr="00D618B7">
              <w:rPr>
                <w:color w:val="000000"/>
              </w:rPr>
              <w:t>4.13</w:t>
            </w:r>
          </w:p>
        </w:tc>
        <w:tc>
          <w:tcPr>
            <w:tcW w:w="1245" w:type="dxa"/>
            <w:tcBorders>
              <w:top w:val="nil"/>
              <w:left w:val="nil"/>
              <w:bottom w:val="nil"/>
              <w:right w:val="nil"/>
            </w:tcBorders>
            <w:shd w:val="clear" w:color="000000" w:fill="FFFFFF"/>
            <w:noWrap/>
            <w:vAlign w:val="center"/>
            <w:hideMark/>
          </w:tcPr>
          <w:p w14:paraId="0E6D958D" w14:textId="77777777" w:rsidR="00C8553F" w:rsidRPr="00D618B7" w:rsidRDefault="00C8553F" w:rsidP="004B11B7">
            <w:pPr>
              <w:jc w:val="right"/>
              <w:rPr>
                <w:color w:val="000000"/>
              </w:rPr>
            </w:pPr>
            <w:r w:rsidRPr="00D618B7">
              <w:rPr>
                <w:color w:val="000000"/>
              </w:rPr>
              <w:t>28.44</w:t>
            </w:r>
          </w:p>
        </w:tc>
        <w:tc>
          <w:tcPr>
            <w:tcW w:w="1343" w:type="dxa"/>
            <w:tcBorders>
              <w:top w:val="nil"/>
              <w:left w:val="nil"/>
              <w:bottom w:val="nil"/>
              <w:right w:val="nil"/>
            </w:tcBorders>
            <w:shd w:val="clear" w:color="000000" w:fill="FFFFFF"/>
            <w:noWrap/>
            <w:vAlign w:val="center"/>
            <w:hideMark/>
          </w:tcPr>
          <w:p w14:paraId="1D0EFC25" w14:textId="77777777" w:rsidR="00C8553F" w:rsidRPr="00D618B7" w:rsidRDefault="00C8553F" w:rsidP="004B11B7">
            <w:pPr>
              <w:jc w:val="right"/>
              <w:rPr>
                <w:color w:val="000000"/>
              </w:rPr>
            </w:pPr>
            <w:r w:rsidRPr="00D618B7">
              <w:rPr>
                <w:color w:val="000000"/>
              </w:rPr>
              <w:t>3.71</w:t>
            </w:r>
          </w:p>
        </w:tc>
      </w:tr>
      <w:tr w:rsidR="00C8553F" w:rsidRPr="00D618B7" w14:paraId="7C1645F6" w14:textId="77777777" w:rsidTr="004B11B7">
        <w:trPr>
          <w:trHeight w:val="326"/>
        </w:trPr>
        <w:tc>
          <w:tcPr>
            <w:tcW w:w="1267" w:type="dxa"/>
            <w:tcBorders>
              <w:top w:val="nil"/>
              <w:left w:val="nil"/>
              <w:bottom w:val="single" w:sz="8" w:space="0" w:color="auto"/>
              <w:right w:val="nil"/>
            </w:tcBorders>
            <w:shd w:val="clear" w:color="000000" w:fill="FFFFFF"/>
            <w:vAlign w:val="center"/>
            <w:hideMark/>
          </w:tcPr>
          <w:p w14:paraId="0D2D3004" w14:textId="77777777" w:rsidR="00C8553F" w:rsidRPr="00D618B7" w:rsidRDefault="00C8553F" w:rsidP="004B11B7">
            <w:pPr>
              <w:jc w:val="center"/>
              <w:rPr>
                <w:color w:val="000000"/>
              </w:rPr>
            </w:pPr>
            <w:r w:rsidRPr="00D618B7">
              <w:rPr>
                <w:color w:val="000000"/>
              </w:rPr>
              <w:t>5</w:t>
            </w:r>
          </w:p>
        </w:tc>
        <w:tc>
          <w:tcPr>
            <w:tcW w:w="1245" w:type="dxa"/>
            <w:tcBorders>
              <w:top w:val="nil"/>
              <w:left w:val="nil"/>
              <w:bottom w:val="single" w:sz="8" w:space="0" w:color="auto"/>
              <w:right w:val="nil"/>
            </w:tcBorders>
            <w:shd w:val="clear" w:color="000000" w:fill="FFFFFF"/>
            <w:noWrap/>
            <w:vAlign w:val="center"/>
            <w:hideMark/>
          </w:tcPr>
          <w:p w14:paraId="1997D189" w14:textId="77777777" w:rsidR="00C8553F" w:rsidRPr="00D618B7" w:rsidRDefault="00C8553F" w:rsidP="004B11B7">
            <w:pPr>
              <w:jc w:val="right"/>
              <w:rPr>
                <w:color w:val="000000"/>
              </w:rPr>
            </w:pPr>
            <w:r w:rsidRPr="00D618B7">
              <w:rPr>
                <w:color w:val="000000"/>
              </w:rPr>
              <w:t>19.03</w:t>
            </w:r>
          </w:p>
        </w:tc>
        <w:tc>
          <w:tcPr>
            <w:tcW w:w="1340" w:type="dxa"/>
            <w:tcBorders>
              <w:top w:val="nil"/>
              <w:left w:val="nil"/>
              <w:bottom w:val="single" w:sz="8" w:space="0" w:color="auto"/>
              <w:right w:val="nil"/>
            </w:tcBorders>
            <w:shd w:val="clear" w:color="000000" w:fill="FFFFFF"/>
            <w:noWrap/>
            <w:vAlign w:val="center"/>
            <w:hideMark/>
          </w:tcPr>
          <w:p w14:paraId="704E4491" w14:textId="77777777" w:rsidR="00C8553F" w:rsidRPr="00D618B7" w:rsidRDefault="00C8553F" w:rsidP="004B11B7">
            <w:pPr>
              <w:jc w:val="right"/>
              <w:rPr>
                <w:color w:val="000000"/>
              </w:rPr>
            </w:pPr>
            <w:r w:rsidRPr="00D618B7">
              <w:rPr>
                <w:color w:val="000000"/>
              </w:rPr>
              <w:t>4.49</w:t>
            </w:r>
          </w:p>
        </w:tc>
        <w:tc>
          <w:tcPr>
            <w:tcW w:w="1245" w:type="dxa"/>
            <w:tcBorders>
              <w:top w:val="nil"/>
              <w:left w:val="nil"/>
              <w:bottom w:val="single" w:sz="8" w:space="0" w:color="auto"/>
              <w:right w:val="nil"/>
            </w:tcBorders>
            <w:shd w:val="clear" w:color="000000" w:fill="FFFFFF"/>
            <w:noWrap/>
            <w:vAlign w:val="center"/>
            <w:hideMark/>
          </w:tcPr>
          <w:p w14:paraId="05A959AD" w14:textId="77777777" w:rsidR="00C8553F" w:rsidRPr="00D618B7" w:rsidRDefault="00C8553F" w:rsidP="004B11B7">
            <w:pPr>
              <w:jc w:val="right"/>
              <w:rPr>
                <w:color w:val="000000"/>
              </w:rPr>
            </w:pPr>
            <w:r w:rsidRPr="00D618B7">
              <w:rPr>
                <w:color w:val="000000"/>
              </w:rPr>
              <w:t>35.56</w:t>
            </w:r>
          </w:p>
        </w:tc>
        <w:tc>
          <w:tcPr>
            <w:tcW w:w="1340" w:type="dxa"/>
            <w:tcBorders>
              <w:top w:val="nil"/>
              <w:left w:val="nil"/>
              <w:bottom w:val="single" w:sz="8" w:space="0" w:color="auto"/>
              <w:right w:val="nil"/>
            </w:tcBorders>
            <w:shd w:val="clear" w:color="000000" w:fill="FFFFFF"/>
            <w:noWrap/>
            <w:vAlign w:val="center"/>
            <w:hideMark/>
          </w:tcPr>
          <w:p w14:paraId="4CE20402" w14:textId="77777777" w:rsidR="00C8553F" w:rsidRPr="00D618B7" w:rsidRDefault="00C8553F" w:rsidP="004B11B7">
            <w:pPr>
              <w:jc w:val="right"/>
              <w:rPr>
                <w:color w:val="000000"/>
              </w:rPr>
            </w:pPr>
            <w:r w:rsidRPr="00D618B7">
              <w:rPr>
                <w:color w:val="000000"/>
              </w:rPr>
              <w:t>2.52</w:t>
            </w:r>
          </w:p>
        </w:tc>
        <w:tc>
          <w:tcPr>
            <w:tcW w:w="1245" w:type="dxa"/>
            <w:tcBorders>
              <w:top w:val="nil"/>
              <w:left w:val="nil"/>
              <w:bottom w:val="single" w:sz="8" w:space="0" w:color="auto"/>
              <w:right w:val="nil"/>
            </w:tcBorders>
            <w:shd w:val="clear" w:color="000000" w:fill="FFFFFF"/>
            <w:noWrap/>
            <w:vAlign w:val="center"/>
            <w:hideMark/>
          </w:tcPr>
          <w:p w14:paraId="15C0A97B" w14:textId="77777777" w:rsidR="00C8553F" w:rsidRPr="00D618B7" w:rsidRDefault="00C8553F" w:rsidP="004B11B7">
            <w:pPr>
              <w:jc w:val="right"/>
              <w:rPr>
                <w:color w:val="000000"/>
              </w:rPr>
            </w:pPr>
            <w:r w:rsidRPr="00D618B7">
              <w:rPr>
                <w:color w:val="000000"/>
              </w:rPr>
              <w:t>31.41</w:t>
            </w:r>
          </w:p>
        </w:tc>
        <w:tc>
          <w:tcPr>
            <w:tcW w:w="1343" w:type="dxa"/>
            <w:tcBorders>
              <w:top w:val="nil"/>
              <w:left w:val="nil"/>
              <w:bottom w:val="single" w:sz="8" w:space="0" w:color="auto"/>
              <w:right w:val="nil"/>
            </w:tcBorders>
            <w:shd w:val="clear" w:color="000000" w:fill="FFFFFF"/>
            <w:noWrap/>
            <w:vAlign w:val="center"/>
            <w:hideMark/>
          </w:tcPr>
          <w:p w14:paraId="1B32849D" w14:textId="77777777" w:rsidR="00C8553F" w:rsidRPr="00D618B7" w:rsidRDefault="00C8553F" w:rsidP="004B11B7">
            <w:pPr>
              <w:jc w:val="right"/>
              <w:rPr>
                <w:color w:val="000000"/>
              </w:rPr>
            </w:pPr>
            <w:r w:rsidRPr="00D618B7">
              <w:rPr>
                <w:color w:val="000000"/>
              </w:rPr>
              <w:t>2.94</w:t>
            </w:r>
          </w:p>
        </w:tc>
      </w:tr>
      <w:tr w:rsidR="00C8553F" w:rsidRPr="00D618B7" w14:paraId="3A6A4095" w14:textId="77777777" w:rsidTr="004B11B7">
        <w:trPr>
          <w:trHeight w:val="326"/>
        </w:trPr>
        <w:tc>
          <w:tcPr>
            <w:tcW w:w="9025" w:type="dxa"/>
            <w:gridSpan w:val="7"/>
            <w:tcBorders>
              <w:top w:val="single" w:sz="12" w:space="0" w:color="auto"/>
              <w:left w:val="nil"/>
              <w:bottom w:val="nil"/>
              <w:right w:val="nil"/>
            </w:tcBorders>
            <w:shd w:val="clear" w:color="000000" w:fill="FFFFFF"/>
            <w:noWrap/>
            <w:vAlign w:val="center"/>
            <w:hideMark/>
          </w:tcPr>
          <w:p w14:paraId="7D86E0C7" w14:textId="77777777" w:rsidR="00C8553F" w:rsidRPr="00D618B7" w:rsidRDefault="00C8553F" w:rsidP="004B11B7">
            <w:pPr>
              <w:jc w:val="center"/>
              <w:rPr>
                <w:color w:val="000000"/>
              </w:rPr>
            </w:pPr>
            <w:r w:rsidRPr="00D618B7">
              <w:rPr>
                <w:color w:val="000000"/>
              </w:rPr>
              <w:t>Late Reach Group</w:t>
            </w:r>
          </w:p>
        </w:tc>
      </w:tr>
      <w:tr w:rsidR="00C8553F" w:rsidRPr="00D618B7" w14:paraId="63DF1D35" w14:textId="77777777" w:rsidTr="004B11B7">
        <w:trPr>
          <w:trHeight w:val="311"/>
        </w:trPr>
        <w:tc>
          <w:tcPr>
            <w:tcW w:w="1267" w:type="dxa"/>
            <w:tcBorders>
              <w:top w:val="nil"/>
              <w:left w:val="nil"/>
              <w:bottom w:val="nil"/>
              <w:right w:val="nil"/>
            </w:tcBorders>
            <w:shd w:val="clear" w:color="000000" w:fill="FFFFFF"/>
            <w:vAlign w:val="center"/>
            <w:hideMark/>
          </w:tcPr>
          <w:p w14:paraId="193C6B93" w14:textId="77777777" w:rsidR="00C8553F" w:rsidRPr="00D618B7" w:rsidRDefault="00C8553F" w:rsidP="004B11B7">
            <w:pPr>
              <w:jc w:val="center"/>
              <w:rPr>
                <w:color w:val="000000"/>
              </w:rPr>
            </w:pPr>
            <w:r w:rsidRPr="00D618B7">
              <w:rPr>
                <w:color w:val="000000"/>
              </w:rPr>
              <w:t>-5</w:t>
            </w:r>
          </w:p>
        </w:tc>
        <w:tc>
          <w:tcPr>
            <w:tcW w:w="1245" w:type="dxa"/>
            <w:tcBorders>
              <w:top w:val="nil"/>
              <w:left w:val="nil"/>
              <w:bottom w:val="nil"/>
              <w:right w:val="nil"/>
            </w:tcBorders>
            <w:shd w:val="clear" w:color="000000" w:fill="FFFFFF"/>
            <w:noWrap/>
            <w:vAlign w:val="center"/>
            <w:hideMark/>
          </w:tcPr>
          <w:p w14:paraId="3DF798E8" w14:textId="77777777" w:rsidR="00C8553F" w:rsidRPr="00D618B7" w:rsidRDefault="00C8553F" w:rsidP="004B11B7">
            <w:pPr>
              <w:jc w:val="right"/>
              <w:rPr>
                <w:color w:val="000000"/>
              </w:rPr>
            </w:pPr>
            <w:r w:rsidRPr="00D618B7">
              <w:rPr>
                <w:color w:val="000000"/>
              </w:rPr>
              <w:t>11.71</w:t>
            </w:r>
          </w:p>
        </w:tc>
        <w:tc>
          <w:tcPr>
            <w:tcW w:w="1340" w:type="dxa"/>
            <w:tcBorders>
              <w:top w:val="nil"/>
              <w:left w:val="nil"/>
              <w:bottom w:val="nil"/>
              <w:right w:val="nil"/>
            </w:tcBorders>
            <w:shd w:val="clear" w:color="000000" w:fill="FFFFFF"/>
            <w:noWrap/>
            <w:vAlign w:val="center"/>
            <w:hideMark/>
          </w:tcPr>
          <w:p w14:paraId="5EB1C017" w14:textId="77777777" w:rsidR="00C8553F" w:rsidRPr="00D618B7" w:rsidRDefault="00C8553F" w:rsidP="004B11B7">
            <w:pPr>
              <w:jc w:val="right"/>
              <w:rPr>
                <w:color w:val="000000"/>
              </w:rPr>
            </w:pPr>
            <w:r w:rsidRPr="00D618B7">
              <w:rPr>
                <w:color w:val="000000"/>
              </w:rPr>
              <w:t>0.47</w:t>
            </w:r>
          </w:p>
        </w:tc>
        <w:tc>
          <w:tcPr>
            <w:tcW w:w="1245" w:type="dxa"/>
            <w:tcBorders>
              <w:top w:val="nil"/>
              <w:left w:val="nil"/>
              <w:bottom w:val="nil"/>
              <w:right w:val="nil"/>
            </w:tcBorders>
            <w:shd w:val="clear" w:color="000000" w:fill="FFFFFF"/>
            <w:noWrap/>
            <w:vAlign w:val="center"/>
            <w:hideMark/>
          </w:tcPr>
          <w:p w14:paraId="64231AF4" w14:textId="77777777" w:rsidR="00C8553F" w:rsidRPr="00D618B7" w:rsidRDefault="00C8553F" w:rsidP="004B11B7">
            <w:pPr>
              <w:jc w:val="right"/>
              <w:rPr>
                <w:color w:val="000000"/>
              </w:rPr>
            </w:pPr>
            <w:r w:rsidRPr="00D618B7">
              <w:rPr>
                <w:color w:val="000000"/>
              </w:rPr>
              <w:t>40.49</w:t>
            </w:r>
          </w:p>
        </w:tc>
        <w:tc>
          <w:tcPr>
            <w:tcW w:w="1340" w:type="dxa"/>
            <w:tcBorders>
              <w:top w:val="nil"/>
              <w:left w:val="nil"/>
              <w:bottom w:val="nil"/>
              <w:right w:val="nil"/>
            </w:tcBorders>
            <w:shd w:val="clear" w:color="000000" w:fill="FFFFFF"/>
            <w:noWrap/>
            <w:vAlign w:val="center"/>
            <w:hideMark/>
          </w:tcPr>
          <w:p w14:paraId="31CDF25C" w14:textId="77777777" w:rsidR="00C8553F" w:rsidRPr="00D618B7" w:rsidRDefault="00C8553F" w:rsidP="004B11B7">
            <w:pPr>
              <w:jc w:val="right"/>
              <w:rPr>
                <w:color w:val="000000"/>
              </w:rPr>
            </w:pPr>
            <w:r w:rsidRPr="00D618B7">
              <w:rPr>
                <w:color w:val="000000"/>
              </w:rPr>
              <w:t>1.62</w:t>
            </w:r>
          </w:p>
        </w:tc>
        <w:tc>
          <w:tcPr>
            <w:tcW w:w="1245" w:type="dxa"/>
            <w:tcBorders>
              <w:top w:val="nil"/>
              <w:left w:val="nil"/>
              <w:bottom w:val="nil"/>
              <w:right w:val="nil"/>
            </w:tcBorders>
            <w:shd w:val="clear" w:color="000000" w:fill="FFFFFF"/>
            <w:noWrap/>
            <w:vAlign w:val="center"/>
            <w:hideMark/>
          </w:tcPr>
          <w:p w14:paraId="44D78698" w14:textId="77777777" w:rsidR="00C8553F" w:rsidRPr="00D618B7" w:rsidRDefault="00C8553F" w:rsidP="004B11B7">
            <w:pPr>
              <w:jc w:val="right"/>
              <w:rPr>
                <w:color w:val="000000"/>
              </w:rPr>
            </w:pPr>
            <w:r w:rsidRPr="00D618B7">
              <w:rPr>
                <w:color w:val="000000"/>
              </w:rPr>
              <w:t>12.65</w:t>
            </w:r>
          </w:p>
        </w:tc>
        <w:tc>
          <w:tcPr>
            <w:tcW w:w="1343" w:type="dxa"/>
            <w:tcBorders>
              <w:top w:val="nil"/>
              <w:left w:val="nil"/>
              <w:bottom w:val="nil"/>
              <w:right w:val="nil"/>
            </w:tcBorders>
            <w:shd w:val="clear" w:color="000000" w:fill="FFFFFF"/>
            <w:noWrap/>
            <w:vAlign w:val="center"/>
            <w:hideMark/>
          </w:tcPr>
          <w:p w14:paraId="1B534086" w14:textId="77777777" w:rsidR="00C8553F" w:rsidRPr="00D618B7" w:rsidRDefault="00C8553F" w:rsidP="004B11B7">
            <w:pPr>
              <w:jc w:val="right"/>
              <w:rPr>
                <w:color w:val="000000"/>
              </w:rPr>
            </w:pPr>
            <w:r w:rsidRPr="00D618B7">
              <w:rPr>
                <w:color w:val="000000"/>
              </w:rPr>
              <w:t>4.31</w:t>
            </w:r>
          </w:p>
        </w:tc>
      </w:tr>
      <w:tr w:rsidR="00C8553F" w:rsidRPr="00D618B7" w14:paraId="4E319A3A" w14:textId="77777777" w:rsidTr="004B11B7">
        <w:trPr>
          <w:trHeight w:val="311"/>
        </w:trPr>
        <w:tc>
          <w:tcPr>
            <w:tcW w:w="1267" w:type="dxa"/>
            <w:tcBorders>
              <w:top w:val="nil"/>
              <w:left w:val="nil"/>
              <w:bottom w:val="nil"/>
              <w:right w:val="nil"/>
            </w:tcBorders>
            <w:shd w:val="clear" w:color="000000" w:fill="FFFFFF"/>
            <w:vAlign w:val="center"/>
            <w:hideMark/>
          </w:tcPr>
          <w:p w14:paraId="017073DE" w14:textId="77777777" w:rsidR="00C8553F" w:rsidRPr="00D618B7" w:rsidRDefault="00C8553F" w:rsidP="004B11B7">
            <w:pPr>
              <w:jc w:val="center"/>
              <w:rPr>
                <w:color w:val="000000"/>
              </w:rPr>
            </w:pPr>
            <w:r w:rsidRPr="00D618B7">
              <w:rPr>
                <w:color w:val="000000"/>
              </w:rPr>
              <w:t>-4</w:t>
            </w:r>
          </w:p>
        </w:tc>
        <w:tc>
          <w:tcPr>
            <w:tcW w:w="1245" w:type="dxa"/>
            <w:tcBorders>
              <w:top w:val="nil"/>
              <w:left w:val="nil"/>
              <w:bottom w:val="nil"/>
              <w:right w:val="nil"/>
            </w:tcBorders>
            <w:shd w:val="clear" w:color="000000" w:fill="FFFFFF"/>
            <w:noWrap/>
            <w:vAlign w:val="center"/>
            <w:hideMark/>
          </w:tcPr>
          <w:p w14:paraId="5219B78E" w14:textId="77777777" w:rsidR="00C8553F" w:rsidRPr="00D618B7" w:rsidRDefault="00C8553F" w:rsidP="004B11B7">
            <w:pPr>
              <w:jc w:val="right"/>
              <w:rPr>
                <w:color w:val="000000"/>
              </w:rPr>
            </w:pPr>
            <w:r w:rsidRPr="00D618B7">
              <w:rPr>
                <w:color w:val="000000"/>
              </w:rPr>
              <w:t>16.31</w:t>
            </w:r>
          </w:p>
        </w:tc>
        <w:tc>
          <w:tcPr>
            <w:tcW w:w="1340" w:type="dxa"/>
            <w:tcBorders>
              <w:top w:val="nil"/>
              <w:left w:val="nil"/>
              <w:bottom w:val="nil"/>
              <w:right w:val="nil"/>
            </w:tcBorders>
            <w:shd w:val="clear" w:color="000000" w:fill="FFFFFF"/>
            <w:noWrap/>
            <w:vAlign w:val="center"/>
            <w:hideMark/>
          </w:tcPr>
          <w:p w14:paraId="3FA3AD5C" w14:textId="77777777" w:rsidR="00C8553F" w:rsidRPr="00D618B7" w:rsidRDefault="00C8553F" w:rsidP="004B11B7">
            <w:pPr>
              <w:jc w:val="right"/>
              <w:rPr>
                <w:color w:val="000000"/>
              </w:rPr>
            </w:pPr>
            <w:r w:rsidRPr="00D618B7">
              <w:rPr>
                <w:color w:val="000000"/>
              </w:rPr>
              <w:t>2.00</w:t>
            </w:r>
          </w:p>
        </w:tc>
        <w:tc>
          <w:tcPr>
            <w:tcW w:w="1245" w:type="dxa"/>
            <w:tcBorders>
              <w:top w:val="nil"/>
              <w:left w:val="nil"/>
              <w:bottom w:val="nil"/>
              <w:right w:val="nil"/>
            </w:tcBorders>
            <w:shd w:val="clear" w:color="000000" w:fill="FFFFFF"/>
            <w:noWrap/>
            <w:vAlign w:val="center"/>
            <w:hideMark/>
          </w:tcPr>
          <w:p w14:paraId="053E8183" w14:textId="77777777" w:rsidR="00C8553F" w:rsidRPr="00D618B7" w:rsidRDefault="00C8553F" w:rsidP="004B11B7">
            <w:pPr>
              <w:jc w:val="right"/>
              <w:rPr>
                <w:color w:val="000000"/>
              </w:rPr>
            </w:pPr>
            <w:r w:rsidRPr="00D618B7">
              <w:rPr>
                <w:color w:val="000000"/>
              </w:rPr>
              <w:t>38.24</w:t>
            </w:r>
          </w:p>
        </w:tc>
        <w:tc>
          <w:tcPr>
            <w:tcW w:w="1340" w:type="dxa"/>
            <w:tcBorders>
              <w:top w:val="nil"/>
              <w:left w:val="nil"/>
              <w:bottom w:val="nil"/>
              <w:right w:val="nil"/>
            </w:tcBorders>
            <w:shd w:val="clear" w:color="000000" w:fill="FFFFFF"/>
            <w:noWrap/>
            <w:vAlign w:val="center"/>
            <w:hideMark/>
          </w:tcPr>
          <w:p w14:paraId="49FB1EF5" w14:textId="77777777" w:rsidR="00C8553F" w:rsidRPr="00D618B7" w:rsidRDefault="00C8553F" w:rsidP="004B11B7">
            <w:pPr>
              <w:jc w:val="right"/>
              <w:rPr>
                <w:color w:val="000000"/>
              </w:rPr>
            </w:pPr>
            <w:r w:rsidRPr="00D618B7">
              <w:rPr>
                <w:color w:val="000000"/>
              </w:rPr>
              <w:t>3.76</w:t>
            </w:r>
          </w:p>
        </w:tc>
        <w:tc>
          <w:tcPr>
            <w:tcW w:w="1245" w:type="dxa"/>
            <w:tcBorders>
              <w:top w:val="nil"/>
              <w:left w:val="nil"/>
              <w:bottom w:val="nil"/>
              <w:right w:val="nil"/>
            </w:tcBorders>
            <w:shd w:val="clear" w:color="000000" w:fill="FFFFFF"/>
            <w:noWrap/>
            <w:vAlign w:val="center"/>
            <w:hideMark/>
          </w:tcPr>
          <w:p w14:paraId="41DF88D3" w14:textId="77777777" w:rsidR="00C8553F" w:rsidRPr="00D618B7" w:rsidRDefault="00C8553F" w:rsidP="004B11B7">
            <w:pPr>
              <w:jc w:val="right"/>
              <w:rPr>
                <w:color w:val="000000"/>
              </w:rPr>
            </w:pPr>
            <w:r w:rsidRPr="00D618B7">
              <w:rPr>
                <w:color w:val="000000"/>
              </w:rPr>
              <w:t>9.84</w:t>
            </w:r>
          </w:p>
        </w:tc>
        <w:tc>
          <w:tcPr>
            <w:tcW w:w="1343" w:type="dxa"/>
            <w:tcBorders>
              <w:top w:val="nil"/>
              <w:left w:val="nil"/>
              <w:bottom w:val="nil"/>
              <w:right w:val="nil"/>
            </w:tcBorders>
            <w:shd w:val="clear" w:color="000000" w:fill="FFFFFF"/>
            <w:noWrap/>
            <w:vAlign w:val="center"/>
            <w:hideMark/>
          </w:tcPr>
          <w:p w14:paraId="3790EF1A" w14:textId="77777777" w:rsidR="00C8553F" w:rsidRPr="00D618B7" w:rsidRDefault="00C8553F" w:rsidP="004B11B7">
            <w:pPr>
              <w:jc w:val="right"/>
              <w:rPr>
                <w:color w:val="000000"/>
              </w:rPr>
            </w:pPr>
            <w:r w:rsidRPr="00D618B7">
              <w:rPr>
                <w:color w:val="000000"/>
              </w:rPr>
              <w:t>1.93</w:t>
            </w:r>
          </w:p>
        </w:tc>
      </w:tr>
      <w:tr w:rsidR="00C8553F" w:rsidRPr="00D618B7" w14:paraId="29103D00" w14:textId="77777777" w:rsidTr="004B11B7">
        <w:trPr>
          <w:trHeight w:val="311"/>
        </w:trPr>
        <w:tc>
          <w:tcPr>
            <w:tcW w:w="1267" w:type="dxa"/>
            <w:tcBorders>
              <w:top w:val="nil"/>
              <w:left w:val="nil"/>
              <w:bottom w:val="nil"/>
              <w:right w:val="nil"/>
            </w:tcBorders>
            <w:shd w:val="clear" w:color="000000" w:fill="FFFFFF"/>
            <w:vAlign w:val="center"/>
            <w:hideMark/>
          </w:tcPr>
          <w:p w14:paraId="5FF67E7B" w14:textId="77777777" w:rsidR="00C8553F" w:rsidRPr="00D618B7" w:rsidRDefault="00C8553F" w:rsidP="004B11B7">
            <w:pPr>
              <w:jc w:val="center"/>
              <w:rPr>
                <w:color w:val="000000"/>
              </w:rPr>
            </w:pPr>
            <w:r w:rsidRPr="00D618B7">
              <w:rPr>
                <w:color w:val="000000"/>
              </w:rPr>
              <w:t>-3</w:t>
            </w:r>
          </w:p>
        </w:tc>
        <w:tc>
          <w:tcPr>
            <w:tcW w:w="1245" w:type="dxa"/>
            <w:tcBorders>
              <w:top w:val="nil"/>
              <w:left w:val="nil"/>
              <w:bottom w:val="nil"/>
              <w:right w:val="nil"/>
            </w:tcBorders>
            <w:shd w:val="clear" w:color="000000" w:fill="FFFFFF"/>
            <w:noWrap/>
            <w:vAlign w:val="center"/>
            <w:hideMark/>
          </w:tcPr>
          <w:p w14:paraId="0E5F259B" w14:textId="77777777" w:rsidR="00C8553F" w:rsidRPr="00D618B7" w:rsidRDefault="00C8553F" w:rsidP="004B11B7">
            <w:pPr>
              <w:jc w:val="right"/>
              <w:rPr>
                <w:color w:val="000000"/>
              </w:rPr>
            </w:pPr>
            <w:r w:rsidRPr="00D618B7">
              <w:rPr>
                <w:color w:val="000000"/>
              </w:rPr>
              <w:t>24.59</w:t>
            </w:r>
          </w:p>
        </w:tc>
        <w:tc>
          <w:tcPr>
            <w:tcW w:w="1340" w:type="dxa"/>
            <w:tcBorders>
              <w:top w:val="nil"/>
              <w:left w:val="nil"/>
              <w:bottom w:val="nil"/>
              <w:right w:val="nil"/>
            </w:tcBorders>
            <w:shd w:val="clear" w:color="000000" w:fill="FFFFFF"/>
            <w:noWrap/>
            <w:vAlign w:val="center"/>
            <w:hideMark/>
          </w:tcPr>
          <w:p w14:paraId="73325484" w14:textId="77777777" w:rsidR="00C8553F" w:rsidRPr="00D618B7" w:rsidRDefault="00C8553F" w:rsidP="004B11B7">
            <w:pPr>
              <w:jc w:val="right"/>
              <w:rPr>
                <w:color w:val="000000"/>
              </w:rPr>
            </w:pPr>
            <w:r w:rsidRPr="00D618B7">
              <w:rPr>
                <w:color w:val="000000"/>
              </w:rPr>
              <w:t>3.90</w:t>
            </w:r>
          </w:p>
        </w:tc>
        <w:tc>
          <w:tcPr>
            <w:tcW w:w="1245" w:type="dxa"/>
            <w:tcBorders>
              <w:top w:val="nil"/>
              <w:left w:val="nil"/>
              <w:bottom w:val="nil"/>
              <w:right w:val="nil"/>
            </w:tcBorders>
            <w:shd w:val="clear" w:color="000000" w:fill="FFFFFF"/>
            <w:noWrap/>
            <w:vAlign w:val="center"/>
            <w:hideMark/>
          </w:tcPr>
          <w:p w14:paraId="6CE14868" w14:textId="77777777" w:rsidR="00C8553F" w:rsidRPr="00D618B7" w:rsidRDefault="00C8553F" w:rsidP="004B11B7">
            <w:pPr>
              <w:jc w:val="right"/>
              <w:rPr>
                <w:color w:val="000000"/>
              </w:rPr>
            </w:pPr>
            <w:r w:rsidRPr="00D618B7">
              <w:rPr>
                <w:color w:val="000000"/>
              </w:rPr>
              <w:t>36.95</w:t>
            </w:r>
          </w:p>
        </w:tc>
        <w:tc>
          <w:tcPr>
            <w:tcW w:w="1340" w:type="dxa"/>
            <w:tcBorders>
              <w:top w:val="nil"/>
              <w:left w:val="nil"/>
              <w:bottom w:val="nil"/>
              <w:right w:val="nil"/>
            </w:tcBorders>
            <w:shd w:val="clear" w:color="000000" w:fill="FFFFFF"/>
            <w:noWrap/>
            <w:vAlign w:val="center"/>
            <w:hideMark/>
          </w:tcPr>
          <w:p w14:paraId="19A3B2BF" w14:textId="77777777" w:rsidR="00C8553F" w:rsidRPr="00D618B7" w:rsidRDefault="00C8553F" w:rsidP="004B11B7">
            <w:pPr>
              <w:jc w:val="right"/>
              <w:rPr>
                <w:color w:val="000000"/>
              </w:rPr>
            </w:pPr>
            <w:r w:rsidRPr="00D618B7">
              <w:rPr>
                <w:color w:val="000000"/>
              </w:rPr>
              <w:t>2.31</w:t>
            </w:r>
          </w:p>
        </w:tc>
        <w:tc>
          <w:tcPr>
            <w:tcW w:w="1245" w:type="dxa"/>
            <w:tcBorders>
              <w:top w:val="nil"/>
              <w:left w:val="nil"/>
              <w:bottom w:val="nil"/>
              <w:right w:val="nil"/>
            </w:tcBorders>
            <w:shd w:val="clear" w:color="000000" w:fill="FFFFFF"/>
            <w:noWrap/>
            <w:vAlign w:val="center"/>
            <w:hideMark/>
          </w:tcPr>
          <w:p w14:paraId="380D11B1" w14:textId="77777777" w:rsidR="00C8553F" w:rsidRPr="00D618B7" w:rsidRDefault="00C8553F" w:rsidP="004B11B7">
            <w:pPr>
              <w:jc w:val="right"/>
              <w:rPr>
                <w:color w:val="000000"/>
              </w:rPr>
            </w:pPr>
            <w:r w:rsidRPr="00D618B7">
              <w:rPr>
                <w:color w:val="000000"/>
              </w:rPr>
              <w:t>10.67</w:t>
            </w:r>
          </w:p>
        </w:tc>
        <w:tc>
          <w:tcPr>
            <w:tcW w:w="1343" w:type="dxa"/>
            <w:tcBorders>
              <w:top w:val="nil"/>
              <w:left w:val="nil"/>
              <w:bottom w:val="nil"/>
              <w:right w:val="nil"/>
            </w:tcBorders>
            <w:shd w:val="clear" w:color="000000" w:fill="FFFFFF"/>
            <w:noWrap/>
            <w:vAlign w:val="center"/>
            <w:hideMark/>
          </w:tcPr>
          <w:p w14:paraId="686C9801" w14:textId="77777777" w:rsidR="00C8553F" w:rsidRPr="00D618B7" w:rsidRDefault="00C8553F" w:rsidP="004B11B7">
            <w:pPr>
              <w:jc w:val="right"/>
              <w:rPr>
                <w:color w:val="000000"/>
              </w:rPr>
            </w:pPr>
            <w:r w:rsidRPr="00D618B7">
              <w:rPr>
                <w:color w:val="000000"/>
              </w:rPr>
              <w:t>2.40</w:t>
            </w:r>
          </w:p>
        </w:tc>
      </w:tr>
      <w:tr w:rsidR="00C8553F" w:rsidRPr="00D618B7" w14:paraId="265DB319" w14:textId="77777777" w:rsidTr="004B11B7">
        <w:trPr>
          <w:trHeight w:val="311"/>
        </w:trPr>
        <w:tc>
          <w:tcPr>
            <w:tcW w:w="1267" w:type="dxa"/>
            <w:tcBorders>
              <w:top w:val="nil"/>
              <w:left w:val="nil"/>
              <w:bottom w:val="nil"/>
              <w:right w:val="nil"/>
            </w:tcBorders>
            <w:shd w:val="clear" w:color="000000" w:fill="FFFFFF"/>
            <w:vAlign w:val="center"/>
            <w:hideMark/>
          </w:tcPr>
          <w:p w14:paraId="6F00EC48" w14:textId="77777777" w:rsidR="00C8553F" w:rsidRPr="00D618B7" w:rsidRDefault="00C8553F" w:rsidP="004B11B7">
            <w:pPr>
              <w:jc w:val="center"/>
              <w:rPr>
                <w:color w:val="000000"/>
              </w:rPr>
            </w:pPr>
            <w:r w:rsidRPr="00D618B7">
              <w:rPr>
                <w:color w:val="000000"/>
              </w:rPr>
              <w:t>-2</w:t>
            </w:r>
          </w:p>
        </w:tc>
        <w:tc>
          <w:tcPr>
            <w:tcW w:w="1245" w:type="dxa"/>
            <w:tcBorders>
              <w:top w:val="nil"/>
              <w:left w:val="nil"/>
              <w:bottom w:val="nil"/>
              <w:right w:val="nil"/>
            </w:tcBorders>
            <w:shd w:val="clear" w:color="000000" w:fill="FFFFFF"/>
            <w:noWrap/>
            <w:vAlign w:val="center"/>
            <w:hideMark/>
          </w:tcPr>
          <w:p w14:paraId="11758AB5" w14:textId="77777777" w:rsidR="00C8553F" w:rsidRPr="00D618B7" w:rsidRDefault="00C8553F" w:rsidP="004B11B7">
            <w:pPr>
              <w:jc w:val="right"/>
              <w:rPr>
                <w:color w:val="000000"/>
              </w:rPr>
            </w:pPr>
            <w:r w:rsidRPr="00D618B7">
              <w:rPr>
                <w:color w:val="000000"/>
              </w:rPr>
              <w:t>20.96</w:t>
            </w:r>
          </w:p>
        </w:tc>
        <w:tc>
          <w:tcPr>
            <w:tcW w:w="1340" w:type="dxa"/>
            <w:tcBorders>
              <w:top w:val="nil"/>
              <w:left w:val="nil"/>
              <w:bottom w:val="nil"/>
              <w:right w:val="nil"/>
            </w:tcBorders>
            <w:shd w:val="clear" w:color="000000" w:fill="FFFFFF"/>
            <w:noWrap/>
            <w:vAlign w:val="center"/>
            <w:hideMark/>
          </w:tcPr>
          <w:p w14:paraId="655701AA" w14:textId="77777777" w:rsidR="00C8553F" w:rsidRPr="00D618B7" w:rsidRDefault="00C8553F" w:rsidP="004B11B7">
            <w:pPr>
              <w:jc w:val="right"/>
              <w:rPr>
                <w:color w:val="000000"/>
              </w:rPr>
            </w:pPr>
            <w:r w:rsidRPr="00D618B7">
              <w:rPr>
                <w:color w:val="000000"/>
              </w:rPr>
              <w:t>3.06</w:t>
            </w:r>
          </w:p>
        </w:tc>
        <w:tc>
          <w:tcPr>
            <w:tcW w:w="1245" w:type="dxa"/>
            <w:tcBorders>
              <w:top w:val="nil"/>
              <w:left w:val="nil"/>
              <w:bottom w:val="nil"/>
              <w:right w:val="nil"/>
            </w:tcBorders>
            <w:shd w:val="clear" w:color="000000" w:fill="FFFFFF"/>
            <w:noWrap/>
            <w:vAlign w:val="center"/>
            <w:hideMark/>
          </w:tcPr>
          <w:p w14:paraId="55E7D4A3" w14:textId="77777777" w:rsidR="00C8553F" w:rsidRPr="00D618B7" w:rsidRDefault="00C8553F" w:rsidP="004B11B7">
            <w:pPr>
              <w:jc w:val="right"/>
              <w:rPr>
                <w:color w:val="000000"/>
              </w:rPr>
            </w:pPr>
            <w:r w:rsidRPr="00D618B7">
              <w:rPr>
                <w:color w:val="000000"/>
              </w:rPr>
              <w:t>43.36</w:t>
            </w:r>
          </w:p>
        </w:tc>
        <w:tc>
          <w:tcPr>
            <w:tcW w:w="1340" w:type="dxa"/>
            <w:tcBorders>
              <w:top w:val="nil"/>
              <w:left w:val="nil"/>
              <w:bottom w:val="nil"/>
              <w:right w:val="nil"/>
            </w:tcBorders>
            <w:shd w:val="clear" w:color="000000" w:fill="FFFFFF"/>
            <w:noWrap/>
            <w:vAlign w:val="center"/>
            <w:hideMark/>
          </w:tcPr>
          <w:p w14:paraId="39D5510D" w14:textId="77777777" w:rsidR="00C8553F" w:rsidRPr="00D618B7" w:rsidRDefault="00C8553F" w:rsidP="004B11B7">
            <w:pPr>
              <w:jc w:val="right"/>
              <w:rPr>
                <w:color w:val="000000"/>
              </w:rPr>
            </w:pPr>
            <w:r w:rsidRPr="00D618B7">
              <w:rPr>
                <w:color w:val="000000"/>
              </w:rPr>
              <w:t>2.32</w:t>
            </w:r>
          </w:p>
        </w:tc>
        <w:tc>
          <w:tcPr>
            <w:tcW w:w="1245" w:type="dxa"/>
            <w:tcBorders>
              <w:top w:val="nil"/>
              <w:left w:val="nil"/>
              <w:bottom w:val="nil"/>
              <w:right w:val="nil"/>
            </w:tcBorders>
            <w:shd w:val="clear" w:color="000000" w:fill="FFFFFF"/>
            <w:noWrap/>
            <w:vAlign w:val="center"/>
            <w:hideMark/>
          </w:tcPr>
          <w:p w14:paraId="47931F69" w14:textId="77777777" w:rsidR="00C8553F" w:rsidRPr="00D618B7" w:rsidRDefault="00C8553F" w:rsidP="004B11B7">
            <w:pPr>
              <w:jc w:val="right"/>
              <w:rPr>
                <w:color w:val="000000"/>
              </w:rPr>
            </w:pPr>
            <w:r w:rsidRPr="00D618B7">
              <w:rPr>
                <w:color w:val="000000"/>
              </w:rPr>
              <w:t>15.37</w:t>
            </w:r>
          </w:p>
        </w:tc>
        <w:tc>
          <w:tcPr>
            <w:tcW w:w="1343" w:type="dxa"/>
            <w:tcBorders>
              <w:top w:val="nil"/>
              <w:left w:val="nil"/>
              <w:bottom w:val="nil"/>
              <w:right w:val="nil"/>
            </w:tcBorders>
            <w:shd w:val="clear" w:color="000000" w:fill="FFFFFF"/>
            <w:noWrap/>
            <w:vAlign w:val="center"/>
            <w:hideMark/>
          </w:tcPr>
          <w:p w14:paraId="7228E81E" w14:textId="77777777" w:rsidR="00C8553F" w:rsidRPr="00D618B7" w:rsidRDefault="00C8553F" w:rsidP="004B11B7">
            <w:pPr>
              <w:jc w:val="right"/>
              <w:rPr>
                <w:color w:val="000000"/>
              </w:rPr>
            </w:pPr>
            <w:r w:rsidRPr="00D618B7">
              <w:rPr>
                <w:color w:val="000000"/>
              </w:rPr>
              <w:t>5.03</w:t>
            </w:r>
          </w:p>
        </w:tc>
      </w:tr>
      <w:tr w:rsidR="00C8553F" w:rsidRPr="00D618B7" w14:paraId="34F5C5A5" w14:textId="77777777" w:rsidTr="004B11B7">
        <w:trPr>
          <w:trHeight w:val="311"/>
        </w:trPr>
        <w:tc>
          <w:tcPr>
            <w:tcW w:w="1267" w:type="dxa"/>
            <w:tcBorders>
              <w:top w:val="nil"/>
              <w:left w:val="nil"/>
              <w:bottom w:val="nil"/>
              <w:right w:val="nil"/>
            </w:tcBorders>
            <w:shd w:val="clear" w:color="000000" w:fill="FFFFFF"/>
            <w:vAlign w:val="center"/>
            <w:hideMark/>
          </w:tcPr>
          <w:p w14:paraId="73AC84A5" w14:textId="77777777" w:rsidR="00C8553F" w:rsidRPr="00D618B7" w:rsidRDefault="00C8553F" w:rsidP="004B11B7">
            <w:pPr>
              <w:jc w:val="center"/>
              <w:rPr>
                <w:color w:val="000000"/>
              </w:rPr>
            </w:pPr>
            <w:r w:rsidRPr="00D618B7">
              <w:rPr>
                <w:color w:val="000000"/>
              </w:rPr>
              <w:t>-1</w:t>
            </w:r>
          </w:p>
        </w:tc>
        <w:tc>
          <w:tcPr>
            <w:tcW w:w="1245" w:type="dxa"/>
            <w:tcBorders>
              <w:top w:val="nil"/>
              <w:left w:val="nil"/>
              <w:bottom w:val="nil"/>
              <w:right w:val="nil"/>
            </w:tcBorders>
            <w:shd w:val="clear" w:color="000000" w:fill="FFFFFF"/>
            <w:noWrap/>
            <w:vAlign w:val="center"/>
            <w:hideMark/>
          </w:tcPr>
          <w:p w14:paraId="3C69A17B" w14:textId="77777777" w:rsidR="00C8553F" w:rsidRPr="00D618B7" w:rsidRDefault="00C8553F" w:rsidP="004B11B7">
            <w:pPr>
              <w:jc w:val="right"/>
              <w:rPr>
                <w:color w:val="000000"/>
              </w:rPr>
            </w:pPr>
            <w:r w:rsidRPr="00D618B7">
              <w:rPr>
                <w:color w:val="000000"/>
              </w:rPr>
              <w:t>23.20</w:t>
            </w:r>
          </w:p>
        </w:tc>
        <w:tc>
          <w:tcPr>
            <w:tcW w:w="1340" w:type="dxa"/>
            <w:tcBorders>
              <w:top w:val="nil"/>
              <w:left w:val="nil"/>
              <w:bottom w:val="nil"/>
              <w:right w:val="nil"/>
            </w:tcBorders>
            <w:shd w:val="clear" w:color="000000" w:fill="FFFFFF"/>
            <w:noWrap/>
            <w:vAlign w:val="center"/>
            <w:hideMark/>
          </w:tcPr>
          <w:p w14:paraId="3B64C91F" w14:textId="77777777" w:rsidR="00C8553F" w:rsidRPr="00D618B7" w:rsidRDefault="00C8553F" w:rsidP="004B11B7">
            <w:pPr>
              <w:jc w:val="right"/>
              <w:rPr>
                <w:color w:val="000000"/>
              </w:rPr>
            </w:pPr>
            <w:r w:rsidRPr="00D618B7">
              <w:rPr>
                <w:color w:val="000000"/>
              </w:rPr>
              <w:t>1.20</w:t>
            </w:r>
          </w:p>
        </w:tc>
        <w:tc>
          <w:tcPr>
            <w:tcW w:w="1245" w:type="dxa"/>
            <w:tcBorders>
              <w:top w:val="nil"/>
              <w:left w:val="nil"/>
              <w:bottom w:val="nil"/>
              <w:right w:val="nil"/>
            </w:tcBorders>
            <w:shd w:val="clear" w:color="000000" w:fill="FFFFFF"/>
            <w:noWrap/>
            <w:vAlign w:val="center"/>
            <w:hideMark/>
          </w:tcPr>
          <w:p w14:paraId="24847125" w14:textId="77777777" w:rsidR="00C8553F" w:rsidRPr="00D618B7" w:rsidRDefault="00C8553F" w:rsidP="004B11B7">
            <w:pPr>
              <w:jc w:val="right"/>
              <w:rPr>
                <w:color w:val="000000"/>
              </w:rPr>
            </w:pPr>
            <w:r w:rsidRPr="00D618B7">
              <w:rPr>
                <w:color w:val="000000"/>
              </w:rPr>
              <w:t>35.98</w:t>
            </w:r>
          </w:p>
        </w:tc>
        <w:tc>
          <w:tcPr>
            <w:tcW w:w="1340" w:type="dxa"/>
            <w:tcBorders>
              <w:top w:val="nil"/>
              <w:left w:val="nil"/>
              <w:bottom w:val="nil"/>
              <w:right w:val="nil"/>
            </w:tcBorders>
            <w:shd w:val="clear" w:color="000000" w:fill="FFFFFF"/>
            <w:noWrap/>
            <w:vAlign w:val="center"/>
            <w:hideMark/>
          </w:tcPr>
          <w:p w14:paraId="07F56BD7" w14:textId="77777777" w:rsidR="00C8553F" w:rsidRPr="00D618B7" w:rsidRDefault="00C8553F" w:rsidP="004B11B7">
            <w:pPr>
              <w:jc w:val="right"/>
              <w:rPr>
                <w:color w:val="000000"/>
              </w:rPr>
            </w:pPr>
            <w:r w:rsidRPr="00D618B7">
              <w:rPr>
                <w:color w:val="000000"/>
              </w:rPr>
              <w:t>1.36</w:t>
            </w:r>
          </w:p>
        </w:tc>
        <w:tc>
          <w:tcPr>
            <w:tcW w:w="1245" w:type="dxa"/>
            <w:tcBorders>
              <w:top w:val="nil"/>
              <w:left w:val="nil"/>
              <w:bottom w:val="nil"/>
              <w:right w:val="nil"/>
            </w:tcBorders>
            <w:shd w:val="clear" w:color="000000" w:fill="FFFFFF"/>
            <w:noWrap/>
            <w:vAlign w:val="center"/>
            <w:hideMark/>
          </w:tcPr>
          <w:p w14:paraId="6D36D0F3" w14:textId="77777777" w:rsidR="00C8553F" w:rsidRPr="00D618B7" w:rsidRDefault="00C8553F" w:rsidP="004B11B7">
            <w:pPr>
              <w:jc w:val="right"/>
              <w:rPr>
                <w:color w:val="000000"/>
              </w:rPr>
            </w:pPr>
            <w:r w:rsidRPr="00D618B7">
              <w:rPr>
                <w:color w:val="000000"/>
              </w:rPr>
              <w:t>24.11</w:t>
            </w:r>
          </w:p>
        </w:tc>
        <w:tc>
          <w:tcPr>
            <w:tcW w:w="1343" w:type="dxa"/>
            <w:tcBorders>
              <w:top w:val="nil"/>
              <w:left w:val="nil"/>
              <w:bottom w:val="nil"/>
              <w:right w:val="nil"/>
            </w:tcBorders>
            <w:shd w:val="clear" w:color="000000" w:fill="FFFFFF"/>
            <w:noWrap/>
            <w:vAlign w:val="center"/>
            <w:hideMark/>
          </w:tcPr>
          <w:p w14:paraId="6AFADCCE" w14:textId="77777777" w:rsidR="00C8553F" w:rsidRPr="00D618B7" w:rsidRDefault="00C8553F" w:rsidP="004B11B7">
            <w:pPr>
              <w:jc w:val="right"/>
              <w:rPr>
                <w:color w:val="000000"/>
              </w:rPr>
            </w:pPr>
            <w:r w:rsidRPr="00D618B7">
              <w:rPr>
                <w:color w:val="000000"/>
              </w:rPr>
              <w:t>1.48</w:t>
            </w:r>
          </w:p>
        </w:tc>
      </w:tr>
      <w:tr w:rsidR="00C8553F" w:rsidRPr="00D618B7" w14:paraId="5D58F131" w14:textId="77777777" w:rsidTr="004B11B7">
        <w:trPr>
          <w:trHeight w:val="311"/>
        </w:trPr>
        <w:tc>
          <w:tcPr>
            <w:tcW w:w="1267" w:type="dxa"/>
            <w:tcBorders>
              <w:top w:val="nil"/>
              <w:left w:val="nil"/>
              <w:bottom w:val="nil"/>
              <w:right w:val="nil"/>
            </w:tcBorders>
            <w:shd w:val="clear" w:color="000000" w:fill="FFFFFF"/>
            <w:vAlign w:val="center"/>
            <w:hideMark/>
          </w:tcPr>
          <w:p w14:paraId="53AC19B1" w14:textId="77777777" w:rsidR="00C8553F" w:rsidRPr="00D618B7" w:rsidRDefault="00C8553F" w:rsidP="004B11B7">
            <w:pPr>
              <w:jc w:val="center"/>
              <w:rPr>
                <w:color w:val="000000"/>
              </w:rPr>
            </w:pPr>
            <w:r w:rsidRPr="00D618B7">
              <w:rPr>
                <w:color w:val="000000"/>
              </w:rPr>
              <w:t>0</w:t>
            </w:r>
          </w:p>
        </w:tc>
        <w:tc>
          <w:tcPr>
            <w:tcW w:w="1245" w:type="dxa"/>
            <w:tcBorders>
              <w:top w:val="nil"/>
              <w:left w:val="nil"/>
              <w:bottom w:val="nil"/>
              <w:right w:val="nil"/>
            </w:tcBorders>
            <w:shd w:val="clear" w:color="000000" w:fill="FFFFFF"/>
            <w:noWrap/>
            <w:vAlign w:val="center"/>
            <w:hideMark/>
          </w:tcPr>
          <w:p w14:paraId="0C627179" w14:textId="77777777" w:rsidR="00C8553F" w:rsidRPr="00D618B7" w:rsidRDefault="00C8553F" w:rsidP="004B11B7">
            <w:pPr>
              <w:jc w:val="right"/>
              <w:rPr>
                <w:color w:val="000000"/>
              </w:rPr>
            </w:pPr>
            <w:r w:rsidRPr="00D618B7">
              <w:rPr>
                <w:color w:val="000000"/>
              </w:rPr>
              <w:t>20.57</w:t>
            </w:r>
          </w:p>
        </w:tc>
        <w:tc>
          <w:tcPr>
            <w:tcW w:w="1340" w:type="dxa"/>
            <w:tcBorders>
              <w:top w:val="nil"/>
              <w:left w:val="nil"/>
              <w:bottom w:val="nil"/>
              <w:right w:val="nil"/>
            </w:tcBorders>
            <w:shd w:val="clear" w:color="000000" w:fill="FFFFFF"/>
            <w:noWrap/>
            <w:vAlign w:val="center"/>
            <w:hideMark/>
          </w:tcPr>
          <w:p w14:paraId="37A7DE16" w14:textId="77777777" w:rsidR="00C8553F" w:rsidRPr="00D618B7" w:rsidRDefault="00C8553F" w:rsidP="004B11B7">
            <w:pPr>
              <w:jc w:val="right"/>
              <w:rPr>
                <w:color w:val="000000"/>
              </w:rPr>
            </w:pPr>
            <w:r w:rsidRPr="00D618B7">
              <w:rPr>
                <w:color w:val="000000"/>
              </w:rPr>
              <w:t>1.31</w:t>
            </w:r>
          </w:p>
        </w:tc>
        <w:tc>
          <w:tcPr>
            <w:tcW w:w="1245" w:type="dxa"/>
            <w:tcBorders>
              <w:top w:val="nil"/>
              <w:left w:val="nil"/>
              <w:bottom w:val="nil"/>
              <w:right w:val="nil"/>
            </w:tcBorders>
            <w:shd w:val="clear" w:color="000000" w:fill="FFFFFF"/>
            <w:noWrap/>
            <w:vAlign w:val="center"/>
            <w:hideMark/>
          </w:tcPr>
          <w:p w14:paraId="3DFFD57F" w14:textId="77777777" w:rsidR="00C8553F" w:rsidRPr="00D618B7" w:rsidRDefault="00C8553F" w:rsidP="004B11B7">
            <w:pPr>
              <w:jc w:val="right"/>
              <w:rPr>
                <w:color w:val="000000"/>
              </w:rPr>
            </w:pPr>
            <w:r w:rsidRPr="00D618B7">
              <w:rPr>
                <w:color w:val="000000"/>
              </w:rPr>
              <w:t>39.88</w:t>
            </w:r>
          </w:p>
        </w:tc>
        <w:tc>
          <w:tcPr>
            <w:tcW w:w="1340" w:type="dxa"/>
            <w:tcBorders>
              <w:top w:val="nil"/>
              <w:left w:val="nil"/>
              <w:bottom w:val="nil"/>
              <w:right w:val="nil"/>
            </w:tcBorders>
            <w:shd w:val="clear" w:color="000000" w:fill="FFFFFF"/>
            <w:noWrap/>
            <w:vAlign w:val="center"/>
            <w:hideMark/>
          </w:tcPr>
          <w:p w14:paraId="1AAE4B5F" w14:textId="77777777" w:rsidR="00C8553F" w:rsidRPr="00D618B7" w:rsidRDefault="00C8553F" w:rsidP="004B11B7">
            <w:pPr>
              <w:jc w:val="right"/>
              <w:rPr>
                <w:color w:val="000000"/>
              </w:rPr>
            </w:pPr>
            <w:r w:rsidRPr="00D618B7">
              <w:rPr>
                <w:color w:val="000000"/>
              </w:rPr>
              <w:t>0.93</w:t>
            </w:r>
          </w:p>
        </w:tc>
        <w:tc>
          <w:tcPr>
            <w:tcW w:w="1245" w:type="dxa"/>
            <w:tcBorders>
              <w:top w:val="nil"/>
              <w:left w:val="nil"/>
              <w:bottom w:val="nil"/>
              <w:right w:val="nil"/>
            </w:tcBorders>
            <w:shd w:val="clear" w:color="000000" w:fill="FFFFFF"/>
            <w:noWrap/>
            <w:vAlign w:val="center"/>
            <w:hideMark/>
          </w:tcPr>
          <w:p w14:paraId="2B8E3402" w14:textId="77777777" w:rsidR="00C8553F" w:rsidRPr="00D618B7" w:rsidRDefault="00C8553F" w:rsidP="004B11B7">
            <w:pPr>
              <w:jc w:val="right"/>
              <w:rPr>
                <w:color w:val="000000"/>
              </w:rPr>
            </w:pPr>
            <w:r w:rsidRPr="00D618B7">
              <w:rPr>
                <w:color w:val="000000"/>
              </w:rPr>
              <w:t>24.25</w:t>
            </w:r>
          </w:p>
        </w:tc>
        <w:tc>
          <w:tcPr>
            <w:tcW w:w="1343" w:type="dxa"/>
            <w:tcBorders>
              <w:top w:val="nil"/>
              <w:left w:val="nil"/>
              <w:bottom w:val="nil"/>
              <w:right w:val="nil"/>
            </w:tcBorders>
            <w:shd w:val="clear" w:color="000000" w:fill="FFFFFF"/>
            <w:noWrap/>
            <w:vAlign w:val="center"/>
            <w:hideMark/>
          </w:tcPr>
          <w:p w14:paraId="096E08EC" w14:textId="77777777" w:rsidR="00C8553F" w:rsidRPr="00D618B7" w:rsidRDefault="00C8553F" w:rsidP="004B11B7">
            <w:pPr>
              <w:jc w:val="right"/>
              <w:rPr>
                <w:color w:val="000000"/>
              </w:rPr>
            </w:pPr>
            <w:r w:rsidRPr="00D618B7">
              <w:rPr>
                <w:color w:val="000000"/>
              </w:rPr>
              <w:t>2.95</w:t>
            </w:r>
          </w:p>
        </w:tc>
      </w:tr>
      <w:tr w:rsidR="00C8553F" w:rsidRPr="00D618B7" w14:paraId="343CC2C3" w14:textId="77777777" w:rsidTr="004B11B7">
        <w:trPr>
          <w:trHeight w:val="311"/>
        </w:trPr>
        <w:tc>
          <w:tcPr>
            <w:tcW w:w="1267" w:type="dxa"/>
            <w:tcBorders>
              <w:top w:val="nil"/>
              <w:left w:val="nil"/>
              <w:bottom w:val="nil"/>
              <w:right w:val="nil"/>
            </w:tcBorders>
            <w:shd w:val="clear" w:color="000000" w:fill="FFFFFF"/>
            <w:vAlign w:val="center"/>
            <w:hideMark/>
          </w:tcPr>
          <w:p w14:paraId="3829CC21" w14:textId="77777777" w:rsidR="00C8553F" w:rsidRPr="00D618B7" w:rsidRDefault="00C8553F" w:rsidP="004B11B7">
            <w:pPr>
              <w:jc w:val="center"/>
              <w:rPr>
                <w:color w:val="000000"/>
              </w:rPr>
            </w:pPr>
            <w:r w:rsidRPr="00D618B7">
              <w:rPr>
                <w:color w:val="000000"/>
              </w:rPr>
              <w:t>1</w:t>
            </w:r>
          </w:p>
        </w:tc>
        <w:tc>
          <w:tcPr>
            <w:tcW w:w="1245" w:type="dxa"/>
            <w:tcBorders>
              <w:top w:val="nil"/>
              <w:left w:val="nil"/>
              <w:bottom w:val="nil"/>
              <w:right w:val="nil"/>
            </w:tcBorders>
            <w:shd w:val="clear" w:color="000000" w:fill="FFFFFF"/>
            <w:noWrap/>
            <w:vAlign w:val="center"/>
            <w:hideMark/>
          </w:tcPr>
          <w:p w14:paraId="3688D3F9" w14:textId="77777777" w:rsidR="00C8553F" w:rsidRPr="00D618B7" w:rsidRDefault="00C8553F" w:rsidP="004B11B7">
            <w:pPr>
              <w:jc w:val="right"/>
              <w:rPr>
                <w:color w:val="000000"/>
              </w:rPr>
            </w:pPr>
            <w:r w:rsidRPr="00D618B7">
              <w:rPr>
                <w:color w:val="000000"/>
              </w:rPr>
              <w:t>20.34</w:t>
            </w:r>
          </w:p>
        </w:tc>
        <w:tc>
          <w:tcPr>
            <w:tcW w:w="1340" w:type="dxa"/>
            <w:tcBorders>
              <w:top w:val="nil"/>
              <w:left w:val="nil"/>
              <w:bottom w:val="nil"/>
              <w:right w:val="nil"/>
            </w:tcBorders>
            <w:shd w:val="clear" w:color="000000" w:fill="FFFFFF"/>
            <w:noWrap/>
            <w:vAlign w:val="center"/>
            <w:hideMark/>
          </w:tcPr>
          <w:p w14:paraId="3A38C3F6" w14:textId="77777777" w:rsidR="00C8553F" w:rsidRPr="00D618B7" w:rsidRDefault="00C8553F" w:rsidP="004B11B7">
            <w:pPr>
              <w:jc w:val="right"/>
              <w:rPr>
                <w:color w:val="000000"/>
              </w:rPr>
            </w:pPr>
            <w:r w:rsidRPr="00D618B7">
              <w:rPr>
                <w:color w:val="000000"/>
              </w:rPr>
              <w:t>0.29</w:t>
            </w:r>
          </w:p>
        </w:tc>
        <w:tc>
          <w:tcPr>
            <w:tcW w:w="1245" w:type="dxa"/>
            <w:tcBorders>
              <w:top w:val="nil"/>
              <w:left w:val="nil"/>
              <w:bottom w:val="nil"/>
              <w:right w:val="nil"/>
            </w:tcBorders>
            <w:shd w:val="clear" w:color="000000" w:fill="FFFFFF"/>
            <w:noWrap/>
            <w:vAlign w:val="center"/>
            <w:hideMark/>
          </w:tcPr>
          <w:p w14:paraId="2EC2794D" w14:textId="77777777" w:rsidR="00C8553F" w:rsidRPr="00D618B7" w:rsidRDefault="00C8553F" w:rsidP="004B11B7">
            <w:pPr>
              <w:jc w:val="right"/>
              <w:rPr>
                <w:color w:val="000000"/>
              </w:rPr>
            </w:pPr>
            <w:r w:rsidRPr="00D618B7">
              <w:rPr>
                <w:color w:val="000000"/>
              </w:rPr>
              <w:t>37.03</w:t>
            </w:r>
          </w:p>
        </w:tc>
        <w:tc>
          <w:tcPr>
            <w:tcW w:w="1340" w:type="dxa"/>
            <w:tcBorders>
              <w:top w:val="nil"/>
              <w:left w:val="nil"/>
              <w:bottom w:val="nil"/>
              <w:right w:val="nil"/>
            </w:tcBorders>
            <w:shd w:val="clear" w:color="000000" w:fill="FFFFFF"/>
            <w:noWrap/>
            <w:vAlign w:val="center"/>
            <w:hideMark/>
          </w:tcPr>
          <w:p w14:paraId="75B45D01" w14:textId="77777777" w:rsidR="00C8553F" w:rsidRPr="00D618B7" w:rsidRDefault="00C8553F" w:rsidP="004B11B7">
            <w:pPr>
              <w:jc w:val="right"/>
              <w:rPr>
                <w:color w:val="000000"/>
              </w:rPr>
            </w:pPr>
            <w:r w:rsidRPr="00D618B7">
              <w:rPr>
                <w:color w:val="000000"/>
              </w:rPr>
              <w:t>2.35</w:t>
            </w:r>
          </w:p>
        </w:tc>
        <w:tc>
          <w:tcPr>
            <w:tcW w:w="1245" w:type="dxa"/>
            <w:tcBorders>
              <w:top w:val="nil"/>
              <w:left w:val="nil"/>
              <w:bottom w:val="nil"/>
              <w:right w:val="nil"/>
            </w:tcBorders>
            <w:shd w:val="clear" w:color="000000" w:fill="FFFFFF"/>
            <w:noWrap/>
            <w:vAlign w:val="center"/>
            <w:hideMark/>
          </w:tcPr>
          <w:p w14:paraId="2360EDFF" w14:textId="77777777" w:rsidR="00C8553F" w:rsidRPr="00D618B7" w:rsidRDefault="00C8553F" w:rsidP="004B11B7">
            <w:pPr>
              <w:jc w:val="right"/>
              <w:rPr>
                <w:color w:val="000000"/>
              </w:rPr>
            </w:pPr>
            <w:r w:rsidRPr="00D618B7">
              <w:rPr>
                <w:color w:val="000000"/>
              </w:rPr>
              <w:t>22.00</w:t>
            </w:r>
          </w:p>
        </w:tc>
        <w:tc>
          <w:tcPr>
            <w:tcW w:w="1343" w:type="dxa"/>
            <w:tcBorders>
              <w:top w:val="nil"/>
              <w:left w:val="nil"/>
              <w:bottom w:val="nil"/>
              <w:right w:val="nil"/>
            </w:tcBorders>
            <w:shd w:val="clear" w:color="000000" w:fill="FFFFFF"/>
            <w:noWrap/>
            <w:vAlign w:val="center"/>
            <w:hideMark/>
          </w:tcPr>
          <w:p w14:paraId="58970236" w14:textId="77777777" w:rsidR="00C8553F" w:rsidRPr="00D618B7" w:rsidRDefault="00C8553F" w:rsidP="004B11B7">
            <w:pPr>
              <w:jc w:val="right"/>
              <w:rPr>
                <w:color w:val="000000"/>
              </w:rPr>
            </w:pPr>
            <w:r w:rsidRPr="00D618B7">
              <w:rPr>
                <w:color w:val="000000"/>
              </w:rPr>
              <w:t>5.77</w:t>
            </w:r>
          </w:p>
        </w:tc>
      </w:tr>
      <w:tr w:rsidR="00C8553F" w:rsidRPr="00D618B7" w14:paraId="58657C21" w14:textId="77777777" w:rsidTr="004B11B7">
        <w:trPr>
          <w:trHeight w:val="311"/>
        </w:trPr>
        <w:tc>
          <w:tcPr>
            <w:tcW w:w="1267" w:type="dxa"/>
            <w:tcBorders>
              <w:top w:val="nil"/>
              <w:left w:val="nil"/>
              <w:bottom w:val="nil"/>
              <w:right w:val="nil"/>
            </w:tcBorders>
            <w:shd w:val="clear" w:color="000000" w:fill="FFFFFF"/>
            <w:vAlign w:val="center"/>
            <w:hideMark/>
          </w:tcPr>
          <w:p w14:paraId="1A0870F5" w14:textId="77777777" w:rsidR="00C8553F" w:rsidRPr="00D618B7" w:rsidRDefault="00C8553F" w:rsidP="004B11B7">
            <w:pPr>
              <w:jc w:val="center"/>
              <w:rPr>
                <w:color w:val="000000"/>
              </w:rPr>
            </w:pPr>
            <w:r w:rsidRPr="00D618B7">
              <w:rPr>
                <w:color w:val="000000"/>
              </w:rPr>
              <w:t>2</w:t>
            </w:r>
          </w:p>
        </w:tc>
        <w:tc>
          <w:tcPr>
            <w:tcW w:w="1245" w:type="dxa"/>
            <w:tcBorders>
              <w:top w:val="nil"/>
              <w:left w:val="nil"/>
              <w:bottom w:val="nil"/>
              <w:right w:val="nil"/>
            </w:tcBorders>
            <w:shd w:val="clear" w:color="000000" w:fill="FFFFFF"/>
            <w:noWrap/>
            <w:vAlign w:val="center"/>
            <w:hideMark/>
          </w:tcPr>
          <w:p w14:paraId="50E230BC" w14:textId="77777777" w:rsidR="00C8553F" w:rsidRPr="00D618B7" w:rsidRDefault="00C8553F" w:rsidP="004B11B7">
            <w:pPr>
              <w:jc w:val="right"/>
              <w:rPr>
                <w:color w:val="000000"/>
              </w:rPr>
            </w:pPr>
            <w:r w:rsidRPr="00D618B7">
              <w:rPr>
                <w:color w:val="000000"/>
              </w:rPr>
              <w:t>23.85</w:t>
            </w:r>
          </w:p>
        </w:tc>
        <w:tc>
          <w:tcPr>
            <w:tcW w:w="1340" w:type="dxa"/>
            <w:tcBorders>
              <w:top w:val="nil"/>
              <w:left w:val="nil"/>
              <w:bottom w:val="nil"/>
              <w:right w:val="nil"/>
            </w:tcBorders>
            <w:shd w:val="clear" w:color="000000" w:fill="FFFFFF"/>
            <w:noWrap/>
            <w:vAlign w:val="center"/>
            <w:hideMark/>
          </w:tcPr>
          <w:p w14:paraId="10746BF3" w14:textId="77777777" w:rsidR="00C8553F" w:rsidRPr="00D618B7" w:rsidRDefault="00C8553F" w:rsidP="004B11B7">
            <w:pPr>
              <w:jc w:val="right"/>
              <w:rPr>
                <w:color w:val="000000"/>
              </w:rPr>
            </w:pPr>
            <w:r w:rsidRPr="00D618B7">
              <w:rPr>
                <w:color w:val="000000"/>
              </w:rPr>
              <w:t>2.32</w:t>
            </w:r>
          </w:p>
        </w:tc>
        <w:tc>
          <w:tcPr>
            <w:tcW w:w="1245" w:type="dxa"/>
            <w:tcBorders>
              <w:top w:val="nil"/>
              <w:left w:val="nil"/>
              <w:bottom w:val="nil"/>
              <w:right w:val="nil"/>
            </w:tcBorders>
            <w:shd w:val="clear" w:color="000000" w:fill="FFFFFF"/>
            <w:noWrap/>
            <w:vAlign w:val="center"/>
            <w:hideMark/>
          </w:tcPr>
          <w:p w14:paraId="5D5DFFF9" w14:textId="77777777" w:rsidR="00C8553F" w:rsidRPr="00D618B7" w:rsidRDefault="00C8553F" w:rsidP="004B11B7">
            <w:pPr>
              <w:jc w:val="right"/>
              <w:rPr>
                <w:color w:val="000000"/>
              </w:rPr>
            </w:pPr>
            <w:r w:rsidRPr="00D618B7">
              <w:rPr>
                <w:color w:val="000000"/>
              </w:rPr>
              <w:t>40.18</w:t>
            </w:r>
          </w:p>
        </w:tc>
        <w:tc>
          <w:tcPr>
            <w:tcW w:w="1340" w:type="dxa"/>
            <w:tcBorders>
              <w:top w:val="nil"/>
              <w:left w:val="nil"/>
              <w:bottom w:val="nil"/>
              <w:right w:val="nil"/>
            </w:tcBorders>
            <w:shd w:val="clear" w:color="000000" w:fill="FFFFFF"/>
            <w:noWrap/>
            <w:vAlign w:val="center"/>
            <w:hideMark/>
          </w:tcPr>
          <w:p w14:paraId="7A31E439" w14:textId="77777777" w:rsidR="00C8553F" w:rsidRPr="00D618B7" w:rsidRDefault="00C8553F" w:rsidP="004B11B7">
            <w:pPr>
              <w:jc w:val="right"/>
              <w:rPr>
                <w:color w:val="000000"/>
              </w:rPr>
            </w:pPr>
            <w:r w:rsidRPr="00D618B7">
              <w:rPr>
                <w:color w:val="000000"/>
              </w:rPr>
              <w:t>2.99</w:t>
            </w:r>
          </w:p>
        </w:tc>
        <w:tc>
          <w:tcPr>
            <w:tcW w:w="1245" w:type="dxa"/>
            <w:tcBorders>
              <w:top w:val="nil"/>
              <w:left w:val="nil"/>
              <w:bottom w:val="nil"/>
              <w:right w:val="nil"/>
            </w:tcBorders>
            <w:shd w:val="clear" w:color="000000" w:fill="FFFFFF"/>
            <w:noWrap/>
            <w:vAlign w:val="center"/>
            <w:hideMark/>
          </w:tcPr>
          <w:p w14:paraId="670D46B5" w14:textId="77777777" w:rsidR="00C8553F" w:rsidRPr="00D618B7" w:rsidRDefault="00C8553F" w:rsidP="004B11B7">
            <w:pPr>
              <w:jc w:val="right"/>
              <w:rPr>
                <w:color w:val="000000"/>
              </w:rPr>
            </w:pPr>
            <w:r w:rsidRPr="00D618B7">
              <w:rPr>
                <w:color w:val="000000"/>
              </w:rPr>
              <w:t>27.18</w:t>
            </w:r>
          </w:p>
        </w:tc>
        <w:tc>
          <w:tcPr>
            <w:tcW w:w="1343" w:type="dxa"/>
            <w:tcBorders>
              <w:top w:val="nil"/>
              <w:left w:val="nil"/>
              <w:bottom w:val="nil"/>
              <w:right w:val="nil"/>
            </w:tcBorders>
            <w:shd w:val="clear" w:color="000000" w:fill="FFFFFF"/>
            <w:noWrap/>
            <w:vAlign w:val="center"/>
            <w:hideMark/>
          </w:tcPr>
          <w:p w14:paraId="035E6C18" w14:textId="77777777" w:rsidR="00C8553F" w:rsidRPr="00D618B7" w:rsidRDefault="00C8553F" w:rsidP="004B11B7">
            <w:pPr>
              <w:jc w:val="right"/>
              <w:rPr>
                <w:color w:val="000000"/>
              </w:rPr>
            </w:pPr>
            <w:r w:rsidRPr="00D618B7">
              <w:rPr>
                <w:color w:val="000000"/>
              </w:rPr>
              <w:t>2.58</w:t>
            </w:r>
          </w:p>
        </w:tc>
      </w:tr>
      <w:tr w:rsidR="00C8553F" w:rsidRPr="00D618B7" w14:paraId="4C68CDBC" w14:textId="77777777" w:rsidTr="004B11B7">
        <w:trPr>
          <w:trHeight w:val="311"/>
        </w:trPr>
        <w:tc>
          <w:tcPr>
            <w:tcW w:w="1267" w:type="dxa"/>
            <w:tcBorders>
              <w:top w:val="nil"/>
              <w:left w:val="nil"/>
              <w:bottom w:val="nil"/>
              <w:right w:val="nil"/>
            </w:tcBorders>
            <w:shd w:val="clear" w:color="000000" w:fill="FFFFFF"/>
            <w:vAlign w:val="center"/>
            <w:hideMark/>
          </w:tcPr>
          <w:p w14:paraId="4857ECA8" w14:textId="77777777" w:rsidR="00C8553F" w:rsidRPr="00D618B7" w:rsidRDefault="00C8553F" w:rsidP="004B11B7">
            <w:pPr>
              <w:jc w:val="center"/>
              <w:rPr>
                <w:color w:val="000000"/>
              </w:rPr>
            </w:pPr>
            <w:r w:rsidRPr="00D618B7">
              <w:rPr>
                <w:color w:val="000000"/>
              </w:rPr>
              <w:t>3</w:t>
            </w:r>
          </w:p>
        </w:tc>
        <w:tc>
          <w:tcPr>
            <w:tcW w:w="1245" w:type="dxa"/>
            <w:tcBorders>
              <w:top w:val="nil"/>
              <w:left w:val="nil"/>
              <w:bottom w:val="nil"/>
              <w:right w:val="nil"/>
            </w:tcBorders>
            <w:shd w:val="clear" w:color="000000" w:fill="FFFFFF"/>
            <w:noWrap/>
            <w:vAlign w:val="center"/>
            <w:hideMark/>
          </w:tcPr>
          <w:p w14:paraId="701ECDBB" w14:textId="77777777" w:rsidR="00C8553F" w:rsidRPr="00D618B7" w:rsidRDefault="00C8553F" w:rsidP="004B11B7">
            <w:pPr>
              <w:jc w:val="right"/>
              <w:rPr>
                <w:color w:val="000000"/>
              </w:rPr>
            </w:pPr>
            <w:r w:rsidRPr="00D618B7">
              <w:rPr>
                <w:color w:val="000000"/>
              </w:rPr>
              <w:t>24.33</w:t>
            </w:r>
          </w:p>
        </w:tc>
        <w:tc>
          <w:tcPr>
            <w:tcW w:w="1340" w:type="dxa"/>
            <w:tcBorders>
              <w:top w:val="nil"/>
              <w:left w:val="nil"/>
              <w:bottom w:val="nil"/>
              <w:right w:val="nil"/>
            </w:tcBorders>
            <w:shd w:val="clear" w:color="000000" w:fill="FFFFFF"/>
            <w:noWrap/>
            <w:vAlign w:val="center"/>
            <w:hideMark/>
          </w:tcPr>
          <w:p w14:paraId="68C783EE" w14:textId="77777777" w:rsidR="00C8553F" w:rsidRPr="00D618B7" w:rsidRDefault="00C8553F" w:rsidP="004B11B7">
            <w:pPr>
              <w:jc w:val="right"/>
              <w:rPr>
                <w:color w:val="000000"/>
              </w:rPr>
            </w:pPr>
            <w:r w:rsidRPr="00D618B7">
              <w:rPr>
                <w:color w:val="000000"/>
              </w:rPr>
              <w:t>1.90</w:t>
            </w:r>
          </w:p>
        </w:tc>
        <w:tc>
          <w:tcPr>
            <w:tcW w:w="1245" w:type="dxa"/>
            <w:tcBorders>
              <w:top w:val="nil"/>
              <w:left w:val="nil"/>
              <w:bottom w:val="nil"/>
              <w:right w:val="nil"/>
            </w:tcBorders>
            <w:shd w:val="clear" w:color="000000" w:fill="FFFFFF"/>
            <w:noWrap/>
            <w:vAlign w:val="center"/>
            <w:hideMark/>
          </w:tcPr>
          <w:p w14:paraId="491D2B2F" w14:textId="77777777" w:rsidR="00C8553F" w:rsidRPr="00D618B7" w:rsidRDefault="00C8553F" w:rsidP="004B11B7">
            <w:pPr>
              <w:jc w:val="right"/>
              <w:rPr>
                <w:color w:val="000000"/>
              </w:rPr>
            </w:pPr>
            <w:r w:rsidRPr="00D618B7">
              <w:rPr>
                <w:color w:val="000000"/>
              </w:rPr>
              <w:t>39.13</w:t>
            </w:r>
          </w:p>
        </w:tc>
        <w:tc>
          <w:tcPr>
            <w:tcW w:w="1340" w:type="dxa"/>
            <w:tcBorders>
              <w:top w:val="nil"/>
              <w:left w:val="nil"/>
              <w:bottom w:val="nil"/>
              <w:right w:val="nil"/>
            </w:tcBorders>
            <w:shd w:val="clear" w:color="000000" w:fill="FFFFFF"/>
            <w:noWrap/>
            <w:vAlign w:val="center"/>
            <w:hideMark/>
          </w:tcPr>
          <w:p w14:paraId="7F0E8F39" w14:textId="77777777" w:rsidR="00C8553F" w:rsidRPr="00D618B7" w:rsidRDefault="00C8553F" w:rsidP="004B11B7">
            <w:pPr>
              <w:jc w:val="right"/>
              <w:rPr>
                <w:color w:val="000000"/>
              </w:rPr>
            </w:pPr>
            <w:r w:rsidRPr="00D618B7">
              <w:rPr>
                <w:color w:val="000000"/>
              </w:rPr>
              <w:t>0.66</w:t>
            </w:r>
          </w:p>
        </w:tc>
        <w:tc>
          <w:tcPr>
            <w:tcW w:w="1245" w:type="dxa"/>
            <w:tcBorders>
              <w:top w:val="nil"/>
              <w:left w:val="nil"/>
              <w:bottom w:val="nil"/>
              <w:right w:val="nil"/>
            </w:tcBorders>
            <w:shd w:val="clear" w:color="000000" w:fill="FFFFFF"/>
            <w:noWrap/>
            <w:vAlign w:val="center"/>
            <w:hideMark/>
          </w:tcPr>
          <w:p w14:paraId="6C998626" w14:textId="77777777" w:rsidR="00C8553F" w:rsidRPr="00D618B7" w:rsidRDefault="00C8553F" w:rsidP="004B11B7">
            <w:pPr>
              <w:jc w:val="right"/>
              <w:rPr>
                <w:color w:val="000000"/>
              </w:rPr>
            </w:pPr>
            <w:r w:rsidRPr="00D618B7">
              <w:rPr>
                <w:color w:val="000000"/>
              </w:rPr>
              <w:t>24.15</w:t>
            </w:r>
          </w:p>
        </w:tc>
        <w:tc>
          <w:tcPr>
            <w:tcW w:w="1343" w:type="dxa"/>
            <w:tcBorders>
              <w:top w:val="nil"/>
              <w:left w:val="nil"/>
              <w:bottom w:val="nil"/>
              <w:right w:val="nil"/>
            </w:tcBorders>
            <w:shd w:val="clear" w:color="000000" w:fill="FFFFFF"/>
            <w:noWrap/>
            <w:vAlign w:val="center"/>
            <w:hideMark/>
          </w:tcPr>
          <w:p w14:paraId="58BC572A" w14:textId="77777777" w:rsidR="00C8553F" w:rsidRPr="00D618B7" w:rsidRDefault="00C8553F" w:rsidP="004B11B7">
            <w:pPr>
              <w:jc w:val="right"/>
              <w:rPr>
                <w:color w:val="000000"/>
              </w:rPr>
            </w:pPr>
            <w:r w:rsidRPr="00D618B7">
              <w:rPr>
                <w:color w:val="000000"/>
              </w:rPr>
              <w:t>1.69</w:t>
            </w:r>
          </w:p>
        </w:tc>
      </w:tr>
      <w:tr w:rsidR="00C8553F" w:rsidRPr="00D618B7" w14:paraId="06944AD8" w14:textId="77777777" w:rsidTr="004B11B7">
        <w:trPr>
          <w:trHeight w:val="311"/>
        </w:trPr>
        <w:tc>
          <w:tcPr>
            <w:tcW w:w="1267" w:type="dxa"/>
            <w:tcBorders>
              <w:top w:val="nil"/>
              <w:left w:val="nil"/>
              <w:bottom w:val="nil"/>
              <w:right w:val="nil"/>
            </w:tcBorders>
            <w:shd w:val="clear" w:color="000000" w:fill="FFFFFF"/>
            <w:vAlign w:val="center"/>
            <w:hideMark/>
          </w:tcPr>
          <w:p w14:paraId="6BA97937" w14:textId="77777777" w:rsidR="00C8553F" w:rsidRPr="00D618B7" w:rsidRDefault="00C8553F" w:rsidP="004B11B7">
            <w:pPr>
              <w:jc w:val="center"/>
              <w:rPr>
                <w:color w:val="000000"/>
              </w:rPr>
            </w:pPr>
            <w:r w:rsidRPr="00D618B7">
              <w:rPr>
                <w:color w:val="000000"/>
              </w:rPr>
              <w:t>4</w:t>
            </w:r>
          </w:p>
        </w:tc>
        <w:tc>
          <w:tcPr>
            <w:tcW w:w="1245" w:type="dxa"/>
            <w:tcBorders>
              <w:top w:val="nil"/>
              <w:left w:val="nil"/>
              <w:bottom w:val="nil"/>
              <w:right w:val="nil"/>
            </w:tcBorders>
            <w:shd w:val="clear" w:color="000000" w:fill="FFFFFF"/>
            <w:noWrap/>
            <w:vAlign w:val="center"/>
            <w:hideMark/>
          </w:tcPr>
          <w:p w14:paraId="5F9C1D9A" w14:textId="77777777" w:rsidR="00C8553F" w:rsidRPr="00D618B7" w:rsidRDefault="00C8553F" w:rsidP="004B11B7">
            <w:pPr>
              <w:jc w:val="right"/>
              <w:rPr>
                <w:color w:val="000000"/>
              </w:rPr>
            </w:pPr>
            <w:r w:rsidRPr="00D618B7">
              <w:rPr>
                <w:color w:val="000000"/>
              </w:rPr>
              <w:t>22.35</w:t>
            </w:r>
          </w:p>
        </w:tc>
        <w:tc>
          <w:tcPr>
            <w:tcW w:w="1340" w:type="dxa"/>
            <w:tcBorders>
              <w:top w:val="nil"/>
              <w:left w:val="nil"/>
              <w:bottom w:val="nil"/>
              <w:right w:val="nil"/>
            </w:tcBorders>
            <w:shd w:val="clear" w:color="000000" w:fill="FFFFFF"/>
            <w:noWrap/>
            <w:vAlign w:val="center"/>
            <w:hideMark/>
          </w:tcPr>
          <w:p w14:paraId="03288912" w14:textId="77777777" w:rsidR="00C8553F" w:rsidRPr="00D618B7" w:rsidRDefault="00C8553F" w:rsidP="004B11B7">
            <w:pPr>
              <w:jc w:val="right"/>
              <w:rPr>
                <w:color w:val="000000"/>
              </w:rPr>
            </w:pPr>
            <w:r w:rsidRPr="00D618B7">
              <w:rPr>
                <w:color w:val="000000"/>
              </w:rPr>
              <w:t>0.54</w:t>
            </w:r>
          </w:p>
        </w:tc>
        <w:tc>
          <w:tcPr>
            <w:tcW w:w="1245" w:type="dxa"/>
            <w:tcBorders>
              <w:top w:val="nil"/>
              <w:left w:val="nil"/>
              <w:bottom w:val="nil"/>
              <w:right w:val="nil"/>
            </w:tcBorders>
            <w:shd w:val="clear" w:color="000000" w:fill="FFFFFF"/>
            <w:noWrap/>
            <w:vAlign w:val="center"/>
            <w:hideMark/>
          </w:tcPr>
          <w:p w14:paraId="451F2F23" w14:textId="77777777" w:rsidR="00C8553F" w:rsidRPr="00D618B7" w:rsidRDefault="00C8553F" w:rsidP="004B11B7">
            <w:pPr>
              <w:jc w:val="right"/>
              <w:rPr>
                <w:color w:val="000000"/>
              </w:rPr>
            </w:pPr>
            <w:r w:rsidRPr="00D618B7">
              <w:rPr>
                <w:color w:val="000000"/>
              </w:rPr>
              <w:t>35.04</w:t>
            </w:r>
          </w:p>
        </w:tc>
        <w:tc>
          <w:tcPr>
            <w:tcW w:w="1340" w:type="dxa"/>
            <w:tcBorders>
              <w:top w:val="nil"/>
              <w:left w:val="nil"/>
              <w:bottom w:val="nil"/>
              <w:right w:val="nil"/>
            </w:tcBorders>
            <w:shd w:val="clear" w:color="000000" w:fill="FFFFFF"/>
            <w:noWrap/>
            <w:vAlign w:val="center"/>
            <w:hideMark/>
          </w:tcPr>
          <w:p w14:paraId="58602303" w14:textId="77777777" w:rsidR="00C8553F" w:rsidRPr="00D618B7" w:rsidRDefault="00C8553F" w:rsidP="004B11B7">
            <w:pPr>
              <w:jc w:val="right"/>
              <w:rPr>
                <w:color w:val="000000"/>
              </w:rPr>
            </w:pPr>
            <w:r w:rsidRPr="00D618B7">
              <w:rPr>
                <w:color w:val="000000"/>
              </w:rPr>
              <w:t>2.30</w:t>
            </w:r>
          </w:p>
        </w:tc>
        <w:tc>
          <w:tcPr>
            <w:tcW w:w="1245" w:type="dxa"/>
            <w:tcBorders>
              <w:top w:val="nil"/>
              <w:left w:val="nil"/>
              <w:bottom w:val="nil"/>
              <w:right w:val="nil"/>
            </w:tcBorders>
            <w:shd w:val="clear" w:color="000000" w:fill="FFFFFF"/>
            <w:noWrap/>
            <w:vAlign w:val="center"/>
            <w:hideMark/>
          </w:tcPr>
          <w:p w14:paraId="7B2C1E00" w14:textId="77777777" w:rsidR="00C8553F" w:rsidRPr="00D618B7" w:rsidRDefault="00C8553F" w:rsidP="004B11B7">
            <w:pPr>
              <w:jc w:val="right"/>
              <w:rPr>
                <w:color w:val="000000"/>
              </w:rPr>
            </w:pPr>
            <w:r w:rsidRPr="00D618B7">
              <w:rPr>
                <w:color w:val="000000"/>
              </w:rPr>
              <w:t>28.23</w:t>
            </w:r>
          </w:p>
        </w:tc>
        <w:tc>
          <w:tcPr>
            <w:tcW w:w="1343" w:type="dxa"/>
            <w:tcBorders>
              <w:top w:val="nil"/>
              <w:left w:val="nil"/>
              <w:bottom w:val="nil"/>
              <w:right w:val="nil"/>
            </w:tcBorders>
            <w:shd w:val="clear" w:color="000000" w:fill="FFFFFF"/>
            <w:noWrap/>
            <w:vAlign w:val="center"/>
            <w:hideMark/>
          </w:tcPr>
          <w:p w14:paraId="6687E620" w14:textId="77777777" w:rsidR="00C8553F" w:rsidRPr="00D618B7" w:rsidRDefault="00C8553F" w:rsidP="004B11B7">
            <w:pPr>
              <w:jc w:val="right"/>
              <w:rPr>
                <w:color w:val="000000"/>
              </w:rPr>
            </w:pPr>
            <w:r w:rsidRPr="00D618B7">
              <w:rPr>
                <w:color w:val="000000"/>
              </w:rPr>
              <w:t>3.10</w:t>
            </w:r>
          </w:p>
        </w:tc>
      </w:tr>
      <w:tr w:rsidR="00C8553F" w:rsidRPr="00D618B7" w14:paraId="3C14288C" w14:textId="77777777" w:rsidTr="004B11B7">
        <w:trPr>
          <w:trHeight w:val="326"/>
        </w:trPr>
        <w:tc>
          <w:tcPr>
            <w:tcW w:w="1267" w:type="dxa"/>
            <w:tcBorders>
              <w:top w:val="nil"/>
              <w:left w:val="nil"/>
              <w:bottom w:val="single" w:sz="12" w:space="0" w:color="auto"/>
              <w:right w:val="nil"/>
            </w:tcBorders>
            <w:shd w:val="clear" w:color="000000" w:fill="FFFFFF"/>
            <w:vAlign w:val="center"/>
            <w:hideMark/>
          </w:tcPr>
          <w:p w14:paraId="0208058F" w14:textId="77777777" w:rsidR="00C8553F" w:rsidRPr="00D618B7" w:rsidRDefault="00C8553F" w:rsidP="004B11B7">
            <w:pPr>
              <w:jc w:val="center"/>
              <w:rPr>
                <w:color w:val="000000"/>
              </w:rPr>
            </w:pPr>
            <w:r w:rsidRPr="00D618B7">
              <w:rPr>
                <w:color w:val="000000"/>
              </w:rPr>
              <w:t>5</w:t>
            </w:r>
          </w:p>
        </w:tc>
        <w:tc>
          <w:tcPr>
            <w:tcW w:w="1245" w:type="dxa"/>
            <w:tcBorders>
              <w:top w:val="nil"/>
              <w:left w:val="nil"/>
              <w:bottom w:val="single" w:sz="12" w:space="0" w:color="auto"/>
              <w:right w:val="nil"/>
            </w:tcBorders>
            <w:shd w:val="clear" w:color="000000" w:fill="FFFFFF"/>
            <w:noWrap/>
            <w:vAlign w:val="center"/>
            <w:hideMark/>
          </w:tcPr>
          <w:p w14:paraId="08C9DE33" w14:textId="77777777" w:rsidR="00C8553F" w:rsidRPr="00D618B7" w:rsidRDefault="00C8553F" w:rsidP="004B11B7">
            <w:pPr>
              <w:jc w:val="right"/>
              <w:rPr>
                <w:color w:val="000000"/>
              </w:rPr>
            </w:pPr>
            <w:r w:rsidRPr="00D618B7">
              <w:rPr>
                <w:color w:val="000000"/>
              </w:rPr>
              <w:t>37.49</w:t>
            </w:r>
          </w:p>
        </w:tc>
        <w:tc>
          <w:tcPr>
            <w:tcW w:w="1340" w:type="dxa"/>
            <w:tcBorders>
              <w:top w:val="nil"/>
              <w:left w:val="nil"/>
              <w:bottom w:val="single" w:sz="12" w:space="0" w:color="auto"/>
              <w:right w:val="nil"/>
            </w:tcBorders>
            <w:shd w:val="clear" w:color="000000" w:fill="FFFFFF"/>
            <w:noWrap/>
            <w:vAlign w:val="center"/>
            <w:hideMark/>
          </w:tcPr>
          <w:p w14:paraId="435DF431" w14:textId="77777777" w:rsidR="00C8553F" w:rsidRPr="00D618B7" w:rsidRDefault="00C8553F" w:rsidP="004B11B7">
            <w:pPr>
              <w:jc w:val="right"/>
              <w:rPr>
                <w:color w:val="000000"/>
              </w:rPr>
            </w:pPr>
            <w:r w:rsidRPr="00D618B7">
              <w:rPr>
                <w:color w:val="000000"/>
              </w:rPr>
              <w:t>2.47</w:t>
            </w:r>
          </w:p>
        </w:tc>
        <w:tc>
          <w:tcPr>
            <w:tcW w:w="1245" w:type="dxa"/>
            <w:tcBorders>
              <w:top w:val="nil"/>
              <w:left w:val="nil"/>
              <w:bottom w:val="single" w:sz="12" w:space="0" w:color="auto"/>
              <w:right w:val="nil"/>
            </w:tcBorders>
            <w:shd w:val="clear" w:color="000000" w:fill="FFFFFF"/>
            <w:noWrap/>
            <w:vAlign w:val="center"/>
            <w:hideMark/>
          </w:tcPr>
          <w:p w14:paraId="066DC5F9" w14:textId="77777777" w:rsidR="00C8553F" w:rsidRPr="00D618B7" w:rsidRDefault="00C8553F" w:rsidP="004B11B7">
            <w:pPr>
              <w:jc w:val="right"/>
              <w:rPr>
                <w:color w:val="000000"/>
              </w:rPr>
            </w:pPr>
            <w:r w:rsidRPr="00D618B7">
              <w:rPr>
                <w:color w:val="000000"/>
              </w:rPr>
              <w:t>35.32</w:t>
            </w:r>
          </w:p>
        </w:tc>
        <w:tc>
          <w:tcPr>
            <w:tcW w:w="1340" w:type="dxa"/>
            <w:tcBorders>
              <w:top w:val="nil"/>
              <w:left w:val="nil"/>
              <w:bottom w:val="single" w:sz="12" w:space="0" w:color="auto"/>
              <w:right w:val="nil"/>
            </w:tcBorders>
            <w:shd w:val="clear" w:color="000000" w:fill="FFFFFF"/>
            <w:noWrap/>
            <w:vAlign w:val="center"/>
            <w:hideMark/>
          </w:tcPr>
          <w:p w14:paraId="3C50A545" w14:textId="77777777" w:rsidR="00C8553F" w:rsidRPr="00D618B7" w:rsidRDefault="00C8553F" w:rsidP="004B11B7">
            <w:pPr>
              <w:jc w:val="right"/>
              <w:rPr>
                <w:color w:val="000000"/>
              </w:rPr>
            </w:pPr>
            <w:r w:rsidRPr="00D618B7">
              <w:rPr>
                <w:color w:val="000000"/>
              </w:rPr>
              <w:t>0.97</w:t>
            </w:r>
          </w:p>
        </w:tc>
        <w:tc>
          <w:tcPr>
            <w:tcW w:w="1245" w:type="dxa"/>
            <w:tcBorders>
              <w:top w:val="nil"/>
              <w:left w:val="nil"/>
              <w:bottom w:val="single" w:sz="12" w:space="0" w:color="auto"/>
              <w:right w:val="nil"/>
            </w:tcBorders>
            <w:shd w:val="clear" w:color="000000" w:fill="FFFFFF"/>
            <w:noWrap/>
            <w:vAlign w:val="center"/>
            <w:hideMark/>
          </w:tcPr>
          <w:p w14:paraId="7CE10A4D" w14:textId="77777777" w:rsidR="00C8553F" w:rsidRPr="00D618B7" w:rsidRDefault="00C8553F" w:rsidP="004B11B7">
            <w:pPr>
              <w:jc w:val="right"/>
              <w:rPr>
                <w:color w:val="000000"/>
              </w:rPr>
            </w:pPr>
            <w:r w:rsidRPr="00D618B7">
              <w:rPr>
                <w:color w:val="000000"/>
              </w:rPr>
              <w:t>38.69</w:t>
            </w:r>
          </w:p>
        </w:tc>
        <w:tc>
          <w:tcPr>
            <w:tcW w:w="1343" w:type="dxa"/>
            <w:tcBorders>
              <w:top w:val="nil"/>
              <w:left w:val="nil"/>
              <w:bottom w:val="single" w:sz="12" w:space="0" w:color="auto"/>
              <w:right w:val="nil"/>
            </w:tcBorders>
            <w:shd w:val="clear" w:color="000000" w:fill="FFFFFF"/>
            <w:noWrap/>
            <w:vAlign w:val="center"/>
            <w:hideMark/>
          </w:tcPr>
          <w:p w14:paraId="60551BB0" w14:textId="77777777" w:rsidR="00C8553F" w:rsidRPr="00D618B7" w:rsidRDefault="00C8553F" w:rsidP="004B11B7">
            <w:pPr>
              <w:jc w:val="right"/>
              <w:rPr>
                <w:color w:val="000000"/>
              </w:rPr>
            </w:pPr>
            <w:r w:rsidRPr="00D618B7">
              <w:rPr>
                <w:color w:val="000000"/>
              </w:rPr>
              <w:t>1.73</w:t>
            </w:r>
          </w:p>
        </w:tc>
      </w:tr>
    </w:tbl>
    <w:p w14:paraId="6C645521" w14:textId="77777777" w:rsidR="00C8553F" w:rsidRPr="00D618B7" w:rsidRDefault="00C8553F" w:rsidP="00C8553F">
      <w:pPr>
        <w:rPr>
          <w:i/>
          <w:iCs/>
        </w:rPr>
      </w:pPr>
    </w:p>
    <w:p w14:paraId="6022BDC2" w14:textId="6DA595FC" w:rsidR="00D96FFB" w:rsidRPr="00D618B7" w:rsidRDefault="00C8553F" w:rsidP="00C8553F">
      <w:r w:rsidRPr="00D618B7">
        <w:rPr>
          <w:i/>
          <w:iCs/>
        </w:rPr>
        <w:t>Note</w:t>
      </w:r>
      <w:r w:rsidRPr="00D618B7">
        <w:t>: This table lists the estimated mean movement units and standard errors for toy-out-of-reach, toy-moving-into-reach, and toy-in-reach by group for each week of observation around reach-onset.</w:t>
      </w:r>
    </w:p>
    <w:p w14:paraId="0477C5CF" w14:textId="77777777" w:rsidR="00D96FFB" w:rsidRPr="00D618B7" w:rsidRDefault="00D96FFB">
      <w:r w:rsidRPr="00D618B7">
        <w:br w:type="page"/>
      </w:r>
    </w:p>
    <w:p w14:paraId="2AB587FF" w14:textId="76406897" w:rsidR="001E0C53" w:rsidRPr="00D618B7" w:rsidRDefault="004D0E79" w:rsidP="001E0C53">
      <w:r w:rsidRPr="00D618B7">
        <w:rPr>
          <w:noProof/>
        </w:rPr>
        <w:lastRenderedPageBreak/>
        <w:drawing>
          <wp:anchor distT="0" distB="0" distL="114300" distR="114300" simplePos="0" relativeHeight="252120576" behindDoc="0" locked="0" layoutInCell="1" allowOverlap="1" wp14:anchorId="538F1369" wp14:editId="2631941B">
            <wp:simplePos x="0" y="0"/>
            <wp:positionH relativeFrom="margin">
              <wp:align>left</wp:align>
            </wp:positionH>
            <wp:positionV relativeFrom="paragraph">
              <wp:posOffset>105410</wp:posOffset>
            </wp:positionV>
            <wp:extent cx="5167630" cy="6347460"/>
            <wp:effectExtent l="0" t="0" r="0" b="0"/>
            <wp:wrapTopAndBottom/>
            <wp:docPr id="205271784"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1784" name="Picture 1" descr="A diagram of a graph&#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169116" cy="6349617"/>
                    </a:xfrm>
                    <a:prstGeom prst="rect">
                      <a:avLst/>
                    </a:prstGeom>
                  </pic:spPr>
                </pic:pic>
              </a:graphicData>
            </a:graphic>
            <wp14:sizeRelH relativeFrom="margin">
              <wp14:pctWidth>0</wp14:pctWidth>
            </wp14:sizeRelH>
            <wp14:sizeRelV relativeFrom="margin">
              <wp14:pctHeight>0</wp14:pctHeight>
            </wp14:sizeRelV>
          </wp:anchor>
        </w:drawing>
      </w:r>
      <w:r w:rsidR="001E0C53" w:rsidRPr="00D618B7">
        <w:t xml:space="preserve"> </w:t>
      </w:r>
    </w:p>
    <w:p w14:paraId="1B5600ED" w14:textId="6126F7CB" w:rsidR="001E0C53" w:rsidRPr="00D618B7" w:rsidRDefault="001E0C53" w:rsidP="001E0C53">
      <w:pPr>
        <w:rPr>
          <w:i/>
          <w:iCs/>
        </w:rPr>
      </w:pPr>
    </w:p>
    <w:p w14:paraId="2C7428B4" w14:textId="77777777" w:rsidR="001A50DE" w:rsidRPr="00D618B7" w:rsidRDefault="001A50DE" w:rsidP="001A50DE">
      <w:pPr>
        <w:pStyle w:val="Caption"/>
      </w:pPr>
      <w:bookmarkStart w:id="242" w:name="_Toc172716973"/>
      <w:r w:rsidRPr="00D618B7">
        <w:t xml:space="preserve">Figure </w:t>
      </w:r>
      <w:r>
        <w:fldChar w:fldCharType="begin"/>
      </w:r>
      <w:r>
        <w:instrText xml:space="preserve"> SEQ Figure \* ARABIC </w:instrText>
      </w:r>
      <w:r>
        <w:fldChar w:fldCharType="separate"/>
      </w:r>
      <w:r>
        <w:rPr>
          <w:noProof/>
        </w:rPr>
        <w:t>33</w:t>
      </w:r>
      <w:r>
        <w:rPr>
          <w:noProof/>
        </w:rPr>
        <w:fldChar w:fldCharType="end"/>
      </w:r>
      <w:r>
        <w:rPr>
          <w:noProof/>
        </w:rPr>
        <w:t>:</w:t>
      </w:r>
      <w:r w:rsidRPr="00D060E7">
        <w:t xml:space="preserve"> </w:t>
      </w:r>
      <w:r>
        <w:t>Movement units by week and proximity by group</w:t>
      </w:r>
      <w:bookmarkEnd w:id="242"/>
    </w:p>
    <w:p w14:paraId="7B0EE9E1" w14:textId="77777777" w:rsidR="001A50DE" w:rsidRDefault="001A50DE" w:rsidP="0054513E"/>
    <w:p w14:paraId="01156299" w14:textId="6F5F9E13" w:rsidR="001A50DE" w:rsidRDefault="001A50DE" w:rsidP="0054513E">
      <w:pPr>
        <w:rPr>
          <w:i/>
          <w:iCs/>
        </w:rPr>
      </w:pPr>
      <w:r w:rsidRPr="00D618B7">
        <w:t>Estimated Mean Movement Units per week by Proximity and</w:t>
      </w:r>
      <w:r>
        <w:t xml:space="preserve"> Group.</w:t>
      </w:r>
    </w:p>
    <w:p w14:paraId="009E488E" w14:textId="1A927EC1" w:rsidR="0054513E" w:rsidRPr="00D618B7" w:rsidRDefault="001E0C53" w:rsidP="0054513E">
      <w:r w:rsidRPr="00D618B7">
        <w:rPr>
          <w:i/>
          <w:iCs/>
        </w:rPr>
        <w:t>Note</w:t>
      </w:r>
      <w:r w:rsidRPr="00D618B7">
        <w:t>. This figure illustrates the estimated mean movement units by proximity and week of observation around reach-onset.</w:t>
      </w:r>
    </w:p>
    <w:p w14:paraId="689D2508" w14:textId="583ECA05" w:rsidR="003E2808" w:rsidRPr="004B228C" w:rsidRDefault="003E2808" w:rsidP="00CC578B">
      <w:pPr>
        <w:pStyle w:val="AltHeading1"/>
        <w:numPr>
          <w:ilvl w:val="0"/>
          <w:numId w:val="0"/>
        </w:numPr>
      </w:pPr>
      <w:bookmarkStart w:id="243" w:name="_Toc420995913"/>
      <w:bookmarkStart w:id="244" w:name="_Toc422997500"/>
      <w:bookmarkStart w:id="245" w:name="_Toc427156485"/>
      <w:bookmarkStart w:id="246" w:name="_Toc173185096"/>
      <w:r w:rsidRPr="00D618B7">
        <w:lastRenderedPageBreak/>
        <w:t>Vita</w:t>
      </w:r>
      <w:bookmarkEnd w:id="243"/>
      <w:bookmarkEnd w:id="244"/>
      <w:bookmarkEnd w:id="245"/>
      <w:bookmarkEnd w:id="246"/>
      <w:r w:rsidRPr="004B228C">
        <w:rPr>
          <w:noProof/>
        </w:rPr>
        <w:t xml:space="preserve"> </w:t>
      </w:r>
    </w:p>
    <w:p w14:paraId="65380227" w14:textId="384C2C38" w:rsidR="00E71B40" w:rsidRPr="001572CA" w:rsidRDefault="00AF72D9" w:rsidP="0048372D">
      <w:pPr>
        <w:spacing w:line="480" w:lineRule="auto"/>
        <w:jc w:val="both"/>
        <w:rPr>
          <w:b/>
          <w:caps/>
          <w:noProof/>
          <w:color w:val="000000" w:themeColor="text1"/>
        </w:rPr>
      </w:pPr>
      <w:r>
        <w:t>John P. Connell was born in Escambia</w:t>
      </w:r>
      <w:r w:rsidR="009A525F">
        <w:t>, Florida, on June 1, 1988, to Tessa</w:t>
      </w:r>
      <w:r w:rsidR="000B5C72">
        <w:t xml:space="preserve"> Sterling</w:t>
      </w:r>
      <w:r w:rsidR="009A525F">
        <w:t xml:space="preserve"> Davis and John P.</w:t>
      </w:r>
      <w:r w:rsidR="0048372D">
        <w:t xml:space="preserve"> Mazzacone Jr. He is brother to Nicole Hembree, Larry Connell, Dewey Connell, and Joshua Connell. He is </w:t>
      </w:r>
      <w:r w:rsidR="009A525F">
        <w:t xml:space="preserve">the </w:t>
      </w:r>
      <w:r w:rsidR="0048372D">
        <w:t>Father of Jordan Thornton, Natalie Connell, Amelia Connell, and John “Liam” Connell. He</w:t>
      </w:r>
      <w:r>
        <w:t xml:space="preserve"> </w:t>
      </w:r>
      <w:r w:rsidR="009A525F">
        <w:t>attended</w:t>
      </w:r>
      <w:r>
        <w:t xml:space="preserve"> and graduated from Carter High School in 2006. The following year</w:t>
      </w:r>
      <w:r w:rsidR="009A525F">
        <w:t>, He enlisted in the United States Army and received an</w:t>
      </w:r>
      <w:r>
        <w:t xml:space="preserve"> Honorable Discharge in 2011. That same year</w:t>
      </w:r>
      <w:r w:rsidR="009A525F">
        <w:t>, he joined</w:t>
      </w:r>
      <w:r>
        <w:t xml:space="preserve"> the United States Army Reserve and retired from service in 2019.</w:t>
      </w:r>
      <w:r w:rsidR="0048372D">
        <w:t xml:space="preserve"> He </w:t>
      </w:r>
      <w:r>
        <w:t>further attended the University of Tennessee, Knoxville</w:t>
      </w:r>
      <w:r w:rsidR="009A525F">
        <w:t xml:space="preserve">, in August 2011, where he met Dr. Daniela Corbetta, who introduced him to experimental psychology and received a Bachelor of Arts in Psychology degree </w:t>
      </w:r>
      <w:r>
        <w:t xml:space="preserve">in 2015. </w:t>
      </w:r>
      <w:r w:rsidR="0048372D">
        <w:t>He subsequently was granted a Graduate position at the University of Tennessee, Knoxville</w:t>
      </w:r>
      <w:r w:rsidR="009A525F">
        <w:t>, in 2016 with Dr. Corbetta in the Infant Perception-Action Laboratory,</w:t>
      </w:r>
      <w:r w:rsidR="0048372D">
        <w:t xml:space="preserve"> where he</w:t>
      </w:r>
      <w:r>
        <w:t xml:space="preserve"> received a Master of Arts Degree in Psychology in May 2020 </w:t>
      </w:r>
      <w:r w:rsidR="0048372D">
        <w:t xml:space="preserve">where he continued to pursue </w:t>
      </w:r>
      <w:r>
        <w:t xml:space="preserve">a Doctor of Philosophy </w:t>
      </w:r>
      <w:r w:rsidR="0048372D">
        <w:t xml:space="preserve">degree </w:t>
      </w:r>
      <w:r>
        <w:t xml:space="preserve">in </w:t>
      </w:r>
      <w:r w:rsidR="0048372D">
        <w:t xml:space="preserve">Experimental </w:t>
      </w:r>
      <w:r>
        <w:t>Psychology in 2024.</w:t>
      </w:r>
    </w:p>
    <w:sectPr w:rsidR="00E71B40" w:rsidRPr="001572CA" w:rsidSect="009D304D">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24F04" w14:textId="77777777" w:rsidR="00903088" w:rsidRDefault="00903088">
      <w:r>
        <w:separator/>
      </w:r>
    </w:p>
  </w:endnote>
  <w:endnote w:type="continuationSeparator" w:id="0">
    <w:p w14:paraId="499B2056" w14:textId="77777777" w:rsidR="00903088" w:rsidRDefault="0090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4B36336B"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795F6EF4"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851E4" w14:textId="77777777" w:rsidR="00903088" w:rsidRDefault="00903088">
      <w:r>
        <w:separator/>
      </w:r>
    </w:p>
  </w:footnote>
  <w:footnote w:type="continuationSeparator" w:id="0">
    <w:p w14:paraId="2369B8AD" w14:textId="77777777" w:rsidR="00903088" w:rsidRDefault="00903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FC2A0"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D628531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4770195"/>
    <w:multiLevelType w:val="hybridMultilevel"/>
    <w:tmpl w:val="6D26C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BE91F52"/>
    <w:multiLevelType w:val="hybridMultilevel"/>
    <w:tmpl w:val="685E4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99803E0"/>
    <w:multiLevelType w:val="hybridMultilevel"/>
    <w:tmpl w:val="866C86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CD41A3"/>
    <w:multiLevelType w:val="multilevel"/>
    <w:tmpl w:val="91DE93AA"/>
    <w:name w:val="Table3223"/>
    <w:lvl w:ilvl="0">
      <w:start w:val="1"/>
      <w:numFmt w:val="cardinalText"/>
      <w:pStyle w:val="Heading1"/>
      <w:suff w:val="space"/>
      <w:lvlText w:val="Chapter %1"/>
      <w:lvlJc w:val="left"/>
      <w:pPr>
        <w:ind w:left="4680" w:firstLine="0"/>
      </w:pPr>
      <w:rPr>
        <w:rFonts w:hint="default"/>
        <w:b/>
        <w:bCs/>
        <w:sz w:val="24"/>
        <w:szCs w:val="24"/>
      </w:rPr>
    </w:lvl>
    <w:lvl w:ilvl="1">
      <w:start w:val="1"/>
      <w:numFmt w:val="none"/>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7609486">
    <w:abstractNumId w:val="0"/>
  </w:num>
  <w:num w:numId="2" w16cid:durableId="1691177063">
    <w:abstractNumId w:val="7"/>
  </w:num>
  <w:num w:numId="3" w16cid:durableId="1415739319">
    <w:abstractNumId w:val="3"/>
  </w:num>
  <w:num w:numId="4" w16cid:durableId="829562872">
    <w:abstractNumId w:val="16"/>
  </w:num>
  <w:num w:numId="5" w16cid:durableId="197768460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3533419">
    <w:abstractNumId w:val="15"/>
  </w:num>
  <w:num w:numId="7" w16cid:durableId="985353502">
    <w:abstractNumId w:val="14"/>
  </w:num>
  <w:num w:numId="8" w16cid:durableId="170462401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en-CA" w:vendorID="64" w:dllVersion="0"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A9"/>
    <w:rsid w:val="00005FEB"/>
    <w:rsid w:val="000065BB"/>
    <w:rsid w:val="00010E4F"/>
    <w:rsid w:val="000118CE"/>
    <w:rsid w:val="00013295"/>
    <w:rsid w:val="00014A3E"/>
    <w:rsid w:val="00014B5D"/>
    <w:rsid w:val="000166A9"/>
    <w:rsid w:val="0001758E"/>
    <w:rsid w:val="0002037F"/>
    <w:rsid w:val="00032057"/>
    <w:rsid w:val="000418A6"/>
    <w:rsid w:val="00045237"/>
    <w:rsid w:val="00047D2A"/>
    <w:rsid w:val="00050E18"/>
    <w:rsid w:val="00057004"/>
    <w:rsid w:val="00067856"/>
    <w:rsid w:val="00071FB8"/>
    <w:rsid w:val="00075AAE"/>
    <w:rsid w:val="00076A95"/>
    <w:rsid w:val="00083B2B"/>
    <w:rsid w:val="0008434A"/>
    <w:rsid w:val="000851AF"/>
    <w:rsid w:val="00086E8F"/>
    <w:rsid w:val="000957C1"/>
    <w:rsid w:val="00095C39"/>
    <w:rsid w:val="0009609D"/>
    <w:rsid w:val="0009678C"/>
    <w:rsid w:val="000977E5"/>
    <w:rsid w:val="000A0DF7"/>
    <w:rsid w:val="000A1815"/>
    <w:rsid w:val="000A4718"/>
    <w:rsid w:val="000B0A40"/>
    <w:rsid w:val="000B2A50"/>
    <w:rsid w:val="000B5C42"/>
    <w:rsid w:val="000B5C72"/>
    <w:rsid w:val="000C0866"/>
    <w:rsid w:val="000C1A25"/>
    <w:rsid w:val="000C3CC7"/>
    <w:rsid w:val="000C446E"/>
    <w:rsid w:val="000C6335"/>
    <w:rsid w:val="000C6E43"/>
    <w:rsid w:val="000C7D96"/>
    <w:rsid w:val="000C7F02"/>
    <w:rsid w:val="000D1312"/>
    <w:rsid w:val="000D3228"/>
    <w:rsid w:val="000D55ED"/>
    <w:rsid w:val="000E205D"/>
    <w:rsid w:val="000E3AAC"/>
    <w:rsid w:val="000E3E8C"/>
    <w:rsid w:val="000E7F2D"/>
    <w:rsid w:val="000F2348"/>
    <w:rsid w:val="000F302D"/>
    <w:rsid w:val="0010217F"/>
    <w:rsid w:val="00105432"/>
    <w:rsid w:val="001057FB"/>
    <w:rsid w:val="00112F00"/>
    <w:rsid w:val="00114CA4"/>
    <w:rsid w:val="00117EC2"/>
    <w:rsid w:val="001214EA"/>
    <w:rsid w:val="001339CF"/>
    <w:rsid w:val="00133DC7"/>
    <w:rsid w:val="0013518A"/>
    <w:rsid w:val="0014165A"/>
    <w:rsid w:val="001443BA"/>
    <w:rsid w:val="00144F32"/>
    <w:rsid w:val="00145E6A"/>
    <w:rsid w:val="00146EDF"/>
    <w:rsid w:val="00150AE5"/>
    <w:rsid w:val="00155BC4"/>
    <w:rsid w:val="001572CA"/>
    <w:rsid w:val="00163B07"/>
    <w:rsid w:val="00163BC8"/>
    <w:rsid w:val="00165033"/>
    <w:rsid w:val="001669A7"/>
    <w:rsid w:val="001719F0"/>
    <w:rsid w:val="00173751"/>
    <w:rsid w:val="00174E56"/>
    <w:rsid w:val="00177D09"/>
    <w:rsid w:val="001854FB"/>
    <w:rsid w:val="00187F1A"/>
    <w:rsid w:val="00191DD7"/>
    <w:rsid w:val="00193642"/>
    <w:rsid w:val="001953B9"/>
    <w:rsid w:val="001A01C1"/>
    <w:rsid w:val="001A0AFD"/>
    <w:rsid w:val="001A0D20"/>
    <w:rsid w:val="001A50DE"/>
    <w:rsid w:val="001A5135"/>
    <w:rsid w:val="001C165D"/>
    <w:rsid w:val="001C39F6"/>
    <w:rsid w:val="001C66FE"/>
    <w:rsid w:val="001D4751"/>
    <w:rsid w:val="001D4908"/>
    <w:rsid w:val="001D6904"/>
    <w:rsid w:val="001E0AE6"/>
    <w:rsid w:val="001E0C53"/>
    <w:rsid w:val="001E1EAD"/>
    <w:rsid w:val="001E369A"/>
    <w:rsid w:val="001E3794"/>
    <w:rsid w:val="001E4250"/>
    <w:rsid w:val="001E46F1"/>
    <w:rsid w:val="001E639D"/>
    <w:rsid w:val="001E6741"/>
    <w:rsid w:val="001F522F"/>
    <w:rsid w:val="0020135F"/>
    <w:rsid w:val="00204B1C"/>
    <w:rsid w:val="00205741"/>
    <w:rsid w:val="00205E5D"/>
    <w:rsid w:val="00206090"/>
    <w:rsid w:val="00207219"/>
    <w:rsid w:val="00207417"/>
    <w:rsid w:val="0021647B"/>
    <w:rsid w:val="00221AE0"/>
    <w:rsid w:val="0022455B"/>
    <w:rsid w:val="0023098C"/>
    <w:rsid w:val="00232926"/>
    <w:rsid w:val="0023521B"/>
    <w:rsid w:val="00236CB3"/>
    <w:rsid w:val="00236E6D"/>
    <w:rsid w:val="002407F6"/>
    <w:rsid w:val="00240952"/>
    <w:rsid w:val="002424C0"/>
    <w:rsid w:val="002429E5"/>
    <w:rsid w:val="00247BA6"/>
    <w:rsid w:val="002535F7"/>
    <w:rsid w:val="00255BFA"/>
    <w:rsid w:val="00257DB5"/>
    <w:rsid w:val="00263C6C"/>
    <w:rsid w:val="00266E3D"/>
    <w:rsid w:val="0027121F"/>
    <w:rsid w:val="00272B0D"/>
    <w:rsid w:val="00275C1C"/>
    <w:rsid w:val="0027688F"/>
    <w:rsid w:val="00280CEF"/>
    <w:rsid w:val="00281AEA"/>
    <w:rsid w:val="00284B29"/>
    <w:rsid w:val="00284E2C"/>
    <w:rsid w:val="00284FAE"/>
    <w:rsid w:val="0028757A"/>
    <w:rsid w:val="00287D9D"/>
    <w:rsid w:val="002A6AE7"/>
    <w:rsid w:val="002B0501"/>
    <w:rsid w:val="002B165F"/>
    <w:rsid w:val="002B2D48"/>
    <w:rsid w:val="002C14B4"/>
    <w:rsid w:val="002C201E"/>
    <w:rsid w:val="002C3B7B"/>
    <w:rsid w:val="002C5138"/>
    <w:rsid w:val="002D1FE4"/>
    <w:rsid w:val="002D470F"/>
    <w:rsid w:val="002D73E5"/>
    <w:rsid w:val="002E10E3"/>
    <w:rsid w:val="002E2492"/>
    <w:rsid w:val="002E30A4"/>
    <w:rsid w:val="002E40A9"/>
    <w:rsid w:val="002E46D3"/>
    <w:rsid w:val="002F0B79"/>
    <w:rsid w:val="002F1008"/>
    <w:rsid w:val="002F15D8"/>
    <w:rsid w:val="002F36C0"/>
    <w:rsid w:val="002F3981"/>
    <w:rsid w:val="002F40B4"/>
    <w:rsid w:val="003000F9"/>
    <w:rsid w:val="003044B1"/>
    <w:rsid w:val="00304BD0"/>
    <w:rsid w:val="00307D77"/>
    <w:rsid w:val="00311F1A"/>
    <w:rsid w:val="0031374D"/>
    <w:rsid w:val="003139B2"/>
    <w:rsid w:val="00313E9E"/>
    <w:rsid w:val="003150D5"/>
    <w:rsid w:val="003158AE"/>
    <w:rsid w:val="00317D65"/>
    <w:rsid w:val="00320F78"/>
    <w:rsid w:val="00324080"/>
    <w:rsid w:val="00325FF1"/>
    <w:rsid w:val="00327776"/>
    <w:rsid w:val="00333024"/>
    <w:rsid w:val="00336046"/>
    <w:rsid w:val="003374E5"/>
    <w:rsid w:val="00340A44"/>
    <w:rsid w:val="00343999"/>
    <w:rsid w:val="0034483F"/>
    <w:rsid w:val="00345003"/>
    <w:rsid w:val="00345F57"/>
    <w:rsid w:val="003463D9"/>
    <w:rsid w:val="0035155B"/>
    <w:rsid w:val="00353820"/>
    <w:rsid w:val="00354627"/>
    <w:rsid w:val="0035768F"/>
    <w:rsid w:val="00360CC8"/>
    <w:rsid w:val="00361489"/>
    <w:rsid w:val="00362BA7"/>
    <w:rsid w:val="003652AF"/>
    <w:rsid w:val="0037187E"/>
    <w:rsid w:val="00377107"/>
    <w:rsid w:val="0038177C"/>
    <w:rsid w:val="00381EEA"/>
    <w:rsid w:val="003836EB"/>
    <w:rsid w:val="003861B4"/>
    <w:rsid w:val="00387024"/>
    <w:rsid w:val="00392B10"/>
    <w:rsid w:val="0039365D"/>
    <w:rsid w:val="00395777"/>
    <w:rsid w:val="003963D3"/>
    <w:rsid w:val="003A1659"/>
    <w:rsid w:val="003B204D"/>
    <w:rsid w:val="003B27F1"/>
    <w:rsid w:val="003B352C"/>
    <w:rsid w:val="003B5FE0"/>
    <w:rsid w:val="003C1575"/>
    <w:rsid w:val="003C19D0"/>
    <w:rsid w:val="003C655F"/>
    <w:rsid w:val="003C7BA7"/>
    <w:rsid w:val="003D07F7"/>
    <w:rsid w:val="003D5275"/>
    <w:rsid w:val="003D63DF"/>
    <w:rsid w:val="003D737F"/>
    <w:rsid w:val="003E2808"/>
    <w:rsid w:val="003E2944"/>
    <w:rsid w:val="003E5EA7"/>
    <w:rsid w:val="003F0DFF"/>
    <w:rsid w:val="003F135C"/>
    <w:rsid w:val="003F6073"/>
    <w:rsid w:val="003F7474"/>
    <w:rsid w:val="003F7FED"/>
    <w:rsid w:val="004028BC"/>
    <w:rsid w:val="00404616"/>
    <w:rsid w:val="00407B6A"/>
    <w:rsid w:val="00414400"/>
    <w:rsid w:val="004150DC"/>
    <w:rsid w:val="00420910"/>
    <w:rsid w:val="00421CD4"/>
    <w:rsid w:val="00422124"/>
    <w:rsid w:val="00427833"/>
    <w:rsid w:val="00431BDE"/>
    <w:rsid w:val="00433CB3"/>
    <w:rsid w:val="00441364"/>
    <w:rsid w:val="0044196E"/>
    <w:rsid w:val="004449D4"/>
    <w:rsid w:val="00447989"/>
    <w:rsid w:val="0045171A"/>
    <w:rsid w:val="00453FBD"/>
    <w:rsid w:val="0046266D"/>
    <w:rsid w:val="00465F29"/>
    <w:rsid w:val="00470A87"/>
    <w:rsid w:val="00472D07"/>
    <w:rsid w:val="004737EF"/>
    <w:rsid w:val="00474210"/>
    <w:rsid w:val="00480B96"/>
    <w:rsid w:val="00480EB0"/>
    <w:rsid w:val="00482BDE"/>
    <w:rsid w:val="0048303E"/>
    <w:rsid w:val="0048372D"/>
    <w:rsid w:val="00483A43"/>
    <w:rsid w:val="00483CAC"/>
    <w:rsid w:val="004920F6"/>
    <w:rsid w:val="004932D3"/>
    <w:rsid w:val="00495A2F"/>
    <w:rsid w:val="0049710D"/>
    <w:rsid w:val="004A0006"/>
    <w:rsid w:val="004A1B3F"/>
    <w:rsid w:val="004A1D6F"/>
    <w:rsid w:val="004A327C"/>
    <w:rsid w:val="004A67E8"/>
    <w:rsid w:val="004A7672"/>
    <w:rsid w:val="004B228C"/>
    <w:rsid w:val="004B24BD"/>
    <w:rsid w:val="004B5A83"/>
    <w:rsid w:val="004B5FAF"/>
    <w:rsid w:val="004B7288"/>
    <w:rsid w:val="004C209B"/>
    <w:rsid w:val="004C33CF"/>
    <w:rsid w:val="004C396F"/>
    <w:rsid w:val="004C3D65"/>
    <w:rsid w:val="004C4925"/>
    <w:rsid w:val="004C4A94"/>
    <w:rsid w:val="004C55AC"/>
    <w:rsid w:val="004C62C6"/>
    <w:rsid w:val="004D05F5"/>
    <w:rsid w:val="004D0E79"/>
    <w:rsid w:val="004D1229"/>
    <w:rsid w:val="004D1B4A"/>
    <w:rsid w:val="004D287D"/>
    <w:rsid w:val="004D6472"/>
    <w:rsid w:val="004D6A00"/>
    <w:rsid w:val="004E2AD9"/>
    <w:rsid w:val="004E301D"/>
    <w:rsid w:val="004E3393"/>
    <w:rsid w:val="004F08CE"/>
    <w:rsid w:val="004F0998"/>
    <w:rsid w:val="004F1ED0"/>
    <w:rsid w:val="004F7B75"/>
    <w:rsid w:val="00505F44"/>
    <w:rsid w:val="00507D3E"/>
    <w:rsid w:val="005118DA"/>
    <w:rsid w:val="00513BB6"/>
    <w:rsid w:val="00514400"/>
    <w:rsid w:val="005171ED"/>
    <w:rsid w:val="0052063A"/>
    <w:rsid w:val="00521527"/>
    <w:rsid w:val="00521E92"/>
    <w:rsid w:val="00522BD8"/>
    <w:rsid w:val="0052324E"/>
    <w:rsid w:val="005238CA"/>
    <w:rsid w:val="00524BBA"/>
    <w:rsid w:val="00525E80"/>
    <w:rsid w:val="005262C6"/>
    <w:rsid w:val="0054513E"/>
    <w:rsid w:val="00554F51"/>
    <w:rsid w:val="005550EC"/>
    <w:rsid w:val="005571D0"/>
    <w:rsid w:val="00557A38"/>
    <w:rsid w:val="00557A9E"/>
    <w:rsid w:val="00560B13"/>
    <w:rsid w:val="00562EB1"/>
    <w:rsid w:val="00562F06"/>
    <w:rsid w:val="005652BB"/>
    <w:rsid w:val="00575F33"/>
    <w:rsid w:val="00577A7A"/>
    <w:rsid w:val="00586163"/>
    <w:rsid w:val="005862F7"/>
    <w:rsid w:val="00590EF9"/>
    <w:rsid w:val="00592BFA"/>
    <w:rsid w:val="00593CBB"/>
    <w:rsid w:val="00595679"/>
    <w:rsid w:val="00597D3F"/>
    <w:rsid w:val="005A0EB0"/>
    <w:rsid w:val="005B0D9C"/>
    <w:rsid w:val="005B326D"/>
    <w:rsid w:val="005B4120"/>
    <w:rsid w:val="005B79E9"/>
    <w:rsid w:val="005D0002"/>
    <w:rsid w:val="005D1F96"/>
    <w:rsid w:val="005E4912"/>
    <w:rsid w:val="005E5985"/>
    <w:rsid w:val="005E6F1F"/>
    <w:rsid w:val="005F2B0B"/>
    <w:rsid w:val="005F44D1"/>
    <w:rsid w:val="005F4B5B"/>
    <w:rsid w:val="005F4BC5"/>
    <w:rsid w:val="005F726E"/>
    <w:rsid w:val="006000FB"/>
    <w:rsid w:val="0060409D"/>
    <w:rsid w:val="006069E6"/>
    <w:rsid w:val="00621129"/>
    <w:rsid w:val="006226F5"/>
    <w:rsid w:val="0062306E"/>
    <w:rsid w:val="00631BBF"/>
    <w:rsid w:val="00632508"/>
    <w:rsid w:val="00633916"/>
    <w:rsid w:val="0063470A"/>
    <w:rsid w:val="0064151C"/>
    <w:rsid w:val="00641D2B"/>
    <w:rsid w:val="006460F4"/>
    <w:rsid w:val="00646F1C"/>
    <w:rsid w:val="0065123B"/>
    <w:rsid w:val="00652A14"/>
    <w:rsid w:val="00662D3E"/>
    <w:rsid w:val="00665C7E"/>
    <w:rsid w:val="00672DDD"/>
    <w:rsid w:val="00674AB2"/>
    <w:rsid w:val="00676C91"/>
    <w:rsid w:val="00681561"/>
    <w:rsid w:val="00682C0D"/>
    <w:rsid w:val="00683F5B"/>
    <w:rsid w:val="00690B77"/>
    <w:rsid w:val="00691750"/>
    <w:rsid w:val="00693334"/>
    <w:rsid w:val="0069439A"/>
    <w:rsid w:val="0069531D"/>
    <w:rsid w:val="006959FF"/>
    <w:rsid w:val="006976BB"/>
    <w:rsid w:val="006B6E87"/>
    <w:rsid w:val="006C1F27"/>
    <w:rsid w:val="006C2E26"/>
    <w:rsid w:val="006C3C8F"/>
    <w:rsid w:val="006C4000"/>
    <w:rsid w:val="006C46B2"/>
    <w:rsid w:val="006C7206"/>
    <w:rsid w:val="006D474B"/>
    <w:rsid w:val="006D6E62"/>
    <w:rsid w:val="006E02A9"/>
    <w:rsid w:val="006E10C2"/>
    <w:rsid w:val="006E1127"/>
    <w:rsid w:val="006E17C3"/>
    <w:rsid w:val="006E1E6D"/>
    <w:rsid w:val="006E4BDD"/>
    <w:rsid w:val="006E56E8"/>
    <w:rsid w:val="006E64B6"/>
    <w:rsid w:val="006E747F"/>
    <w:rsid w:val="006F2AFB"/>
    <w:rsid w:val="006F5A78"/>
    <w:rsid w:val="007012B2"/>
    <w:rsid w:val="007014A1"/>
    <w:rsid w:val="00702D72"/>
    <w:rsid w:val="00705359"/>
    <w:rsid w:val="00711200"/>
    <w:rsid w:val="00711BCC"/>
    <w:rsid w:val="00713EDC"/>
    <w:rsid w:val="00716520"/>
    <w:rsid w:val="00717D9F"/>
    <w:rsid w:val="007214D4"/>
    <w:rsid w:val="0072245D"/>
    <w:rsid w:val="0072397F"/>
    <w:rsid w:val="00727565"/>
    <w:rsid w:val="00731922"/>
    <w:rsid w:val="00731ACB"/>
    <w:rsid w:val="007328EE"/>
    <w:rsid w:val="007368AD"/>
    <w:rsid w:val="00737F54"/>
    <w:rsid w:val="00740219"/>
    <w:rsid w:val="007406C5"/>
    <w:rsid w:val="0074133D"/>
    <w:rsid w:val="0074293C"/>
    <w:rsid w:val="007478D3"/>
    <w:rsid w:val="0075196D"/>
    <w:rsid w:val="0075249B"/>
    <w:rsid w:val="00753EAD"/>
    <w:rsid w:val="00754570"/>
    <w:rsid w:val="00754EF7"/>
    <w:rsid w:val="0075558C"/>
    <w:rsid w:val="007571C1"/>
    <w:rsid w:val="00757335"/>
    <w:rsid w:val="00761EFA"/>
    <w:rsid w:val="007620F8"/>
    <w:rsid w:val="007638B0"/>
    <w:rsid w:val="00764727"/>
    <w:rsid w:val="00764873"/>
    <w:rsid w:val="00764DD9"/>
    <w:rsid w:val="00766C27"/>
    <w:rsid w:val="00770750"/>
    <w:rsid w:val="007778DD"/>
    <w:rsid w:val="00781BF0"/>
    <w:rsid w:val="00784C54"/>
    <w:rsid w:val="00786816"/>
    <w:rsid w:val="00790B6C"/>
    <w:rsid w:val="0079540F"/>
    <w:rsid w:val="00795D03"/>
    <w:rsid w:val="00796693"/>
    <w:rsid w:val="00796D36"/>
    <w:rsid w:val="007970EA"/>
    <w:rsid w:val="007A12F4"/>
    <w:rsid w:val="007A5887"/>
    <w:rsid w:val="007B4CAC"/>
    <w:rsid w:val="007B60E6"/>
    <w:rsid w:val="007C5074"/>
    <w:rsid w:val="007C7591"/>
    <w:rsid w:val="007D0DAE"/>
    <w:rsid w:val="007D4B5A"/>
    <w:rsid w:val="007D538B"/>
    <w:rsid w:val="007D5CD5"/>
    <w:rsid w:val="007E1678"/>
    <w:rsid w:val="007F1A61"/>
    <w:rsid w:val="007F4098"/>
    <w:rsid w:val="007F6688"/>
    <w:rsid w:val="007F6AE9"/>
    <w:rsid w:val="007F7A99"/>
    <w:rsid w:val="008130EA"/>
    <w:rsid w:val="0081458D"/>
    <w:rsid w:val="008158CF"/>
    <w:rsid w:val="00822CAA"/>
    <w:rsid w:val="00824545"/>
    <w:rsid w:val="00826D54"/>
    <w:rsid w:val="00830A43"/>
    <w:rsid w:val="00833412"/>
    <w:rsid w:val="00834CBF"/>
    <w:rsid w:val="00836F89"/>
    <w:rsid w:val="00841645"/>
    <w:rsid w:val="00846459"/>
    <w:rsid w:val="008502AA"/>
    <w:rsid w:val="00851274"/>
    <w:rsid w:val="00852266"/>
    <w:rsid w:val="008538F4"/>
    <w:rsid w:val="008548CF"/>
    <w:rsid w:val="008560EC"/>
    <w:rsid w:val="008606C5"/>
    <w:rsid w:val="00861CAB"/>
    <w:rsid w:val="00863435"/>
    <w:rsid w:val="00865AA1"/>
    <w:rsid w:val="00872827"/>
    <w:rsid w:val="0087349A"/>
    <w:rsid w:val="00874DD5"/>
    <w:rsid w:val="008839D5"/>
    <w:rsid w:val="00883DDA"/>
    <w:rsid w:val="008845E5"/>
    <w:rsid w:val="008865B6"/>
    <w:rsid w:val="00886C2E"/>
    <w:rsid w:val="0089103D"/>
    <w:rsid w:val="00892336"/>
    <w:rsid w:val="00895DF4"/>
    <w:rsid w:val="008A05F0"/>
    <w:rsid w:val="008A18A5"/>
    <w:rsid w:val="008A18ED"/>
    <w:rsid w:val="008A28E1"/>
    <w:rsid w:val="008A3DF3"/>
    <w:rsid w:val="008A4E30"/>
    <w:rsid w:val="008A6D1E"/>
    <w:rsid w:val="008A7BB4"/>
    <w:rsid w:val="008B1A4D"/>
    <w:rsid w:val="008B299E"/>
    <w:rsid w:val="008C02ED"/>
    <w:rsid w:val="008C3B7F"/>
    <w:rsid w:val="008D589C"/>
    <w:rsid w:val="008D6E37"/>
    <w:rsid w:val="008E259F"/>
    <w:rsid w:val="008E377D"/>
    <w:rsid w:val="008E4F4D"/>
    <w:rsid w:val="008E7085"/>
    <w:rsid w:val="008F2A6C"/>
    <w:rsid w:val="008F3EFF"/>
    <w:rsid w:val="008F60C3"/>
    <w:rsid w:val="00903088"/>
    <w:rsid w:val="00907FD8"/>
    <w:rsid w:val="009172A2"/>
    <w:rsid w:val="009175E7"/>
    <w:rsid w:val="009254D6"/>
    <w:rsid w:val="0092669B"/>
    <w:rsid w:val="0093056A"/>
    <w:rsid w:val="0093117C"/>
    <w:rsid w:val="0093163E"/>
    <w:rsid w:val="00936436"/>
    <w:rsid w:val="009372DA"/>
    <w:rsid w:val="00940E58"/>
    <w:rsid w:val="00945738"/>
    <w:rsid w:val="00946AD6"/>
    <w:rsid w:val="0094721A"/>
    <w:rsid w:val="00960859"/>
    <w:rsid w:val="009628DB"/>
    <w:rsid w:val="009635FF"/>
    <w:rsid w:val="0096432C"/>
    <w:rsid w:val="00965FBD"/>
    <w:rsid w:val="00966BAC"/>
    <w:rsid w:val="00971F58"/>
    <w:rsid w:val="0097300A"/>
    <w:rsid w:val="00990BE1"/>
    <w:rsid w:val="0099282D"/>
    <w:rsid w:val="009A2ABE"/>
    <w:rsid w:val="009A525F"/>
    <w:rsid w:val="009A6166"/>
    <w:rsid w:val="009A6A2F"/>
    <w:rsid w:val="009B30BA"/>
    <w:rsid w:val="009B32DF"/>
    <w:rsid w:val="009B529D"/>
    <w:rsid w:val="009C1796"/>
    <w:rsid w:val="009C2FD0"/>
    <w:rsid w:val="009C41CD"/>
    <w:rsid w:val="009C4C00"/>
    <w:rsid w:val="009C4F78"/>
    <w:rsid w:val="009C6F1A"/>
    <w:rsid w:val="009C755C"/>
    <w:rsid w:val="009C780F"/>
    <w:rsid w:val="009D1AF0"/>
    <w:rsid w:val="009D205F"/>
    <w:rsid w:val="009D2408"/>
    <w:rsid w:val="009D2AA9"/>
    <w:rsid w:val="009D304D"/>
    <w:rsid w:val="009D54DA"/>
    <w:rsid w:val="009E0AB4"/>
    <w:rsid w:val="009E4F4C"/>
    <w:rsid w:val="009F23FB"/>
    <w:rsid w:val="009F5780"/>
    <w:rsid w:val="009F6ED1"/>
    <w:rsid w:val="00A0017C"/>
    <w:rsid w:val="00A041B9"/>
    <w:rsid w:val="00A20AF0"/>
    <w:rsid w:val="00A25353"/>
    <w:rsid w:val="00A34ABE"/>
    <w:rsid w:val="00A34F5F"/>
    <w:rsid w:val="00A4029D"/>
    <w:rsid w:val="00A44C64"/>
    <w:rsid w:val="00A46A68"/>
    <w:rsid w:val="00A47770"/>
    <w:rsid w:val="00A50EE9"/>
    <w:rsid w:val="00A5188E"/>
    <w:rsid w:val="00A53A17"/>
    <w:rsid w:val="00A544FA"/>
    <w:rsid w:val="00A5669D"/>
    <w:rsid w:val="00A56B44"/>
    <w:rsid w:val="00A57BD3"/>
    <w:rsid w:val="00A57CD4"/>
    <w:rsid w:val="00A602D4"/>
    <w:rsid w:val="00A749D4"/>
    <w:rsid w:val="00A7638C"/>
    <w:rsid w:val="00A81DAA"/>
    <w:rsid w:val="00A865A1"/>
    <w:rsid w:val="00A86C8B"/>
    <w:rsid w:val="00A86F48"/>
    <w:rsid w:val="00A90332"/>
    <w:rsid w:val="00A92505"/>
    <w:rsid w:val="00A926F7"/>
    <w:rsid w:val="00A92899"/>
    <w:rsid w:val="00AA21E8"/>
    <w:rsid w:val="00AB6831"/>
    <w:rsid w:val="00AB6C8F"/>
    <w:rsid w:val="00AB6D5E"/>
    <w:rsid w:val="00AB7D6A"/>
    <w:rsid w:val="00AC04AC"/>
    <w:rsid w:val="00AC2965"/>
    <w:rsid w:val="00AC2C62"/>
    <w:rsid w:val="00AC6256"/>
    <w:rsid w:val="00AC7FBA"/>
    <w:rsid w:val="00AD010E"/>
    <w:rsid w:val="00AD03D6"/>
    <w:rsid w:val="00AD0A33"/>
    <w:rsid w:val="00AD6384"/>
    <w:rsid w:val="00AE0982"/>
    <w:rsid w:val="00AE125E"/>
    <w:rsid w:val="00AE1717"/>
    <w:rsid w:val="00AE3927"/>
    <w:rsid w:val="00AF0F02"/>
    <w:rsid w:val="00AF296E"/>
    <w:rsid w:val="00AF3223"/>
    <w:rsid w:val="00AF53AF"/>
    <w:rsid w:val="00AF72D9"/>
    <w:rsid w:val="00B045D0"/>
    <w:rsid w:val="00B07524"/>
    <w:rsid w:val="00B113E7"/>
    <w:rsid w:val="00B11545"/>
    <w:rsid w:val="00B26AAA"/>
    <w:rsid w:val="00B31D9B"/>
    <w:rsid w:val="00B3272F"/>
    <w:rsid w:val="00B33CB1"/>
    <w:rsid w:val="00B354F6"/>
    <w:rsid w:val="00B35B7C"/>
    <w:rsid w:val="00B36FEE"/>
    <w:rsid w:val="00B425F9"/>
    <w:rsid w:val="00B42C22"/>
    <w:rsid w:val="00B436E5"/>
    <w:rsid w:val="00B45587"/>
    <w:rsid w:val="00B461A6"/>
    <w:rsid w:val="00B50A39"/>
    <w:rsid w:val="00B53316"/>
    <w:rsid w:val="00B53C15"/>
    <w:rsid w:val="00B547DC"/>
    <w:rsid w:val="00B65844"/>
    <w:rsid w:val="00B66B55"/>
    <w:rsid w:val="00B67619"/>
    <w:rsid w:val="00B70015"/>
    <w:rsid w:val="00B75811"/>
    <w:rsid w:val="00B76E7C"/>
    <w:rsid w:val="00B82937"/>
    <w:rsid w:val="00B8794F"/>
    <w:rsid w:val="00B87C60"/>
    <w:rsid w:val="00B90095"/>
    <w:rsid w:val="00B92F0E"/>
    <w:rsid w:val="00B93444"/>
    <w:rsid w:val="00B939B3"/>
    <w:rsid w:val="00B955BD"/>
    <w:rsid w:val="00BA36EF"/>
    <w:rsid w:val="00BA7A21"/>
    <w:rsid w:val="00BB27D6"/>
    <w:rsid w:val="00BB36CD"/>
    <w:rsid w:val="00BC19AC"/>
    <w:rsid w:val="00BC32D0"/>
    <w:rsid w:val="00BC3B22"/>
    <w:rsid w:val="00BD3522"/>
    <w:rsid w:val="00BD43E6"/>
    <w:rsid w:val="00BD4BB3"/>
    <w:rsid w:val="00BE0645"/>
    <w:rsid w:val="00BF16AF"/>
    <w:rsid w:val="00C01CA7"/>
    <w:rsid w:val="00C02F9A"/>
    <w:rsid w:val="00C067FC"/>
    <w:rsid w:val="00C0799A"/>
    <w:rsid w:val="00C07BAC"/>
    <w:rsid w:val="00C07DD7"/>
    <w:rsid w:val="00C11D0D"/>
    <w:rsid w:val="00C1267B"/>
    <w:rsid w:val="00C139BE"/>
    <w:rsid w:val="00C13D33"/>
    <w:rsid w:val="00C14C5D"/>
    <w:rsid w:val="00C15367"/>
    <w:rsid w:val="00C317E9"/>
    <w:rsid w:val="00C445C2"/>
    <w:rsid w:val="00C4462A"/>
    <w:rsid w:val="00C46A66"/>
    <w:rsid w:val="00C509C3"/>
    <w:rsid w:val="00C50A17"/>
    <w:rsid w:val="00C57515"/>
    <w:rsid w:val="00C62FC0"/>
    <w:rsid w:val="00C65186"/>
    <w:rsid w:val="00C70EAE"/>
    <w:rsid w:val="00C70ED5"/>
    <w:rsid w:val="00C72D98"/>
    <w:rsid w:val="00C741E6"/>
    <w:rsid w:val="00C744BC"/>
    <w:rsid w:val="00C82918"/>
    <w:rsid w:val="00C83B65"/>
    <w:rsid w:val="00C8553F"/>
    <w:rsid w:val="00C866DA"/>
    <w:rsid w:val="00C86B38"/>
    <w:rsid w:val="00C9321C"/>
    <w:rsid w:val="00C93FAA"/>
    <w:rsid w:val="00C94126"/>
    <w:rsid w:val="00C953D6"/>
    <w:rsid w:val="00C95581"/>
    <w:rsid w:val="00CA1923"/>
    <w:rsid w:val="00CA4A8D"/>
    <w:rsid w:val="00CB2469"/>
    <w:rsid w:val="00CB4778"/>
    <w:rsid w:val="00CB77EA"/>
    <w:rsid w:val="00CC17EC"/>
    <w:rsid w:val="00CC3C32"/>
    <w:rsid w:val="00CC578B"/>
    <w:rsid w:val="00CC643C"/>
    <w:rsid w:val="00CC701F"/>
    <w:rsid w:val="00CD177A"/>
    <w:rsid w:val="00CD50B5"/>
    <w:rsid w:val="00CD73A9"/>
    <w:rsid w:val="00CE0F09"/>
    <w:rsid w:val="00CE1BEC"/>
    <w:rsid w:val="00CF4CCB"/>
    <w:rsid w:val="00CF5DDC"/>
    <w:rsid w:val="00D01481"/>
    <w:rsid w:val="00D05BE2"/>
    <w:rsid w:val="00D060E7"/>
    <w:rsid w:val="00D06F12"/>
    <w:rsid w:val="00D15983"/>
    <w:rsid w:val="00D21EF3"/>
    <w:rsid w:val="00D236A8"/>
    <w:rsid w:val="00D2649B"/>
    <w:rsid w:val="00D356CC"/>
    <w:rsid w:val="00D35BFB"/>
    <w:rsid w:val="00D379BE"/>
    <w:rsid w:val="00D40E5D"/>
    <w:rsid w:val="00D42762"/>
    <w:rsid w:val="00D43BD1"/>
    <w:rsid w:val="00D46790"/>
    <w:rsid w:val="00D618B7"/>
    <w:rsid w:val="00D66887"/>
    <w:rsid w:val="00D7027C"/>
    <w:rsid w:val="00D72ACA"/>
    <w:rsid w:val="00D758E7"/>
    <w:rsid w:val="00D80DC8"/>
    <w:rsid w:val="00D81B0C"/>
    <w:rsid w:val="00D83B30"/>
    <w:rsid w:val="00D86039"/>
    <w:rsid w:val="00D87963"/>
    <w:rsid w:val="00D90C6D"/>
    <w:rsid w:val="00D91C27"/>
    <w:rsid w:val="00D9618C"/>
    <w:rsid w:val="00D96FFB"/>
    <w:rsid w:val="00DA1B09"/>
    <w:rsid w:val="00DA1F77"/>
    <w:rsid w:val="00DA6FE7"/>
    <w:rsid w:val="00DA7DD4"/>
    <w:rsid w:val="00DB349E"/>
    <w:rsid w:val="00DB3CF8"/>
    <w:rsid w:val="00DB5B10"/>
    <w:rsid w:val="00DC5925"/>
    <w:rsid w:val="00DC60FA"/>
    <w:rsid w:val="00DD07CC"/>
    <w:rsid w:val="00DD09C3"/>
    <w:rsid w:val="00DD0CEE"/>
    <w:rsid w:val="00DD392F"/>
    <w:rsid w:val="00DD4737"/>
    <w:rsid w:val="00DD47EE"/>
    <w:rsid w:val="00DE18D4"/>
    <w:rsid w:val="00DE23AF"/>
    <w:rsid w:val="00DE5031"/>
    <w:rsid w:val="00DF0DEA"/>
    <w:rsid w:val="00DF3B9A"/>
    <w:rsid w:val="00DF3E8D"/>
    <w:rsid w:val="00DF403B"/>
    <w:rsid w:val="00DF7701"/>
    <w:rsid w:val="00E0170A"/>
    <w:rsid w:val="00E11089"/>
    <w:rsid w:val="00E12F40"/>
    <w:rsid w:val="00E1382F"/>
    <w:rsid w:val="00E14CDC"/>
    <w:rsid w:val="00E16A80"/>
    <w:rsid w:val="00E17598"/>
    <w:rsid w:val="00E2527A"/>
    <w:rsid w:val="00E27B6E"/>
    <w:rsid w:val="00E31C3B"/>
    <w:rsid w:val="00E36AAE"/>
    <w:rsid w:val="00E37213"/>
    <w:rsid w:val="00E377A6"/>
    <w:rsid w:val="00E42A55"/>
    <w:rsid w:val="00E531FC"/>
    <w:rsid w:val="00E56FB6"/>
    <w:rsid w:val="00E63639"/>
    <w:rsid w:val="00E7168B"/>
    <w:rsid w:val="00E71B40"/>
    <w:rsid w:val="00E735AA"/>
    <w:rsid w:val="00E765EF"/>
    <w:rsid w:val="00E80D49"/>
    <w:rsid w:val="00E8264D"/>
    <w:rsid w:val="00E8746B"/>
    <w:rsid w:val="00E90906"/>
    <w:rsid w:val="00E91931"/>
    <w:rsid w:val="00E91C9A"/>
    <w:rsid w:val="00E9205A"/>
    <w:rsid w:val="00E9296D"/>
    <w:rsid w:val="00E93F8F"/>
    <w:rsid w:val="00E95B61"/>
    <w:rsid w:val="00E97FDB"/>
    <w:rsid w:val="00EA1627"/>
    <w:rsid w:val="00EA5199"/>
    <w:rsid w:val="00EA5479"/>
    <w:rsid w:val="00EA713F"/>
    <w:rsid w:val="00EB6DC2"/>
    <w:rsid w:val="00EC7889"/>
    <w:rsid w:val="00ED1115"/>
    <w:rsid w:val="00ED4235"/>
    <w:rsid w:val="00ED7A05"/>
    <w:rsid w:val="00ED7E94"/>
    <w:rsid w:val="00EE334C"/>
    <w:rsid w:val="00EE345D"/>
    <w:rsid w:val="00EE3953"/>
    <w:rsid w:val="00EE39ED"/>
    <w:rsid w:val="00EE4F74"/>
    <w:rsid w:val="00EF11A4"/>
    <w:rsid w:val="00EF1E3B"/>
    <w:rsid w:val="00EF38C0"/>
    <w:rsid w:val="00EF5263"/>
    <w:rsid w:val="00EF5D25"/>
    <w:rsid w:val="00F02153"/>
    <w:rsid w:val="00F058DF"/>
    <w:rsid w:val="00F11AB1"/>
    <w:rsid w:val="00F128F2"/>
    <w:rsid w:val="00F15675"/>
    <w:rsid w:val="00F15F4F"/>
    <w:rsid w:val="00F17043"/>
    <w:rsid w:val="00F20556"/>
    <w:rsid w:val="00F21250"/>
    <w:rsid w:val="00F21D9A"/>
    <w:rsid w:val="00F2398D"/>
    <w:rsid w:val="00F26409"/>
    <w:rsid w:val="00F30CC1"/>
    <w:rsid w:val="00F35C39"/>
    <w:rsid w:val="00F43010"/>
    <w:rsid w:val="00F43931"/>
    <w:rsid w:val="00F44466"/>
    <w:rsid w:val="00F44670"/>
    <w:rsid w:val="00F57931"/>
    <w:rsid w:val="00F634A3"/>
    <w:rsid w:val="00F710F9"/>
    <w:rsid w:val="00F71930"/>
    <w:rsid w:val="00F71D49"/>
    <w:rsid w:val="00F72440"/>
    <w:rsid w:val="00F73EBC"/>
    <w:rsid w:val="00F7620F"/>
    <w:rsid w:val="00F767C9"/>
    <w:rsid w:val="00F83A5F"/>
    <w:rsid w:val="00F8462C"/>
    <w:rsid w:val="00F85097"/>
    <w:rsid w:val="00F87F40"/>
    <w:rsid w:val="00F904F2"/>
    <w:rsid w:val="00F91AEA"/>
    <w:rsid w:val="00F93B80"/>
    <w:rsid w:val="00F97F50"/>
    <w:rsid w:val="00FA0AE4"/>
    <w:rsid w:val="00FA34AA"/>
    <w:rsid w:val="00FA4F7F"/>
    <w:rsid w:val="00FB2FB7"/>
    <w:rsid w:val="00FB3EF0"/>
    <w:rsid w:val="00FB4DBA"/>
    <w:rsid w:val="00FB5232"/>
    <w:rsid w:val="00FB667E"/>
    <w:rsid w:val="00FB6B7F"/>
    <w:rsid w:val="00FC02E5"/>
    <w:rsid w:val="00FD302E"/>
    <w:rsid w:val="00FD408B"/>
    <w:rsid w:val="00FE552D"/>
    <w:rsid w:val="00FE60C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CBA1E"/>
  <w15:docId w15:val="{CF52251C-0A65-464B-AB8F-A32009A3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135F"/>
    <w:rPr>
      <w:rFonts w:cs="Times New Roman"/>
    </w:rPr>
  </w:style>
  <w:style w:type="paragraph" w:styleId="Heading1">
    <w:name w:val="heading 1"/>
    <w:basedOn w:val="Normal"/>
    <w:next w:val="Normal"/>
    <w:link w:val="Heading1Char"/>
    <w:autoRedefine/>
    <w:uiPriority w:val="9"/>
    <w:qFormat/>
    <w:rsid w:val="00CC578B"/>
    <w:pPr>
      <w:numPr>
        <w:numId w:val="4"/>
      </w:numPr>
      <w:autoSpaceDE w:val="0"/>
      <w:autoSpaceDN w:val="0"/>
      <w:adjustRightInd w:val="0"/>
      <w:spacing w:before="120" w:after="120" w:line="480" w:lineRule="auto"/>
      <w:ind w:left="0"/>
      <w:jc w:val="center"/>
      <w:outlineLvl w:val="0"/>
    </w:pPr>
    <w:rPr>
      <w:b/>
      <w:bCs/>
      <w:caps/>
    </w:rPr>
  </w:style>
  <w:style w:type="paragraph" w:styleId="Heading2">
    <w:name w:val="heading 2"/>
    <w:basedOn w:val="Normal"/>
    <w:next w:val="Normal"/>
    <w:link w:val="Heading2Char"/>
    <w:autoRedefine/>
    <w:uiPriority w:val="9"/>
    <w:qFormat/>
    <w:rsid w:val="000C1A25"/>
    <w:pPr>
      <w:keepNext/>
      <w:jc w:val="center"/>
      <w:outlineLvl w:val="1"/>
    </w:pPr>
    <w:rPr>
      <w:iCs/>
    </w:rPr>
  </w:style>
  <w:style w:type="paragraph" w:styleId="Heading3">
    <w:name w:val="heading 3"/>
    <w:basedOn w:val="Normal"/>
    <w:next w:val="Normal"/>
    <w:link w:val="Heading3Char"/>
    <w:autoRedefine/>
    <w:uiPriority w:val="9"/>
    <w:qFormat/>
    <w:rsid w:val="000C1A25"/>
    <w:pPr>
      <w:keepNext/>
      <w:numPr>
        <w:ilvl w:val="2"/>
        <w:numId w:val="4"/>
      </w:numPr>
      <w:outlineLvl w:val="2"/>
    </w:pPr>
    <w:rPr>
      <w:i/>
      <w:iCs/>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ascii="Arial" w:eastAsiaTheme="majorEastAsia" w:hAnsi="Arial"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ascii="Arial" w:eastAsiaTheme="majorEastAsia" w:hAnsi="Arial"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ascii="Arial" w:eastAsiaTheme="majorEastAsia" w:hAnsi="Arial" w:cstheme="majorBidi"/>
      <w:color w:val="243F60" w:themeColor="accent1" w:themeShade="7F"/>
    </w:rPr>
  </w:style>
  <w:style w:type="paragraph" w:styleId="Heading7">
    <w:name w:val="heading 7"/>
    <w:basedOn w:val="Normal"/>
    <w:next w:val="Normal"/>
    <w:link w:val="Heading7Char"/>
    <w:uiPriority w:val="9"/>
    <w:semiHidden/>
    <w:unhideWhenUsed/>
    <w:qFormat/>
    <w:rsid w:val="00C067FC"/>
    <w:pPr>
      <w:keepNext/>
      <w:keepLines/>
      <w:numPr>
        <w:ilvl w:val="6"/>
        <w:numId w:val="2"/>
      </w:numPr>
      <w:spacing w:before="40"/>
      <w:outlineLvl w:val="6"/>
    </w:pPr>
    <w:rPr>
      <w:rFonts w:ascii="Arial" w:eastAsiaTheme="majorEastAsia" w:hAnsi="Arial" w:cstheme="majorBidi"/>
      <w:i/>
      <w:iCs/>
      <w:color w:val="243F60" w:themeColor="accent1" w:themeShade="7F"/>
    </w:rPr>
  </w:style>
  <w:style w:type="paragraph" w:styleId="Heading8">
    <w:name w:val="heading 8"/>
    <w:basedOn w:val="Normal"/>
    <w:next w:val="Normal"/>
    <w:link w:val="Heading8Char"/>
    <w:uiPriority w:val="9"/>
    <w:semiHidden/>
    <w:unhideWhenUsed/>
    <w:qFormat/>
    <w:rsid w:val="00C067FC"/>
    <w:pPr>
      <w:keepNext/>
      <w:keepLines/>
      <w:numPr>
        <w:ilvl w:val="7"/>
        <w:numId w:val="2"/>
      </w:numPr>
      <w:spacing w:before="40"/>
      <w:outlineLvl w:val="7"/>
    </w:pPr>
    <w:rPr>
      <w:rFonts w:ascii="Arial" w:eastAsiaTheme="majorEastAsia" w:hAnsi="Arial"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67FC"/>
    <w:pPr>
      <w:keepNext/>
      <w:keepLines/>
      <w:numPr>
        <w:ilvl w:val="8"/>
        <w:numId w:val="2"/>
      </w:numPr>
      <w:spacing w:before="40"/>
      <w:outlineLvl w:val="8"/>
    </w:pPr>
    <w:rPr>
      <w:rFonts w:ascii="Arial" w:eastAsiaTheme="majorEastAsia" w:hAnsi="Arial"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rPr>
      <w:rFonts w:ascii="Arial" w:hAnsi="Arial" w:cs="Arial"/>
    </w:rPr>
  </w:style>
  <w:style w:type="paragraph" w:styleId="Header">
    <w:name w:val="header"/>
    <w:basedOn w:val="Normal"/>
    <w:link w:val="HeaderChar"/>
    <w:uiPriority w:val="99"/>
    <w:rsid w:val="00665C7E"/>
    <w:pPr>
      <w:tabs>
        <w:tab w:val="center" w:pos="4320"/>
        <w:tab w:val="right" w:pos="8640"/>
      </w:tabs>
    </w:pPr>
    <w:rPr>
      <w:rFonts w:ascii="Arial" w:hAnsi="Arial" w:cs="Arial"/>
    </w:r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rFonts w:ascii="Arial" w:hAnsi="Arial" w:cs="Arial"/>
      <w:sz w:val="28"/>
      <w:szCs w:val="28"/>
    </w:rPr>
  </w:style>
  <w:style w:type="paragraph" w:styleId="BodyText">
    <w:name w:val="Body Text"/>
    <w:basedOn w:val="Normal"/>
    <w:link w:val="BodyTextChar"/>
    <w:rsid w:val="00665C7E"/>
    <w:pPr>
      <w:autoSpaceDE w:val="0"/>
      <w:autoSpaceDN w:val="0"/>
      <w:adjustRightInd w:val="0"/>
    </w:pPr>
    <w:rPr>
      <w:rFonts w:ascii="Arial" w:hAnsi="Arial" w:cs="Arial"/>
      <w:sz w:val="22"/>
      <w:szCs w:val="22"/>
    </w:rPr>
  </w:style>
  <w:style w:type="paragraph" w:styleId="Subtitle">
    <w:name w:val="Subtitle"/>
    <w:basedOn w:val="Normal"/>
    <w:link w:val="SubtitleChar"/>
    <w:autoRedefine/>
    <w:uiPriority w:val="11"/>
    <w:qFormat/>
    <w:rsid w:val="00665C7E"/>
    <w:pPr>
      <w:autoSpaceDE w:val="0"/>
      <w:autoSpaceDN w:val="0"/>
      <w:adjustRightInd w:val="0"/>
    </w:pPr>
    <w:rPr>
      <w:rFonts w:ascii="Arial" w:hAnsi="Arial" w:cs="Arial"/>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rFonts w:ascii="Arial" w:hAnsi="Arial" w:cs="Arial"/>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4B7288"/>
    <w:pPr>
      <w:ind w:left="480" w:hanging="480"/>
    </w:pPr>
    <w:rPr>
      <w:rFonts w:cs="Arial"/>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B66B55"/>
    <w:pPr>
      <w:tabs>
        <w:tab w:val="right" w:leader="dot" w:pos="8630"/>
      </w:tabs>
    </w:pPr>
    <w:rPr>
      <w:caps/>
      <w:noProof/>
    </w:rPr>
  </w:style>
  <w:style w:type="paragraph" w:styleId="TOC2">
    <w:name w:val="toc 2"/>
    <w:basedOn w:val="Normal"/>
    <w:next w:val="Normal"/>
    <w:autoRedefine/>
    <w:uiPriority w:val="39"/>
    <w:rsid w:val="00665C7E"/>
    <w:pPr>
      <w:ind w:left="240"/>
    </w:pPr>
    <w:rPr>
      <w:rFonts w:ascii="Arial" w:hAnsi="Arial" w:cs="Arial"/>
    </w:rPr>
  </w:style>
  <w:style w:type="paragraph" w:styleId="TOC3">
    <w:name w:val="toc 3"/>
    <w:basedOn w:val="Normal"/>
    <w:next w:val="Normal"/>
    <w:autoRedefine/>
    <w:uiPriority w:val="39"/>
    <w:rsid w:val="00665C7E"/>
    <w:pPr>
      <w:ind w:left="480"/>
    </w:pPr>
    <w:rPr>
      <w:rFonts w:ascii="Arial" w:hAnsi="Arial" w:cs="Arial"/>
    </w:rPr>
  </w:style>
  <w:style w:type="paragraph" w:styleId="TOC4">
    <w:name w:val="toc 4"/>
    <w:basedOn w:val="Normal"/>
    <w:next w:val="Normal"/>
    <w:autoRedefine/>
    <w:semiHidden/>
    <w:rsid w:val="00665C7E"/>
    <w:pPr>
      <w:ind w:left="720"/>
    </w:pPr>
    <w:rPr>
      <w:rFonts w:ascii="Arial" w:hAnsi="Arial" w:cs="Arial"/>
    </w:rPr>
  </w:style>
  <w:style w:type="paragraph" w:styleId="TOC5">
    <w:name w:val="toc 5"/>
    <w:basedOn w:val="Normal"/>
    <w:next w:val="Normal"/>
    <w:autoRedefine/>
    <w:semiHidden/>
    <w:rsid w:val="00665C7E"/>
    <w:pPr>
      <w:ind w:left="960"/>
    </w:pPr>
    <w:rPr>
      <w:rFonts w:ascii="Arial" w:hAnsi="Arial" w:cs="Arial"/>
    </w:rPr>
  </w:style>
  <w:style w:type="paragraph" w:styleId="TOC6">
    <w:name w:val="toc 6"/>
    <w:basedOn w:val="Normal"/>
    <w:next w:val="Normal"/>
    <w:autoRedefine/>
    <w:semiHidden/>
    <w:rsid w:val="00665C7E"/>
    <w:pPr>
      <w:ind w:left="1200"/>
    </w:pPr>
    <w:rPr>
      <w:rFonts w:ascii="Arial" w:hAnsi="Arial" w:cs="Arial"/>
    </w:rPr>
  </w:style>
  <w:style w:type="paragraph" w:styleId="TOC7">
    <w:name w:val="toc 7"/>
    <w:basedOn w:val="Normal"/>
    <w:next w:val="Normal"/>
    <w:autoRedefine/>
    <w:semiHidden/>
    <w:rsid w:val="00665C7E"/>
    <w:pPr>
      <w:ind w:left="1440"/>
    </w:pPr>
    <w:rPr>
      <w:rFonts w:ascii="Arial" w:hAnsi="Arial" w:cs="Arial"/>
    </w:rPr>
  </w:style>
  <w:style w:type="paragraph" w:styleId="TOC8">
    <w:name w:val="toc 8"/>
    <w:basedOn w:val="Normal"/>
    <w:next w:val="Normal"/>
    <w:autoRedefine/>
    <w:semiHidden/>
    <w:rsid w:val="00665C7E"/>
    <w:pPr>
      <w:ind w:left="1680"/>
    </w:pPr>
    <w:rPr>
      <w:rFonts w:ascii="Arial" w:hAnsi="Arial" w:cs="Arial"/>
    </w:rPr>
  </w:style>
  <w:style w:type="paragraph" w:styleId="TOC9">
    <w:name w:val="toc 9"/>
    <w:basedOn w:val="Normal"/>
    <w:next w:val="Normal"/>
    <w:autoRedefine/>
    <w:semiHidden/>
    <w:rsid w:val="00665C7E"/>
    <w:pPr>
      <w:ind w:left="1920"/>
    </w:pPr>
    <w:rPr>
      <w:rFonts w:ascii="Arial" w:hAnsi="Arial" w:cs="Arial"/>
    </w:rPr>
  </w:style>
  <w:style w:type="paragraph" w:customStyle="1" w:styleId="thesistext">
    <w:name w:val="thesis text"/>
    <w:basedOn w:val="Normal"/>
    <w:autoRedefine/>
    <w:rsid w:val="00665C7E"/>
    <w:pPr>
      <w:spacing w:after="240"/>
      <w:ind w:firstLine="540"/>
    </w:pPr>
    <w:rPr>
      <w:rFonts w:ascii="Arial" w:hAnsi="Arial" w:cs="Arial"/>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CC578B"/>
    <w:rPr>
      <w:rFonts w:cs="Times New Roman"/>
      <w:b/>
      <w:bCs/>
      <w:caps/>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rFonts w:ascii="Arial" w:hAnsi="Arial" w:cs="Arial"/>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2B0501"/>
    <w:pPr>
      <w:spacing w:line="480" w:lineRule="auto"/>
    </w:pPr>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rFonts w:ascii="Arial" w:hAnsi="Arial" w:cs="Arial"/>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rPr>
      <w:rFonts w:ascii="Arial" w:hAnsi="Arial" w:cs="Arial"/>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7C5074"/>
    <w:pPr>
      <w:keepNext/>
    </w:pPr>
    <w:rPr>
      <w:b/>
      <w:bCs/>
      <w:i/>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uiPriority w:val="9"/>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val="0"/>
    </w:rPr>
  </w:style>
  <w:style w:type="character" w:styleId="PlaceholderText">
    <w:name w:val="Placeholder Text"/>
    <w:basedOn w:val="DefaultParagraphFont"/>
    <w:uiPriority w:val="99"/>
    <w:semiHidden/>
    <w:rsid w:val="007F6688"/>
    <w:rPr>
      <w:color w:val="666666"/>
    </w:rPr>
  </w:style>
  <w:style w:type="paragraph" w:styleId="NormalWeb">
    <w:name w:val="Normal (Web)"/>
    <w:basedOn w:val="Normal"/>
    <w:uiPriority w:val="99"/>
    <w:unhideWhenUsed/>
    <w:rsid w:val="00E2527A"/>
    <w:pPr>
      <w:spacing w:before="100" w:beforeAutospacing="1" w:after="100" w:afterAutospacing="1"/>
    </w:pPr>
  </w:style>
  <w:style w:type="paragraph" w:styleId="Bibliography">
    <w:name w:val="Bibliography"/>
    <w:basedOn w:val="Normal"/>
    <w:next w:val="Normal"/>
    <w:uiPriority w:val="37"/>
    <w:unhideWhenUsed/>
    <w:rsid w:val="00717D9F"/>
    <w:pPr>
      <w:spacing w:line="480" w:lineRule="auto"/>
      <w:ind w:left="720" w:hanging="720"/>
    </w:pPr>
    <w:rPr>
      <w:rFonts w:ascii="Arial" w:hAnsi="Arial" w:cs="Arial"/>
    </w:rPr>
  </w:style>
  <w:style w:type="character" w:customStyle="1" w:styleId="Heading2Char">
    <w:name w:val="Heading 2 Char"/>
    <w:basedOn w:val="DefaultParagraphFont"/>
    <w:link w:val="Heading2"/>
    <w:uiPriority w:val="9"/>
    <w:rsid w:val="000C1A25"/>
    <w:rPr>
      <w:rFonts w:cs="Times New Roman"/>
      <w:iCs/>
    </w:rPr>
  </w:style>
  <w:style w:type="character" w:customStyle="1" w:styleId="Heading3Char">
    <w:name w:val="Heading 3 Char"/>
    <w:basedOn w:val="DefaultParagraphFont"/>
    <w:link w:val="Heading3"/>
    <w:uiPriority w:val="9"/>
    <w:rsid w:val="000C1A25"/>
    <w:rPr>
      <w:rFonts w:cs="Times New Roman"/>
      <w:i/>
      <w:iCs/>
    </w:rPr>
  </w:style>
  <w:style w:type="character" w:customStyle="1" w:styleId="TitleChar">
    <w:name w:val="Title Char"/>
    <w:basedOn w:val="DefaultParagraphFont"/>
    <w:link w:val="Title"/>
    <w:uiPriority w:val="10"/>
    <w:rsid w:val="00013295"/>
    <w:rPr>
      <w:rFonts w:ascii="Arial" w:hAnsi="Arial"/>
      <w:sz w:val="28"/>
      <w:szCs w:val="28"/>
    </w:rPr>
  </w:style>
  <w:style w:type="character" w:customStyle="1" w:styleId="SubtitleChar">
    <w:name w:val="Subtitle Char"/>
    <w:basedOn w:val="DefaultParagraphFont"/>
    <w:link w:val="Subtitle"/>
    <w:uiPriority w:val="11"/>
    <w:rsid w:val="00013295"/>
    <w:rPr>
      <w:rFonts w:ascii="Arial" w:hAnsi="Arial"/>
      <w:b/>
      <w:bCs/>
    </w:rPr>
  </w:style>
  <w:style w:type="character" w:customStyle="1" w:styleId="HeaderChar">
    <w:name w:val="Header Char"/>
    <w:basedOn w:val="DefaultParagraphFont"/>
    <w:link w:val="Header"/>
    <w:uiPriority w:val="99"/>
    <w:rsid w:val="00013295"/>
    <w:rPr>
      <w:rFonts w:ascii="Arial" w:hAnsi="Arial"/>
    </w:rPr>
  </w:style>
  <w:style w:type="character" w:styleId="UnresolvedMention">
    <w:name w:val="Unresolved Mention"/>
    <w:basedOn w:val="DefaultParagraphFont"/>
    <w:uiPriority w:val="99"/>
    <w:semiHidden/>
    <w:unhideWhenUsed/>
    <w:rsid w:val="006C2E26"/>
    <w:rPr>
      <w:color w:val="605E5C"/>
      <w:shd w:val="clear" w:color="auto" w:fill="E1DFDD"/>
    </w:rPr>
  </w:style>
  <w:style w:type="paragraph" w:styleId="z-TopofForm">
    <w:name w:val="HTML Top of Form"/>
    <w:basedOn w:val="Normal"/>
    <w:next w:val="Normal"/>
    <w:link w:val="z-TopofFormChar"/>
    <w:hidden/>
    <w:uiPriority w:val="99"/>
    <w:semiHidden/>
    <w:unhideWhenUsed/>
    <w:rsid w:val="00575F3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75F33"/>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575F3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75F33"/>
    <w:rPr>
      <w:rFonts w:ascii="Arial" w:hAnsi="Arial"/>
      <w:vanish/>
      <w:sz w:val="16"/>
      <w:szCs w:val="16"/>
    </w:rPr>
  </w:style>
  <w:style w:type="paragraph" w:styleId="Revision">
    <w:name w:val="Revision"/>
    <w:hidden/>
    <w:uiPriority w:val="99"/>
    <w:semiHidden/>
    <w:rsid w:val="00575F33"/>
    <w:rPr>
      <w:rFonts w:asciiTheme="minorHAnsi" w:eastAsiaTheme="minorHAnsi" w:hAnsiTheme="minorHAnsi" w:cstheme="minorBidi"/>
      <w:kern w:val="2"/>
      <w:sz w:val="22"/>
      <w:szCs w:val="22"/>
      <w14:ligatures w14:val="standardContextual"/>
    </w:rPr>
  </w:style>
  <w:style w:type="character" w:styleId="CommentReference">
    <w:name w:val="annotation reference"/>
    <w:basedOn w:val="DefaultParagraphFont"/>
    <w:semiHidden/>
    <w:unhideWhenUsed/>
    <w:rsid w:val="00575F33"/>
    <w:rPr>
      <w:sz w:val="16"/>
      <w:szCs w:val="16"/>
    </w:rPr>
  </w:style>
  <w:style w:type="paragraph" w:styleId="CommentText">
    <w:name w:val="annotation text"/>
    <w:basedOn w:val="Normal"/>
    <w:link w:val="CommentTextChar"/>
    <w:unhideWhenUsed/>
    <w:rsid w:val="00575F33"/>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rsid w:val="00575F33"/>
    <w:rPr>
      <w:rFonts w:asciiTheme="minorHAnsi" w:eastAsiaTheme="minorHAnsi" w:hAnsiTheme="minorHAnsi" w:cstheme="minorBidi"/>
      <w:kern w:val="2"/>
      <w:sz w:val="20"/>
      <w:szCs w:val="20"/>
      <w14:ligatures w14:val="standardContextual"/>
    </w:rPr>
  </w:style>
  <w:style w:type="paragraph" w:styleId="CommentSubject">
    <w:name w:val="annotation subject"/>
    <w:basedOn w:val="CommentText"/>
    <w:next w:val="CommentText"/>
    <w:link w:val="CommentSubjectChar"/>
    <w:semiHidden/>
    <w:unhideWhenUsed/>
    <w:rsid w:val="00575F33"/>
    <w:rPr>
      <w:b/>
      <w:bCs/>
    </w:rPr>
  </w:style>
  <w:style w:type="character" w:customStyle="1" w:styleId="CommentSubjectChar">
    <w:name w:val="Comment Subject Char"/>
    <w:basedOn w:val="CommentTextChar"/>
    <w:link w:val="CommentSubject"/>
    <w:semiHidden/>
    <w:rsid w:val="00575F33"/>
    <w:rPr>
      <w:rFonts w:asciiTheme="minorHAnsi" w:eastAsiaTheme="minorHAnsi" w:hAnsiTheme="minorHAnsi" w:cstheme="minorBidi"/>
      <w:b/>
      <w:bCs/>
      <w:kern w:val="2"/>
      <w:sz w:val="20"/>
      <w:szCs w:val="20"/>
      <w14:ligatures w14:val="standardContextual"/>
    </w:rPr>
  </w:style>
  <w:style w:type="paragraph" w:styleId="FootnoteText">
    <w:name w:val="footnote text"/>
    <w:basedOn w:val="Normal"/>
    <w:link w:val="FootnoteTextChar"/>
    <w:uiPriority w:val="99"/>
    <w:semiHidden/>
    <w:unhideWhenUsed/>
    <w:rsid w:val="00575F33"/>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575F33"/>
    <w:rPr>
      <w:rFonts w:asciiTheme="minorHAnsi" w:eastAsiaTheme="minorHAnsi" w:hAnsiTheme="minorHAnsi" w:cstheme="minorBidi"/>
      <w:kern w:val="2"/>
      <w:sz w:val="20"/>
      <w:szCs w:val="20"/>
      <w14:ligatures w14:val="standardContextual"/>
    </w:rPr>
  </w:style>
  <w:style w:type="character" w:styleId="FootnoteReference">
    <w:name w:val="footnote reference"/>
    <w:basedOn w:val="DefaultParagraphFont"/>
    <w:uiPriority w:val="99"/>
    <w:semiHidden/>
    <w:unhideWhenUsed/>
    <w:rsid w:val="00575F33"/>
    <w:rPr>
      <w:vertAlign w:val="superscript"/>
    </w:rPr>
  </w:style>
  <w:style w:type="table" w:customStyle="1" w:styleId="TableGrid1">
    <w:name w:val="Table Grid1"/>
    <w:basedOn w:val="TableNormal"/>
    <w:next w:val="TableGrid"/>
    <w:uiPriority w:val="39"/>
    <w:rsid w:val="00C829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1">
    <w:name w:val="Grid Table 5 Dark1"/>
    <w:basedOn w:val="TableNormal"/>
    <w:next w:val="GridTable5Dark"/>
    <w:uiPriority w:val="50"/>
    <w:rsid w:val="00C82918"/>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ListTable7Colorful1">
    <w:name w:val="List Table 7 Colorful1"/>
    <w:basedOn w:val="TableNormal"/>
    <w:next w:val="ListTable7Colorful"/>
    <w:uiPriority w:val="52"/>
    <w:rsid w:val="00C82918"/>
    <w:rPr>
      <w:color w:val="000000"/>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31132">
      <w:bodyDiv w:val="1"/>
      <w:marLeft w:val="0"/>
      <w:marRight w:val="0"/>
      <w:marTop w:val="0"/>
      <w:marBottom w:val="0"/>
      <w:divBdr>
        <w:top w:val="none" w:sz="0" w:space="0" w:color="auto"/>
        <w:left w:val="none" w:sz="0" w:space="0" w:color="auto"/>
        <w:bottom w:val="none" w:sz="0" w:space="0" w:color="auto"/>
        <w:right w:val="none" w:sz="0" w:space="0" w:color="auto"/>
      </w:divBdr>
      <w:divsChild>
        <w:div w:id="794568717">
          <w:marLeft w:val="0"/>
          <w:marRight w:val="0"/>
          <w:marTop w:val="0"/>
          <w:marBottom w:val="0"/>
          <w:divBdr>
            <w:top w:val="none" w:sz="0" w:space="0" w:color="auto"/>
            <w:left w:val="none" w:sz="0" w:space="0" w:color="auto"/>
            <w:bottom w:val="none" w:sz="0" w:space="0" w:color="auto"/>
            <w:right w:val="none" w:sz="0" w:space="0" w:color="auto"/>
          </w:divBdr>
          <w:divsChild>
            <w:div w:id="1411386353">
              <w:marLeft w:val="0"/>
              <w:marRight w:val="0"/>
              <w:marTop w:val="0"/>
              <w:marBottom w:val="0"/>
              <w:divBdr>
                <w:top w:val="none" w:sz="0" w:space="0" w:color="auto"/>
                <w:left w:val="none" w:sz="0" w:space="0" w:color="auto"/>
                <w:bottom w:val="none" w:sz="0" w:space="0" w:color="auto"/>
                <w:right w:val="none" w:sz="0" w:space="0" w:color="auto"/>
              </w:divBdr>
            </w:div>
            <w:div w:id="1767262181">
              <w:marLeft w:val="0"/>
              <w:marRight w:val="0"/>
              <w:marTop w:val="0"/>
              <w:marBottom w:val="0"/>
              <w:divBdr>
                <w:top w:val="none" w:sz="0" w:space="0" w:color="auto"/>
                <w:left w:val="none" w:sz="0" w:space="0" w:color="auto"/>
                <w:bottom w:val="none" w:sz="0" w:space="0" w:color="auto"/>
                <w:right w:val="none" w:sz="0" w:space="0" w:color="auto"/>
              </w:divBdr>
              <w:divsChild>
                <w:div w:id="766581201">
                  <w:marLeft w:val="0"/>
                  <w:marRight w:val="0"/>
                  <w:marTop w:val="0"/>
                  <w:marBottom w:val="0"/>
                  <w:divBdr>
                    <w:top w:val="none" w:sz="0" w:space="0" w:color="auto"/>
                    <w:left w:val="none" w:sz="0" w:space="0" w:color="auto"/>
                    <w:bottom w:val="none" w:sz="0" w:space="0" w:color="auto"/>
                    <w:right w:val="none" w:sz="0" w:space="0" w:color="auto"/>
                  </w:divBdr>
                  <w:divsChild>
                    <w:div w:id="1909145966">
                      <w:marLeft w:val="0"/>
                      <w:marRight w:val="0"/>
                      <w:marTop w:val="0"/>
                      <w:marBottom w:val="0"/>
                      <w:divBdr>
                        <w:top w:val="none" w:sz="0" w:space="0" w:color="auto"/>
                        <w:left w:val="none" w:sz="0" w:space="0" w:color="auto"/>
                        <w:bottom w:val="none" w:sz="0" w:space="0" w:color="auto"/>
                        <w:right w:val="none" w:sz="0" w:space="0" w:color="auto"/>
                      </w:divBdr>
                      <w:divsChild>
                        <w:div w:id="71690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63414">
      <w:bodyDiv w:val="1"/>
      <w:marLeft w:val="0"/>
      <w:marRight w:val="0"/>
      <w:marTop w:val="0"/>
      <w:marBottom w:val="0"/>
      <w:divBdr>
        <w:top w:val="none" w:sz="0" w:space="0" w:color="auto"/>
        <w:left w:val="none" w:sz="0" w:space="0" w:color="auto"/>
        <w:bottom w:val="none" w:sz="0" w:space="0" w:color="auto"/>
        <w:right w:val="none" w:sz="0" w:space="0" w:color="auto"/>
      </w:divBdr>
    </w:div>
    <w:div w:id="244609846">
      <w:bodyDiv w:val="1"/>
      <w:marLeft w:val="0"/>
      <w:marRight w:val="0"/>
      <w:marTop w:val="0"/>
      <w:marBottom w:val="0"/>
      <w:divBdr>
        <w:top w:val="none" w:sz="0" w:space="0" w:color="auto"/>
        <w:left w:val="none" w:sz="0" w:space="0" w:color="auto"/>
        <w:bottom w:val="none" w:sz="0" w:space="0" w:color="auto"/>
        <w:right w:val="none" w:sz="0" w:space="0" w:color="auto"/>
      </w:divBdr>
    </w:div>
    <w:div w:id="259146655">
      <w:bodyDiv w:val="1"/>
      <w:marLeft w:val="0"/>
      <w:marRight w:val="0"/>
      <w:marTop w:val="0"/>
      <w:marBottom w:val="0"/>
      <w:divBdr>
        <w:top w:val="none" w:sz="0" w:space="0" w:color="auto"/>
        <w:left w:val="none" w:sz="0" w:space="0" w:color="auto"/>
        <w:bottom w:val="none" w:sz="0" w:space="0" w:color="auto"/>
        <w:right w:val="none" w:sz="0" w:space="0" w:color="auto"/>
      </w:divBdr>
    </w:div>
    <w:div w:id="292950837">
      <w:bodyDiv w:val="1"/>
      <w:marLeft w:val="0"/>
      <w:marRight w:val="0"/>
      <w:marTop w:val="0"/>
      <w:marBottom w:val="0"/>
      <w:divBdr>
        <w:top w:val="none" w:sz="0" w:space="0" w:color="auto"/>
        <w:left w:val="none" w:sz="0" w:space="0" w:color="auto"/>
        <w:bottom w:val="none" w:sz="0" w:space="0" w:color="auto"/>
        <w:right w:val="none" w:sz="0" w:space="0" w:color="auto"/>
      </w:divBdr>
    </w:div>
    <w:div w:id="401486513">
      <w:bodyDiv w:val="1"/>
      <w:marLeft w:val="0"/>
      <w:marRight w:val="0"/>
      <w:marTop w:val="0"/>
      <w:marBottom w:val="0"/>
      <w:divBdr>
        <w:top w:val="none" w:sz="0" w:space="0" w:color="auto"/>
        <w:left w:val="none" w:sz="0" w:space="0" w:color="auto"/>
        <w:bottom w:val="none" w:sz="0" w:space="0" w:color="auto"/>
        <w:right w:val="none" w:sz="0" w:space="0" w:color="auto"/>
      </w:divBdr>
    </w:div>
    <w:div w:id="548228484">
      <w:bodyDiv w:val="1"/>
      <w:marLeft w:val="0"/>
      <w:marRight w:val="0"/>
      <w:marTop w:val="0"/>
      <w:marBottom w:val="0"/>
      <w:divBdr>
        <w:top w:val="none" w:sz="0" w:space="0" w:color="auto"/>
        <w:left w:val="none" w:sz="0" w:space="0" w:color="auto"/>
        <w:bottom w:val="none" w:sz="0" w:space="0" w:color="auto"/>
        <w:right w:val="none" w:sz="0" w:space="0" w:color="auto"/>
      </w:divBdr>
    </w:div>
    <w:div w:id="566258258">
      <w:bodyDiv w:val="1"/>
      <w:marLeft w:val="0"/>
      <w:marRight w:val="0"/>
      <w:marTop w:val="0"/>
      <w:marBottom w:val="0"/>
      <w:divBdr>
        <w:top w:val="none" w:sz="0" w:space="0" w:color="auto"/>
        <w:left w:val="none" w:sz="0" w:space="0" w:color="auto"/>
        <w:bottom w:val="none" w:sz="0" w:space="0" w:color="auto"/>
        <w:right w:val="none" w:sz="0" w:space="0" w:color="auto"/>
      </w:divBdr>
    </w:div>
    <w:div w:id="574048177">
      <w:bodyDiv w:val="1"/>
      <w:marLeft w:val="0"/>
      <w:marRight w:val="0"/>
      <w:marTop w:val="0"/>
      <w:marBottom w:val="0"/>
      <w:divBdr>
        <w:top w:val="none" w:sz="0" w:space="0" w:color="auto"/>
        <w:left w:val="none" w:sz="0" w:space="0" w:color="auto"/>
        <w:bottom w:val="none" w:sz="0" w:space="0" w:color="auto"/>
        <w:right w:val="none" w:sz="0" w:space="0" w:color="auto"/>
      </w:divBdr>
    </w:div>
    <w:div w:id="581305742">
      <w:bodyDiv w:val="1"/>
      <w:marLeft w:val="0"/>
      <w:marRight w:val="0"/>
      <w:marTop w:val="0"/>
      <w:marBottom w:val="0"/>
      <w:divBdr>
        <w:top w:val="none" w:sz="0" w:space="0" w:color="auto"/>
        <w:left w:val="none" w:sz="0" w:space="0" w:color="auto"/>
        <w:bottom w:val="none" w:sz="0" w:space="0" w:color="auto"/>
        <w:right w:val="none" w:sz="0" w:space="0" w:color="auto"/>
      </w:divBdr>
      <w:divsChild>
        <w:div w:id="1881820573">
          <w:marLeft w:val="0"/>
          <w:marRight w:val="0"/>
          <w:marTop w:val="0"/>
          <w:marBottom w:val="0"/>
          <w:divBdr>
            <w:top w:val="none" w:sz="0" w:space="0" w:color="auto"/>
            <w:left w:val="none" w:sz="0" w:space="0" w:color="auto"/>
            <w:bottom w:val="none" w:sz="0" w:space="0" w:color="auto"/>
            <w:right w:val="none" w:sz="0" w:space="0" w:color="auto"/>
          </w:divBdr>
          <w:divsChild>
            <w:div w:id="763958496">
              <w:marLeft w:val="0"/>
              <w:marRight w:val="0"/>
              <w:marTop w:val="0"/>
              <w:marBottom w:val="0"/>
              <w:divBdr>
                <w:top w:val="none" w:sz="0" w:space="0" w:color="auto"/>
                <w:left w:val="none" w:sz="0" w:space="0" w:color="auto"/>
                <w:bottom w:val="none" w:sz="0" w:space="0" w:color="auto"/>
                <w:right w:val="none" w:sz="0" w:space="0" w:color="auto"/>
              </w:divBdr>
            </w:div>
            <w:div w:id="249318298">
              <w:marLeft w:val="0"/>
              <w:marRight w:val="0"/>
              <w:marTop w:val="0"/>
              <w:marBottom w:val="0"/>
              <w:divBdr>
                <w:top w:val="none" w:sz="0" w:space="0" w:color="auto"/>
                <w:left w:val="none" w:sz="0" w:space="0" w:color="auto"/>
                <w:bottom w:val="none" w:sz="0" w:space="0" w:color="auto"/>
                <w:right w:val="none" w:sz="0" w:space="0" w:color="auto"/>
              </w:divBdr>
              <w:divsChild>
                <w:div w:id="2024159667">
                  <w:marLeft w:val="0"/>
                  <w:marRight w:val="0"/>
                  <w:marTop w:val="0"/>
                  <w:marBottom w:val="0"/>
                  <w:divBdr>
                    <w:top w:val="none" w:sz="0" w:space="0" w:color="auto"/>
                    <w:left w:val="none" w:sz="0" w:space="0" w:color="auto"/>
                    <w:bottom w:val="none" w:sz="0" w:space="0" w:color="auto"/>
                    <w:right w:val="none" w:sz="0" w:space="0" w:color="auto"/>
                  </w:divBdr>
                  <w:divsChild>
                    <w:div w:id="998342127">
                      <w:marLeft w:val="0"/>
                      <w:marRight w:val="0"/>
                      <w:marTop w:val="0"/>
                      <w:marBottom w:val="0"/>
                      <w:divBdr>
                        <w:top w:val="none" w:sz="0" w:space="0" w:color="auto"/>
                        <w:left w:val="none" w:sz="0" w:space="0" w:color="auto"/>
                        <w:bottom w:val="none" w:sz="0" w:space="0" w:color="auto"/>
                        <w:right w:val="none" w:sz="0" w:space="0" w:color="auto"/>
                      </w:divBdr>
                      <w:divsChild>
                        <w:div w:id="160788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51393">
      <w:bodyDiv w:val="1"/>
      <w:marLeft w:val="0"/>
      <w:marRight w:val="0"/>
      <w:marTop w:val="0"/>
      <w:marBottom w:val="0"/>
      <w:divBdr>
        <w:top w:val="none" w:sz="0" w:space="0" w:color="auto"/>
        <w:left w:val="none" w:sz="0" w:space="0" w:color="auto"/>
        <w:bottom w:val="none" w:sz="0" w:space="0" w:color="auto"/>
        <w:right w:val="none" w:sz="0" w:space="0" w:color="auto"/>
      </w:divBdr>
    </w:div>
    <w:div w:id="64011183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16323143">
      <w:bodyDiv w:val="1"/>
      <w:marLeft w:val="0"/>
      <w:marRight w:val="0"/>
      <w:marTop w:val="0"/>
      <w:marBottom w:val="0"/>
      <w:divBdr>
        <w:top w:val="none" w:sz="0" w:space="0" w:color="auto"/>
        <w:left w:val="none" w:sz="0" w:space="0" w:color="auto"/>
        <w:bottom w:val="none" w:sz="0" w:space="0" w:color="auto"/>
        <w:right w:val="none" w:sz="0" w:space="0" w:color="auto"/>
      </w:divBdr>
    </w:div>
    <w:div w:id="726731697">
      <w:bodyDiv w:val="1"/>
      <w:marLeft w:val="0"/>
      <w:marRight w:val="0"/>
      <w:marTop w:val="0"/>
      <w:marBottom w:val="0"/>
      <w:divBdr>
        <w:top w:val="none" w:sz="0" w:space="0" w:color="auto"/>
        <w:left w:val="none" w:sz="0" w:space="0" w:color="auto"/>
        <w:bottom w:val="none" w:sz="0" w:space="0" w:color="auto"/>
        <w:right w:val="none" w:sz="0" w:space="0" w:color="auto"/>
      </w:divBdr>
    </w:div>
    <w:div w:id="804394194">
      <w:bodyDiv w:val="1"/>
      <w:marLeft w:val="0"/>
      <w:marRight w:val="0"/>
      <w:marTop w:val="0"/>
      <w:marBottom w:val="0"/>
      <w:divBdr>
        <w:top w:val="none" w:sz="0" w:space="0" w:color="auto"/>
        <w:left w:val="none" w:sz="0" w:space="0" w:color="auto"/>
        <w:bottom w:val="none" w:sz="0" w:space="0" w:color="auto"/>
        <w:right w:val="none" w:sz="0" w:space="0" w:color="auto"/>
      </w:divBdr>
    </w:div>
    <w:div w:id="853499644">
      <w:bodyDiv w:val="1"/>
      <w:marLeft w:val="0"/>
      <w:marRight w:val="0"/>
      <w:marTop w:val="0"/>
      <w:marBottom w:val="0"/>
      <w:divBdr>
        <w:top w:val="none" w:sz="0" w:space="0" w:color="auto"/>
        <w:left w:val="none" w:sz="0" w:space="0" w:color="auto"/>
        <w:bottom w:val="none" w:sz="0" w:space="0" w:color="auto"/>
        <w:right w:val="none" w:sz="0" w:space="0" w:color="auto"/>
      </w:divBdr>
    </w:div>
    <w:div w:id="985160928">
      <w:bodyDiv w:val="1"/>
      <w:marLeft w:val="0"/>
      <w:marRight w:val="0"/>
      <w:marTop w:val="0"/>
      <w:marBottom w:val="0"/>
      <w:divBdr>
        <w:top w:val="none" w:sz="0" w:space="0" w:color="auto"/>
        <w:left w:val="none" w:sz="0" w:space="0" w:color="auto"/>
        <w:bottom w:val="none" w:sz="0" w:space="0" w:color="auto"/>
        <w:right w:val="none" w:sz="0" w:space="0" w:color="auto"/>
      </w:divBdr>
    </w:div>
    <w:div w:id="1066563666">
      <w:bodyDiv w:val="1"/>
      <w:marLeft w:val="0"/>
      <w:marRight w:val="0"/>
      <w:marTop w:val="0"/>
      <w:marBottom w:val="0"/>
      <w:divBdr>
        <w:top w:val="none" w:sz="0" w:space="0" w:color="auto"/>
        <w:left w:val="none" w:sz="0" w:space="0" w:color="auto"/>
        <w:bottom w:val="none" w:sz="0" w:space="0" w:color="auto"/>
        <w:right w:val="none" w:sz="0" w:space="0" w:color="auto"/>
      </w:divBdr>
    </w:div>
    <w:div w:id="1073284788">
      <w:bodyDiv w:val="1"/>
      <w:marLeft w:val="0"/>
      <w:marRight w:val="0"/>
      <w:marTop w:val="0"/>
      <w:marBottom w:val="0"/>
      <w:divBdr>
        <w:top w:val="none" w:sz="0" w:space="0" w:color="auto"/>
        <w:left w:val="none" w:sz="0" w:space="0" w:color="auto"/>
        <w:bottom w:val="none" w:sz="0" w:space="0" w:color="auto"/>
        <w:right w:val="none" w:sz="0" w:space="0" w:color="auto"/>
      </w:divBdr>
    </w:div>
    <w:div w:id="1107123185">
      <w:bodyDiv w:val="1"/>
      <w:marLeft w:val="0"/>
      <w:marRight w:val="0"/>
      <w:marTop w:val="0"/>
      <w:marBottom w:val="0"/>
      <w:divBdr>
        <w:top w:val="none" w:sz="0" w:space="0" w:color="auto"/>
        <w:left w:val="none" w:sz="0" w:space="0" w:color="auto"/>
        <w:bottom w:val="none" w:sz="0" w:space="0" w:color="auto"/>
        <w:right w:val="none" w:sz="0" w:space="0" w:color="auto"/>
      </w:divBdr>
    </w:div>
    <w:div w:id="1197235765">
      <w:bodyDiv w:val="1"/>
      <w:marLeft w:val="0"/>
      <w:marRight w:val="0"/>
      <w:marTop w:val="0"/>
      <w:marBottom w:val="0"/>
      <w:divBdr>
        <w:top w:val="none" w:sz="0" w:space="0" w:color="auto"/>
        <w:left w:val="none" w:sz="0" w:space="0" w:color="auto"/>
        <w:bottom w:val="none" w:sz="0" w:space="0" w:color="auto"/>
        <w:right w:val="none" w:sz="0" w:space="0" w:color="auto"/>
      </w:divBdr>
    </w:div>
    <w:div w:id="1197963704">
      <w:bodyDiv w:val="1"/>
      <w:marLeft w:val="0"/>
      <w:marRight w:val="0"/>
      <w:marTop w:val="0"/>
      <w:marBottom w:val="0"/>
      <w:divBdr>
        <w:top w:val="none" w:sz="0" w:space="0" w:color="auto"/>
        <w:left w:val="none" w:sz="0" w:space="0" w:color="auto"/>
        <w:bottom w:val="none" w:sz="0" w:space="0" w:color="auto"/>
        <w:right w:val="none" w:sz="0" w:space="0" w:color="auto"/>
      </w:divBdr>
    </w:div>
    <w:div w:id="1251499158">
      <w:bodyDiv w:val="1"/>
      <w:marLeft w:val="0"/>
      <w:marRight w:val="0"/>
      <w:marTop w:val="0"/>
      <w:marBottom w:val="0"/>
      <w:divBdr>
        <w:top w:val="none" w:sz="0" w:space="0" w:color="auto"/>
        <w:left w:val="none" w:sz="0" w:space="0" w:color="auto"/>
        <w:bottom w:val="none" w:sz="0" w:space="0" w:color="auto"/>
        <w:right w:val="none" w:sz="0" w:space="0" w:color="auto"/>
      </w:divBdr>
    </w:div>
    <w:div w:id="1364864719">
      <w:bodyDiv w:val="1"/>
      <w:marLeft w:val="0"/>
      <w:marRight w:val="0"/>
      <w:marTop w:val="0"/>
      <w:marBottom w:val="0"/>
      <w:divBdr>
        <w:top w:val="none" w:sz="0" w:space="0" w:color="auto"/>
        <w:left w:val="none" w:sz="0" w:space="0" w:color="auto"/>
        <w:bottom w:val="none" w:sz="0" w:space="0" w:color="auto"/>
        <w:right w:val="none" w:sz="0" w:space="0" w:color="auto"/>
      </w:divBdr>
    </w:div>
    <w:div w:id="1486437680">
      <w:bodyDiv w:val="1"/>
      <w:marLeft w:val="0"/>
      <w:marRight w:val="0"/>
      <w:marTop w:val="0"/>
      <w:marBottom w:val="0"/>
      <w:divBdr>
        <w:top w:val="none" w:sz="0" w:space="0" w:color="auto"/>
        <w:left w:val="none" w:sz="0" w:space="0" w:color="auto"/>
        <w:bottom w:val="none" w:sz="0" w:space="0" w:color="auto"/>
        <w:right w:val="none" w:sz="0" w:space="0" w:color="auto"/>
      </w:divBdr>
    </w:div>
    <w:div w:id="1555045538">
      <w:bodyDiv w:val="1"/>
      <w:marLeft w:val="0"/>
      <w:marRight w:val="0"/>
      <w:marTop w:val="0"/>
      <w:marBottom w:val="0"/>
      <w:divBdr>
        <w:top w:val="none" w:sz="0" w:space="0" w:color="auto"/>
        <w:left w:val="none" w:sz="0" w:space="0" w:color="auto"/>
        <w:bottom w:val="none" w:sz="0" w:space="0" w:color="auto"/>
        <w:right w:val="none" w:sz="0" w:space="0" w:color="auto"/>
      </w:divBdr>
    </w:div>
    <w:div w:id="1642542565">
      <w:bodyDiv w:val="1"/>
      <w:marLeft w:val="0"/>
      <w:marRight w:val="0"/>
      <w:marTop w:val="0"/>
      <w:marBottom w:val="0"/>
      <w:divBdr>
        <w:top w:val="none" w:sz="0" w:space="0" w:color="auto"/>
        <w:left w:val="none" w:sz="0" w:space="0" w:color="auto"/>
        <w:bottom w:val="none" w:sz="0" w:space="0" w:color="auto"/>
        <w:right w:val="none" w:sz="0" w:space="0" w:color="auto"/>
      </w:divBdr>
    </w:div>
    <w:div w:id="1678993415">
      <w:bodyDiv w:val="1"/>
      <w:marLeft w:val="0"/>
      <w:marRight w:val="0"/>
      <w:marTop w:val="0"/>
      <w:marBottom w:val="0"/>
      <w:divBdr>
        <w:top w:val="none" w:sz="0" w:space="0" w:color="auto"/>
        <w:left w:val="none" w:sz="0" w:space="0" w:color="auto"/>
        <w:bottom w:val="none" w:sz="0" w:space="0" w:color="auto"/>
        <w:right w:val="none" w:sz="0" w:space="0" w:color="auto"/>
      </w:divBdr>
    </w:div>
    <w:div w:id="1704861242">
      <w:bodyDiv w:val="1"/>
      <w:marLeft w:val="0"/>
      <w:marRight w:val="0"/>
      <w:marTop w:val="0"/>
      <w:marBottom w:val="0"/>
      <w:divBdr>
        <w:top w:val="none" w:sz="0" w:space="0" w:color="auto"/>
        <w:left w:val="none" w:sz="0" w:space="0" w:color="auto"/>
        <w:bottom w:val="none" w:sz="0" w:space="0" w:color="auto"/>
        <w:right w:val="none" w:sz="0" w:space="0" w:color="auto"/>
      </w:divBdr>
    </w:div>
    <w:div w:id="1732997191">
      <w:bodyDiv w:val="1"/>
      <w:marLeft w:val="0"/>
      <w:marRight w:val="0"/>
      <w:marTop w:val="0"/>
      <w:marBottom w:val="0"/>
      <w:divBdr>
        <w:top w:val="none" w:sz="0" w:space="0" w:color="auto"/>
        <w:left w:val="none" w:sz="0" w:space="0" w:color="auto"/>
        <w:bottom w:val="none" w:sz="0" w:space="0" w:color="auto"/>
        <w:right w:val="none" w:sz="0" w:space="0" w:color="auto"/>
      </w:divBdr>
    </w:div>
    <w:div w:id="1759248525">
      <w:bodyDiv w:val="1"/>
      <w:marLeft w:val="0"/>
      <w:marRight w:val="0"/>
      <w:marTop w:val="0"/>
      <w:marBottom w:val="0"/>
      <w:divBdr>
        <w:top w:val="none" w:sz="0" w:space="0" w:color="auto"/>
        <w:left w:val="none" w:sz="0" w:space="0" w:color="auto"/>
        <w:bottom w:val="none" w:sz="0" w:space="0" w:color="auto"/>
        <w:right w:val="none" w:sz="0" w:space="0" w:color="auto"/>
      </w:divBdr>
    </w:div>
    <w:div w:id="2074963474">
      <w:bodyDiv w:val="1"/>
      <w:marLeft w:val="0"/>
      <w:marRight w:val="0"/>
      <w:marTop w:val="0"/>
      <w:marBottom w:val="0"/>
      <w:divBdr>
        <w:top w:val="none" w:sz="0" w:space="0" w:color="auto"/>
        <w:left w:val="none" w:sz="0" w:space="0" w:color="auto"/>
        <w:bottom w:val="none" w:sz="0" w:space="0" w:color="auto"/>
        <w:right w:val="none" w:sz="0" w:space="0" w:color="auto"/>
      </w:divBdr>
    </w:div>
    <w:div w:id="2120486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chart" Target="charts/chart3.xml"/><Relationship Id="rId39" Type="http://schemas.openxmlformats.org/officeDocument/2006/relationships/chart" Target="charts/chart10.xml"/><Relationship Id="rId21" Type="http://schemas.openxmlformats.org/officeDocument/2006/relationships/image" Target="media/image9.png"/><Relationship Id="rId34" Type="http://schemas.openxmlformats.org/officeDocument/2006/relationships/chart" Target="charts/chart7.xml"/><Relationship Id="rId42" Type="http://schemas.openxmlformats.org/officeDocument/2006/relationships/image" Target="media/image18.png"/><Relationship Id="rId47" Type="http://schemas.openxmlformats.org/officeDocument/2006/relationships/chart" Target="charts/chart16.xml"/><Relationship Id="rId50" Type="http://schemas.openxmlformats.org/officeDocument/2006/relationships/chart" Target="charts/chart18.xml"/><Relationship Id="rId55" Type="http://schemas.openxmlformats.org/officeDocument/2006/relationships/chart" Target="charts/chart2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3.png"/><Relationship Id="rId11" Type="http://schemas.openxmlformats.org/officeDocument/2006/relationships/header" Target="header1.xml"/><Relationship Id="rId24" Type="http://schemas.openxmlformats.org/officeDocument/2006/relationships/chart" Target="charts/chart2.xml"/><Relationship Id="rId32" Type="http://schemas.openxmlformats.org/officeDocument/2006/relationships/image" Target="media/image15.png"/><Relationship Id="rId37" Type="http://schemas.openxmlformats.org/officeDocument/2006/relationships/chart" Target="charts/chart9.xml"/><Relationship Id="rId40" Type="http://schemas.openxmlformats.org/officeDocument/2006/relationships/chart" Target="charts/chart11.xml"/><Relationship Id="rId45" Type="http://schemas.openxmlformats.org/officeDocument/2006/relationships/image" Target="media/image19.png"/><Relationship Id="rId53" Type="http://schemas.openxmlformats.org/officeDocument/2006/relationships/chart" Target="charts/chart20.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gif"/><Relationship Id="rId22" Type="http://schemas.openxmlformats.org/officeDocument/2006/relationships/chart" Target="charts/chart1.xml"/><Relationship Id="rId27" Type="http://schemas.openxmlformats.org/officeDocument/2006/relationships/image" Target="media/image12.png"/><Relationship Id="rId30" Type="http://schemas.openxmlformats.org/officeDocument/2006/relationships/chart" Target="charts/chart5.xml"/><Relationship Id="rId35" Type="http://schemas.openxmlformats.org/officeDocument/2006/relationships/chart" Target="charts/chart8.xml"/><Relationship Id="rId43" Type="http://schemas.openxmlformats.org/officeDocument/2006/relationships/chart" Target="charts/chart13.xml"/><Relationship Id="rId48" Type="http://schemas.openxmlformats.org/officeDocument/2006/relationships/image" Target="media/image20.png"/><Relationship Id="rId56" Type="http://schemas.openxmlformats.org/officeDocument/2006/relationships/image" Target="media/image23.png"/><Relationship Id="rId8" Type="http://schemas.openxmlformats.org/officeDocument/2006/relationships/webSettings" Target="webSettings.xml"/><Relationship Id="rId51" Type="http://schemas.openxmlformats.org/officeDocument/2006/relationships/image" Target="media/image21.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chart" Target="charts/chart6.xml"/><Relationship Id="rId38" Type="http://schemas.openxmlformats.org/officeDocument/2006/relationships/image" Target="media/image17.png"/><Relationship Id="rId46" Type="http://schemas.openxmlformats.org/officeDocument/2006/relationships/chart" Target="charts/chart15.xml"/><Relationship Id="rId20" Type="http://schemas.openxmlformats.org/officeDocument/2006/relationships/image" Target="media/image8.png"/><Relationship Id="rId41" Type="http://schemas.openxmlformats.org/officeDocument/2006/relationships/chart" Target="charts/chart12.xml"/><Relationship Id="rId54"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chart" Target="charts/chart4.xml"/><Relationship Id="rId36" Type="http://schemas.openxmlformats.org/officeDocument/2006/relationships/image" Target="media/image16.png"/><Relationship Id="rId49" Type="http://schemas.openxmlformats.org/officeDocument/2006/relationships/chart" Target="charts/chart17.xm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chart" Target="charts/chart14.xml"/><Relationship Id="rId52" Type="http://schemas.openxmlformats.org/officeDocument/2006/relationships/chart" Target="charts/chart1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johnm\OneDrive\Desktop\Connell_Dissertation\Connell_Dissertation_Final%20Analyses%20_ALL%20RESULTS.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johnm\OneDrive\Desktop\Connell_Dissertation\Connell_Dissertation_Final%20Analyses%20_ALL%20RESUL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duration of object proximity zones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dk1">
                <a:tint val="88500"/>
              </a:schemeClr>
            </a:solidFill>
            <a:ln>
              <a:noFill/>
            </a:ln>
            <a:effectLst/>
          </c:spPr>
          <c:invertIfNegative val="0"/>
          <c:dPt>
            <c:idx val="0"/>
            <c:invertIfNegative val="0"/>
            <c:bubble3D val="0"/>
            <c:spPr>
              <a:solidFill>
                <a:schemeClr val="tx1"/>
              </a:solidFill>
              <a:ln>
                <a:noFill/>
              </a:ln>
              <a:effectLst/>
            </c:spPr>
            <c:extLst>
              <c:ext xmlns:c16="http://schemas.microsoft.com/office/drawing/2014/chart" uri="{C3380CC4-5D6E-409C-BE32-E72D297353CC}">
                <c16:uniqueId val="{00000001-23E9-486B-9F3C-600FCC40D808}"/>
              </c:ext>
            </c:extLst>
          </c:dPt>
          <c:dPt>
            <c:idx val="1"/>
            <c:invertIfNegative val="0"/>
            <c:bubble3D val="0"/>
            <c:extLst>
              <c:ext xmlns:c16="http://schemas.microsoft.com/office/drawing/2014/chart" uri="{C3380CC4-5D6E-409C-BE32-E72D297353CC}">
                <c16:uniqueId val="{00000002-23E9-486B-9F3C-600FCC40D808}"/>
              </c:ext>
            </c:extLst>
          </c:dPt>
          <c:dPt>
            <c:idx val="2"/>
            <c:invertIfNegative val="0"/>
            <c:bubble3D val="0"/>
            <c:spPr>
              <a:solidFill>
                <a:schemeClr val="bg1">
                  <a:lumMod val="85000"/>
                </a:schemeClr>
              </a:solidFill>
              <a:ln>
                <a:noFill/>
              </a:ln>
              <a:effectLst/>
            </c:spPr>
            <c:extLst>
              <c:ext xmlns:c16="http://schemas.microsoft.com/office/drawing/2014/chart" uri="{C3380CC4-5D6E-409C-BE32-E72D297353CC}">
                <c16:uniqueId val="{00000004-23E9-486B-9F3C-600FCC40D808}"/>
              </c:ext>
            </c:extLst>
          </c:dPt>
          <c:errBars>
            <c:errBarType val="both"/>
            <c:errValType val="cust"/>
            <c:noEndCap val="0"/>
            <c:plus>
              <c:numRef>
                <c:f>'Proximity Zone Duration'!$D$20:$D$22</c:f>
                <c:numCache>
                  <c:formatCode>General</c:formatCode>
                  <c:ptCount val="3"/>
                  <c:pt idx="0">
                    <c:v>1689.0316800000001</c:v>
                  </c:pt>
                  <c:pt idx="1">
                    <c:v>1673.53865</c:v>
                  </c:pt>
                  <c:pt idx="2">
                    <c:v>1683.81918</c:v>
                  </c:pt>
                </c:numCache>
              </c:numRef>
            </c:plus>
            <c:minus>
              <c:numRef>
                <c:f>'Proximity Zone Duration'!$D$20:$D$22</c:f>
                <c:numCache>
                  <c:formatCode>General</c:formatCode>
                  <c:ptCount val="3"/>
                  <c:pt idx="0">
                    <c:v>1689.0316800000001</c:v>
                  </c:pt>
                  <c:pt idx="1">
                    <c:v>1673.53865</c:v>
                  </c:pt>
                  <c:pt idx="2">
                    <c:v>1683.81918</c:v>
                  </c:pt>
                </c:numCache>
              </c:numRef>
            </c:minus>
            <c:spPr>
              <a:noFill/>
              <a:ln w="9525" cap="flat" cmpd="sng" algn="ctr">
                <a:solidFill>
                  <a:schemeClr val="tx1">
                    <a:lumMod val="65000"/>
                    <a:lumOff val="35000"/>
                  </a:schemeClr>
                </a:solidFill>
                <a:round/>
              </a:ln>
              <a:effectLst/>
            </c:spPr>
          </c:errBars>
          <c:cat>
            <c:strRef>
              <c:f>'Proximity Zone Duration'!$B$20:$B$22</c:f>
              <c:strCache>
                <c:ptCount val="3"/>
                <c:pt idx="0">
                  <c:v>Toy-out-of-Reach</c:v>
                </c:pt>
                <c:pt idx="1">
                  <c:v>Toy-Moving-into_Reach</c:v>
                </c:pt>
                <c:pt idx="2">
                  <c:v>Toy-in-Reach</c:v>
                </c:pt>
              </c:strCache>
            </c:strRef>
          </c:cat>
          <c:val>
            <c:numRef>
              <c:f>'Proximity Zone Duration'!$C$20:$C$22</c:f>
              <c:numCache>
                <c:formatCode>General</c:formatCode>
                <c:ptCount val="3"/>
                <c:pt idx="0">
                  <c:v>17023.3194</c:v>
                </c:pt>
                <c:pt idx="1">
                  <c:v>3271.9095000000002</c:v>
                </c:pt>
                <c:pt idx="2">
                  <c:v>19284.945599999999</c:v>
                </c:pt>
              </c:numCache>
            </c:numRef>
          </c:val>
          <c:extLst>
            <c:ext xmlns:c16="http://schemas.microsoft.com/office/drawing/2014/chart" uri="{C3380CC4-5D6E-409C-BE32-E72D297353CC}">
              <c16:uniqueId val="{00000005-23E9-486B-9F3C-600FCC40D808}"/>
            </c:ext>
          </c:extLst>
        </c:ser>
        <c:dLbls>
          <c:showLegendKey val="0"/>
          <c:showVal val="0"/>
          <c:showCatName val="0"/>
          <c:showSerName val="0"/>
          <c:showPercent val="0"/>
          <c:showBubbleSize val="0"/>
        </c:dLbls>
        <c:gapWidth val="219"/>
        <c:overlap val="-27"/>
        <c:axId val="785874864"/>
        <c:axId val="785878704"/>
      </c:barChart>
      <c:catAx>
        <c:axId val="78587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5878704"/>
        <c:crosses val="autoZero"/>
        <c:auto val="1"/>
        <c:lblAlgn val="ctr"/>
        <c:lblOffset val="100"/>
        <c:noMultiLvlLbl val="0"/>
      </c:catAx>
      <c:valAx>
        <c:axId val="785878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duration (ms)</a:t>
                </a:r>
              </a:p>
            </c:rich>
          </c:tx>
          <c:layout>
            <c:manualLayout>
              <c:xMode val="edge"/>
              <c:yMode val="edge"/>
              <c:x val="1.8264840182648401E-2"/>
              <c:y val="0.267330489938757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5874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 duration of object proximity zones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Early Reach Group</c:v>
          </c:tx>
          <c:spPr>
            <a:solidFill>
              <a:schemeClr val="tx1">
                <a:lumMod val="85000"/>
                <a:lumOff val="15000"/>
              </a:schemeClr>
            </a:solidFill>
            <a:ln>
              <a:noFill/>
            </a:ln>
            <a:effectLst/>
          </c:spPr>
          <c:invertIfNegative val="0"/>
          <c:dPt>
            <c:idx val="0"/>
            <c:invertIfNegative val="0"/>
            <c:bubble3D val="0"/>
            <c:spPr>
              <a:solidFill>
                <a:schemeClr val="tx1">
                  <a:lumMod val="85000"/>
                  <a:lumOff val="15000"/>
                </a:schemeClr>
              </a:solidFill>
              <a:ln>
                <a:noFill/>
              </a:ln>
              <a:effectLst/>
            </c:spPr>
            <c:extLst>
              <c:ext xmlns:c16="http://schemas.microsoft.com/office/drawing/2014/chart" uri="{C3380CC4-5D6E-409C-BE32-E72D297353CC}">
                <c16:uniqueId val="{00000001-C4ED-4A49-93A5-94E96BC51AFB}"/>
              </c:ext>
            </c:extLst>
          </c:dPt>
          <c:dPt>
            <c:idx val="1"/>
            <c:invertIfNegative val="0"/>
            <c:bubble3D val="0"/>
            <c:extLst>
              <c:ext xmlns:c16="http://schemas.microsoft.com/office/drawing/2014/chart" uri="{C3380CC4-5D6E-409C-BE32-E72D297353CC}">
                <c16:uniqueId val="{00000002-C4ED-4A49-93A5-94E96BC51AFB}"/>
              </c:ext>
            </c:extLst>
          </c:dPt>
          <c:dPt>
            <c:idx val="2"/>
            <c:invertIfNegative val="0"/>
            <c:bubble3D val="0"/>
            <c:spPr>
              <a:solidFill>
                <a:schemeClr val="tx1">
                  <a:lumMod val="85000"/>
                  <a:lumOff val="15000"/>
                </a:schemeClr>
              </a:solidFill>
              <a:ln>
                <a:noFill/>
              </a:ln>
              <a:effectLst/>
            </c:spPr>
            <c:extLst>
              <c:ext xmlns:c16="http://schemas.microsoft.com/office/drawing/2014/chart" uri="{C3380CC4-5D6E-409C-BE32-E72D297353CC}">
                <c16:uniqueId val="{00000004-C4ED-4A49-93A5-94E96BC51AFB}"/>
              </c:ext>
            </c:extLst>
          </c:dPt>
          <c:errBars>
            <c:errBarType val="both"/>
            <c:errValType val="cust"/>
            <c:noEndCap val="0"/>
            <c:plus>
              <c:numRef>
                <c:f>'GROUPS_Proximity Zone Dura'!$D$29:$D$31</c:f>
                <c:numCache>
                  <c:formatCode>General</c:formatCode>
                  <c:ptCount val="3"/>
                  <c:pt idx="0">
                    <c:v>1891.7581499999999</c:v>
                  </c:pt>
                  <c:pt idx="1">
                    <c:v>1891.08231</c:v>
                  </c:pt>
                  <c:pt idx="2">
                    <c:v>1890.58656</c:v>
                  </c:pt>
                </c:numCache>
              </c:numRef>
            </c:plus>
            <c:minus>
              <c:numRef>
                <c:f>'GROUPS_Proximity Zone Dura'!$D$29:$D$31</c:f>
                <c:numCache>
                  <c:formatCode>General</c:formatCode>
                  <c:ptCount val="3"/>
                  <c:pt idx="0">
                    <c:v>1891.7581499999999</c:v>
                  </c:pt>
                  <c:pt idx="1">
                    <c:v>1891.08231</c:v>
                  </c:pt>
                  <c:pt idx="2">
                    <c:v>1890.58656</c:v>
                  </c:pt>
                </c:numCache>
              </c:numRef>
            </c:minus>
            <c:spPr>
              <a:noFill/>
              <a:ln w="9525" cap="flat" cmpd="sng" algn="ctr">
                <a:solidFill>
                  <a:schemeClr val="tx1">
                    <a:lumMod val="65000"/>
                    <a:lumOff val="35000"/>
                  </a:schemeClr>
                </a:solidFill>
                <a:round/>
              </a:ln>
              <a:effectLst/>
            </c:spPr>
          </c:errBars>
          <c:cat>
            <c:strRef>
              <c:f>'GROUPS_Proximity Zone Dura'!$B$29:$B$31</c:f>
              <c:strCache>
                <c:ptCount val="3"/>
                <c:pt idx="0">
                  <c:v>Toy-out-of-Reach</c:v>
                </c:pt>
                <c:pt idx="1">
                  <c:v>Toy-Moving-into_Reach</c:v>
                </c:pt>
                <c:pt idx="2">
                  <c:v>Toy-in-Reach</c:v>
                </c:pt>
              </c:strCache>
            </c:strRef>
          </c:cat>
          <c:val>
            <c:numRef>
              <c:f>'GROUPS_Proximity Zone Dura'!$C$29:$C$31</c:f>
              <c:numCache>
                <c:formatCode>General</c:formatCode>
                <c:ptCount val="3"/>
                <c:pt idx="0">
                  <c:v>19103.199799999999</c:v>
                </c:pt>
                <c:pt idx="1">
                  <c:v>3647.0297999999998</c:v>
                </c:pt>
                <c:pt idx="2">
                  <c:v>15177.7394</c:v>
                </c:pt>
              </c:numCache>
            </c:numRef>
          </c:val>
          <c:extLst>
            <c:ext xmlns:c16="http://schemas.microsoft.com/office/drawing/2014/chart" uri="{C3380CC4-5D6E-409C-BE32-E72D297353CC}">
              <c16:uniqueId val="{00000005-C4ED-4A49-93A5-94E96BC51AFB}"/>
            </c:ext>
          </c:extLst>
        </c:ser>
        <c:ser>
          <c:idx val="1"/>
          <c:order val="1"/>
          <c:tx>
            <c:v>Late Reach Group</c:v>
          </c:tx>
          <c:spPr>
            <a:solidFill>
              <a:schemeClr val="dk1">
                <a:tint val="55000"/>
              </a:schemeClr>
            </a:solidFill>
            <a:ln>
              <a:noFill/>
            </a:ln>
            <a:effectLst/>
          </c:spPr>
          <c:invertIfNegative val="0"/>
          <c:errBars>
            <c:errBarType val="both"/>
            <c:errValType val="cust"/>
            <c:noEndCap val="0"/>
            <c:plus>
              <c:numRef>
                <c:f>'GROUPS_Proximity Zone Dura'!$D$32:$D$34</c:f>
                <c:numCache>
                  <c:formatCode>General</c:formatCode>
                  <c:ptCount val="3"/>
                  <c:pt idx="0">
                    <c:v>2040.10959</c:v>
                  </c:pt>
                  <c:pt idx="1">
                    <c:v>2038.30457</c:v>
                  </c:pt>
                  <c:pt idx="2">
                    <c:v>2036.92967</c:v>
                  </c:pt>
                </c:numCache>
              </c:numRef>
            </c:plus>
            <c:minus>
              <c:numRef>
                <c:f>'GROUPS_Proximity Zone Dura'!$D$32:$D$34</c:f>
                <c:numCache>
                  <c:formatCode>General</c:formatCode>
                  <c:ptCount val="3"/>
                  <c:pt idx="0">
                    <c:v>2040.10959</c:v>
                  </c:pt>
                  <c:pt idx="1">
                    <c:v>2038.30457</c:v>
                  </c:pt>
                  <c:pt idx="2">
                    <c:v>2036.92967</c:v>
                  </c:pt>
                </c:numCache>
              </c:numRef>
            </c:minus>
            <c:spPr>
              <a:noFill/>
              <a:ln w="9525" cap="flat" cmpd="sng" algn="ctr">
                <a:solidFill>
                  <a:schemeClr val="tx1">
                    <a:lumMod val="65000"/>
                    <a:lumOff val="35000"/>
                  </a:schemeClr>
                </a:solidFill>
                <a:round/>
              </a:ln>
              <a:effectLst/>
            </c:spPr>
          </c:errBars>
          <c:val>
            <c:numRef>
              <c:f>'GROUPS_Proximity Zone Dura'!$C$32:$C$34</c:f>
              <c:numCache>
                <c:formatCode>General</c:formatCode>
                <c:ptCount val="3"/>
                <c:pt idx="0">
                  <c:v>15305.834000000001</c:v>
                </c:pt>
                <c:pt idx="1">
                  <c:v>3386.8285000000001</c:v>
                </c:pt>
                <c:pt idx="2">
                  <c:v>16267.6741</c:v>
                </c:pt>
              </c:numCache>
            </c:numRef>
          </c:val>
          <c:extLst>
            <c:ext xmlns:c16="http://schemas.microsoft.com/office/drawing/2014/chart" uri="{C3380CC4-5D6E-409C-BE32-E72D297353CC}">
              <c16:uniqueId val="{00000006-C4ED-4A49-93A5-94E96BC51AFB}"/>
            </c:ext>
          </c:extLst>
        </c:ser>
        <c:dLbls>
          <c:showLegendKey val="0"/>
          <c:showVal val="0"/>
          <c:showCatName val="0"/>
          <c:showSerName val="0"/>
          <c:showPercent val="0"/>
          <c:showBubbleSize val="0"/>
        </c:dLbls>
        <c:gapWidth val="219"/>
        <c:overlap val="-27"/>
        <c:axId val="785874864"/>
        <c:axId val="785878704"/>
      </c:barChart>
      <c:catAx>
        <c:axId val="78587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878704"/>
        <c:crosses val="autoZero"/>
        <c:auto val="1"/>
        <c:lblAlgn val="ctr"/>
        <c:lblOffset val="100"/>
        <c:noMultiLvlLbl val="0"/>
      </c:catAx>
      <c:valAx>
        <c:axId val="785878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duration (ms)</a:t>
                </a:r>
              </a:p>
            </c:rich>
          </c:tx>
          <c:layout>
            <c:manualLayout>
              <c:xMode val="edge"/>
              <c:yMode val="edge"/>
              <c:x val="1.8264860031297351E-2"/>
              <c:y val="0.128922431408876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87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0"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Frequency of Event for Early Reach Group per Week  by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GROUPS_Frequencies!$D$101</c:f>
              <c:strCache>
                <c:ptCount val="1"/>
                <c:pt idx="0">
                  <c:v>Face</c:v>
                </c:pt>
              </c:strCache>
            </c:strRef>
          </c:tx>
          <c:spPr>
            <a:solidFill>
              <a:schemeClr val="dk1">
                <a:tint val="88500"/>
              </a:schemeClr>
            </a:solidFill>
            <a:ln>
              <a:noFill/>
            </a:ln>
            <a:effectLst/>
          </c:spPr>
          <c:invertIfNegative val="0"/>
          <c:errBars>
            <c:errBarType val="both"/>
            <c:errValType val="cust"/>
            <c:noEndCap val="0"/>
            <c:plus>
              <c:numRef>
                <c:f>GROUPS_Frequencies!$F$101:$F$111</c:f>
                <c:numCache>
                  <c:formatCode>General</c:formatCode>
                  <c:ptCount val="11"/>
                  <c:pt idx="0">
                    <c:v>0.10217</c:v>
                  </c:pt>
                  <c:pt idx="1">
                    <c:v>0.16991999999999999</c:v>
                  </c:pt>
                  <c:pt idx="2">
                    <c:v>0.45212000000000002</c:v>
                  </c:pt>
                  <c:pt idx="3">
                    <c:v>0.24476000000000001</c:v>
                  </c:pt>
                  <c:pt idx="4">
                    <c:v>0.15024999999999999</c:v>
                  </c:pt>
                  <c:pt idx="5">
                    <c:v>4.4979999999999999E-2</c:v>
                  </c:pt>
                  <c:pt idx="6">
                    <c:v>0.12659999999999999</c:v>
                  </c:pt>
                  <c:pt idx="7">
                    <c:v>2.7299999999999998E-3</c:v>
                  </c:pt>
                  <c:pt idx="8">
                    <c:v>3.49E-2</c:v>
                  </c:pt>
                  <c:pt idx="9">
                    <c:v>7.3209999999999997E-2</c:v>
                  </c:pt>
                  <c:pt idx="10">
                    <c:v>1.421E-2</c:v>
                  </c:pt>
                </c:numCache>
              </c:numRef>
            </c:plus>
            <c:minus>
              <c:numRef>
                <c:f>GROUPS_Frequencies!$F$101:$F$111</c:f>
                <c:numCache>
                  <c:formatCode>General</c:formatCode>
                  <c:ptCount val="11"/>
                  <c:pt idx="0">
                    <c:v>0.10217</c:v>
                  </c:pt>
                  <c:pt idx="1">
                    <c:v>0.16991999999999999</c:v>
                  </c:pt>
                  <c:pt idx="2">
                    <c:v>0.45212000000000002</c:v>
                  </c:pt>
                  <c:pt idx="3">
                    <c:v>0.24476000000000001</c:v>
                  </c:pt>
                  <c:pt idx="4">
                    <c:v>0.15024999999999999</c:v>
                  </c:pt>
                  <c:pt idx="5">
                    <c:v>4.4979999999999999E-2</c:v>
                  </c:pt>
                  <c:pt idx="6">
                    <c:v>0.12659999999999999</c:v>
                  </c:pt>
                  <c:pt idx="7">
                    <c:v>2.7299999999999998E-3</c:v>
                  </c:pt>
                  <c:pt idx="8">
                    <c:v>3.49E-2</c:v>
                  </c:pt>
                  <c:pt idx="9">
                    <c:v>7.3209999999999997E-2</c:v>
                  </c:pt>
                  <c:pt idx="10">
                    <c:v>1.421E-2</c:v>
                  </c:pt>
                </c:numCache>
              </c:numRef>
            </c:minus>
            <c:spPr>
              <a:noFill/>
              <a:ln w="9525" cap="flat" cmpd="sng" algn="ctr">
                <a:solidFill>
                  <a:schemeClr val="tx1">
                    <a:lumMod val="65000"/>
                    <a:lumOff val="35000"/>
                  </a:schemeClr>
                </a:solidFill>
                <a:round/>
              </a:ln>
              <a:effectLst/>
            </c:spPr>
          </c:errBars>
          <c:cat>
            <c:strRef>
              <c:f>GROUPS_Frequencies!$C$101:$C$111</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GROUPS_Frequencies!$E$101:$E$111</c:f>
              <c:numCache>
                <c:formatCode>General</c:formatCode>
                <c:ptCount val="11"/>
                <c:pt idx="0">
                  <c:v>4.7687999999999997</c:v>
                </c:pt>
                <c:pt idx="1">
                  <c:v>0.3271</c:v>
                </c:pt>
                <c:pt idx="2">
                  <c:v>0.65339999999999998</c:v>
                </c:pt>
                <c:pt idx="3">
                  <c:v>0.64490000000000003</c:v>
                </c:pt>
                <c:pt idx="4">
                  <c:v>-4.4699999999999997E-2</c:v>
                </c:pt>
                <c:pt idx="5">
                  <c:v>5.3999999999999999E-2</c:v>
                </c:pt>
                <c:pt idx="6">
                  <c:v>0.25290000000000001</c:v>
                </c:pt>
                <c:pt idx="7">
                  <c:v>-2.2200000000000001E-2</c:v>
                </c:pt>
                <c:pt idx="8">
                  <c:v>6.0199999999999997E-2</c:v>
                </c:pt>
                <c:pt idx="9">
                  <c:v>-3.73E-2</c:v>
                </c:pt>
                <c:pt idx="10">
                  <c:v>5.7000000000000002E-3</c:v>
                </c:pt>
              </c:numCache>
            </c:numRef>
          </c:val>
          <c:extLst>
            <c:ext xmlns:c16="http://schemas.microsoft.com/office/drawing/2014/chart" uri="{C3380CC4-5D6E-409C-BE32-E72D297353CC}">
              <c16:uniqueId val="{00000000-A506-484F-8798-42116479EF21}"/>
            </c:ext>
          </c:extLst>
        </c:ser>
        <c:ser>
          <c:idx val="1"/>
          <c:order val="1"/>
          <c:tx>
            <c:strRef>
              <c:f>GROUPS_Frequencies!$D$112</c:f>
              <c:strCache>
                <c:ptCount val="1"/>
                <c:pt idx="0">
                  <c:v>Hand</c:v>
                </c:pt>
              </c:strCache>
            </c:strRef>
          </c:tx>
          <c:spPr>
            <a:solidFill>
              <a:schemeClr val="dk1">
                <a:tint val="55000"/>
              </a:schemeClr>
            </a:solidFill>
            <a:ln>
              <a:noFill/>
            </a:ln>
            <a:effectLst/>
          </c:spPr>
          <c:invertIfNegative val="0"/>
          <c:errBars>
            <c:errBarType val="both"/>
            <c:errValType val="cust"/>
            <c:noEndCap val="0"/>
            <c:plus>
              <c:numRef>
                <c:f>GROUPS_Frequencies!$F$112:$F$122</c:f>
                <c:numCache>
                  <c:formatCode>General</c:formatCode>
                  <c:ptCount val="11"/>
                  <c:pt idx="0">
                    <c:v>0.13391</c:v>
                  </c:pt>
                  <c:pt idx="1">
                    <c:v>0.37544</c:v>
                  </c:pt>
                  <c:pt idx="2">
                    <c:v>0.13633999999999999</c:v>
                  </c:pt>
                  <c:pt idx="3">
                    <c:v>0.28992000000000001</c:v>
                  </c:pt>
                  <c:pt idx="4">
                    <c:v>0.1386</c:v>
                  </c:pt>
                  <c:pt idx="5">
                    <c:v>0.27603</c:v>
                  </c:pt>
                  <c:pt idx="6">
                    <c:v>0.28666999999999998</c:v>
                  </c:pt>
                  <c:pt idx="7">
                    <c:v>0.36664000000000002</c:v>
                  </c:pt>
                  <c:pt idx="8">
                    <c:v>0.34506999999999999</c:v>
                  </c:pt>
                  <c:pt idx="9">
                    <c:v>0.47846</c:v>
                  </c:pt>
                  <c:pt idx="10">
                    <c:v>0.85857000000000006</c:v>
                  </c:pt>
                </c:numCache>
              </c:numRef>
            </c:plus>
            <c:minus>
              <c:numRef>
                <c:f>GROUPS_Frequencies!$F$112:$F$122</c:f>
                <c:numCache>
                  <c:formatCode>General</c:formatCode>
                  <c:ptCount val="11"/>
                  <c:pt idx="0">
                    <c:v>0.13391</c:v>
                  </c:pt>
                  <c:pt idx="1">
                    <c:v>0.37544</c:v>
                  </c:pt>
                  <c:pt idx="2">
                    <c:v>0.13633999999999999</c:v>
                  </c:pt>
                  <c:pt idx="3">
                    <c:v>0.28992000000000001</c:v>
                  </c:pt>
                  <c:pt idx="4">
                    <c:v>0.1386</c:v>
                  </c:pt>
                  <c:pt idx="5">
                    <c:v>0.27603</c:v>
                  </c:pt>
                  <c:pt idx="6">
                    <c:v>0.28666999999999998</c:v>
                  </c:pt>
                  <c:pt idx="7">
                    <c:v>0.36664000000000002</c:v>
                  </c:pt>
                  <c:pt idx="8">
                    <c:v>0.34506999999999999</c:v>
                  </c:pt>
                  <c:pt idx="9">
                    <c:v>0.47846</c:v>
                  </c:pt>
                  <c:pt idx="10">
                    <c:v>0.85857000000000006</c:v>
                  </c:pt>
                </c:numCache>
              </c:numRef>
            </c:minus>
            <c:spPr>
              <a:noFill/>
              <a:ln w="9525" cap="flat" cmpd="sng" algn="ctr">
                <a:solidFill>
                  <a:schemeClr val="tx1">
                    <a:lumMod val="65000"/>
                    <a:lumOff val="35000"/>
                  </a:schemeClr>
                </a:solidFill>
                <a:round/>
              </a:ln>
              <a:effectLst/>
            </c:spPr>
          </c:errBars>
          <c:val>
            <c:numRef>
              <c:f>GROUPS_Frequencies!$E$112:$E$122</c:f>
              <c:numCache>
                <c:formatCode>General</c:formatCode>
                <c:ptCount val="11"/>
                <c:pt idx="0">
                  <c:v>-5.0999999999999997E-2</c:v>
                </c:pt>
                <c:pt idx="1">
                  <c:v>0.65359999999999996</c:v>
                </c:pt>
                <c:pt idx="2">
                  <c:v>0.11459999999999999</c:v>
                </c:pt>
                <c:pt idx="3">
                  <c:v>0.309</c:v>
                </c:pt>
                <c:pt idx="4">
                  <c:v>0.18990000000000001</c:v>
                </c:pt>
                <c:pt idx="5">
                  <c:v>0.1855</c:v>
                </c:pt>
                <c:pt idx="6">
                  <c:v>0.25659999999999999</c:v>
                </c:pt>
                <c:pt idx="7">
                  <c:v>0.58140000000000003</c:v>
                </c:pt>
                <c:pt idx="8">
                  <c:v>2.3E-2</c:v>
                </c:pt>
                <c:pt idx="9">
                  <c:v>0.70079999999999998</c:v>
                </c:pt>
                <c:pt idx="10">
                  <c:v>1.0427999999999999</c:v>
                </c:pt>
              </c:numCache>
            </c:numRef>
          </c:val>
          <c:extLst>
            <c:ext xmlns:c16="http://schemas.microsoft.com/office/drawing/2014/chart" uri="{C3380CC4-5D6E-409C-BE32-E72D297353CC}">
              <c16:uniqueId val="{00000001-A506-484F-8798-42116479EF21}"/>
            </c:ext>
          </c:extLst>
        </c:ser>
        <c:ser>
          <c:idx val="2"/>
          <c:order val="2"/>
          <c:tx>
            <c:strRef>
              <c:f>GROUPS_Frequencies!$D$123</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GROUPS_Frequencies!$F$124:$F$133</c:f>
                <c:numCache>
                  <c:formatCode>General</c:formatCode>
                  <c:ptCount val="10"/>
                  <c:pt idx="0">
                    <c:v>2.1306500000000002</c:v>
                  </c:pt>
                  <c:pt idx="1">
                    <c:v>4.2142600000000003</c:v>
                  </c:pt>
                  <c:pt idx="2">
                    <c:v>3.2835200000000002</c:v>
                  </c:pt>
                  <c:pt idx="3">
                    <c:v>1.84063</c:v>
                  </c:pt>
                  <c:pt idx="4">
                    <c:v>1.47218</c:v>
                  </c:pt>
                  <c:pt idx="5">
                    <c:v>0.50229000000000001</c:v>
                  </c:pt>
                  <c:pt idx="6">
                    <c:v>0.52356999999999998</c:v>
                  </c:pt>
                  <c:pt idx="7">
                    <c:v>1.24413</c:v>
                  </c:pt>
                  <c:pt idx="8">
                    <c:v>1.8558699999999999</c:v>
                  </c:pt>
                  <c:pt idx="9">
                    <c:v>0.35261999999999999</c:v>
                  </c:pt>
                </c:numCache>
              </c:numRef>
            </c:plus>
            <c:minus>
              <c:numRef>
                <c:f>GROUPS_Frequencies!$F$123:$F$133</c:f>
                <c:numCache>
                  <c:formatCode>General</c:formatCode>
                  <c:ptCount val="11"/>
                  <c:pt idx="0">
                    <c:v>1.3636999999999999</c:v>
                  </c:pt>
                  <c:pt idx="1">
                    <c:v>2.1306500000000002</c:v>
                  </c:pt>
                  <c:pt idx="2">
                    <c:v>4.2142600000000003</c:v>
                  </c:pt>
                  <c:pt idx="3">
                    <c:v>3.2835200000000002</c:v>
                  </c:pt>
                  <c:pt idx="4">
                    <c:v>1.84063</c:v>
                  </c:pt>
                  <c:pt idx="5">
                    <c:v>1.47218</c:v>
                  </c:pt>
                  <c:pt idx="6">
                    <c:v>0.50229000000000001</c:v>
                  </c:pt>
                  <c:pt idx="7">
                    <c:v>0.52356999999999998</c:v>
                  </c:pt>
                  <c:pt idx="8">
                    <c:v>1.24413</c:v>
                  </c:pt>
                  <c:pt idx="9">
                    <c:v>1.8558699999999999</c:v>
                  </c:pt>
                  <c:pt idx="10">
                    <c:v>0.35261999999999999</c:v>
                  </c:pt>
                </c:numCache>
              </c:numRef>
            </c:minus>
            <c:spPr>
              <a:noFill/>
              <a:ln w="9525" cap="flat" cmpd="sng" algn="ctr">
                <a:solidFill>
                  <a:schemeClr val="tx1">
                    <a:lumMod val="65000"/>
                    <a:lumOff val="35000"/>
                  </a:schemeClr>
                </a:solidFill>
                <a:round/>
              </a:ln>
              <a:effectLst/>
            </c:spPr>
          </c:errBars>
          <c:val>
            <c:numRef>
              <c:f>GROUPS_Frequencies!$E$123:$E$133</c:f>
              <c:numCache>
                <c:formatCode>General</c:formatCode>
                <c:ptCount val="11"/>
                <c:pt idx="0">
                  <c:v>-0.79310000000000003</c:v>
                </c:pt>
                <c:pt idx="1">
                  <c:v>1.6980999999999999</c:v>
                </c:pt>
                <c:pt idx="2">
                  <c:v>6.8615000000000004</c:v>
                </c:pt>
                <c:pt idx="3">
                  <c:v>5.4089</c:v>
                </c:pt>
                <c:pt idx="4">
                  <c:v>7.3445999999999998</c:v>
                </c:pt>
                <c:pt idx="5">
                  <c:v>6.1764000000000001</c:v>
                </c:pt>
                <c:pt idx="6">
                  <c:v>1.1418999999999999</c:v>
                </c:pt>
                <c:pt idx="7">
                  <c:v>0.96120000000000005</c:v>
                </c:pt>
                <c:pt idx="8">
                  <c:v>3.0023</c:v>
                </c:pt>
                <c:pt idx="9">
                  <c:v>3.8679000000000001</c:v>
                </c:pt>
                <c:pt idx="10">
                  <c:v>1.2982</c:v>
                </c:pt>
              </c:numCache>
            </c:numRef>
          </c:val>
          <c:extLst>
            <c:ext xmlns:c16="http://schemas.microsoft.com/office/drawing/2014/chart" uri="{C3380CC4-5D6E-409C-BE32-E72D297353CC}">
              <c16:uniqueId val="{00000002-A506-484F-8798-42116479EF21}"/>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Frequency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Frequency of Event for Late Reach Group per Week  by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GROUPS_Frequencies!$D$134</c:f>
              <c:strCache>
                <c:ptCount val="1"/>
                <c:pt idx="0">
                  <c:v>Face</c:v>
                </c:pt>
              </c:strCache>
            </c:strRef>
          </c:tx>
          <c:spPr>
            <a:solidFill>
              <a:schemeClr val="dk1">
                <a:tint val="88500"/>
              </a:schemeClr>
            </a:solidFill>
            <a:ln>
              <a:noFill/>
            </a:ln>
            <a:effectLst/>
          </c:spPr>
          <c:invertIfNegative val="0"/>
          <c:errBars>
            <c:errBarType val="both"/>
            <c:errValType val="cust"/>
            <c:noEndCap val="0"/>
            <c:plus>
              <c:numRef>
                <c:f>GROUPS_Frequencies!$F$134:$F$144</c:f>
                <c:numCache>
                  <c:formatCode>General</c:formatCode>
                  <c:ptCount val="11"/>
                  <c:pt idx="0">
                    <c:v>4.47E-3</c:v>
                  </c:pt>
                  <c:pt idx="1">
                    <c:v>3.1060000000000001E-2</c:v>
                  </c:pt>
                  <c:pt idx="2">
                    <c:v>6.7629999999999996E-2</c:v>
                  </c:pt>
                  <c:pt idx="3">
                    <c:v>4.8259999999999997E-2</c:v>
                  </c:pt>
                  <c:pt idx="4">
                    <c:v>9.3799999999999994E-2</c:v>
                  </c:pt>
                  <c:pt idx="5">
                    <c:v>0.10897</c:v>
                  </c:pt>
                  <c:pt idx="6">
                    <c:v>3.5650000000000001E-2</c:v>
                  </c:pt>
                  <c:pt idx="7">
                    <c:v>4.8750000000000002E-2</c:v>
                  </c:pt>
                  <c:pt idx="8">
                    <c:v>8.9690000000000006E-2</c:v>
                  </c:pt>
                  <c:pt idx="9">
                    <c:v>5.2589999999999998E-2</c:v>
                  </c:pt>
                  <c:pt idx="10">
                    <c:v>7.9070000000000001E-2</c:v>
                  </c:pt>
                </c:numCache>
              </c:numRef>
            </c:plus>
            <c:minus>
              <c:numRef>
                <c:f>GROUPS_Frequencies!$F$134:$F$144</c:f>
                <c:numCache>
                  <c:formatCode>General</c:formatCode>
                  <c:ptCount val="11"/>
                  <c:pt idx="0">
                    <c:v>4.47E-3</c:v>
                  </c:pt>
                  <c:pt idx="1">
                    <c:v>3.1060000000000001E-2</c:v>
                  </c:pt>
                  <c:pt idx="2">
                    <c:v>6.7629999999999996E-2</c:v>
                  </c:pt>
                  <c:pt idx="3">
                    <c:v>4.8259999999999997E-2</c:v>
                  </c:pt>
                  <c:pt idx="4">
                    <c:v>9.3799999999999994E-2</c:v>
                  </c:pt>
                  <c:pt idx="5">
                    <c:v>0.10897</c:v>
                  </c:pt>
                  <c:pt idx="6">
                    <c:v>3.5650000000000001E-2</c:v>
                  </c:pt>
                  <c:pt idx="7">
                    <c:v>4.8750000000000002E-2</c:v>
                  </c:pt>
                  <c:pt idx="8">
                    <c:v>8.9690000000000006E-2</c:v>
                  </c:pt>
                  <c:pt idx="9">
                    <c:v>5.2589999999999998E-2</c:v>
                  </c:pt>
                  <c:pt idx="10">
                    <c:v>7.9070000000000001E-2</c:v>
                  </c:pt>
                </c:numCache>
              </c:numRef>
            </c:minus>
            <c:spPr>
              <a:noFill/>
              <a:ln w="9525" cap="flat" cmpd="sng" algn="ctr">
                <a:solidFill>
                  <a:schemeClr val="tx1">
                    <a:lumMod val="65000"/>
                    <a:lumOff val="35000"/>
                  </a:schemeClr>
                </a:solidFill>
                <a:round/>
              </a:ln>
              <a:effectLst/>
            </c:spPr>
          </c:errBars>
          <c:cat>
            <c:strRef>
              <c:f>GROUPS_Frequencies!$C$134:$C$144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GROUPS_Frequencies!$E$134:$E$144</c:f>
              <c:numCache>
                <c:formatCode>General</c:formatCode>
                <c:ptCount val="11"/>
                <c:pt idx="0">
                  <c:v>-0.1085</c:v>
                </c:pt>
                <c:pt idx="1">
                  <c:v>2.4E-2</c:v>
                </c:pt>
                <c:pt idx="2">
                  <c:v>0.15479999999999999</c:v>
                </c:pt>
                <c:pt idx="3">
                  <c:v>0.14560000000000001</c:v>
                </c:pt>
                <c:pt idx="4">
                  <c:v>-6.9699999999999998E-2</c:v>
                </c:pt>
                <c:pt idx="5">
                  <c:v>0.37880000000000003</c:v>
                </c:pt>
                <c:pt idx="6">
                  <c:v>-4.9500000000000002E-2</c:v>
                </c:pt>
                <c:pt idx="7">
                  <c:v>0.44340000000000002</c:v>
                </c:pt>
                <c:pt idx="8">
                  <c:v>0.13569999999999999</c:v>
                </c:pt>
                <c:pt idx="9">
                  <c:v>0.1573</c:v>
                </c:pt>
                <c:pt idx="10">
                  <c:v>3.8699999999999998E-2</c:v>
                </c:pt>
              </c:numCache>
            </c:numRef>
          </c:val>
          <c:extLst>
            <c:ext xmlns:c16="http://schemas.microsoft.com/office/drawing/2014/chart" uri="{C3380CC4-5D6E-409C-BE32-E72D297353CC}">
              <c16:uniqueId val="{00000000-034B-43E7-9DEC-3CD100563960}"/>
            </c:ext>
          </c:extLst>
        </c:ser>
        <c:ser>
          <c:idx val="1"/>
          <c:order val="1"/>
          <c:tx>
            <c:strRef>
              <c:f>GROUPS_Frequencies!$D$145</c:f>
              <c:strCache>
                <c:ptCount val="1"/>
                <c:pt idx="0">
                  <c:v>Hand</c:v>
                </c:pt>
              </c:strCache>
            </c:strRef>
          </c:tx>
          <c:spPr>
            <a:solidFill>
              <a:schemeClr val="dk1">
                <a:tint val="55000"/>
              </a:schemeClr>
            </a:solidFill>
            <a:ln>
              <a:noFill/>
            </a:ln>
            <a:effectLst/>
          </c:spPr>
          <c:invertIfNegative val="0"/>
          <c:errBars>
            <c:errBarType val="both"/>
            <c:errValType val="cust"/>
            <c:noEndCap val="0"/>
            <c:plus>
              <c:numRef>
                <c:f>GROUPS_Frequencies!$F$145:$F$155</c:f>
                <c:numCache>
                  <c:formatCode>General</c:formatCode>
                  <c:ptCount val="11"/>
                  <c:pt idx="0">
                    <c:v>3.1829999999999997E-2</c:v>
                  </c:pt>
                  <c:pt idx="1">
                    <c:v>5.9089999999999997E-2</c:v>
                  </c:pt>
                  <c:pt idx="2">
                    <c:v>0.10814</c:v>
                  </c:pt>
                  <c:pt idx="3">
                    <c:v>0.14055000000000001</c:v>
                  </c:pt>
                  <c:pt idx="4">
                    <c:v>0.12267</c:v>
                  </c:pt>
                  <c:pt idx="5">
                    <c:v>5.203E-2</c:v>
                  </c:pt>
                  <c:pt idx="6">
                    <c:v>1.1599999999999999E-2</c:v>
                  </c:pt>
                  <c:pt idx="7">
                    <c:v>3.5950000000000003E-2</c:v>
                  </c:pt>
                  <c:pt idx="8">
                    <c:v>0.17662</c:v>
                  </c:pt>
                  <c:pt idx="9">
                    <c:v>0.21088000000000001</c:v>
                  </c:pt>
                  <c:pt idx="10">
                    <c:v>0.14732000000000001</c:v>
                  </c:pt>
                </c:numCache>
              </c:numRef>
            </c:plus>
            <c:minus>
              <c:numRef>
                <c:f>GROUPS_Frequencies!$F$145:$F$155</c:f>
                <c:numCache>
                  <c:formatCode>General</c:formatCode>
                  <c:ptCount val="11"/>
                  <c:pt idx="0">
                    <c:v>3.1829999999999997E-2</c:v>
                  </c:pt>
                  <c:pt idx="1">
                    <c:v>5.9089999999999997E-2</c:v>
                  </c:pt>
                  <c:pt idx="2">
                    <c:v>0.10814</c:v>
                  </c:pt>
                  <c:pt idx="3">
                    <c:v>0.14055000000000001</c:v>
                  </c:pt>
                  <c:pt idx="4">
                    <c:v>0.12267</c:v>
                  </c:pt>
                  <c:pt idx="5">
                    <c:v>5.203E-2</c:v>
                  </c:pt>
                  <c:pt idx="6">
                    <c:v>1.1599999999999999E-2</c:v>
                  </c:pt>
                  <c:pt idx="7">
                    <c:v>3.5950000000000003E-2</c:v>
                  </c:pt>
                  <c:pt idx="8">
                    <c:v>0.17662</c:v>
                  </c:pt>
                  <c:pt idx="9">
                    <c:v>0.21088000000000001</c:v>
                  </c:pt>
                  <c:pt idx="10">
                    <c:v>0.14732000000000001</c:v>
                  </c:pt>
                </c:numCache>
              </c:numRef>
            </c:minus>
            <c:spPr>
              <a:noFill/>
              <a:ln w="9525" cap="flat" cmpd="sng" algn="ctr">
                <a:solidFill>
                  <a:schemeClr val="tx1">
                    <a:lumMod val="65000"/>
                    <a:lumOff val="35000"/>
                  </a:schemeClr>
                </a:solidFill>
                <a:round/>
              </a:ln>
              <a:effectLst/>
            </c:spPr>
          </c:errBars>
          <c:cat>
            <c:strRef>
              <c:f>GROUPS_Frequencies!$C$134:$C$144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GROUPS_Frequencies!$E$145:$E$155</c:f>
              <c:numCache>
                <c:formatCode>General</c:formatCode>
                <c:ptCount val="11"/>
                <c:pt idx="0">
                  <c:v>-9.01E-2</c:v>
                </c:pt>
                <c:pt idx="1">
                  <c:v>0.1174</c:v>
                </c:pt>
                <c:pt idx="2">
                  <c:v>0.16520000000000001</c:v>
                </c:pt>
                <c:pt idx="3">
                  <c:v>-6.1999999999999998E-3</c:v>
                </c:pt>
                <c:pt idx="4">
                  <c:v>-0.16520000000000001</c:v>
                </c:pt>
                <c:pt idx="5">
                  <c:v>0.45779999999999998</c:v>
                </c:pt>
                <c:pt idx="6">
                  <c:v>-0.1071</c:v>
                </c:pt>
                <c:pt idx="7">
                  <c:v>-0.13170000000000001</c:v>
                </c:pt>
                <c:pt idx="8">
                  <c:v>0.39100000000000001</c:v>
                </c:pt>
                <c:pt idx="9">
                  <c:v>-0.112</c:v>
                </c:pt>
                <c:pt idx="10">
                  <c:v>-2.3E-3</c:v>
                </c:pt>
              </c:numCache>
            </c:numRef>
          </c:val>
          <c:extLst>
            <c:ext xmlns:c16="http://schemas.microsoft.com/office/drawing/2014/chart" uri="{C3380CC4-5D6E-409C-BE32-E72D297353CC}">
              <c16:uniqueId val="{00000001-034B-43E7-9DEC-3CD100563960}"/>
            </c:ext>
          </c:extLst>
        </c:ser>
        <c:ser>
          <c:idx val="2"/>
          <c:order val="2"/>
          <c:tx>
            <c:strRef>
              <c:f>GROUPS_Frequencies!$D$156</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GROUPS_Frequencies!$F$156:$F$166</c:f>
                <c:numCache>
                  <c:formatCode>General</c:formatCode>
                  <c:ptCount val="11"/>
                  <c:pt idx="0">
                    <c:v>0.24326</c:v>
                  </c:pt>
                  <c:pt idx="1">
                    <c:v>8.3690000000000001E-2</c:v>
                  </c:pt>
                  <c:pt idx="2">
                    <c:v>0.13833999999999999</c:v>
                  </c:pt>
                  <c:pt idx="3">
                    <c:v>0.38012000000000001</c:v>
                  </c:pt>
                  <c:pt idx="4">
                    <c:v>0.65115999999999996</c:v>
                  </c:pt>
                  <c:pt idx="5">
                    <c:v>0.55603999999999998</c:v>
                  </c:pt>
                  <c:pt idx="6">
                    <c:v>0.65178000000000003</c:v>
                  </c:pt>
                  <c:pt idx="7">
                    <c:v>0.33176</c:v>
                  </c:pt>
                  <c:pt idx="8">
                    <c:v>0.29415999999999998</c:v>
                  </c:pt>
                  <c:pt idx="9">
                    <c:v>0.40339000000000003</c:v>
                  </c:pt>
                  <c:pt idx="10">
                    <c:v>0.20977000000000001</c:v>
                  </c:pt>
                </c:numCache>
              </c:numRef>
            </c:plus>
            <c:minus>
              <c:numRef>
                <c:f>GROUPS_Frequencies!$F$156:$F$166</c:f>
                <c:numCache>
                  <c:formatCode>General</c:formatCode>
                  <c:ptCount val="11"/>
                  <c:pt idx="0">
                    <c:v>0.24326</c:v>
                  </c:pt>
                  <c:pt idx="1">
                    <c:v>8.3690000000000001E-2</c:v>
                  </c:pt>
                  <c:pt idx="2">
                    <c:v>0.13833999999999999</c:v>
                  </c:pt>
                  <c:pt idx="3">
                    <c:v>0.38012000000000001</c:v>
                  </c:pt>
                  <c:pt idx="4">
                    <c:v>0.65115999999999996</c:v>
                  </c:pt>
                  <c:pt idx="5">
                    <c:v>0.55603999999999998</c:v>
                  </c:pt>
                  <c:pt idx="6">
                    <c:v>0.65178000000000003</c:v>
                  </c:pt>
                  <c:pt idx="7">
                    <c:v>0.33176</c:v>
                  </c:pt>
                  <c:pt idx="8">
                    <c:v>0.29415999999999998</c:v>
                  </c:pt>
                  <c:pt idx="9">
                    <c:v>0.40339000000000003</c:v>
                  </c:pt>
                  <c:pt idx="10">
                    <c:v>0.20977000000000001</c:v>
                  </c:pt>
                </c:numCache>
              </c:numRef>
            </c:minus>
            <c:spPr>
              <a:noFill/>
              <a:ln w="9525" cap="flat" cmpd="sng" algn="ctr">
                <a:solidFill>
                  <a:schemeClr val="tx1">
                    <a:lumMod val="65000"/>
                    <a:lumOff val="35000"/>
                  </a:schemeClr>
                </a:solidFill>
                <a:round/>
              </a:ln>
              <a:effectLst/>
            </c:spPr>
          </c:errBars>
          <c:cat>
            <c:strRef>
              <c:f>GROUPS_Frequencies!$C$134:$C$144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GROUPS_Frequencies!$E$156:$E$166</c:f>
              <c:numCache>
                <c:formatCode>General</c:formatCode>
                <c:ptCount val="11"/>
                <c:pt idx="0">
                  <c:v>0.04</c:v>
                </c:pt>
                <c:pt idx="1">
                  <c:v>0.21099999999999999</c:v>
                </c:pt>
                <c:pt idx="2">
                  <c:v>0.35630000000000001</c:v>
                </c:pt>
                <c:pt idx="3">
                  <c:v>0.85780000000000001</c:v>
                </c:pt>
                <c:pt idx="4">
                  <c:v>0.34489999999999998</c:v>
                </c:pt>
                <c:pt idx="5">
                  <c:v>1.5848</c:v>
                </c:pt>
                <c:pt idx="6">
                  <c:v>2.4079999999999999</c:v>
                </c:pt>
                <c:pt idx="7">
                  <c:v>2.8914</c:v>
                </c:pt>
                <c:pt idx="8">
                  <c:v>1.5146999999999999</c:v>
                </c:pt>
                <c:pt idx="9">
                  <c:v>3.8271000000000002</c:v>
                </c:pt>
                <c:pt idx="10">
                  <c:v>0.70930000000000004</c:v>
                </c:pt>
              </c:numCache>
            </c:numRef>
          </c:val>
          <c:extLst>
            <c:ext xmlns:c16="http://schemas.microsoft.com/office/drawing/2014/chart" uri="{C3380CC4-5D6E-409C-BE32-E72D297353CC}">
              <c16:uniqueId val="{00000002-034B-43E7-9DEC-3CD100563960}"/>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Frequency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Rate of Event per</a:t>
            </a:r>
            <a:r>
              <a:rPr lang="en-US" baseline="0"/>
              <a:t> trial</a:t>
            </a:r>
            <a:r>
              <a:rPr lang="en-US"/>
              <a:t> for Early Reach Group per Week  by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GROUPS_Rate!$D$101</c:f>
              <c:strCache>
                <c:ptCount val="1"/>
                <c:pt idx="0">
                  <c:v>Face</c:v>
                </c:pt>
              </c:strCache>
            </c:strRef>
          </c:tx>
          <c:spPr>
            <a:solidFill>
              <a:schemeClr val="dk1">
                <a:tint val="88500"/>
              </a:schemeClr>
            </a:solidFill>
            <a:ln>
              <a:noFill/>
            </a:ln>
            <a:effectLst/>
          </c:spPr>
          <c:invertIfNegative val="0"/>
          <c:errBars>
            <c:errBarType val="both"/>
            <c:errValType val="cust"/>
            <c:noEndCap val="0"/>
            <c:plus>
              <c:numRef>
                <c:f>GROUPS_Rate!$F$101:$F$111</c:f>
                <c:numCache>
                  <c:formatCode>General</c:formatCode>
                  <c:ptCount val="11"/>
                  <c:pt idx="0">
                    <c:v>1.56E-3</c:v>
                  </c:pt>
                  <c:pt idx="1">
                    <c:v>9.2000000000000003E-4</c:v>
                  </c:pt>
                  <c:pt idx="2">
                    <c:v>1.24E-3</c:v>
                  </c:pt>
                  <c:pt idx="3">
                    <c:v>4.3099999999999996E-3</c:v>
                  </c:pt>
                  <c:pt idx="4">
                    <c:v>1.42E-3</c:v>
                  </c:pt>
                  <c:pt idx="5">
                    <c:v>3.6000000000000002E-4</c:v>
                  </c:pt>
                  <c:pt idx="6">
                    <c:v>7.5000000000000002E-4</c:v>
                  </c:pt>
                  <c:pt idx="7">
                    <c:v>3.3E-4</c:v>
                  </c:pt>
                  <c:pt idx="8">
                    <c:v>9.0000000000000006E-5</c:v>
                  </c:pt>
                  <c:pt idx="9">
                    <c:v>1.8000000000000001E-4</c:v>
                  </c:pt>
                  <c:pt idx="10">
                    <c:v>2.7999999999999998E-4</c:v>
                  </c:pt>
                </c:numCache>
              </c:numRef>
            </c:plus>
            <c:minus>
              <c:numRef>
                <c:f>GROUPS_Rate!$F$101:$F$111</c:f>
                <c:numCache>
                  <c:formatCode>General</c:formatCode>
                  <c:ptCount val="11"/>
                  <c:pt idx="0">
                    <c:v>1.56E-3</c:v>
                  </c:pt>
                  <c:pt idx="1">
                    <c:v>9.2000000000000003E-4</c:v>
                  </c:pt>
                  <c:pt idx="2">
                    <c:v>1.24E-3</c:v>
                  </c:pt>
                  <c:pt idx="3">
                    <c:v>4.3099999999999996E-3</c:v>
                  </c:pt>
                  <c:pt idx="4">
                    <c:v>1.42E-3</c:v>
                  </c:pt>
                  <c:pt idx="5">
                    <c:v>3.6000000000000002E-4</c:v>
                  </c:pt>
                  <c:pt idx="6">
                    <c:v>7.5000000000000002E-4</c:v>
                  </c:pt>
                  <c:pt idx="7">
                    <c:v>3.3E-4</c:v>
                  </c:pt>
                  <c:pt idx="8">
                    <c:v>9.0000000000000006E-5</c:v>
                  </c:pt>
                  <c:pt idx="9">
                    <c:v>1.8000000000000001E-4</c:v>
                  </c:pt>
                  <c:pt idx="10">
                    <c:v>2.7999999999999998E-4</c:v>
                  </c:pt>
                </c:numCache>
              </c:numRef>
            </c:minus>
            <c:spPr>
              <a:noFill/>
              <a:ln w="9525" cap="flat" cmpd="sng" algn="ctr">
                <a:solidFill>
                  <a:schemeClr val="tx1">
                    <a:lumMod val="65000"/>
                    <a:lumOff val="35000"/>
                  </a:schemeClr>
                </a:solidFill>
                <a:round/>
              </a:ln>
              <a:effectLst/>
            </c:spPr>
          </c:errBars>
          <c:cat>
            <c:strRef>
              <c:f>GROUPS_Rate!$C$101:$C$111</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GROUPS_Rate!$E$101:$E$111</c:f>
              <c:numCache>
                <c:formatCode>0.0000</c:formatCode>
                <c:ptCount val="11"/>
                <c:pt idx="0">
                  <c:v>2.5399999999999999E-2</c:v>
                </c:pt>
                <c:pt idx="1">
                  <c:v>5.9999999999999995E-4</c:v>
                </c:pt>
                <c:pt idx="2">
                  <c:v>5.3E-3</c:v>
                </c:pt>
                <c:pt idx="3">
                  <c:v>5.3E-3</c:v>
                </c:pt>
                <c:pt idx="4">
                  <c:v>1.4E-3</c:v>
                </c:pt>
                <c:pt idx="5">
                  <c:v>-1E-4</c:v>
                </c:pt>
                <c:pt idx="6">
                  <c:v>1.2999999999999999E-3</c:v>
                </c:pt>
                <c:pt idx="7">
                  <c:v>-2.0000000000000001E-4</c:v>
                </c:pt>
                <c:pt idx="8">
                  <c:v>2.9999999999999997E-4</c:v>
                </c:pt>
                <c:pt idx="9">
                  <c:v>-1E-4</c:v>
                </c:pt>
                <c:pt idx="10">
                  <c:v>2.0000000000000001E-4</c:v>
                </c:pt>
              </c:numCache>
            </c:numRef>
          </c:val>
          <c:extLst>
            <c:ext xmlns:c16="http://schemas.microsoft.com/office/drawing/2014/chart" uri="{C3380CC4-5D6E-409C-BE32-E72D297353CC}">
              <c16:uniqueId val="{00000000-5E17-4C7A-BA61-ACE0EE0AFECF}"/>
            </c:ext>
          </c:extLst>
        </c:ser>
        <c:ser>
          <c:idx val="1"/>
          <c:order val="1"/>
          <c:tx>
            <c:strRef>
              <c:f>GROUPS_Rate!$D$112</c:f>
              <c:strCache>
                <c:ptCount val="1"/>
                <c:pt idx="0">
                  <c:v>Hand</c:v>
                </c:pt>
              </c:strCache>
            </c:strRef>
          </c:tx>
          <c:spPr>
            <a:solidFill>
              <a:schemeClr val="dk1">
                <a:tint val="55000"/>
              </a:schemeClr>
            </a:solidFill>
            <a:ln>
              <a:noFill/>
            </a:ln>
            <a:effectLst/>
          </c:spPr>
          <c:invertIfNegative val="0"/>
          <c:errBars>
            <c:errBarType val="both"/>
            <c:errValType val="cust"/>
            <c:noEndCap val="0"/>
            <c:plus>
              <c:numRef>
                <c:f>GROUPS_Rate!$F$112:$F$122</c:f>
                <c:numCache>
                  <c:formatCode>General</c:formatCode>
                  <c:ptCount val="11"/>
                  <c:pt idx="0">
                    <c:v>2.5000000000000001E-4</c:v>
                  </c:pt>
                  <c:pt idx="1">
                    <c:v>3.2000000000000003E-4</c:v>
                  </c:pt>
                  <c:pt idx="2">
                    <c:v>2.7999999999999998E-4</c:v>
                  </c:pt>
                  <c:pt idx="3">
                    <c:v>5.5999999999999995E-4</c:v>
                  </c:pt>
                  <c:pt idx="4">
                    <c:v>8.5999999999999998E-4</c:v>
                  </c:pt>
                  <c:pt idx="5">
                    <c:v>1.6199999999999999E-3</c:v>
                  </c:pt>
                  <c:pt idx="6">
                    <c:v>1.7600000000000001E-3</c:v>
                  </c:pt>
                  <c:pt idx="7">
                    <c:v>6.7000000000000002E-4</c:v>
                  </c:pt>
                  <c:pt idx="8">
                    <c:v>2.7E-4</c:v>
                  </c:pt>
                  <c:pt idx="9">
                    <c:v>1.1199999999999999E-3</c:v>
                  </c:pt>
                  <c:pt idx="10">
                    <c:v>3.2000000000000003E-4</c:v>
                  </c:pt>
                </c:numCache>
              </c:numRef>
            </c:plus>
            <c:minus>
              <c:numRef>
                <c:f>GROUPS_Rate!$F$112:$F$122</c:f>
                <c:numCache>
                  <c:formatCode>General</c:formatCode>
                  <c:ptCount val="11"/>
                  <c:pt idx="0">
                    <c:v>2.5000000000000001E-4</c:v>
                  </c:pt>
                  <c:pt idx="1">
                    <c:v>3.2000000000000003E-4</c:v>
                  </c:pt>
                  <c:pt idx="2">
                    <c:v>2.7999999999999998E-4</c:v>
                  </c:pt>
                  <c:pt idx="3">
                    <c:v>5.5999999999999995E-4</c:v>
                  </c:pt>
                  <c:pt idx="4">
                    <c:v>8.5999999999999998E-4</c:v>
                  </c:pt>
                  <c:pt idx="5">
                    <c:v>1.6199999999999999E-3</c:v>
                  </c:pt>
                  <c:pt idx="6">
                    <c:v>1.7600000000000001E-3</c:v>
                  </c:pt>
                  <c:pt idx="7">
                    <c:v>6.7000000000000002E-4</c:v>
                  </c:pt>
                  <c:pt idx="8">
                    <c:v>2.7E-4</c:v>
                  </c:pt>
                  <c:pt idx="9">
                    <c:v>1.1199999999999999E-3</c:v>
                  </c:pt>
                  <c:pt idx="10">
                    <c:v>3.2000000000000003E-4</c:v>
                  </c:pt>
                </c:numCache>
              </c:numRef>
            </c:minus>
            <c:spPr>
              <a:noFill/>
              <a:ln w="9525" cap="flat" cmpd="sng" algn="ctr">
                <a:solidFill>
                  <a:schemeClr val="tx1">
                    <a:lumMod val="65000"/>
                    <a:lumOff val="35000"/>
                  </a:schemeClr>
                </a:solidFill>
                <a:round/>
              </a:ln>
              <a:effectLst/>
            </c:spPr>
          </c:errBars>
          <c:val>
            <c:numRef>
              <c:f>GROUPS_Rate!$E$112:$E$122</c:f>
              <c:numCache>
                <c:formatCode>0.0000</c:formatCode>
                <c:ptCount val="11"/>
                <c:pt idx="0">
                  <c:v>2.0000000000000001E-4</c:v>
                </c:pt>
                <c:pt idx="1">
                  <c:v>-6.9999999999999999E-4</c:v>
                </c:pt>
                <c:pt idx="2">
                  <c:v>5.9999999999999995E-4</c:v>
                </c:pt>
                <c:pt idx="3">
                  <c:v>-5.0000000000000001E-4</c:v>
                </c:pt>
                <c:pt idx="4">
                  <c:v>2E-3</c:v>
                </c:pt>
                <c:pt idx="5">
                  <c:v>1.6999999999999999E-3</c:v>
                </c:pt>
                <c:pt idx="6">
                  <c:v>7.9000000000000008E-3</c:v>
                </c:pt>
                <c:pt idx="7">
                  <c:v>-1.6000000000000001E-3</c:v>
                </c:pt>
                <c:pt idx="8">
                  <c:v>4.0000000000000002E-4</c:v>
                </c:pt>
                <c:pt idx="9">
                  <c:v>8.9999999999999998E-4</c:v>
                </c:pt>
                <c:pt idx="10">
                  <c:v>8.9999999999999998E-4</c:v>
                </c:pt>
              </c:numCache>
            </c:numRef>
          </c:val>
          <c:extLst>
            <c:ext xmlns:c16="http://schemas.microsoft.com/office/drawing/2014/chart" uri="{C3380CC4-5D6E-409C-BE32-E72D297353CC}">
              <c16:uniqueId val="{00000001-5E17-4C7A-BA61-ACE0EE0AFECF}"/>
            </c:ext>
          </c:extLst>
        </c:ser>
        <c:ser>
          <c:idx val="2"/>
          <c:order val="2"/>
          <c:tx>
            <c:strRef>
              <c:f>GROUPS_Rate!$D$123</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GROUPS_Rate!$F$124:$F$133</c:f>
                <c:numCache>
                  <c:formatCode>General</c:formatCode>
                  <c:ptCount val="10"/>
                  <c:pt idx="0">
                    <c:v>2.5699999999999998E-3</c:v>
                  </c:pt>
                  <c:pt idx="1">
                    <c:v>4.5300000000000002E-3</c:v>
                  </c:pt>
                  <c:pt idx="2">
                    <c:v>5.4099999999999999E-3</c:v>
                  </c:pt>
                  <c:pt idx="3">
                    <c:v>2.1700000000000001E-3</c:v>
                  </c:pt>
                  <c:pt idx="4">
                    <c:v>5.6800000000000002E-3</c:v>
                  </c:pt>
                  <c:pt idx="5">
                    <c:v>4.8700000000000002E-3</c:v>
                  </c:pt>
                  <c:pt idx="6">
                    <c:v>1.17E-3</c:v>
                  </c:pt>
                  <c:pt idx="7">
                    <c:v>2.81E-3</c:v>
                  </c:pt>
                  <c:pt idx="8">
                    <c:v>7.4799999999999997E-3</c:v>
                  </c:pt>
                  <c:pt idx="9">
                    <c:v>2.6099999999999999E-3</c:v>
                  </c:pt>
                </c:numCache>
              </c:numRef>
            </c:plus>
            <c:minus>
              <c:numRef>
                <c:f>GROUPS_Rate!$F$123:$F$133</c:f>
                <c:numCache>
                  <c:formatCode>General</c:formatCode>
                  <c:ptCount val="11"/>
                  <c:pt idx="0">
                    <c:v>1.5200000000000001E-3</c:v>
                  </c:pt>
                  <c:pt idx="1">
                    <c:v>2.5699999999999998E-3</c:v>
                  </c:pt>
                  <c:pt idx="2">
                    <c:v>4.5300000000000002E-3</c:v>
                  </c:pt>
                  <c:pt idx="3">
                    <c:v>5.4099999999999999E-3</c:v>
                  </c:pt>
                  <c:pt idx="4">
                    <c:v>2.1700000000000001E-3</c:v>
                  </c:pt>
                  <c:pt idx="5">
                    <c:v>5.6800000000000002E-3</c:v>
                  </c:pt>
                  <c:pt idx="6">
                    <c:v>4.8700000000000002E-3</c:v>
                  </c:pt>
                  <c:pt idx="7">
                    <c:v>1.17E-3</c:v>
                  </c:pt>
                  <c:pt idx="8">
                    <c:v>2.81E-3</c:v>
                  </c:pt>
                  <c:pt idx="9">
                    <c:v>7.4799999999999997E-3</c:v>
                  </c:pt>
                  <c:pt idx="10">
                    <c:v>2.6099999999999999E-3</c:v>
                  </c:pt>
                </c:numCache>
              </c:numRef>
            </c:minus>
            <c:spPr>
              <a:noFill/>
              <a:ln w="9525" cap="flat" cmpd="sng" algn="ctr">
                <a:solidFill>
                  <a:schemeClr val="tx1">
                    <a:lumMod val="65000"/>
                    <a:lumOff val="35000"/>
                  </a:schemeClr>
                </a:solidFill>
                <a:round/>
              </a:ln>
              <a:effectLst/>
            </c:spPr>
          </c:errBars>
          <c:val>
            <c:numRef>
              <c:f>GROUPS_Rate!$E$123:$E$133</c:f>
              <c:numCache>
                <c:formatCode>0.0000</c:formatCode>
                <c:ptCount val="11"/>
                <c:pt idx="0">
                  <c:v>5.4000000000000003E-3</c:v>
                </c:pt>
                <c:pt idx="1">
                  <c:v>2.2000000000000001E-3</c:v>
                </c:pt>
                <c:pt idx="2">
                  <c:v>1.14E-2</c:v>
                </c:pt>
                <c:pt idx="3">
                  <c:v>9.4999999999999998E-3</c:v>
                </c:pt>
                <c:pt idx="4">
                  <c:v>1.7299999999999999E-2</c:v>
                </c:pt>
                <c:pt idx="5">
                  <c:v>1.41E-2</c:v>
                </c:pt>
                <c:pt idx="6">
                  <c:v>1.6199999999999999E-2</c:v>
                </c:pt>
                <c:pt idx="7">
                  <c:v>1.9E-3</c:v>
                </c:pt>
                <c:pt idx="8">
                  <c:v>4.1999999999999997E-3</c:v>
                </c:pt>
                <c:pt idx="9">
                  <c:v>8.6999999999999994E-3</c:v>
                </c:pt>
                <c:pt idx="10">
                  <c:v>1E-4</c:v>
                </c:pt>
              </c:numCache>
            </c:numRef>
          </c:val>
          <c:extLst>
            <c:ext xmlns:c16="http://schemas.microsoft.com/office/drawing/2014/chart" uri="{C3380CC4-5D6E-409C-BE32-E72D297353CC}">
              <c16:uniqueId val="{00000002-5E17-4C7A-BA61-ACE0EE0AFECF}"/>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Rate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Rate of Event per trial for Late Reach Group per Week  by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GROUPS_Rate!$D$134</c:f>
              <c:strCache>
                <c:ptCount val="1"/>
                <c:pt idx="0">
                  <c:v>Face</c:v>
                </c:pt>
              </c:strCache>
            </c:strRef>
          </c:tx>
          <c:spPr>
            <a:solidFill>
              <a:schemeClr val="dk1">
                <a:tint val="88500"/>
              </a:schemeClr>
            </a:solidFill>
            <a:ln>
              <a:noFill/>
            </a:ln>
            <a:effectLst/>
          </c:spPr>
          <c:invertIfNegative val="0"/>
          <c:errBars>
            <c:errBarType val="both"/>
            <c:errValType val="cust"/>
            <c:noEndCap val="0"/>
            <c:plus>
              <c:numRef>
                <c:f>GROUPS_Rate!$F$134:$F$144</c:f>
                <c:numCache>
                  <c:formatCode>General</c:formatCode>
                  <c:ptCount val="11"/>
                  <c:pt idx="0">
                    <c:v>1.4999999999999999E-4</c:v>
                  </c:pt>
                  <c:pt idx="1">
                    <c:v>2.9E-4</c:v>
                  </c:pt>
                  <c:pt idx="2">
                    <c:v>5.9999999999999995E-4</c:v>
                  </c:pt>
                  <c:pt idx="3">
                    <c:v>2.2000000000000001E-4</c:v>
                  </c:pt>
                  <c:pt idx="4">
                    <c:v>2.3000000000000001E-4</c:v>
                  </c:pt>
                  <c:pt idx="5">
                    <c:v>3.4099999999999998E-3</c:v>
                  </c:pt>
                  <c:pt idx="6">
                    <c:v>3.6999999999999999E-4</c:v>
                  </c:pt>
                  <c:pt idx="7">
                    <c:v>3.5E-4</c:v>
                  </c:pt>
                  <c:pt idx="8">
                    <c:v>1.1000000000000001E-3</c:v>
                  </c:pt>
                  <c:pt idx="9">
                    <c:v>2.5999999999999998E-4</c:v>
                  </c:pt>
                  <c:pt idx="10">
                    <c:v>1.2999999999999999E-4</c:v>
                  </c:pt>
                </c:numCache>
              </c:numRef>
            </c:plus>
            <c:minus>
              <c:numRef>
                <c:f>GROUPS_Rate!$F$134:$F$144</c:f>
                <c:numCache>
                  <c:formatCode>General</c:formatCode>
                  <c:ptCount val="11"/>
                  <c:pt idx="0">
                    <c:v>1.4999999999999999E-4</c:v>
                  </c:pt>
                  <c:pt idx="1">
                    <c:v>2.9E-4</c:v>
                  </c:pt>
                  <c:pt idx="2">
                    <c:v>5.9999999999999995E-4</c:v>
                  </c:pt>
                  <c:pt idx="3">
                    <c:v>2.2000000000000001E-4</c:v>
                  </c:pt>
                  <c:pt idx="4">
                    <c:v>2.3000000000000001E-4</c:v>
                  </c:pt>
                  <c:pt idx="5">
                    <c:v>3.4099999999999998E-3</c:v>
                  </c:pt>
                  <c:pt idx="6">
                    <c:v>3.6999999999999999E-4</c:v>
                  </c:pt>
                  <c:pt idx="7">
                    <c:v>3.5E-4</c:v>
                  </c:pt>
                  <c:pt idx="8">
                    <c:v>1.1000000000000001E-3</c:v>
                  </c:pt>
                  <c:pt idx="9">
                    <c:v>2.5999999999999998E-4</c:v>
                  </c:pt>
                  <c:pt idx="10">
                    <c:v>1.2999999999999999E-4</c:v>
                  </c:pt>
                </c:numCache>
              </c:numRef>
            </c:minus>
            <c:spPr>
              <a:noFill/>
              <a:ln w="9525" cap="flat" cmpd="sng" algn="ctr">
                <a:solidFill>
                  <a:schemeClr val="tx1">
                    <a:lumMod val="65000"/>
                    <a:lumOff val="35000"/>
                  </a:schemeClr>
                </a:solidFill>
                <a:round/>
              </a:ln>
              <a:effectLst/>
            </c:spPr>
          </c:errBars>
          <c:cat>
            <c:strRef>
              <c:f>GROUPS_Rate!$C$134:$C$144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GROUPS_Rate!$E$134:$E$144</c:f>
              <c:numCache>
                <c:formatCode>0.0000</c:formatCode>
                <c:ptCount val="11"/>
                <c:pt idx="0">
                  <c:v>5.0000000000000001E-4</c:v>
                </c:pt>
                <c:pt idx="1">
                  <c:v>-5.0000000000000001E-4</c:v>
                </c:pt>
                <c:pt idx="2">
                  <c:v>4.0000000000000002E-4</c:v>
                </c:pt>
                <c:pt idx="3">
                  <c:v>-1E-4</c:v>
                </c:pt>
                <c:pt idx="4">
                  <c:v>-5.9999999999999995E-4</c:v>
                </c:pt>
                <c:pt idx="5">
                  <c:v>5.7999999999999996E-3</c:v>
                </c:pt>
                <c:pt idx="6">
                  <c:v>8.0000000000000004E-4</c:v>
                </c:pt>
                <c:pt idx="7">
                  <c:v>1.2999999999999999E-3</c:v>
                </c:pt>
                <c:pt idx="8">
                  <c:v>-2.9999999999999997E-4</c:v>
                </c:pt>
                <c:pt idx="9">
                  <c:v>1.4E-3</c:v>
                </c:pt>
                <c:pt idx="10">
                  <c:v>5.0000000000000001E-4</c:v>
                </c:pt>
              </c:numCache>
            </c:numRef>
          </c:val>
          <c:extLst>
            <c:ext xmlns:c16="http://schemas.microsoft.com/office/drawing/2014/chart" uri="{C3380CC4-5D6E-409C-BE32-E72D297353CC}">
              <c16:uniqueId val="{00000000-2397-477E-9A7D-95CE2333D748}"/>
            </c:ext>
          </c:extLst>
        </c:ser>
        <c:ser>
          <c:idx val="1"/>
          <c:order val="1"/>
          <c:tx>
            <c:strRef>
              <c:f>GROUPS_Rate!$D$145</c:f>
              <c:strCache>
                <c:ptCount val="1"/>
                <c:pt idx="0">
                  <c:v>Hand</c:v>
                </c:pt>
              </c:strCache>
            </c:strRef>
          </c:tx>
          <c:spPr>
            <a:solidFill>
              <a:schemeClr val="dk1">
                <a:tint val="55000"/>
              </a:schemeClr>
            </a:solidFill>
            <a:ln>
              <a:noFill/>
            </a:ln>
            <a:effectLst/>
          </c:spPr>
          <c:invertIfNegative val="0"/>
          <c:errBars>
            <c:errBarType val="both"/>
            <c:errValType val="cust"/>
            <c:noEndCap val="0"/>
            <c:plus>
              <c:numRef>
                <c:f>GROUPS_Rate!$F$145:$F$155</c:f>
                <c:numCache>
                  <c:formatCode>General</c:formatCode>
                  <c:ptCount val="11"/>
                  <c:pt idx="0">
                    <c:v>1.2E-4</c:v>
                  </c:pt>
                  <c:pt idx="1">
                    <c:v>1.1E-4</c:v>
                  </c:pt>
                  <c:pt idx="2">
                    <c:v>1.6000000000000001E-4</c:v>
                  </c:pt>
                  <c:pt idx="3">
                    <c:v>1.7000000000000001E-4</c:v>
                  </c:pt>
                  <c:pt idx="4">
                    <c:v>8.0000000000000007E-5</c:v>
                  </c:pt>
                  <c:pt idx="5">
                    <c:v>4.4999999999999999E-4</c:v>
                  </c:pt>
                  <c:pt idx="6">
                    <c:v>2.2000000000000001E-4</c:v>
                  </c:pt>
                  <c:pt idx="7">
                    <c:v>2.0000000000000001E-4</c:v>
                  </c:pt>
                  <c:pt idx="8">
                    <c:v>1.0499999999999999E-3</c:v>
                  </c:pt>
                  <c:pt idx="9">
                    <c:v>5.5000000000000003E-4</c:v>
                  </c:pt>
                  <c:pt idx="10">
                    <c:v>2.5000000000000001E-4</c:v>
                  </c:pt>
                </c:numCache>
              </c:numRef>
            </c:plus>
            <c:minus>
              <c:numRef>
                <c:f>GROUPS_Rate!$F$145:$F$155</c:f>
                <c:numCache>
                  <c:formatCode>General</c:formatCode>
                  <c:ptCount val="11"/>
                  <c:pt idx="0">
                    <c:v>1.2E-4</c:v>
                  </c:pt>
                  <c:pt idx="1">
                    <c:v>1.1E-4</c:v>
                  </c:pt>
                  <c:pt idx="2">
                    <c:v>1.6000000000000001E-4</c:v>
                  </c:pt>
                  <c:pt idx="3">
                    <c:v>1.7000000000000001E-4</c:v>
                  </c:pt>
                  <c:pt idx="4">
                    <c:v>8.0000000000000007E-5</c:v>
                  </c:pt>
                  <c:pt idx="5">
                    <c:v>4.4999999999999999E-4</c:v>
                  </c:pt>
                  <c:pt idx="6">
                    <c:v>2.2000000000000001E-4</c:v>
                  </c:pt>
                  <c:pt idx="7">
                    <c:v>2.0000000000000001E-4</c:v>
                  </c:pt>
                  <c:pt idx="8">
                    <c:v>1.0499999999999999E-3</c:v>
                  </c:pt>
                  <c:pt idx="9">
                    <c:v>5.5000000000000003E-4</c:v>
                  </c:pt>
                  <c:pt idx="10">
                    <c:v>2.5000000000000001E-4</c:v>
                  </c:pt>
                </c:numCache>
              </c:numRef>
            </c:minus>
            <c:spPr>
              <a:noFill/>
              <a:ln w="9525" cap="flat" cmpd="sng" algn="ctr">
                <a:solidFill>
                  <a:schemeClr val="tx1">
                    <a:lumMod val="65000"/>
                    <a:lumOff val="35000"/>
                  </a:schemeClr>
                </a:solidFill>
                <a:round/>
              </a:ln>
              <a:effectLst/>
            </c:spPr>
          </c:errBars>
          <c:cat>
            <c:strRef>
              <c:f>GROUPS_Rate!$C$134:$C$144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GROUPS_Rate!$E$145:$E$155</c:f>
              <c:numCache>
                <c:formatCode>0.0000</c:formatCode>
                <c:ptCount val="11"/>
                <c:pt idx="0">
                  <c:v>2.9999999999999997E-4</c:v>
                </c:pt>
                <c:pt idx="1">
                  <c:v>-2.9999999999999997E-4</c:v>
                </c:pt>
                <c:pt idx="2">
                  <c:v>-5.0000000000000001E-4</c:v>
                </c:pt>
                <c:pt idx="3">
                  <c:v>4.0000000000000002E-4</c:v>
                </c:pt>
                <c:pt idx="4">
                  <c:v>0</c:v>
                </c:pt>
                <c:pt idx="5">
                  <c:v>5.0000000000000001E-4</c:v>
                </c:pt>
                <c:pt idx="6">
                  <c:v>2.0000000000000001E-4</c:v>
                </c:pt>
                <c:pt idx="7">
                  <c:v>2.0000000000000001E-4</c:v>
                </c:pt>
                <c:pt idx="8">
                  <c:v>1.2999999999999999E-3</c:v>
                </c:pt>
                <c:pt idx="9">
                  <c:v>6.9999999999999999E-4</c:v>
                </c:pt>
                <c:pt idx="10">
                  <c:v>2.0000000000000001E-4</c:v>
                </c:pt>
              </c:numCache>
            </c:numRef>
          </c:val>
          <c:extLst>
            <c:ext xmlns:c16="http://schemas.microsoft.com/office/drawing/2014/chart" uri="{C3380CC4-5D6E-409C-BE32-E72D297353CC}">
              <c16:uniqueId val="{00000001-2397-477E-9A7D-95CE2333D748}"/>
            </c:ext>
          </c:extLst>
        </c:ser>
        <c:ser>
          <c:idx val="2"/>
          <c:order val="2"/>
          <c:tx>
            <c:strRef>
              <c:f>GROUPS_Rate!$D$156</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GROUPS_Rate!$F$156:$F$166</c:f>
                <c:numCache>
                  <c:formatCode>General</c:formatCode>
                  <c:ptCount val="11"/>
                  <c:pt idx="0">
                    <c:v>5.1000000000000004E-4</c:v>
                  </c:pt>
                  <c:pt idx="1">
                    <c:v>1.48E-3</c:v>
                  </c:pt>
                  <c:pt idx="2">
                    <c:v>2.5999999999999998E-4</c:v>
                  </c:pt>
                  <c:pt idx="3">
                    <c:v>1.1900000000000001E-3</c:v>
                  </c:pt>
                  <c:pt idx="4">
                    <c:v>3.9699999999999996E-3</c:v>
                  </c:pt>
                  <c:pt idx="5">
                    <c:v>2.2599999999999999E-3</c:v>
                  </c:pt>
                  <c:pt idx="6">
                    <c:v>3.3500000000000001E-3</c:v>
                  </c:pt>
                  <c:pt idx="7">
                    <c:v>3.9399999999999999E-3</c:v>
                  </c:pt>
                  <c:pt idx="8">
                    <c:v>2.8700000000000002E-3</c:v>
                  </c:pt>
                  <c:pt idx="9">
                    <c:v>1.39E-3</c:v>
                  </c:pt>
                  <c:pt idx="10">
                    <c:v>1.4999999999999999E-4</c:v>
                  </c:pt>
                </c:numCache>
              </c:numRef>
            </c:plus>
            <c:minus>
              <c:numRef>
                <c:f>GROUPS_Rate!$F$156:$F$166</c:f>
                <c:numCache>
                  <c:formatCode>General</c:formatCode>
                  <c:ptCount val="11"/>
                  <c:pt idx="0">
                    <c:v>5.1000000000000004E-4</c:v>
                  </c:pt>
                  <c:pt idx="1">
                    <c:v>1.48E-3</c:v>
                  </c:pt>
                  <c:pt idx="2">
                    <c:v>2.5999999999999998E-4</c:v>
                  </c:pt>
                  <c:pt idx="3">
                    <c:v>1.1900000000000001E-3</c:v>
                  </c:pt>
                  <c:pt idx="4">
                    <c:v>3.9699999999999996E-3</c:v>
                  </c:pt>
                  <c:pt idx="5">
                    <c:v>2.2599999999999999E-3</c:v>
                  </c:pt>
                  <c:pt idx="6">
                    <c:v>3.3500000000000001E-3</c:v>
                  </c:pt>
                  <c:pt idx="7">
                    <c:v>3.9399999999999999E-3</c:v>
                  </c:pt>
                  <c:pt idx="8">
                    <c:v>2.8700000000000002E-3</c:v>
                  </c:pt>
                  <c:pt idx="9">
                    <c:v>1.39E-3</c:v>
                  </c:pt>
                  <c:pt idx="10">
                    <c:v>1.4999999999999999E-4</c:v>
                  </c:pt>
                </c:numCache>
              </c:numRef>
            </c:minus>
            <c:spPr>
              <a:noFill/>
              <a:ln w="9525" cap="flat" cmpd="sng" algn="ctr">
                <a:solidFill>
                  <a:schemeClr val="tx1">
                    <a:lumMod val="65000"/>
                    <a:lumOff val="35000"/>
                  </a:schemeClr>
                </a:solidFill>
                <a:round/>
              </a:ln>
              <a:effectLst/>
            </c:spPr>
          </c:errBars>
          <c:cat>
            <c:strRef>
              <c:f>GROUPS_Rate!$C$134:$C$144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GROUPS_Rate!$E$156:$E$166</c:f>
              <c:numCache>
                <c:formatCode>0.0000</c:formatCode>
                <c:ptCount val="11"/>
                <c:pt idx="0">
                  <c:v>1.5E-3</c:v>
                </c:pt>
                <c:pt idx="1">
                  <c:v>-2.9999999999999997E-4</c:v>
                </c:pt>
                <c:pt idx="2">
                  <c:v>-1E-3</c:v>
                </c:pt>
                <c:pt idx="3">
                  <c:v>4.0000000000000002E-4</c:v>
                </c:pt>
                <c:pt idx="4">
                  <c:v>7.7999999999999996E-3</c:v>
                </c:pt>
                <c:pt idx="5">
                  <c:v>3.5999999999999999E-3</c:v>
                </c:pt>
                <c:pt idx="6">
                  <c:v>5.8999999999999999E-3</c:v>
                </c:pt>
                <c:pt idx="7">
                  <c:v>1.66E-2</c:v>
                </c:pt>
                <c:pt idx="8">
                  <c:v>6.7000000000000002E-3</c:v>
                </c:pt>
                <c:pt idx="9">
                  <c:v>1.41E-2</c:v>
                </c:pt>
                <c:pt idx="10">
                  <c:v>8.8000000000000005E-3</c:v>
                </c:pt>
              </c:numCache>
            </c:numRef>
          </c:val>
          <c:extLst>
            <c:ext xmlns:c16="http://schemas.microsoft.com/office/drawing/2014/chart" uri="{C3380CC4-5D6E-409C-BE32-E72D297353CC}">
              <c16:uniqueId val="{00000002-2397-477E-9A7D-95CE2333D748}"/>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max val="3.0000000000000006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Rate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Summed Duration of Event for Early Reach Group per Week  by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'GROUPS_Summed Duration'!$D$101</c:f>
              <c:strCache>
                <c:ptCount val="1"/>
                <c:pt idx="0">
                  <c:v>Face</c:v>
                </c:pt>
              </c:strCache>
            </c:strRef>
          </c:tx>
          <c:spPr>
            <a:solidFill>
              <a:schemeClr val="dk1">
                <a:tint val="88500"/>
              </a:schemeClr>
            </a:solidFill>
            <a:ln>
              <a:noFill/>
            </a:ln>
            <a:effectLst/>
          </c:spPr>
          <c:invertIfNegative val="0"/>
          <c:errBars>
            <c:errBarType val="both"/>
            <c:errValType val="cust"/>
            <c:noEndCap val="0"/>
            <c:plus>
              <c:numRef>
                <c:f>'GROUPS_Summed Duration'!$F$101:$F$111</c:f>
                <c:numCache>
                  <c:formatCode>General</c:formatCode>
                  <c:ptCount val="11"/>
                  <c:pt idx="0">
                    <c:v>490.91082</c:v>
                  </c:pt>
                  <c:pt idx="1">
                    <c:v>343.78872999999999</c:v>
                  </c:pt>
                  <c:pt idx="2">
                    <c:v>382.94081999999997</c:v>
                  </c:pt>
                  <c:pt idx="3">
                    <c:v>1786.1581699999999</c:v>
                  </c:pt>
                  <c:pt idx="4">
                    <c:v>157.71505999999999</c:v>
                  </c:pt>
                  <c:pt idx="5">
                    <c:v>67.510760000000005</c:v>
                  </c:pt>
                  <c:pt idx="6">
                    <c:v>924.96781999999996</c:v>
                  </c:pt>
                  <c:pt idx="7">
                    <c:v>491.79072000000002</c:v>
                  </c:pt>
                  <c:pt idx="8">
                    <c:v>77.842979999999997</c:v>
                  </c:pt>
                  <c:pt idx="9">
                    <c:v>305.17441000000002</c:v>
                  </c:pt>
                  <c:pt idx="10">
                    <c:v>859.55156999999997</c:v>
                  </c:pt>
                </c:numCache>
              </c:numRef>
            </c:plus>
            <c:minus>
              <c:numRef>
                <c:f>'GROUPS_Summed Duration'!$F$101:$F$111</c:f>
                <c:numCache>
                  <c:formatCode>General</c:formatCode>
                  <c:ptCount val="11"/>
                  <c:pt idx="0">
                    <c:v>490.91082</c:v>
                  </c:pt>
                  <c:pt idx="1">
                    <c:v>343.78872999999999</c:v>
                  </c:pt>
                  <c:pt idx="2">
                    <c:v>382.94081999999997</c:v>
                  </c:pt>
                  <c:pt idx="3">
                    <c:v>1786.1581699999999</c:v>
                  </c:pt>
                  <c:pt idx="4">
                    <c:v>157.71505999999999</c:v>
                  </c:pt>
                  <c:pt idx="5">
                    <c:v>67.510760000000005</c:v>
                  </c:pt>
                  <c:pt idx="6">
                    <c:v>924.96781999999996</c:v>
                  </c:pt>
                  <c:pt idx="7">
                    <c:v>491.79072000000002</c:v>
                  </c:pt>
                  <c:pt idx="8">
                    <c:v>77.842979999999997</c:v>
                  </c:pt>
                  <c:pt idx="9">
                    <c:v>305.17441000000002</c:v>
                  </c:pt>
                  <c:pt idx="10">
                    <c:v>859.55156999999997</c:v>
                  </c:pt>
                </c:numCache>
              </c:numRef>
            </c:minus>
            <c:spPr>
              <a:noFill/>
              <a:ln w="9525" cap="flat" cmpd="sng" algn="ctr">
                <a:solidFill>
                  <a:schemeClr val="tx1">
                    <a:lumMod val="65000"/>
                    <a:lumOff val="35000"/>
                  </a:schemeClr>
                </a:solidFill>
                <a:round/>
              </a:ln>
              <a:effectLst/>
            </c:spPr>
          </c:errBars>
          <c:cat>
            <c:strRef>
              <c:f>'GROUPS_Summed Duration'!$C$101:$C$111</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'GROUPS_Summed Duration'!$E$101:$E$111</c:f>
              <c:numCache>
                <c:formatCode>0.00</c:formatCode>
                <c:ptCount val="11"/>
                <c:pt idx="0">
                  <c:v>15718.9071</c:v>
                </c:pt>
                <c:pt idx="1">
                  <c:v>-223.21799999999999</c:v>
                </c:pt>
                <c:pt idx="2">
                  <c:v>1129.7402999999999</c:v>
                </c:pt>
                <c:pt idx="3">
                  <c:v>1947.4313</c:v>
                </c:pt>
                <c:pt idx="4">
                  <c:v>401.98899999999998</c:v>
                </c:pt>
                <c:pt idx="5">
                  <c:v>-219.11539999999999</c:v>
                </c:pt>
                <c:pt idx="6">
                  <c:v>1268.3459</c:v>
                </c:pt>
                <c:pt idx="7">
                  <c:v>707.72749999999996</c:v>
                </c:pt>
                <c:pt idx="8">
                  <c:v>-575.31299999999999</c:v>
                </c:pt>
                <c:pt idx="9">
                  <c:v>491.41629999999998</c:v>
                </c:pt>
                <c:pt idx="10">
                  <c:v>-97.768699999999995</c:v>
                </c:pt>
              </c:numCache>
            </c:numRef>
          </c:val>
          <c:extLst>
            <c:ext xmlns:c16="http://schemas.microsoft.com/office/drawing/2014/chart" uri="{C3380CC4-5D6E-409C-BE32-E72D297353CC}">
              <c16:uniqueId val="{00000000-EE26-46C4-8151-6FDCF2C1295A}"/>
            </c:ext>
          </c:extLst>
        </c:ser>
        <c:ser>
          <c:idx val="1"/>
          <c:order val="1"/>
          <c:tx>
            <c:strRef>
              <c:f>'GROUPS_Summed Duration'!$D$112</c:f>
              <c:strCache>
                <c:ptCount val="1"/>
                <c:pt idx="0">
                  <c:v>Hand</c:v>
                </c:pt>
              </c:strCache>
            </c:strRef>
          </c:tx>
          <c:spPr>
            <a:solidFill>
              <a:schemeClr val="dk1">
                <a:tint val="55000"/>
              </a:schemeClr>
            </a:solidFill>
            <a:ln>
              <a:noFill/>
            </a:ln>
            <a:effectLst/>
          </c:spPr>
          <c:invertIfNegative val="0"/>
          <c:errBars>
            <c:errBarType val="both"/>
            <c:errValType val="cust"/>
            <c:noEndCap val="0"/>
            <c:plus>
              <c:numRef>
                <c:f>'GROUPS_Summed Duration'!$F$112:$F$122</c:f>
                <c:numCache>
                  <c:formatCode>General</c:formatCode>
                  <c:ptCount val="11"/>
                  <c:pt idx="0">
                    <c:v>1804.3247799999999</c:v>
                  </c:pt>
                  <c:pt idx="1">
                    <c:v>1041.4852100000001</c:v>
                  </c:pt>
                  <c:pt idx="2">
                    <c:v>1011.88887</c:v>
                  </c:pt>
                  <c:pt idx="3">
                    <c:v>1068.98269</c:v>
                  </c:pt>
                  <c:pt idx="4">
                    <c:v>1094.33132</c:v>
                  </c:pt>
                  <c:pt idx="5">
                    <c:v>1539.01395</c:v>
                  </c:pt>
                  <c:pt idx="6">
                    <c:v>1402.9466399999999</c:v>
                  </c:pt>
                  <c:pt idx="7">
                    <c:v>2549.2954599999998</c:v>
                  </c:pt>
                  <c:pt idx="8">
                    <c:v>2445.4074900000001</c:v>
                  </c:pt>
                  <c:pt idx="9">
                    <c:v>2977.1042200000002</c:v>
                  </c:pt>
                  <c:pt idx="10">
                    <c:v>1518.33662</c:v>
                  </c:pt>
                </c:numCache>
              </c:numRef>
            </c:plus>
            <c:minus>
              <c:numRef>
                <c:f>'GROUPS_Summed Duration'!$F$112:$F$122</c:f>
                <c:numCache>
                  <c:formatCode>General</c:formatCode>
                  <c:ptCount val="11"/>
                  <c:pt idx="0">
                    <c:v>1804.3247799999999</c:v>
                  </c:pt>
                  <c:pt idx="1">
                    <c:v>1041.4852100000001</c:v>
                  </c:pt>
                  <c:pt idx="2">
                    <c:v>1011.88887</c:v>
                  </c:pt>
                  <c:pt idx="3">
                    <c:v>1068.98269</c:v>
                  </c:pt>
                  <c:pt idx="4">
                    <c:v>1094.33132</c:v>
                  </c:pt>
                  <c:pt idx="5">
                    <c:v>1539.01395</c:v>
                  </c:pt>
                  <c:pt idx="6">
                    <c:v>1402.9466399999999</c:v>
                  </c:pt>
                  <c:pt idx="7">
                    <c:v>2549.2954599999998</c:v>
                  </c:pt>
                  <c:pt idx="8">
                    <c:v>2445.4074900000001</c:v>
                  </c:pt>
                  <c:pt idx="9">
                    <c:v>2977.1042200000002</c:v>
                  </c:pt>
                  <c:pt idx="10">
                    <c:v>1518.33662</c:v>
                  </c:pt>
                </c:numCache>
              </c:numRef>
            </c:minus>
            <c:spPr>
              <a:noFill/>
              <a:ln w="9525" cap="flat" cmpd="sng" algn="ctr">
                <a:solidFill>
                  <a:schemeClr val="tx1">
                    <a:lumMod val="65000"/>
                    <a:lumOff val="35000"/>
                  </a:schemeClr>
                </a:solidFill>
                <a:round/>
              </a:ln>
              <a:effectLst/>
            </c:spPr>
          </c:errBars>
          <c:val>
            <c:numRef>
              <c:f>'GROUPS_Summed Duration'!$E$112:$E$122</c:f>
              <c:numCache>
                <c:formatCode>0.00</c:formatCode>
                <c:ptCount val="11"/>
                <c:pt idx="0">
                  <c:v>370.36219999999997</c:v>
                </c:pt>
                <c:pt idx="1">
                  <c:v>925.05870000000004</c:v>
                </c:pt>
                <c:pt idx="2">
                  <c:v>-1453.5291</c:v>
                </c:pt>
                <c:pt idx="3">
                  <c:v>-1605.7458999999999</c:v>
                </c:pt>
                <c:pt idx="4">
                  <c:v>2181.3566999999998</c:v>
                </c:pt>
                <c:pt idx="5">
                  <c:v>-3892.3681999999999</c:v>
                </c:pt>
                <c:pt idx="6">
                  <c:v>6129.8756999999996</c:v>
                </c:pt>
                <c:pt idx="7">
                  <c:v>-5097.9939000000004</c:v>
                </c:pt>
                <c:pt idx="8">
                  <c:v>-489.4973</c:v>
                </c:pt>
                <c:pt idx="9">
                  <c:v>-1397.9128000000001</c:v>
                </c:pt>
                <c:pt idx="10">
                  <c:v>4078.7824999999998</c:v>
                </c:pt>
              </c:numCache>
            </c:numRef>
          </c:val>
          <c:extLst>
            <c:ext xmlns:c16="http://schemas.microsoft.com/office/drawing/2014/chart" uri="{C3380CC4-5D6E-409C-BE32-E72D297353CC}">
              <c16:uniqueId val="{00000001-EE26-46C4-8151-6FDCF2C1295A}"/>
            </c:ext>
          </c:extLst>
        </c:ser>
        <c:ser>
          <c:idx val="2"/>
          <c:order val="2"/>
          <c:tx>
            <c:strRef>
              <c:f>'GROUPS_Summed Duration'!$D$123</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'GROUPS_Summed Duration'!$F$124:$F$133</c:f>
                <c:numCache>
                  <c:formatCode>General</c:formatCode>
                  <c:ptCount val="10"/>
                  <c:pt idx="0">
                    <c:v>3782.04232</c:v>
                  </c:pt>
                  <c:pt idx="1">
                    <c:v>13432.68518</c:v>
                  </c:pt>
                  <c:pt idx="2">
                    <c:v>11508.225619999999</c:v>
                  </c:pt>
                  <c:pt idx="3">
                    <c:v>16102.21206</c:v>
                  </c:pt>
                  <c:pt idx="4">
                    <c:v>6347.3294800000003</c:v>
                  </c:pt>
                  <c:pt idx="5">
                    <c:v>1334.5546899999999</c:v>
                  </c:pt>
                  <c:pt idx="6">
                    <c:v>2676.1460900000002</c:v>
                  </c:pt>
                  <c:pt idx="7">
                    <c:v>1645.7143100000001</c:v>
                  </c:pt>
                  <c:pt idx="8">
                    <c:v>7392.94643</c:v>
                  </c:pt>
                  <c:pt idx="9">
                    <c:v>315.82814999999999</c:v>
                  </c:pt>
                </c:numCache>
              </c:numRef>
            </c:plus>
            <c:minus>
              <c:numRef>
                <c:f>'GROUPS_Summed Duration'!$F$123:$F$133</c:f>
                <c:numCache>
                  <c:formatCode>General</c:formatCode>
                  <c:ptCount val="11"/>
                  <c:pt idx="0">
                    <c:v>8295.4561099999992</c:v>
                  </c:pt>
                  <c:pt idx="1">
                    <c:v>3782.04232</c:v>
                  </c:pt>
                  <c:pt idx="2">
                    <c:v>13432.68518</c:v>
                  </c:pt>
                  <c:pt idx="3">
                    <c:v>11508.225619999999</c:v>
                  </c:pt>
                  <c:pt idx="4">
                    <c:v>16102.21206</c:v>
                  </c:pt>
                  <c:pt idx="5">
                    <c:v>6347.3294800000003</c:v>
                  </c:pt>
                  <c:pt idx="6">
                    <c:v>1334.5546899999999</c:v>
                  </c:pt>
                  <c:pt idx="7">
                    <c:v>2676.1460900000002</c:v>
                  </c:pt>
                  <c:pt idx="8">
                    <c:v>1645.7143100000001</c:v>
                  </c:pt>
                  <c:pt idx="9">
                    <c:v>7392.94643</c:v>
                  </c:pt>
                  <c:pt idx="10">
                    <c:v>315.82814999999999</c:v>
                  </c:pt>
                </c:numCache>
              </c:numRef>
            </c:minus>
            <c:spPr>
              <a:noFill/>
              <a:ln w="9525" cap="flat" cmpd="sng" algn="ctr">
                <a:solidFill>
                  <a:schemeClr val="tx1">
                    <a:lumMod val="65000"/>
                    <a:lumOff val="35000"/>
                  </a:schemeClr>
                </a:solidFill>
                <a:round/>
              </a:ln>
              <a:effectLst/>
            </c:spPr>
          </c:errBars>
          <c:val>
            <c:numRef>
              <c:f>'GROUPS_Summed Duration'!$E$123:$E$133</c:f>
              <c:numCache>
                <c:formatCode>0.00</c:formatCode>
                <c:ptCount val="11"/>
                <c:pt idx="0">
                  <c:v>21974.678899999999</c:v>
                </c:pt>
                <c:pt idx="1">
                  <c:v>-8339.2679000000007</c:v>
                </c:pt>
                <c:pt idx="2">
                  <c:v>29390.124500000002</c:v>
                </c:pt>
                <c:pt idx="3">
                  <c:v>15248.933800000001</c:v>
                </c:pt>
                <c:pt idx="4">
                  <c:v>50048.041299999997</c:v>
                </c:pt>
                <c:pt idx="5">
                  <c:v>20995.234700000001</c:v>
                </c:pt>
                <c:pt idx="6">
                  <c:v>7226.7548999999999</c:v>
                </c:pt>
                <c:pt idx="7">
                  <c:v>-7621.9179999999997</c:v>
                </c:pt>
                <c:pt idx="8">
                  <c:v>12427.2122</c:v>
                </c:pt>
                <c:pt idx="9">
                  <c:v>11835.4028</c:v>
                </c:pt>
                <c:pt idx="10">
                  <c:v>-2385.0726</c:v>
                </c:pt>
              </c:numCache>
            </c:numRef>
          </c:val>
          <c:extLst>
            <c:ext xmlns:c16="http://schemas.microsoft.com/office/drawing/2014/chart" uri="{C3380CC4-5D6E-409C-BE32-E72D297353CC}">
              <c16:uniqueId val="{00000002-EE26-46C4-8151-6FDCF2C1295A}"/>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min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Rate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Summed Durartion of Event for Late Reach Group per Week  by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'GROUPS_Summed Duration'!$D$134</c:f>
              <c:strCache>
                <c:ptCount val="1"/>
                <c:pt idx="0">
                  <c:v>Face</c:v>
                </c:pt>
              </c:strCache>
            </c:strRef>
          </c:tx>
          <c:spPr>
            <a:solidFill>
              <a:schemeClr val="dk1">
                <a:tint val="88500"/>
              </a:schemeClr>
            </a:solidFill>
            <a:ln>
              <a:noFill/>
            </a:ln>
            <a:effectLst/>
          </c:spPr>
          <c:invertIfNegative val="0"/>
          <c:errBars>
            <c:errBarType val="both"/>
            <c:errValType val="cust"/>
            <c:noEndCap val="0"/>
            <c:plus>
              <c:numRef>
                <c:f>'GROUPS_Summed Duration'!$F$134:$F$144</c:f>
                <c:numCache>
                  <c:formatCode>General</c:formatCode>
                  <c:ptCount val="11"/>
                  <c:pt idx="0">
                    <c:v>45.058070000000001</c:v>
                  </c:pt>
                  <c:pt idx="1">
                    <c:v>37.906120000000001</c:v>
                  </c:pt>
                  <c:pt idx="2">
                    <c:v>28.4223</c:v>
                  </c:pt>
                  <c:pt idx="3">
                    <c:v>21.13785</c:v>
                  </c:pt>
                  <c:pt idx="4">
                    <c:v>26.14799</c:v>
                  </c:pt>
                  <c:pt idx="5">
                    <c:v>190.21680000000001</c:v>
                  </c:pt>
                  <c:pt idx="6">
                    <c:v>68.27431</c:v>
                  </c:pt>
                  <c:pt idx="7">
                    <c:v>113.30815</c:v>
                  </c:pt>
                  <c:pt idx="8">
                    <c:v>124.84824</c:v>
                  </c:pt>
                  <c:pt idx="9">
                    <c:v>170.13926000000001</c:v>
                  </c:pt>
                  <c:pt idx="10">
                    <c:v>113.05877</c:v>
                  </c:pt>
                </c:numCache>
              </c:numRef>
            </c:plus>
            <c:minus>
              <c:numRef>
                <c:f>'GROUPS_Summed Duration'!$F$134:$F$144</c:f>
                <c:numCache>
                  <c:formatCode>General</c:formatCode>
                  <c:ptCount val="11"/>
                  <c:pt idx="0">
                    <c:v>45.058070000000001</c:v>
                  </c:pt>
                  <c:pt idx="1">
                    <c:v>37.906120000000001</c:v>
                  </c:pt>
                  <c:pt idx="2">
                    <c:v>28.4223</c:v>
                  </c:pt>
                  <c:pt idx="3">
                    <c:v>21.13785</c:v>
                  </c:pt>
                  <c:pt idx="4">
                    <c:v>26.14799</c:v>
                  </c:pt>
                  <c:pt idx="5">
                    <c:v>190.21680000000001</c:v>
                  </c:pt>
                  <c:pt idx="6">
                    <c:v>68.27431</c:v>
                  </c:pt>
                  <c:pt idx="7">
                    <c:v>113.30815</c:v>
                  </c:pt>
                  <c:pt idx="8">
                    <c:v>124.84824</c:v>
                  </c:pt>
                  <c:pt idx="9">
                    <c:v>170.13926000000001</c:v>
                  </c:pt>
                  <c:pt idx="10">
                    <c:v>113.05877</c:v>
                  </c:pt>
                </c:numCache>
              </c:numRef>
            </c:minus>
            <c:spPr>
              <a:noFill/>
              <a:ln w="9525" cap="flat" cmpd="sng" algn="ctr">
                <a:solidFill>
                  <a:schemeClr val="tx1">
                    <a:lumMod val="65000"/>
                    <a:lumOff val="35000"/>
                  </a:schemeClr>
                </a:solidFill>
                <a:round/>
              </a:ln>
              <a:effectLst/>
            </c:spPr>
          </c:errBars>
          <c:cat>
            <c:strRef>
              <c:f>'GROUPS_Summed Duration'!$C$134:$C$144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'GROUPS_Summed Duration'!$E$134:$E$144</c:f>
              <c:numCache>
                <c:formatCode>0.00</c:formatCode>
                <c:ptCount val="11"/>
                <c:pt idx="0">
                  <c:v>40.704700000000003</c:v>
                </c:pt>
                <c:pt idx="1">
                  <c:v>1.0817000000000001</c:v>
                </c:pt>
                <c:pt idx="2">
                  <c:v>36.244900000000001</c:v>
                </c:pt>
                <c:pt idx="3">
                  <c:v>-14.325699999999999</c:v>
                </c:pt>
                <c:pt idx="4">
                  <c:v>-40.203600000000002</c:v>
                </c:pt>
                <c:pt idx="5">
                  <c:v>337.67540000000002</c:v>
                </c:pt>
                <c:pt idx="6">
                  <c:v>-43.982999999999997</c:v>
                </c:pt>
                <c:pt idx="7">
                  <c:v>285.89580000000001</c:v>
                </c:pt>
                <c:pt idx="8">
                  <c:v>105.1225</c:v>
                </c:pt>
                <c:pt idx="9">
                  <c:v>640.43020000000001</c:v>
                </c:pt>
                <c:pt idx="10">
                  <c:v>17.252400000000002</c:v>
                </c:pt>
              </c:numCache>
            </c:numRef>
          </c:val>
          <c:extLst>
            <c:ext xmlns:c16="http://schemas.microsoft.com/office/drawing/2014/chart" uri="{C3380CC4-5D6E-409C-BE32-E72D297353CC}">
              <c16:uniqueId val="{00000000-FC25-4862-9B40-709A16760F80}"/>
            </c:ext>
          </c:extLst>
        </c:ser>
        <c:ser>
          <c:idx val="1"/>
          <c:order val="1"/>
          <c:tx>
            <c:strRef>
              <c:f>'GROUPS_Summed Duration'!$D$145</c:f>
              <c:strCache>
                <c:ptCount val="1"/>
                <c:pt idx="0">
                  <c:v>Hand</c:v>
                </c:pt>
              </c:strCache>
            </c:strRef>
          </c:tx>
          <c:spPr>
            <a:solidFill>
              <a:schemeClr val="dk1">
                <a:tint val="55000"/>
              </a:schemeClr>
            </a:solidFill>
            <a:ln>
              <a:noFill/>
            </a:ln>
            <a:effectLst/>
          </c:spPr>
          <c:invertIfNegative val="0"/>
          <c:errBars>
            <c:errBarType val="both"/>
            <c:errValType val="cust"/>
            <c:noEndCap val="0"/>
            <c:plus>
              <c:numRef>
                <c:f>'GROUPS_Summed Duration'!$F$145:$F$155</c:f>
                <c:numCache>
                  <c:formatCode>General</c:formatCode>
                  <c:ptCount val="11"/>
                  <c:pt idx="0">
                    <c:v>88.649349999999998</c:v>
                  </c:pt>
                  <c:pt idx="1">
                    <c:v>154.08293</c:v>
                  </c:pt>
                  <c:pt idx="2">
                    <c:v>133.30360999999999</c:v>
                  </c:pt>
                  <c:pt idx="3">
                    <c:v>431.28651000000002</c:v>
                  </c:pt>
                  <c:pt idx="4">
                    <c:v>61.908740000000002</c:v>
                  </c:pt>
                  <c:pt idx="5">
                    <c:v>235.93474000000001</c:v>
                  </c:pt>
                  <c:pt idx="6">
                    <c:v>359.60142000000002</c:v>
                  </c:pt>
                  <c:pt idx="7">
                    <c:v>245.60532000000001</c:v>
                  </c:pt>
                  <c:pt idx="8">
                    <c:v>170.65262999999999</c:v>
                  </c:pt>
                  <c:pt idx="9">
                    <c:v>361.42779999999999</c:v>
                  </c:pt>
                  <c:pt idx="10">
                    <c:v>785.71105</c:v>
                  </c:pt>
                </c:numCache>
              </c:numRef>
            </c:plus>
            <c:minus>
              <c:numRef>
                <c:f>'GROUPS_Summed Duration'!$F$145:$F$155</c:f>
                <c:numCache>
                  <c:formatCode>General</c:formatCode>
                  <c:ptCount val="11"/>
                  <c:pt idx="0">
                    <c:v>88.649349999999998</c:v>
                  </c:pt>
                  <c:pt idx="1">
                    <c:v>154.08293</c:v>
                  </c:pt>
                  <c:pt idx="2">
                    <c:v>133.30360999999999</c:v>
                  </c:pt>
                  <c:pt idx="3">
                    <c:v>431.28651000000002</c:v>
                  </c:pt>
                  <c:pt idx="4">
                    <c:v>61.908740000000002</c:v>
                  </c:pt>
                  <c:pt idx="5">
                    <c:v>235.93474000000001</c:v>
                  </c:pt>
                  <c:pt idx="6">
                    <c:v>359.60142000000002</c:v>
                  </c:pt>
                  <c:pt idx="7">
                    <c:v>245.60532000000001</c:v>
                  </c:pt>
                  <c:pt idx="8">
                    <c:v>170.65262999999999</c:v>
                  </c:pt>
                  <c:pt idx="9">
                    <c:v>361.42779999999999</c:v>
                  </c:pt>
                  <c:pt idx="10">
                    <c:v>785.71105</c:v>
                  </c:pt>
                </c:numCache>
              </c:numRef>
            </c:minus>
            <c:spPr>
              <a:noFill/>
              <a:ln w="9525" cap="flat" cmpd="sng" algn="ctr">
                <a:solidFill>
                  <a:schemeClr val="tx1">
                    <a:lumMod val="65000"/>
                    <a:lumOff val="35000"/>
                  </a:schemeClr>
                </a:solidFill>
                <a:round/>
              </a:ln>
              <a:effectLst/>
            </c:spPr>
          </c:errBars>
          <c:cat>
            <c:strRef>
              <c:f>'GROUPS_Summed Duration'!$C$134:$C$144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'GROUPS_Summed Duration'!$E$145:$E$155</c:f>
              <c:numCache>
                <c:formatCode>0.00</c:formatCode>
                <c:ptCount val="11"/>
                <c:pt idx="0">
                  <c:v>67.842399999999998</c:v>
                </c:pt>
                <c:pt idx="1">
                  <c:v>-127.1049</c:v>
                </c:pt>
                <c:pt idx="2">
                  <c:v>-37.534599999999998</c:v>
                </c:pt>
                <c:pt idx="3">
                  <c:v>437.96460000000002</c:v>
                </c:pt>
                <c:pt idx="4">
                  <c:v>162.1652</c:v>
                </c:pt>
                <c:pt idx="5">
                  <c:v>-609.79809999999998</c:v>
                </c:pt>
                <c:pt idx="6">
                  <c:v>508.34109999999998</c:v>
                </c:pt>
                <c:pt idx="7">
                  <c:v>-137.39609999999999</c:v>
                </c:pt>
                <c:pt idx="8">
                  <c:v>-132.69540000000001</c:v>
                </c:pt>
                <c:pt idx="9">
                  <c:v>601.33010000000002</c:v>
                </c:pt>
                <c:pt idx="10">
                  <c:v>-1353.3008</c:v>
                </c:pt>
              </c:numCache>
            </c:numRef>
          </c:val>
          <c:extLst>
            <c:ext xmlns:c16="http://schemas.microsoft.com/office/drawing/2014/chart" uri="{C3380CC4-5D6E-409C-BE32-E72D297353CC}">
              <c16:uniqueId val="{00000001-FC25-4862-9B40-709A16760F80}"/>
            </c:ext>
          </c:extLst>
        </c:ser>
        <c:ser>
          <c:idx val="2"/>
          <c:order val="2"/>
          <c:tx>
            <c:strRef>
              <c:f>'GROUPS_Summed Duration'!$D$156</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'GROUPS_Summed Duration'!$F$156:$F$166</c:f>
                <c:numCache>
                  <c:formatCode>General</c:formatCode>
                  <c:ptCount val="11"/>
                  <c:pt idx="0">
                    <c:v>767.65827000000002</c:v>
                  </c:pt>
                  <c:pt idx="1">
                    <c:v>1801.68921</c:v>
                  </c:pt>
                  <c:pt idx="2">
                    <c:v>2872.94704</c:v>
                  </c:pt>
                  <c:pt idx="3">
                    <c:v>777.23819000000003</c:v>
                  </c:pt>
                  <c:pt idx="4">
                    <c:v>4472.8401000000003</c:v>
                  </c:pt>
                  <c:pt idx="5">
                    <c:v>2092.6728800000001</c:v>
                  </c:pt>
                  <c:pt idx="6">
                    <c:v>12926.77483</c:v>
                  </c:pt>
                  <c:pt idx="7">
                    <c:v>3514.2949699999999</c:v>
                  </c:pt>
                  <c:pt idx="8">
                    <c:v>948.58033</c:v>
                  </c:pt>
                  <c:pt idx="9">
                    <c:v>3578.9275499999999</c:v>
                  </c:pt>
                  <c:pt idx="10">
                    <c:v>3678.9630299999999</c:v>
                  </c:pt>
                </c:numCache>
              </c:numRef>
            </c:plus>
            <c:minus>
              <c:numRef>
                <c:f>'GROUPS_Summed Duration'!$F$156:$F$166</c:f>
                <c:numCache>
                  <c:formatCode>General</c:formatCode>
                  <c:ptCount val="11"/>
                  <c:pt idx="0">
                    <c:v>767.65827000000002</c:v>
                  </c:pt>
                  <c:pt idx="1">
                    <c:v>1801.68921</c:v>
                  </c:pt>
                  <c:pt idx="2">
                    <c:v>2872.94704</c:v>
                  </c:pt>
                  <c:pt idx="3">
                    <c:v>777.23819000000003</c:v>
                  </c:pt>
                  <c:pt idx="4">
                    <c:v>4472.8401000000003</c:v>
                  </c:pt>
                  <c:pt idx="5">
                    <c:v>2092.6728800000001</c:v>
                  </c:pt>
                  <c:pt idx="6">
                    <c:v>12926.77483</c:v>
                  </c:pt>
                  <c:pt idx="7">
                    <c:v>3514.2949699999999</c:v>
                  </c:pt>
                  <c:pt idx="8">
                    <c:v>948.58033</c:v>
                  </c:pt>
                  <c:pt idx="9">
                    <c:v>3578.9275499999999</c:v>
                  </c:pt>
                  <c:pt idx="10">
                    <c:v>3678.9630299999999</c:v>
                  </c:pt>
                </c:numCache>
              </c:numRef>
            </c:minus>
            <c:spPr>
              <a:noFill/>
              <a:ln w="9525" cap="flat" cmpd="sng" algn="ctr">
                <a:solidFill>
                  <a:schemeClr val="tx1">
                    <a:lumMod val="65000"/>
                    <a:lumOff val="35000"/>
                  </a:schemeClr>
                </a:solidFill>
                <a:round/>
              </a:ln>
              <a:effectLst/>
            </c:spPr>
          </c:errBars>
          <c:cat>
            <c:strRef>
              <c:f>'GROUPS_Summed Duration'!$C$134:$C$144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'GROUPS_Summed Duration'!$E$156:$E$166</c:f>
              <c:numCache>
                <c:formatCode>0.00</c:formatCode>
                <c:ptCount val="11"/>
                <c:pt idx="0">
                  <c:v>-949.01170000000002</c:v>
                </c:pt>
                <c:pt idx="1">
                  <c:v>526.19000000000005</c:v>
                </c:pt>
                <c:pt idx="2">
                  <c:v>5279.6954999999998</c:v>
                </c:pt>
                <c:pt idx="3">
                  <c:v>-138.20769999999999</c:v>
                </c:pt>
                <c:pt idx="4">
                  <c:v>6785.1360000000004</c:v>
                </c:pt>
                <c:pt idx="5">
                  <c:v>3395.1563000000001</c:v>
                </c:pt>
                <c:pt idx="6">
                  <c:v>20481.840100000001</c:v>
                </c:pt>
                <c:pt idx="7">
                  <c:v>11860.3752</c:v>
                </c:pt>
                <c:pt idx="8">
                  <c:v>7665.7498999999998</c:v>
                </c:pt>
                <c:pt idx="9">
                  <c:v>27722.473999999998</c:v>
                </c:pt>
                <c:pt idx="10">
                  <c:v>-4882.1566999999995</c:v>
                </c:pt>
              </c:numCache>
            </c:numRef>
          </c:val>
          <c:extLst>
            <c:ext xmlns:c16="http://schemas.microsoft.com/office/drawing/2014/chart" uri="{C3380CC4-5D6E-409C-BE32-E72D297353CC}">
              <c16:uniqueId val="{00000002-FC25-4862-9B40-709A16760F80}"/>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max val="70000"/>
          <c:min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Rate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Average Duration of Event for Early Reach Group per Week  by Type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'GROUPS_Average Duration'!$D$101</c:f>
              <c:strCache>
                <c:ptCount val="1"/>
                <c:pt idx="0">
                  <c:v>Face</c:v>
                </c:pt>
              </c:strCache>
            </c:strRef>
          </c:tx>
          <c:spPr>
            <a:solidFill>
              <a:schemeClr val="dk1">
                <a:tint val="88500"/>
              </a:schemeClr>
            </a:solidFill>
            <a:ln>
              <a:noFill/>
            </a:ln>
            <a:effectLst/>
          </c:spPr>
          <c:invertIfNegative val="0"/>
          <c:errBars>
            <c:errBarType val="both"/>
            <c:errValType val="cust"/>
            <c:noEndCap val="0"/>
            <c:plus>
              <c:numRef>
                <c:f>'GROUPS_Average Duration'!$F$101:$F$111</c:f>
                <c:numCache>
                  <c:formatCode>General</c:formatCode>
                  <c:ptCount val="11"/>
                  <c:pt idx="0">
                    <c:v>132.26943</c:v>
                  </c:pt>
                  <c:pt idx="1">
                    <c:v>48.022370000000002</c:v>
                  </c:pt>
                  <c:pt idx="2">
                    <c:v>241.90207000000001</c:v>
                  </c:pt>
                  <c:pt idx="3">
                    <c:v>344.22985999999997</c:v>
                  </c:pt>
                  <c:pt idx="4">
                    <c:v>35.134500000000003</c:v>
                  </c:pt>
                  <c:pt idx="5">
                    <c:v>33.007620000000003</c:v>
                  </c:pt>
                  <c:pt idx="6">
                    <c:v>144.03361000000001</c:v>
                  </c:pt>
                  <c:pt idx="7">
                    <c:v>59.613520000000001</c:v>
                  </c:pt>
                  <c:pt idx="8">
                    <c:v>44.162680000000002</c:v>
                  </c:pt>
                  <c:pt idx="9">
                    <c:v>72.713290000000001</c:v>
                  </c:pt>
                  <c:pt idx="10">
                    <c:v>69.306910000000002</c:v>
                  </c:pt>
                </c:numCache>
              </c:numRef>
            </c:plus>
            <c:minus>
              <c:numRef>
                <c:f>'GROUPS_Average Duration'!$F$101:$F$111</c:f>
                <c:numCache>
                  <c:formatCode>General</c:formatCode>
                  <c:ptCount val="11"/>
                  <c:pt idx="0">
                    <c:v>132.26943</c:v>
                  </c:pt>
                  <c:pt idx="1">
                    <c:v>48.022370000000002</c:v>
                  </c:pt>
                  <c:pt idx="2">
                    <c:v>241.90207000000001</c:v>
                  </c:pt>
                  <c:pt idx="3">
                    <c:v>344.22985999999997</c:v>
                  </c:pt>
                  <c:pt idx="4">
                    <c:v>35.134500000000003</c:v>
                  </c:pt>
                  <c:pt idx="5">
                    <c:v>33.007620000000003</c:v>
                  </c:pt>
                  <c:pt idx="6">
                    <c:v>144.03361000000001</c:v>
                  </c:pt>
                  <c:pt idx="7">
                    <c:v>59.613520000000001</c:v>
                  </c:pt>
                  <c:pt idx="8">
                    <c:v>44.162680000000002</c:v>
                  </c:pt>
                  <c:pt idx="9">
                    <c:v>72.713290000000001</c:v>
                  </c:pt>
                  <c:pt idx="10">
                    <c:v>69.306910000000002</c:v>
                  </c:pt>
                </c:numCache>
              </c:numRef>
            </c:minus>
            <c:spPr>
              <a:noFill/>
              <a:ln w="9525" cap="flat" cmpd="sng" algn="ctr">
                <a:solidFill>
                  <a:schemeClr val="tx1">
                    <a:lumMod val="65000"/>
                    <a:lumOff val="35000"/>
                  </a:schemeClr>
                </a:solidFill>
                <a:round/>
              </a:ln>
              <a:effectLst/>
            </c:spPr>
          </c:errBars>
          <c:cat>
            <c:strRef>
              <c:f>'GROUPS_Average Duration'!$C$101:$C$111</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'GROUPS_Average Duration'!$E$101:$E$111</c:f>
              <c:numCache>
                <c:formatCode>0.00</c:formatCode>
                <c:ptCount val="11"/>
                <c:pt idx="0">
                  <c:v>927.7002</c:v>
                </c:pt>
                <c:pt idx="1">
                  <c:v>-48.868299999999998</c:v>
                </c:pt>
                <c:pt idx="2">
                  <c:v>525.09580000000005</c:v>
                </c:pt>
                <c:pt idx="3">
                  <c:v>468.0487</c:v>
                </c:pt>
                <c:pt idx="4">
                  <c:v>-29.2927</c:v>
                </c:pt>
                <c:pt idx="5">
                  <c:v>45.793199999999999</c:v>
                </c:pt>
                <c:pt idx="6">
                  <c:v>3.0891999999999999</c:v>
                </c:pt>
                <c:pt idx="7">
                  <c:v>148.0917</c:v>
                </c:pt>
                <c:pt idx="8">
                  <c:v>7.9192</c:v>
                </c:pt>
                <c:pt idx="9">
                  <c:v>-29.162199999999999</c:v>
                </c:pt>
                <c:pt idx="10">
                  <c:v>33.381999999999998</c:v>
                </c:pt>
              </c:numCache>
            </c:numRef>
          </c:val>
          <c:extLst>
            <c:ext xmlns:c16="http://schemas.microsoft.com/office/drawing/2014/chart" uri="{C3380CC4-5D6E-409C-BE32-E72D297353CC}">
              <c16:uniqueId val="{00000000-0D95-44D4-91AA-1B0FAE3D4D89}"/>
            </c:ext>
          </c:extLst>
        </c:ser>
        <c:ser>
          <c:idx val="1"/>
          <c:order val="1"/>
          <c:tx>
            <c:strRef>
              <c:f>'GROUPS_Average Duration'!$D$112</c:f>
              <c:strCache>
                <c:ptCount val="1"/>
                <c:pt idx="0">
                  <c:v>Hand</c:v>
                </c:pt>
              </c:strCache>
            </c:strRef>
          </c:tx>
          <c:spPr>
            <a:solidFill>
              <a:schemeClr val="dk1">
                <a:tint val="55000"/>
              </a:schemeClr>
            </a:solidFill>
            <a:ln>
              <a:noFill/>
            </a:ln>
            <a:effectLst/>
          </c:spPr>
          <c:invertIfNegative val="0"/>
          <c:errBars>
            <c:errBarType val="both"/>
            <c:errValType val="cust"/>
            <c:noEndCap val="0"/>
            <c:plus>
              <c:numRef>
                <c:f>'GROUPS_Average Duration'!$F$112:$F$122</c:f>
                <c:numCache>
                  <c:formatCode>General</c:formatCode>
                  <c:ptCount val="11"/>
                  <c:pt idx="0">
                    <c:v>160.24646000000001</c:v>
                  </c:pt>
                  <c:pt idx="1">
                    <c:v>39.892910000000001</c:v>
                  </c:pt>
                  <c:pt idx="2">
                    <c:v>19.37379</c:v>
                  </c:pt>
                  <c:pt idx="3">
                    <c:v>29.723089999999999</c:v>
                  </c:pt>
                  <c:pt idx="4">
                    <c:v>34.042580000000001</c:v>
                  </c:pt>
                  <c:pt idx="5">
                    <c:v>70.299760000000006</c:v>
                  </c:pt>
                  <c:pt idx="6">
                    <c:v>62.30104</c:v>
                  </c:pt>
                  <c:pt idx="7">
                    <c:v>129.36646999999999</c:v>
                  </c:pt>
                  <c:pt idx="8">
                    <c:v>96.610230000000001</c:v>
                  </c:pt>
                  <c:pt idx="9">
                    <c:v>144.02727999999999</c:v>
                  </c:pt>
                  <c:pt idx="10">
                    <c:v>87.997969999999995</c:v>
                  </c:pt>
                </c:numCache>
              </c:numRef>
            </c:plus>
            <c:minus>
              <c:numRef>
                <c:f>'GROUPS_Average Duration'!$F$112:$F$122</c:f>
                <c:numCache>
                  <c:formatCode>General</c:formatCode>
                  <c:ptCount val="11"/>
                  <c:pt idx="0">
                    <c:v>160.24646000000001</c:v>
                  </c:pt>
                  <c:pt idx="1">
                    <c:v>39.892910000000001</c:v>
                  </c:pt>
                  <c:pt idx="2">
                    <c:v>19.37379</c:v>
                  </c:pt>
                  <c:pt idx="3">
                    <c:v>29.723089999999999</c:v>
                  </c:pt>
                  <c:pt idx="4">
                    <c:v>34.042580000000001</c:v>
                  </c:pt>
                  <c:pt idx="5">
                    <c:v>70.299760000000006</c:v>
                  </c:pt>
                  <c:pt idx="6">
                    <c:v>62.30104</c:v>
                  </c:pt>
                  <c:pt idx="7">
                    <c:v>129.36646999999999</c:v>
                  </c:pt>
                  <c:pt idx="8">
                    <c:v>96.610230000000001</c:v>
                  </c:pt>
                  <c:pt idx="9">
                    <c:v>144.02727999999999</c:v>
                  </c:pt>
                  <c:pt idx="10">
                    <c:v>87.997969999999995</c:v>
                  </c:pt>
                </c:numCache>
              </c:numRef>
            </c:minus>
            <c:spPr>
              <a:noFill/>
              <a:ln w="9525" cap="flat" cmpd="sng" algn="ctr">
                <a:solidFill>
                  <a:schemeClr val="tx1">
                    <a:lumMod val="65000"/>
                    <a:lumOff val="35000"/>
                  </a:schemeClr>
                </a:solidFill>
                <a:round/>
              </a:ln>
              <a:effectLst/>
            </c:spPr>
          </c:errBars>
          <c:val>
            <c:numRef>
              <c:f>'GROUPS_Average Duration'!$E$112:$E$122</c:f>
              <c:numCache>
                <c:formatCode>0.00</c:formatCode>
                <c:ptCount val="11"/>
                <c:pt idx="0">
                  <c:v>-118.42</c:v>
                </c:pt>
                <c:pt idx="1">
                  <c:v>104.25620000000001</c:v>
                </c:pt>
                <c:pt idx="2">
                  <c:v>18.929099999999998</c:v>
                </c:pt>
                <c:pt idx="3">
                  <c:v>-29.4528</c:v>
                </c:pt>
                <c:pt idx="4">
                  <c:v>80.949399999999997</c:v>
                </c:pt>
                <c:pt idx="5">
                  <c:v>-283.1671</c:v>
                </c:pt>
                <c:pt idx="6">
                  <c:v>264.44569999999999</c:v>
                </c:pt>
                <c:pt idx="7">
                  <c:v>-151.5112</c:v>
                </c:pt>
                <c:pt idx="8">
                  <c:v>-15.6472</c:v>
                </c:pt>
                <c:pt idx="9">
                  <c:v>-112.3503</c:v>
                </c:pt>
                <c:pt idx="10">
                  <c:v>218.5539</c:v>
                </c:pt>
              </c:numCache>
            </c:numRef>
          </c:val>
          <c:extLst>
            <c:ext xmlns:c16="http://schemas.microsoft.com/office/drawing/2014/chart" uri="{C3380CC4-5D6E-409C-BE32-E72D297353CC}">
              <c16:uniqueId val="{00000001-0D95-44D4-91AA-1B0FAE3D4D89}"/>
            </c:ext>
          </c:extLst>
        </c:ser>
        <c:ser>
          <c:idx val="2"/>
          <c:order val="2"/>
          <c:tx>
            <c:strRef>
              <c:f>'GROUPS_Average Duration'!$D$123</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'GROUPS_Average Duration'!$F$124:$F$133</c:f>
                <c:numCache>
                  <c:formatCode>General</c:formatCode>
                  <c:ptCount val="10"/>
                  <c:pt idx="0">
                    <c:v>154.88388</c:v>
                  </c:pt>
                  <c:pt idx="1">
                    <c:v>402.32801999999998</c:v>
                  </c:pt>
                  <c:pt idx="2">
                    <c:v>502.50614000000002</c:v>
                  </c:pt>
                  <c:pt idx="3">
                    <c:v>1214.9508699999999</c:v>
                  </c:pt>
                  <c:pt idx="4">
                    <c:v>659.29729999999995</c:v>
                  </c:pt>
                  <c:pt idx="5">
                    <c:v>101.09609</c:v>
                  </c:pt>
                  <c:pt idx="6">
                    <c:v>141.27669</c:v>
                  </c:pt>
                  <c:pt idx="7">
                    <c:v>102.86676</c:v>
                  </c:pt>
                  <c:pt idx="8">
                    <c:v>247.03537</c:v>
                  </c:pt>
                  <c:pt idx="9">
                    <c:v>40.975529999999999</c:v>
                  </c:pt>
                </c:numCache>
              </c:numRef>
            </c:plus>
            <c:minus>
              <c:numRef>
                <c:f>'GROUPS_Average Duration'!$F$123:$F$133</c:f>
                <c:numCache>
                  <c:formatCode>General</c:formatCode>
                  <c:ptCount val="11"/>
                  <c:pt idx="0">
                    <c:v>203.54264000000001</c:v>
                  </c:pt>
                  <c:pt idx="1">
                    <c:v>154.88388</c:v>
                  </c:pt>
                  <c:pt idx="2">
                    <c:v>402.32801999999998</c:v>
                  </c:pt>
                  <c:pt idx="3">
                    <c:v>502.50614000000002</c:v>
                  </c:pt>
                  <c:pt idx="4">
                    <c:v>1214.9508699999999</c:v>
                  </c:pt>
                  <c:pt idx="5">
                    <c:v>659.29729999999995</c:v>
                  </c:pt>
                  <c:pt idx="6">
                    <c:v>101.09609</c:v>
                  </c:pt>
                  <c:pt idx="7">
                    <c:v>141.27669</c:v>
                  </c:pt>
                  <c:pt idx="8">
                    <c:v>102.86676</c:v>
                  </c:pt>
                  <c:pt idx="9">
                    <c:v>247.03537</c:v>
                  </c:pt>
                  <c:pt idx="10">
                    <c:v>40.975529999999999</c:v>
                  </c:pt>
                </c:numCache>
              </c:numRef>
            </c:minus>
            <c:spPr>
              <a:noFill/>
              <a:ln w="9525" cap="flat" cmpd="sng" algn="ctr">
                <a:solidFill>
                  <a:schemeClr val="tx1">
                    <a:lumMod val="65000"/>
                    <a:lumOff val="35000"/>
                  </a:schemeClr>
                </a:solidFill>
                <a:round/>
              </a:ln>
              <a:effectLst/>
            </c:spPr>
          </c:errBars>
          <c:val>
            <c:numRef>
              <c:f>'GROUPS_Average Duration'!$E$123:$E$133</c:f>
              <c:numCache>
                <c:formatCode>0.00</c:formatCode>
                <c:ptCount val="11"/>
                <c:pt idx="0">
                  <c:v>804.37950000000001</c:v>
                </c:pt>
                <c:pt idx="1">
                  <c:v>-207.35820000000001</c:v>
                </c:pt>
                <c:pt idx="2">
                  <c:v>1631.3081</c:v>
                </c:pt>
                <c:pt idx="3">
                  <c:v>650.52440000000001</c:v>
                </c:pt>
                <c:pt idx="4">
                  <c:v>4060.3620999999998</c:v>
                </c:pt>
                <c:pt idx="5">
                  <c:v>1345.3167000000001</c:v>
                </c:pt>
                <c:pt idx="6">
                  <c:v>824.93299999999999</c:v>
                </c:pt>
                <c:pt idx="7">
                  <c:v>-437.30599999999998</c:v>
                </c:pt>
                <c:pt idx="8">
                  <c:v>576.56730000000005</c:v>
                </c:pt>
                <c:pt idx="9">
                  <c:v>250.22730000000001</c:v>
                </c:pt>
                <c:pt idx="10">
                  <c:v>-114.9846</c:v>
                </c:pt>
              </c:numCache>
            </c:numRef>
          </c:val>
          <c:extLst>
            <c:ext xmlns:c16="http://schemas.microsoft.com/office/drawing/2014/chart" uri="{C3380CC4-5D6E-409C-BE32-E72D297353CC}">
              <c16:uniqueId val="{00000002-0D95-44D4-91AA-1B0FAE3D4D89}"/>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min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Rate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Average Durartion of Event for Late Reach Group per Week  by Type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'GROUPS_Average Duration'!$D$134</c:f>
              <c:strCache>
                <c:ptCount val="1"/>
                <c:pt idx="0">
                  <c:v>Face</c:v>
                </c:pt>
              </c:strCache>
            </c:strRef>
          </c:tx>
          <c:spPr>
            <a:solidFill>
              <a:schemeClr val="dk1">
                <a:tint val="88500"/>
              </a:schemeClr>
            </a:solidFill>
            <a:ln>
              <a:noFill/>
            </a:ln>
            <a:effectLst/>
          </c:spPr>
          <c:invertIfNegative val="0"/>
          <c:errBars>
            <c:errBarType val="both"/>
            <c:errValType val="cust"/>
            <c:noEndCap val="0"/>
            <c:plus>
              <c:numRef>
                <c:f>'GROUPS_Average Duration'!$F$134:$F$144</c:f>
                <c:numCache>
                  <c:formatCode>General</c:formatCode>
                  <c:ptCount val="11"/>
                  <c:pt idx="0">
                    <c:v>0.21986</c:v>
                  </c:pt>
                  <c:pt idx="1">
                    <c:v>2.05301</c:v>
                  </c:pt>
                  <c:pt idx="2">
                    <c:v>0.74063999999999997</c:v>
                  </c:pt>
                  <c:pt idx="3">
                    <c:v>2.7642199999999999</c:v>
                  </c:pt>
                  <c:pt idx="4">
                    <c:v>2.21326</c:v>
                  </c:pt>
                  <c:pt idx="5">
                    <c:v>11.964370000000001</c:v>
                  </c:pt>
                  <c:pt idx="6">
                    <c:v>3.1880700000000002</c:v>
                  </c:pt>
                  <c:pt idx="7">
                    <c:v>7.61252</c:v>
                  </c:pt>
                  <c:pt idx="8">
                    <c:v>5.6055799999999998</c:v>
                  </c:pt>
                  <c:pt idx="9">
                    <c:v>12.52176</c:v>
                  </c:pt>
                  <c:pt idx="10">
                    <c:v>8.0879799999999999</c:v>
                  </c:pt>
                </c:numCache>
              </c:numRef>
            </c:plus>
            <c:minus>
              <c:numRef>
                <c:f>'GROUPS_Average Duration'!$F$134:$F$144</c:f>
                <c:numCache>
                  <c:formatCode>General</c:formatCode>
                  <c:ptCount val="11"/>
                  <c:pt idx="0">
                    <c:v>0.21986</c:v>
                  </c:pt>
                  <c:pt idx="1">
                    <c:v>2.05301</c:v>
                  </c:pt>
                  <c:pt idx="2">
                    <c:v>0.74063999999999997</c:v>
                  </c:pt>
                  <c:pt idx="3">
                    <c:v>2.7642199999999999</c:v>
                  </c:pt>
                  <c:pt idx="4">
                    <c:v>2.21326</c:v>
                  </c:pt>
                  <c:pt idx="5">
                    <c:v>11.964370000000001</c:v>
                  </c:pt>
                  <c:pt idx="6">
                    <c:v>3.1880700000000002</c:v>
                  </c:pt>
                  <c:pt idx="7">
                    <c:v>7.61252</c:v>
                  </c:pt>
                  <c:pt idx="8">
                    <c:v>5.6055799999999998</c:v>
                  </c:pt>
                  <c:pt idx="9">
                    <c:v>12.52176</c:v>
                  </c:pt>
                  <c:pt idx="10">
                    <c:v>8.0879799999999999</c:v>
                  </c:pt>
                </c:numCache>
              </c:numRef>
            </c:minus>
            <c:spPr>
              <a:noFill/>
              <a:ln w="9525" cap="flat" cmpd="sng" algn="ctr">
                <a:solidFill>
                  <a:schemeClr val="tx1">
                    <a:lumMod val="65000"/>
                    <a:lumOff val="35000"/>
                  </a:schemeClr>
                </a:solidFill>
                <a:round/>
              </a:ln>
              <a:effectLst/>
            </c:spPr>
          </c:errBars>
          <c:cat>
            <c:strRef>
              <c:f>'GROUPS_Average Duration'!$C$134:$C$144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'GROUPS_Average Duration'!$E$134:$E$144</c:f>
              <c:numCache>
                <c:formatCode>0.00</c:formatCode>
                <c:ptCount val="11"/>
                <c:pt idx="0">
                  <c:v>1.1669</c:v>
                </c:pt>
                <c:pt idx="1">
                  <c:v>-0.71279999999999999</c:v>
                </c:pt>
                <c:pt idx="2">
                  <c:v>0.32579999999999998</c:v>
                </c:pt>
                <c:pt idx="3">
                  <c:v>0.77449999999999997</c:v>
                </c:pt>
                <c:pt idx="4">
                  <c:v>1.1856</c:v>
                </c:pt>
                <c:pt idx="5">
                  <c:v>19.346</c:v>
                </c:pt>
                <c:pt idx="6">
                  <c:v>-5.3183999999999996</c:v>
                </c:pt>
                <c:pt idx="7">
                  <c:v>26.376300000000001</c:v>
                </c:pt>
                <c:pt idx="8">
                  <c:v>-1.0774999999999999</c:v>
                </c:pt>
                <c:pt idx="9">
                  <c:v>43.249899999999997</c:v>
                </c:pt>
                <c:pt idx="10">
                  <c:v>-5.5293000000000001</c:v>
                </c:pt>
              </c:numCache>
            </c:numRef>
          </c:val>
          <c:extLst>
            <c:ext xmlns:c16="http://schemas.microsoft.com/office/drawing/2014/chart" uri="{C3380CC4-5D6E-409C-BE32-E72D297353CC}">
              <c16:uniqueId val="{00000000-7008-4613-A409-4C5CF06A32C1}"/>
            </c:ext>
          </c:extLst>
        </c:ser>
        <c:ser>
          <c:idx val="1"/>
          <c:order val="1"/>
          <c:tx>
            <c:strRef>
              <c:f>'GROUPS_Average Duration'!$D$145</c:f>
              <c:strCache>
                <c:ptCount val="1"/>
                <c:pt idx="0">
                  <c:v>Hand</c:v>
                </c:pt>
              </c:strCache>
            </c:strRef>
          </c:tx>
          <c:spPr>
            <a:solidFill>
              <a:schemeClr val="dk1">
                <a:tint val="55000"/>
              </a:schemeClr>
            </a:solidFill>
            <a:ln>
              <a:noFill/>
            </a:ln>
            <a:effectLst/>
          </c:spPr>
          <c:invertIfNegative val="0"/>
          <c:errBars>
            <c:errBarType val="both"/>
            <c:errValType val="cust"/>
            <c:noEndCap val="0"/>
            <c:plus>
              <c:numRef>
                <c:f>'GROUPS_Average Duration'!$F$145:$F$155</c:f>
                <c:numCache>
                  <c:formatCode>General</c:formatCode>
                  <c:ptCount val="11"/>
                  <c:pt idx="0">
                    <c:v>11.08911</c:v>
                  </c:pt>
                  <c:pt idx="1">
                    <c:v>11.18919</c:v>
                  </c:pt>
                  <c:pt idx="2">
                    <c:v>1.32287</c:v>
                  </c:pt>
                  <c:pt idx="3">
                    <c:v>22.33934</c:v>
                  </c:pt>
                  <c:pt idx="4">
                    <c:v>1.92987</c:v>
                  </c:pt>
                  <c:pt idx="5">
                    <c:v>8.7474299999999996</c:v>
                  </c:pt>
                  <c:pt idx="6">
                    <c:v>16.33428</c:v>
                  </c:pt>
                  <c:pt idx="7">
                    <c:v>3.2884600000000002</c:v>
                  </c:pt>
                  <c:pt idx="8">
                    <c:v>13.03121</c:v>
                  </c:pt>
                  <c:pt idx="9">
                    <c:v>12.34929</c:v>
                  </c:pt>
                  <c:pt idx="10">
                    <c:v>35.624209999999998</c:v>
                  </c:pt>
                </c:numCache>
              </c:numRef>
            </c:plus>
            <c:minus>
              <c:numRef>
                <c:f>'GROUPS_Average Duration'!$F$145:$F$155</c:f>
                <c:numCache>
                  <c:formatCode>General</c:formatCode>
                  <c:ptCount val="11"/>
                  <c:pt idx="0">
                    <c:v>11.08911</c:v>
                  </c:pt>
                  <c:pt idx="1">
                    <c:v>11.18919</c:v>
                  </c:pt>
                  <c:pt idx="2">
                    <c:v>1.32287</c:v>
                  </c:pt>
                  <c:pt idx="3">
                    <c:v>22.33934</c:v>
                  </c:pt>
                  <c:pt idx="4">
                    <c:v>1.92987</c:v>
                  </c:pt>
                  <c:pt idx="5">
                    <c:v>8.7474299999999996</c:v>
                  </c:pt>
                  <c:pt idx="6">
                    <c:v>16.33428</c:v>
                  </c:pt>
                  <c:pt idx="7">
                    <c:v>3.2884600000000002</c:v>
                  </c:pt>
                  <c:pt idx="8">
                    <c:v>13.03121</c:v>
                  </c:pt>
                  <c:pt idx="9">
                    <c:v>12.34929</c:v>
                  </c:pt>
                  <c:pt idx="10">
                    <c:v>35.624209999999998</c:v>
                  </c:pt>
                </c:numCache>
              </c:numRef>
            </c:minus>
            <c:spPr>
              <a:noFill/>
              <a:ln w="9525" cap="flat" cmpd="sng" algn="ctr">
                <a:solidFill>
                  <a:schemeClr val="tx1">
                    <a:lumMod val="65000"/>
                    <a:lumOff val="35000"/>
                  </a:schemeClr>
                </a:solidFill>
                <a:round/>
              </a:ln>
              <a:effectLst/>
            </c:spPr>
          </c:errBars>
          <c:cat>
            <c:strRef>
              <c:f>'GROUPS_Average Duration'!$C$134:$C$144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'GROUPS_Average Duration'!$E$145:$E$155</c:f>
              <c:numCache>
                <c:formatCode>0.00</c:formatCode>
                <c:ptCount val="11"/>
                <c:pt idx="0">
                  <c:v>7.2736999999999998</c:v>
                </c:pt>
                <c:pt idx="1">
                  <c:v>-7.6734999999999998</c:v>
                </c:pt>
                <c:pt idx="2">
                  <c:v>-7.4485999999999999</c:v>
                </c:pt>
                <c:pt idx="3">
                  <c:v>18.1966</c:v>
                </c:pt>
                <c:pt idx="4">
                  <c:v>-2.5310000000000001</c:v>
                </c:pt>
                <c:pt idx="5">
                  <c:v>-14.6075</c:v>
                </c:pt>
                <c:pt idx="6">
                  <c:v>16.206</c:v>
                </c:pt>
                <c:pt idx="7">
                  <c:v>-13.8576</c:v>
                </c:pt>
                <c:pt idx="8">
                  <c:v>13.037100000000001</c:v>
                </c:pt>
                <c:pt idx="9">
                  <c:v>-0.95679999999999998</c:v>
                </c:pt>
                <c:pt idx="10">
                  <c:v>-43.439700000000002</c:v>
                </c:pt>
              </c:numCache>
            </c:numRef>
          </c:val>
          <c:extLst>
            <c:ext xmlns:c16="http://schemas.microsoft.com/office/drawing/2014/chart" uri="{C3380CC4-5D6E-409C-BE32-E72D297353CC}">
              <c16:uniqueId val="{00000001-7008-4613-A409-4C5CF06A32C1}"/>
            </c:ext>
          </c:extLst>
        </c:ser>
        <c:ser>
          <c:idx val="2"/>
          <c:order val="2"/>
          <c:tx>
            <c:strRef>
              <c:f>'GROUPS_Average Duration'!$D$156</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'GROUPS_Average Duration'!$F$156:$F$166</c:f>
                <c:numCache>
                  <c:formatCode>General</c:formatCode>
                  <c:ptCount val="11"/>
                  <c:pt idx="0">
                    <c:v>65.007379999999998</c:v>
                  </c:pt>
                  <c:pt idx="1">
                    <c:v>148.04097999999999</c:v>
                  </c:pt>
                  <c:pt idx="2">
                    <c:v>29.291930000000001</c:v>
                  </c:pt>
                  <c:pt idx="3">
                    <c:v>86.852090000000004</c:v>
                  </c:pt>
                  <c:pt idx="4">
                    <c:v>232.67948000000001</c:v>
                  </c:pt>
                  <c:pt idx="5">
                    <c:v>170.65125</c:v>
                  </c:pt>
                  <c:pt idx="6">
                    <c:v>719.30083000000002</c:v>
                  </c:pt>
                  <c:pt idx="7">
                    <c:v>214.04074</c:v>
                  </c:pt>
                  <c:pt idx="8">
                    <c:v>23.417400000000001</c:v>
                  </c:pt>
                  <c:pt idx="9">
                    <c:v>214.99063000000001</c:v>
                  </c:pt>
                  <c:pt idx="10">
                    <c:v>43.949469999999998</c:v>
                  </c:pt>
                </c:numCache>
              </c:numRef>
            </c:plus>
            <c:minus>
              <c:numRef>
                <c:f>'GROUPS_Average Duration'!$F$156:$F$166</c:f>
                <c:numCache>
                  <c:formatCode>General</c:formatCode>
                  <c:ptCount val="11"/>
                  <c:pt idx="0">
                    <c:v>65.007379999999998</c:v>
                  </c:pt>
                  <c:pt idx="1">
                    <c:v>148.04097999999999</c:v>
                  </c:pt>
                  <c:pt idx="2">
                    <c:v>29.291930000000001</c:v>
                  </c:pt>
                  <c:pt idx="3">
                    <c:v>86.852090000000004</c:v>
                  </c:pt>
                  <c:pt idx="4">
                    <c:v>232.67948000000001</c:v>
                  </c:pt>
                  <c:pt idx="5">
                    <c:v>170.65125</c:v>
                  </c:pt>
                  <c:pt idx="6">
                    <c:v>719.30083000000002</c:v>
                  </c:pt>
                  <c:pt idx="7">
                    <c:v>214.04074</c:v>
                  </c:pt>
                  <c:pt idx="8">
                    <c:v>23.417400000000001</c:v>
                  </c:pt>
                  <c:pt idx="9">
                    <c:v>214.99063000000001</c:v>
                  </c:pt>
                  <c:pt idx="10">
                    <c:v>43.949469999999998</c:v>
                  </c:pt>
                </c:numCache>
              </c:numRef>
            </c:minus>
            <c:spPr>
              <a:noFill/>
              <a:ln w="9525" cap="flat" cmpd="sng" algn="ctr">
                <a:solidFill>
                  <a:schemeClr val="tx1">
                    <a:lumMod val="65000"/>
                    <a:lumOff val="35000"/>
                  </a:schemeClr>
                </a:solidFill>
                <a:round/>
              </a:ln>
              <a:effectLst/>
            </c:spPr>
          </c:errBars>
          <c:cat>
            <c:strRef>
              <c:f>'GROUPS_Average Duration'!$C$134:$C$144</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'GROUPS_Average Duration'!$E$156:$E$166</c:f>
              <c:numCache>
                <c:formatCode>0.00</c:formatCode>
                <c:ptCount val="11"/>
                <c:pt idx="0">
                  <c:v>126.6318</c:v>
                </c:pt>
                <c:pt idx="1">
                  <c:v>123.78060000000001</c:v>
                </c:pt>
                <c:pt idx="2">
                  <c:v>116.1845</c:v>
                </c:pt>
                <c:pt idx="3">
                  <c:v>-151.011</c:v>
                </c:pt>
                <c:pt idx="4">
                  <c:v>542.27909999999997</c:v>
                </c:pt>
                <c:pt idx="5">
                  <c:v>267.14479999999998</c:v>
                </c:pt>
                <c:pt idx="6">
                  <c:v>1112.462</c:v>
                </c:pt>
                <c:pt idx="7">
                  <c:v>716.64649999999995</c:v>
                </c:pt>
                <c:pt idx="8">
                  <c:v>340.43779999999998</c:v>
                </c:pt>
                <c:pt idx="9">
                  <c:v>1152.7348999999999</c:v>
                </c:pt>
                <c:pt idx="10">
                  <c:v>-131.26060000000001</c:v>
                </c:pt>
              </c:numCache>
            </c:numRef>
          </c:val>
          <c:extLst>
            <c:ext xmlns:c16="http://schemas.microsoft.com/office/drawing/2014/chart" uri="{C3380CC4-5D6E-409C-BE32-E72D297353CC}">
              <c16:uniqueId val="{00000002-7008-4613-A409-4C5CF06A32C1}"/>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max val="5500"/>
          <c:min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Rate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v>Early reach Proportion</c:v>
          </c:tx>
          <c:spPr>
            <a:solidFill>
              <a:schemeClr val="bg1">
                <a:lumMod val="75000"/>
              </a:schemeClr>
            </a:solidFill>
            <a:ln>
              <a:solidFill>
                <a:schemeClr val="tx1"/>
              </a:solidFill>
            </a:ln>
            <a:effectLst/>
          </c:spPr>
          <c:invertIfNegative val="0"/>
          <c:errBars>
            <c:errBarType val="both"/>
            <c:errValType val="cust"/>
            <c:noEndCap val="0"/>
            <c:plus>
              <c:numRef>
                <c:f>'GROUPS Rch_Proportion_&amp;_Latency'!$Z$35:$Z$40</c:f>
                <c:numCache>
                  <c:formatCode>General</c:formatCode>
                  <c:ptCount val="6"/>
                  <c:pt idx="0">
                    <c:v>10.12711</c:v>
                  </c:pt>
                  <c:pt idx="1">
                    <c:v>10.106909999999999</c:v>
                  </c:pt>
                  <c:pt idx="2">
                    <c:v>12.01695</c:v>
                  </c:pt>
                  <c:pt idx="3">
                    <c:v>10.10454</c:v>
                  </c:pt>
                  <c:pt idx="4">
                    <c:v>11.814819999999999</c:v>
                  </c:pt>
                  <c:pt idx="5">
                    <c:v>10.04341</c:v>
                  </c:pt>
                </c:numCache>
              </c:numRef>
            </c:plus>
            <c:minus>
              <c:numRef>
                <c:f>'GROUPS Rch_Proportion_&amp;_Latency'!$Z$35:$Z$40</c:f>
                <c:numCache>
                  <c:formatCode>General</c:formatCode>
                  <c:ptCount val="6"/>
                  <c:pt idx="0">
                    <c:v>10.12711</c:v>
                  </c:pt>
                  <c:pt idx="1">
                    <c:v>10.106909999999999</c:v>
                  </c:pt>
                  <c:pt idx="2">
                    <c:v>12.01695</c:v>
                  </c:pt>
                  <c:pt idx="3">
                    <c:v>10.10454</c:v>
                  </c:pt>
                  <c:pt idx="4">
                    <c:v>11.814819999999999</c:v>
                  </c:pt>
                  <c:pt idx="5">
                    <c:v>10.04341</c:v>
                  </c:pt>
                </c:numCache>
              </c:numRef>
            </c:minus>
            <c:spPr>
              <a:noFill/>
              <a:ln w="9525" cap="flat" cmpd="sng" algn="ctr">
                <a:solidFill>
                  <a:schemeClr val="tx1">
                    <a:lumMod val="65000"/>
                    <a:lumOff val="35000"/>
                  </a:schemeClr>
                </a:solidFill>
                <a:round/>
              </a:ln>
              <a:effectLst/>
            </c:spPr>
          </c:errBars>
          <c:val>
            <c:numRef>
              <c:f>'GROUPS Rch_Proportion_&amp;_Latency'!$Y$35:$Y$40</c:f>
              <c:numCache>
                <c:formatCode>0.00</c:formatCode>
                <c:ptCount val="6"/>
                <c:pt idx="0">
                  <c:v>57.869900000000001</c:v>
                </c:pt>
                <c:pt idx="1">
                  <c:v>70.774299999999997</c:v>
                </c:pt>
                <c:pt idx="2">
                  <c:v>96.7196</c:v>
                </c:pt>
                <c:pt idx="3">
                  <c:v>100.7278</c:v>
                </c:pt>
                <c:pt idx="4">
                  <c:v>97.071399999999997</c:v>
                </c:pt>
                <c:pt idx="5">
                  <c:v>90.334800000000001</c:v>
                </c:pt>
              </c:numCache>
            </c:numRef>
          </c:val>
          <c:extLst>
            <c:ext xmlns:c16="http://schemas.microsoft.com/office/drawing/2014/chart" uri="{C3380CC4-5D6E-409C-BE32-E72D297353CC}">
              <c16:uniqueId val="{00000000-E95D-4029-AA1B-90CFED8819A2}"/>
            </c:ext>
          </c:extLst>
        </c:ser>
        <c:ser>
          <c:idx val="2"/>
          <c:order val="2"/>
          <c:tx>
            <c:v>Late Reach Proportion</c:v>
          </c:tx>
          <c:spPr>
            <a:solidFill>
              <a:schemeClr val="bg1">
                <a:lumMod val="95000"/>
              </a:schemeClr>
            </a:solidFill>
            <a:ln>
              <a:solidFill>
                <a:schemeClr val="tx1"/>
              </a:solidFill>
            </a:ln>
            <a:effectLst/>
          </c:spPr>
          <c:invertIfNegative val="0"/>
          <c:errBars>
            <c:errBarType val="both"/>
            <c:errValType val="cust"/>
            <c:noEndCap val="0"/>
            <c:plus>
              <c:numRef>
                <c:f>'GROUPS Rch_Proportion_&amp;_Latency'!$Z$41:$Z$46</c:f>
                <c:numCache>
                  <c:formatCode>General</c:formatCode>
                  <c:ptCount val="6"/>
                  <c:pt idx="0">
                    <c:v>10.063230000000001</c:v>
                  </c:pt>
                  <c:pt idx="1">
                    <c:v>10.13495</c:v>
                  </c:pt>
                  <c:pt idx="2">
                    <c:v>12.02501</c:v>
                  </c:pt>
                  <c:pt idx="3">
                    <c:v>10.13495</c:v>
                  </c:pt>
                  <c:pt idx="4">
                    <c:v>10.063230000000001</c:v>
                  </c:pt>
                  <c:pt idx="5">
                    <c:v>15.56256</c:v>
                  </c:pt>
                </c:numCache>
              </c:numRef>
            </c:plus>
            <c:minus>
              <c:numRef>
                <c:f>'GROUPS Rch_Proportion_&amp;_Latency'!$Z$41:$Z$46</c:f>
                <c:numCache>
                  <c:formatCode>General</c:formatCode>
                  <c:ptCount val="6"/>
                  <c:pt idx="0">
                    <c:v>10.063230000000001</c:v>
                  </c:pt>
                  <c:pt idx="1">
                    <c:v>10.13495</c:v>
                  </c:pt>
                  <c:pt idx="2">
                    <c:v>12.02501</c:v>
                  </c:pt>
                  <c:pt idx="3">
                    <c:v>10.13495</c:v>
                  </c:pt>
                  <c:pt idx="4">
                    <c:v>10.063230000000001</c:v>
                  </c:pt>
                  <c:pt idx="5">
                    <c:v>15.56256</c:v>
                  </c:pt>
                </c:numCache>
              </c:numRef>
            </c:minus>
            <c:spPr>
              <a:noFill/>
              <a:ln w="9525" cap="flat" cmpd="sng" algn="ctr">
                <a:solidFill>
                  <a:schemeClr val="tx1">
                    <a:lumMod val="65000"/>
                    <a:lumOff val="35000"/>
                  </a:schemeClr>
                </a:solidFill>
                <a:round/>
              </a:ln>
              <a:effectLst/>
            </c:spPr>
          </c:errBars>
          <c:cat>
            <c:strRef>
              <c:f>'GROUPS Rch_Proportion_&amp;_Latency'!$X$35:$X$40</c:f>
              <c:strCache>
                <c:ptCount val="6"/>
                <c:pt idx="0">
                  <c:v>Onset</c:v>
                </c:pt>
                <c:pt idx="1">
                  <c:v>1</c:v>
                </c:pt>
                <c:pt idx="2">
                  <c:v>2</c:v>
                </c:pt>
                <c:pt idx="3">
                  <c:v>3</c:v>
                </c:pt>
                <c:pt idx="4">
                  <c:v>4</c:v>
                </c:pt>
                <c:pt idx="5">
                  <c:v>5</c:v>
                </c:pt>
              </c:strCache>
            </c:strRef>
          </c:cat>
          <c:val>
            <c:numRef>
              <c:f>'GROUPS Rch_Proportion_&amp;_Latency'!$Y$41:$Y$46</c:f>
              <c:numCache>
                <c:formatCode>0.00</c:formatCode>
                <c:ptCount val="6"/>
                <c:pt idx="0">
                  <c:v>77.138999999999996</c:v>
                </c:pt>
                <c:pt idx="1">
                  <c:v>96.006699999999995</c:v>
                </c:pt>
                <c:pt idx="2">
                  <c:v>79.984399999999994</c:v>
                </c:pt>
                <c:pt idx="3">
                  <c:v>86.852500000000006</c:v>
                </c:pt>
                <c:pt idx="4">
                  <c:v>83.019599999999997</c:v>
                </c:pt>
                <c:pt idx="5">
                  <c:v>95.453500000000005</c:v>
                </c:pt>
              </c:numCache>
            </c:numRef>
          </c:val>
          <c:extLst>
            <c:ext xmlns:c16="http://schemas.microsoft.com/office/drawing/2014/chart" uri="{C3380CC4-5D6E-409C-BE32-E72D297353CC}">
              <c16:uniqueId val="{00000001-E95D-4029-AA1B-90CFED8819A2}"/>
            </c:ext>
          </c:extLst>
        </c:ser>
        <c:dLbls>
          <c:showLegendKey val="0"/>
          <c:showVal val="0"/>
          <c:showCatName val="0"/>
          <c:showSerName val="0"/>
          <c:showPercent val="0"/>
          <c:showBubbleSize val="0"/>
        </c:dLbls>
        <c:gapWidth val="150"/>
        <c:axId val="463486303"/>
        <c:axId val="463488223"/>
      </c:barChart>
      <c:lineChart>
        <c:grouping val="standard"/>
        <c:varyColors val="0"/>
        <c:ser>
          <c:idx val="0"/>
          <c:order val="0"/>
          <c:tx>
            <c:v>Early reach Latency</c:v>
          </c:tx>
          <c:spPr>
            <a:ln w="28575" cap="rnd">
              <a:solidFill>
                <a:schemeClr val="bg1">
                  <a:lumMod val="50000"/>
                </a:schemeClr>
              </a:solidFill>
              <a:prstDash val="dash"/>
              <a:round/>
            </a:ln>
            <a:effectLst/>
          </c:spPr>
          <c:marker>
            <c:symbol val="none"/>
          </c:marker>
          <c:cat>
            <c:strRef>
              <c:f>'GROUPS Rch_Proportion_&amp;_Latency'!$X$35:$X$40</c:f>
              <c:strCache>
                <c:ptCount val="6"/>
                <c:pt idx="0">
                  <c:v>Onset</c:v>
                </c:pt>
                <c:pt idx="1">
                  <c:v>1</c:v>
                </c:pt>
                <c:pt idx="2">
                  <c:v>2</c:v>
                </c:pt>
                <c:pt idx="3">
                  <c:v>3</c:v>
                </c:pt>
                <c:pt idx="4">
                  <c:v>4</c:v>
                </c:pt>
                <c:pt idx="5">
                  <c:v>5</c:v>
                </c:pt>
              </c:strCache>
            </c:strRef>
          </c:cat>
          <c:val>
            <c:numRef>
              <c:f>'GROUPS Rch_Proportion_&amp;_Latency'!$D$35:$D$40</c:f>
              <c:numCache>
                <c:formatCode>General</c:formatCode>
                <c:ptCount val="6"/>
                <c:pt idx="0">
                  <c:v>8917.3539000000001</c:v>
                </c:pt>
                <c:pt idx="1">
                  <c:v>1814.2041999999999</c:v>
                </c:pt>
                <c:pt idx="2">
                  <c:v>5066.6498000000001</c:v>
                </c:pt>
                <c:pt idx="3">
                  <c:v>984.17619999999999</c:v>
                </c:pt>
                <c:pt idx="4">
                  <c:v>-231.15469999999999</c:v>
                </c:pt>
                <c:pt idx="5">
                  <c:v>-134.44900000000001</c:v>
                </c:pt>
              </c:numCache>
            </c:numRef>
          </c:val>
          <c:smooth val="0"/>
          <c:extLst>
            <c:ext xmlns:c16="http://schemas.microsoft.com/office/drawing/2014/chart" uri="{C3380CC4-5D6E-409C-BE32-E72D297353CC}">
              <c16:uniqueId val="{00000002-E95D-4029-AA1B-90CFED8819A2}"/>
            </c:ext>
          </c:extLst>
        </c:ser>
        <c:ser>
          <c:idx val="3"/>
          <c:order val="3"/>
          <c:tx>
            <c:v>Late Reach Latency</c:v>
          </c:tx>
          <c:spPr>
            <a:ln w="50800" cap="rnd">
              <a:solidFill>
                <a:schemeClr val="bg1">
                  <a:lumMod val="65000"/>
                </a:schemeClr>
              </a:solidFill>
              <a:prstDash val="sysDot"/>
              <a:round/>
            </a:ln>
            <a:effectLst/>
          </c:spPr>
          <c:marker>
            <c:symbol val="none"/>
          </c:marker>
          <c:val>
            <c:numRef>
              <c:f>'GROUPS Rch_Proportion_&amp;_Latency'!$D$41:$D$46</c:f>
              <c:numCache>
                <c:formatCode>General</c:formatCode>
                <c:ptCount val="6"/>
                <c:pt idx="0">
                  <c:v>1652.6629</c:v>
                </c:pt>
                <c:pt idx="1">
                  <c:v>735.06489999999997</c:v>
                </c:pt>
                <c:pt idx="2">
                  <c:v>-1160.4336000000001</c:v>
                </c:pt>
                <c:pt idx="3">
                  <c:v>528.68389999999999</c:v>
                </c:pt>
                <c:pt idx="4">
                  <c:v>-2856.9767000000002</c:v>
                </c:pt>
                <c:pt idx="5">
                  <c:v>2588.6406000000002</c:v>
                </c:pt>
              </c:numCache>
            </c:numRef>
          </c:val>
          <c:smooth val="0"/>
          <c:extLst>
            <c:ext xmlns:c16="http://schemas.microsoft.com/office/drawing/2014/chart" uri="{C3380CC4-5D6E-409C-BE32-E72D297353CC}">
              <c16:uniqueId val="{00000003-E95D-4029-AA1B-90CFED8819A2}"/>
            </c:ext>
          </c:extLst>
        </c:ser>
        <c:dLbls>
          <c:showLegendKey val="0"/>
          <c:showVal val="0"/>
          <c:showCatName val="0"/>
          <c:showSerName val="0"/>
          <c:showPercent val="0"/>
          <c:showBubbleSize val="0"/>
        </c:dLbls>
        <c:marker val="1"/>
        <c:smooth val="0"/>
        <c:axId val="433331663"/>
        <c:axId val="433331183"/>
      </c:lineChart>
      <c:catAx>
        <c:axId val="4634863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Weeks following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3488223"/>
        <c:crosses val="autoZero"/>
        <c:auto val="1"/>
        <c:lblAlgn val="ctr"/>
        <c:lblOffset val="100"/>
        <c:noMultiLvlLbl val="0"/>
      </c:catAx>
      <c:valAx>
        <c:axId val="4634882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Proportion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3486303"/>
        <c:crosses val="autoZero"/>
        <c:crossBetween val="between"/>
      </c:valAx>
      <c:valAx>
        <c:axId val="433331183"/>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Reach Latency (ms)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33331663"/>
        <c:crosses val="max"/>
        <c:crossBetween val="between"/>
      </c:valAx>
      <c:catAx>
        <c:axId val="433331663"/>
        <c:scaling>
          <c:orientation val="minMax"/>
        </c:scaling>
        <c:delete val="1"/>
        <c:axPos val="b"/>
        <c:numFmt formatCode="General" sourceLinked="1"/>
        <c:majorTickMark val="out"/>
        <c:minorTickMark val="none"/>
        <c:tickLblPos val="nextTo"/>
        <c:crossAx val="433331183"/>
        <c:crosses val="autoZero"/>
        <c:auto val="1"/>
        <c:lblAlgn val="ctr"/>
        <c:lblOffset val="100"/>
        <c:noMultiLvlLbl val="0"/>
      </c:catAx>
      <c:spPr>
        <a:noFill/>
        <a:ln>
          <a:noFill/>
        </a:ln>
        <a:effectLst/>
      </c:spPr>
    </c:plotArea>
    <c:legend>
      <c:legendPos val="b"/>
      <c:layout>
        <c:manualLayout>
          <c:xMode val="edge"/>
          <c:yMode val="edge"/>
          <c:x val="3.3193687327545594E-2"/>
          <c:y val="0.81188823466114923"/>
          <c:w val="0.93574937748166098"/>
          <c:h val="0.14495664666227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Frequencies!$C$68</c:f>
              <c:strCache>
                <c:ptCount val="1"/>
                <c:pt idx="0">
                  <c:v>Face</c:v>
                </c:pt>
              </c:strCache>
            </c:strRef>
          </c:tx>
          <c:spPr>
            <a:solidFill>
              <a:schemeClr val="dk1">
                <a:tint val="88500"/>
              </a:schemeClr>
            </a:solidFill>
            <a:ln>
              <a:noFill/>
            </a:ln>
            <a:effectLst/>
          </c:spPr>
          <c:invertIfNegative val="0"/>
          <c:errBars>
            <c:errBarType val="both"/>
            <c:errValType val="cust"/>
            <c:noEndCap val="0"/>
            <c:plus>
              <c:numRef>
                <c:f>Frequencies!$E$68:$E$78</c:f>
                <c:numCache>
                  <c:formatCode>General</c:formatCode>
                  <c:ptCount val="11"/>
                  <c:pt idx="0">
                    <c:v>0.78161599999999998</c:v>
                  </c:pt>
                  <c:pt idx="1">
                    <c:v>0.79390300000000003</c:v>
                  </c:pt>
                  <c:pt idx="2">
                    <c:v>0.80747599999999997</c:v>
                  </c:pt>
                  <c:pt idx="3">
                    <c:v>0.73805500000000002</c:v>
                  </c:pt>
                  <c:pt idx="4">
                    <c:v>0.72929999999999995</c:v>
                  </c:pt>
                  <c:pt idx="5">
                    <c:v>0.69844799999999996</c:v>
                  </c:pt>
                  <c:pt idx="6">
                    <c:v>0.69975900000000002</c:v>
                  </c:pt>
                  <c:pt idx="7">
                    <c:v>0.79890899999999998</c:v>
                  </c:pt>
                  <c:pt idx="8">
                    <c:v>0.69277500000000003</c:v>
                  </c:pt>
                  <c:pt idx="9">
                    <c:v>0.72539200000000004</c:v>
                  </c:pt>
                  <c:pt idx="10">
                    <c:v>0.763378</c:v>
                  </c:pt>
                </c:numCache>
              </c:numRef>
            </c:plus>
            <c:minus>
              <c:numRef>
                <c:f>Frequencies!$E$68:$E$78</c:f>
                <c:numCache>
                  <c:formatCode>General</c:formatCode>
                  <c:ptCount val="11"/>
                  <c:pt idx="0">
                    <c:v>0.78161599999999998</c:v>
                  </c:pt>
                  <c:pt idx="1">
                    <c:v>0.79390300000000003</c:v>
                  </c:pt>
                  <c:pt idx="2">
                    <c:v>0.80747599999999997</c:v>
                  </c:pt>
                  <c:pt idx="3">
                    <c:v>0.73805500000000002</c:v>
                  </c:pt>
                  <c:pt idx="4">
                    <c:v>0.72929999999999995</c:v>
                  </c:pt>
                  <c:pt idx="5">
                    <c:v>0.69844799999999996</c:v>
                  </c:pt>
                  <c:pt idx="6">
                    <c:v>0.69975900000000002</c:v>
                  </c:pt>
                  <c:pt idx="7">
                    <c:v>0.79890899999999998</c:v>
                  </c:pt>
                  <c:pt idx="8">
                    <c:v>0.69277500000000003</c:v>
                  </c:pt>
                  <c:pt idx="9">
                    <c:v>0.72539200000000004</c:v>
                  </c:pt>
                  <c:pt idx="10">
                    <c:v>0.763378</c:v>
                  </c:pt>
                </c:numCache>
              </c:numRef>
            </c:minus>
            <c:spPr>
              <a:noFill/>
              <a:ln w="9525" cap="flat" cmpd="sng" algn="ctr">
                <a:solidFill>
                  <a:schemeClr val="tx1">
                    <a:lumMod val="65000"/>
                    <a:lumOff val="35000"/>
                  </a:schemeClr>
                </a:solidFill>
                <a:round/>
              </a:ln>
              <a:effectLst/>
            </c:spPr>
          </c:errBars>
          <c:cat>
            <c:strRef>
              <c:f>Frequencies!$B$68:$B$78</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Frequencies!$D$68:$D$78</c:f>
              <c:numCache>
                <c:formatCode>General</c:formatCode>
                <c:ptCount val="11"/>
                <c:pt idx="0">
                  <c:v>1.0506500000000001</c:v>
                </c:pt>
                <c:pt idx="1">
                  <c:v>-5.5750000000000001E-2</c:v>
                </c:pt>
                <c:pt idx="2">
                  <c:v>0.44473000000000001</c:v>
                </c:pt>
                <c:pt idx="3">
                  <c:v>0.34825</c:v>
                </c:pt>
                <c:pt idx="4">
                  <c:v>0.13571</c:v>
                </c:pt>
                <c:pt idx="5">
                  <c:v>0.26289000000000001</c:v>
                </c:pt>
                <c:pt idx="6">
                  <c:v>0.14527999999999999</c:v>
                </c:pt>
                <c:pt idx="7">
                  <c:v>0.20613000000000001</c:v>
                </c:pt>
                <c:pt idx="8">
                  <c:v>0.15051999999999999</c:v>
                </c:pt>
                <c:pt idx="9">
                  <c:v>0.23852999999999999</c:v>
                </c:pt>
                <c:pt idx="10">
                  <c:v>-8.2400000000000001E-2</c:v>
                </c:pt>
              </c:numCache>
            </c:numRef>
          </c:val>
          <c:extLst>
            <c:ext xmlns:c16="http://schemas.microsoft.com/office/drawing/2014/chart" uri="{C3380CC4-5D6E-409C-BE32-E72D297353CC}">
              <c16:uniqueId val="{00000000-CD01-4DBD-AB65-C9A6ACA82046}"/>
            </c:ext>
          </c:extLst>
        </c:ser>
        <c:ser>
          <c:idx val="1"/>
          <c:order val="1"/>
          <c:tx>
            <c:strRef>
              <c:f>Frequencies!$C$79</c:f>
              <c:strCache>
                <c:ptCount val="1"/>
                <c:pt idx="0">
                  <c:v>Hand</c:v>
                </c:pt>
              </c:strCache>
            </c:strRef>
          </c:tx>
          <c:spPr>
            <a:solidFill>
              <a:schemeClr val="dk1">
                <a:tint val="55000"/>
              </a:schemeClr>
            </a:solidFill>
            <a:ln>
              <a:noFill/>
            </a:ln>
            <a:effectLst/>
          </c:spPr>
          <c:invertIfNegative val="0"/>
          <c:errBars>
            <c:errBarType val="both"/>
            <c:errValType val="cust"/>
            <c:noEndCap val="0"/>
            <c:plus>
              <c:numRef>
                <c:f>Frequencies!$E$79:$E$89</c:f>
                <c:numCache>
                  <c:formatCode>General</c:formatCode>
                  <c:ptCount val="11"/>
                  <c:pt idx="0">
                    <c:v>0.76217400000000002</c:v>
                  </c:pt>
                  <c:pt idx="1">
                    <c:v>0.78666100000000005</c:v>
                  </c:pt>
                  <c:pt idx="2">
                    <c:v>0.79800400000000005</c:v>
                  </c:pt>
                  <c:pt idx="3">
                    <c:v>0.73464200000000002</c:v>
                  </c:pt>
                  <c:pt idx="4">
                    <c:v>0.72728099999999996</c:v>
                  </c:pt>
                  <c:pt idx="5">
                    <c:v>0.69740800000000003</c:v>
                  </c:pt>
                  <c:pt idx="6">
                    <c:v>0.69899</c:v>
                  </c:pt>
                  <c:pt idx="7">
                    <c:v>0.79774699999999998</c:v>
                  </c:pt>
                  <c:pt idx="8">
                    <c:v>0.69213999999999998</c:v>
                  </c:pt>
                  <c:pt idx="9">
                    <c:v>0.72464899999999999</c:v>
                  </c:pt>
                  <c:pt idx="10">
                    <c:v>0.762486</c:v>
                  </c:pt>
                </c:numCache>
              </c:numRef>
            </c:plus>
            <c:minus>
              <c:numRef>
                <c:f>Frequencies!$E$79:$E$89</c:f>
                <c:numCache>
                  <c:formatCode>General</c:formatCode>
                  <c:ptCount val="11"/>
                  <c:pt idx="0">
                    <c:v>0.76217400000000002</c:v>
                  </c:pt>
                  <c:pt idx="1">
                    <c:v>0.78666100000000005</c:v>
                  </c:pt>
                  <c:pt idx="2">
                    <c:v>0.79800400000000005</c:v>
                  </c:pt>
                  <c:pt idx="3">
                    <c:v>0.73464200000000002</c:v>
                  </c:pt>
                  <c:pt idx="4">
                    <c:v>0.72728099999999996</c:v>
                  </c:pt>
                  <c:pt idx="5">
                    <c:v>0.69740800000000003</c:v>
                  </c:pt>
                  <c:pt idx="6">
                    <c:v>0.69899</c:v>
                  </c:pt>
                  <c:pt idx="7">
                    <c:v>0.79774699999999998</c:v>
                  </c:pt>
                  <c:pt idx="8">
                    <c:v>0.69213999999999998</c:v>
                  </c:pt>
                  <c:pt idx="9">
                    <c:v>0.72464899999999999</c:v>
                  </c:pt>
                  <c:pt idx="10">
                    <c:v>0.762486</c:v>
                  </c:pt>
                </c:numCache>
              </c:numRef>
            </c:minus>
            <c:spPr>
              <a:noFill/>
              <a:ln w="9525" cap="flat" cmpd="sng" algn="ctr">
                <a:solidFill>
                  <a:schemeClr val="tx1">
                    <a:lumMod val="65000"/>
                    <a:lumOff val="35000"/>
                  </a:schemeClr>
                </a:solidFill>
                <a:round/>
              </a:ln>
              <a:effectLst/>
            </c:spPr>
          </c:errBars>
          <c:val>
            <c:numRef>
              <c:f>Frequencies!$D$79:$D$89</c:f>
              <c:numCache>
                <c:formatCode>General</c:formatCode>
                <c:ptCount val="11"/>
                <c:pt idx="0">
                  <c:v>-0.13694000000000001</c:v>
                </c:pt>
                <c:pt idx="1">
                  <c:v>7.8270000000000006E-2</c:v>
                </c:pt>
                <c:pt idx="2">
                  <c:v>0.19670000000000001</c:v>
                </c:pt>
                <c:pt idx="3">
                  <c:v>0.16902</c:v>
                </c:pt>
                <c:pt idx="4">
                  <c:v>8.523E-2</c:v>
                </c:pt>
                <c:pt idx="5">
                  <c:v>0.19298000000000001</c:v>
                </c:pt>
                <c:pt idx="6">
                  <c:v>0.41566999999999998</c:v>
                </c:pt>
                <c:pt idx="7">
                  <c:v>0.14895</c:v>
                </c:pt>
                <c:pt idx="8">
                  <c:v>0.24268999999999999</c:v>
                </c:pt>
                <c:pt idx="9">
                  <c:v>0.46149000000000001</c:v>
                </c:pt>
                <c:pt idx="10">
                  <c:v>0.46668999999999999</c:v>
                </c:pt>
              </c:numCache>
            </c:numRef>
          </c:val>
          <c:extLst>
            <c:ext xmlns:c16="http://schemas.microsoft.com/office/drawing/2014/chart" uri="{C3380CC4-5D6E-409C-BE32-E72D297353CC}">
              <c16:uniqueId val="{00000001-CD01-4DBD-AB65-C9A6ACA82046}"/>
            </c:ext>
          </c:extLst>
        </c:ser>
        <c:ser>
          <c:idx val="2"/>
          <c:order val="2"/>
          <c:tx>
            <c:strRef>
              <c:f>Frequencies!$C$90</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Frequencies!$E$91:$E$100</c:f>
                <c:numCache>
                  <c:formatCode>General</c:formatCode>
                  <c:ptCount val="10"/>
                  <c:pt idx="0">
                    <c:v>0.78753499999999999</c:v>
                  </c:pt>
                  <c:pt idx="1">
                    <c:v>0.799095</c:v>
                  </c:pt>
                  <c:pt idx="2">
                    <c:v>0.73572000000000004</c:v>
                  </c:pt>
                  <c:pt idx="3">
                    <c:v>0.72819</c:v>
                  </c:pt>
                  <c:pt idx="4">
                    <c:v>0.69822600000000001</c:v>
                  </c:pt>
                  <c:pt idx="5">
                    <c:v>0.70033500000000004</c:v>
                  </c:pt>
                  <c:pt idx="6">
                    <c:v>0.79929099999999997</c:v>
                  </c:pt>
                  <c:pt idx="7">
                    <c:v>0.69523400000000002</c:v>
                  </c:pt>
                  <c:pt idx="8">
                    <c:v>0.73475900000000005</c:v>
                  </c:pt>
                  <c:pt idx="9">
                    <c:v>0.78130100000000002</c:v>
                  </c:pt>
                </c:numCache>
              </c:numRef>
            </c:plus>
            <c:minus>
              <c:numRef>
                <c:f>Frequencies!$E$90:$E$100</c:f>
                <c:numCache>
                  <c:formatCode>General</c:formatCode>
                  <c:ptCount val="11"/>
                  <c:pt idx="0">
                    <c:v>0.76307599999999998</c:v>
                  </c:pt>
                  <c:pt idx="1">
                    <c:v>0.78753499999999999</c:v>
                  </c:pt>
                  <c:pt idx="2">
                    <c:v>0.799095</c:v>
                  </c:pt>
                  <c:pt idx="3">
                    <c:v>0.73572000000000004</c:v>
                  </c:pt>
                  <c:pt idx="4">
                    <c:v>0.72819</c:v>
                  </c:pt>
                  <c:pt idx="5">
                    <c:v>0.69822600000000001</c:v>
                  </c:pt>
                  <c:pt idx="6">
                    <c:v>0.70033500000000004</c:v>
                  </c:pt>
                  <c:pt idx="7">
                    <c:v>0.79929099999999997</c:v>
                  </c:pt>
                  <c:pt idx="8">
                    <c:v>0.69523400000000002</c:v>
                  </c:pt>
                  <c:pt idx="9">
                    <c:v>0.73475900000000005</c:v>
                  </c:pt>
                  <c:pt idx="10">
                    <c:v>0.78130100000000002</c:v>
                  </c:pt>
                </c:numCache>
              </c:numRef>
            </c:minus>
            <c:spPr>
              <a:noFill/>
              <a:ln w="9525" cap="flat" cmpd="sng" algn="ctr">
                <a:solidFill>
                  <a:schemeClr val="tx1">
                    <a:lumMod val="65000"/>
                    <a:lumOff val="35000"/>
                  </a:schemeClr>
                </a:solidFill>
                <a:round/>
              </a:ln>
              <a:effectLst/>
            </c:spPr>
          </c:errBars>
          <c:val>
            <c:numRef>
              <c:f>Frequencies!$D$90:$D$100</c:f>
              <c:numCache>
                <c:formatCode>General</c:formatCode>
                <c:ptCount val="11"/>
                <c:pt idx="0">
                  <c:v>0.54554000000000002</c:v>
                </c:pt>
                <c:pt idx="1">
                  <c:v>1.42178</c:v>
                </c:pt>
                <c:pt idx="2">
                  <c:v>4.9946599999999997</c:v>
                </c:pt>
                <c:pt idx="3">
                  <c:v>3.08765</c:v>
                </c:pt>
                <c:pt idx="4">
                  <c:v>3.9177499999999998</c:v>
                </c:pt>
                <c:pt idx="5">
                  <c:v>3.7386300000000001</c:v>
                </c:pt>
                <c:pt idx="6">
                  <c:v>2.1739899999999999</c:v>
                </c:pt>
                <c:pt idx="7">
                  <c:v>2.2987700000000002</c:v>
                </c:pt>
                <c:pt idx="8">
                  <c:v>2.0852200000000001</c:v>
                </c:pt>
                <c:pt idx="9">
                  <c:v>4.1569099999999999</c:v>
                </c:pt>
                <c:pt idx="10">
                  <c:v>0.92161999999999999</c:v>
                </c:pt>
              </c:numCache>
            </c:numRef>
          </c:val>
          <c:extLst>
            <c:ext xmlns:c16="http://schemas.microsoft.com/office/drawing/2014/chart" uri="{C3380CC4-5D6E-409C-BE32-E72D297353CC}">
              <c16:uniqueId val="{00000002-CD01-4DBD-AB65-C9A6ACA82046}"/>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layout>
            <c:manualLayout>
              <c:xMode val="edge"/>
              <c:yMode val="edge"/>
              <c:x val="0.39822733696749446"/>
              <c:y val="0.89425314960629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Total Frequency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layout>
        <c:manualLayout>
          <c:xMode val="edge"/>
          <c:yMode val="edge"/>
          <c:x val="0.4050546806649169"/>
          <c:y val="0.95033661417322834"/>
          <c:w val="0.22407867285820041"/>
          <c:h val="3.966338582677165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'GROUPS_Mean Velocity'!$B$36</c:f>
              <c:strCache>
                <c:ptCount val="1"/>
                <c:pt idx="0">
                  <c:v>Early Reach Group</c:v>
                </c:pt>
              </c:strCache>
            </c:strRef>
          </c:tx>
          <c:spPr>
            <a:solidFill>
              <a:schemeClr val="bg1">
                <a:lumMod val="50000"/>
              </a:schemeClr>
            </a:solidFill>
            <a:ln>
              <a:solidFill>
                <a:schemeClr val="tx1"/>
              </a:solidFill>
            </a:ln>
            <a:effectLst/>
          </c:spPr>
          <c:invertIfNegative val="0"/>
          <c:errBars>
            <c:errBarType val="both"/>
            <c:errValType val="cust"/>
            <c:noEndCap val="0"/>
            <c:plus>
              <c:numRef>
                <c:f>'GROUPS_Mean Velocity'!$E$36:$E$46</c:f>
                <c:numCache>
                  <c:formatCode>General</c:formatCode>
                  <c:ptCount val="11"/>
                  <c:pt idx="0">
                    <c:v>0.61299000000000003</c:v>
                  </c:pt>
                  <c:pt idx="1">
                    <c:v>0.68194999999999995</c:v>
                  </c:pt>
                  <c:pt idx="2">
                    <c:v>0.73168</c:v>
                  </c:pt>
                  <c:pt idx="3">
                    <c:v>0.93916999999999995</c:v>
                  </c:pt>
                  <c:pt idx="4">
                    <c:v>0.6613</c:v>
                  </c:pt>
                  <c:pt idx="5">
                    <c:v>1.5164299999999999</c:v>
                  </c:pt>
                  <c:pt idx="6">
                    <c:v>0.54781999999999997</c:v>
                  </c:pt>
                  <c:pt idx="7">
                    <c:v>1.20208</c:v>
                  </c:pt>
                  <c:pt idx="8">
                    <c:v>0.73284000000000005</c:v>
                  </c:pt>
                  <c:pt idx="9">
                    <c:v>0.75680000000000003</c:v>
                  </c:pt>
                  <c:pt idx="10">
                    <c:v>0.96972000000000003</c:v>
                  </c:pt>
                </c:numCache>
              </c:numRef>
            </c:plus>
            <c:minus>
              <c:numRef>
                <c:f>'GROUPS_Mean Velocity'!$E$36:$E$46</c:f>
                <c:numCache>
                  <c:formatCode>General</c:formatCode>
                  <c:ptCount val="11"/>
                  <c:pt idx="0">
                    <c:v>0.61299000000000003</c:v>
                  </c:pt>
                  <c:pt idx="1">
                    <c:v>0.68194999999999995</c:v>
                  </c:pt>
                  <c:pt idx="2">
                    <c:v>0.73168</c:v>
                  </c:pt>
                  <c:pt idx="3">
                    <c:v>0.93916999999999995</c:v>
                  </c:pt>
                  <c:pt idx="4">
                    <c:v>0.6613</c:v>
                  </c:pt>
                  <c:pt idx="5">
                    <c:v>1.5164299999999999</c:v>
                  </c:pt>
                  <c:pt idx="6">
                    <c:v>0.54781999999999997</c:v>
                  </c:pt>
                  <c:pt idx="7">
                    <c:v>1.20208</c:v>
                  </c:pt>
                  <c:pt idx="8">
                    <c:v>0.73284000000000005</c:v>
                  </c:pt>
                  <c:pt idx="9">
                    <c:v>0.75680000000000003</c:v>
                  </c:pt>
                  <c:pt idx="10">
                    <c:v>0.96972000000000003</c:v>
                  </c:pt>
                </c:numCache>
              </c:numRef>
            </c:minus>
            <c:spPr>
              <a:noFill/>
              <a:ln w="9525" cap="flat" cmpd="sng" algn="ctr">
                <a:solidFill>
                  <a:schemeClr val="tx1">
                    <a:lumMod val="65000"/>
                    <a:lumOff val="35000"/>
                  </a:schemeClr>
                </a:solidFill>
                <a:round/>
              </a:ln>
              <a:effectLst/>
            </c:spPr>
          </c:errBars>
          <c:cat>
            <c:strRef>
              <c:f>'GROUPS_Mean Velocity'!$C$36:$C$46</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'GROUPS_Mean Velocity'!$D$36:$D$46</c:f>
              <c:numCache>
                <c:formatCode>0.00</c:formatCode>
                <c:ptCount val="11"/>
                <c:pt idx="0">
                  <c:v>4.8296000000000001</c:v>
                </c:pt>
                <c:pt idx="1">
                  <c:v>6.1485000000000003</c:v>
                </c:pt>
                <c:pt idx="2">
                  <c:v>6.0887000000000002</c:v>
                </c:pt>
                <c:pt idx="3">
                  <c:v>7.1440999999999999</c:v>
                </c:pt>
                <c:pt idx="4">
                  <c:v>5.8994999999999997</c:v>
                </c:pt>
                <c:pt idx="5">
                  <c:v>7.8337000000000003</c:v>
                </c:pt>
                <c:pt idx="6">
                  <c:v>6.7541000000000002</c:v>
                </c:pt>
                <c:pt idx="7">
                  <c:v>8.9521999999999995</c:v>
                </c:pt>
                <c:pt idx="8">
                  <c:v>6.6832000000000003</c:v>
                </c:pt>
                <c:pt idx="9">
                  <c:v>7.1874000000000002</c:v>
                </c:pt>
                <c:pt idx="10">
                  <c:v>8.8255999999999997</c:v>
                </c:pt>
              </c:numCache>
            </c:numRef>
          </c:val>
          <c:extLst>
            <c:ext xmlns:c16="http://schemas.microsoft.com/office/drawing/2014/chart" uri="{C3380CC4-5D6E-409C-BE32-E72D297353CC}">
              <c16:uniqueId val="{00000000-DC1A-4EA6-ADD0-B27E01C4FBA9}"/>
            </c:ext>
          </c:extLst>
        </c:ser>
        <c:ser>
          <c:idx val="1"/>
          <c:order val="1"/>
          <c:tx>
            <c:strRef>
              <c:f>'GROUPS_Mean Velocity'!$B$47</c:f>
              <c:strCache>
                <c:ptCount val="1"/>
                <c:pt idx="0">
                  <c:v>Late Reach Group</c:v>
                </c:pt>
              </c:strCache>
            </c:strRef>
          </c:tx>
          <c:spPr>
            <a:solidFill>
              <a:schemeClr val="bg2">
                <a:lumMod val="90000"/>
              </a:schemeClr>
            </a:solidFill>
            <a:ln>
              <a:solidFill>
                <a:schemeClr val="tx1"/>
              </a:solidFill>
            </a:ln>
            <a:effectLst/>
          </c:spPr>
          <c:invertIfNegative val="0"/>
          <c:errBars>
            <c:errBarType val="both"/>
            <c:errValType val="cust"/>
            <c:noEndCap val="0"/>
            <c:plus>
              <c:numRef>
                <c:f>'GROUPS_Mean Velocity'!$E$47:$E$57</c:f>
                <c:numCache>
                  <c:formatCode>General</c:formatCode>
                  <c:ptCount val="11"/>
                  <c:pt idx="0">
                    <c:v>0.67157</c:v>
                  </c:pt>
                  <c:pt idx="1">
                    <c:v>0.58077999999999996</c:v>
                  </c:pt>
                  <c:pt idx="2">
                    <c:v>2.7589899999999998</c:v>
                  </c:pt>
                  <c:pt idx="3">
                    <c:v>0.52017000000000002</c:v>
                  </c:pt>
                  <c:pt idx="4">
                    <c:v>1.1081000000000001</c:v>
                  </c:pt>
                  <c:pt idx="5">
                    <c:v>3.26064</c:v>
                  </c:pt>
                  <c:pt idx="6">
                    <c:v>0.53215999999999997</c:v>
                  </c:pt>
                  <c:pt idx="7">
                    <c:v>1.09276</c:v>
                  </c:pt>
                  <c:pt idx="8">
                    <c:v>0.85099999999999998</c:v>
                  </c:pt>
                  <c:pt idx="9">
                    <c:v>0.47271999999999997</c:v>
                  </c:pt>
                  <c:pt idx="10">
                    <c:v>0.47625000000000001</c:v>
                  </c:pt>
                </c:numCache>
              </c:numRef>
            </c:plus>
            <c:minus>
              <c:numRef>
                <c:f>'GROUPS_Mean Velocity'!$E$47:$E$57</c:f>
                <c:numCache>
                  <c:formatCode>General</c:formatCode>
                  <c:ptCount val="11"/>
                  <c:pt idx="0">
                    <c:v>0.67157</c:v>
                  </c:pt>
                  <c:pt idx="1">
                    <c:v>0.58077999999999996</c:v>
                  </c:pt>
                  <c:pt idx="2">
                    <c:v>2.7589899999999998</c:v>
                  </c:pt>
                  <c:pt idx="3">
                    <c:v>0.52017000000000002</c:v>
                  </c:pt>
                  <c:pt idx="4">
                    <c:v>1.1081000000000001</c:v>
                  </c:pt>
                  <c:pt idx="5">
                    <c:v>3.26064</c:v>
                  </c:pt>
                  <c:pt idx="6">
                    <c:v>0.53215999999999997</c:v>
                  </c:pt>
                  <c:pt idx="7">
                    <c:v>1.09276</c:v>
                  </c:pt>
                  <c:pt idx="8">
                    <c:v>0.85099999999999998</c:v>
                  </c:pt>
                  <c:pt idx="9">
                    <c:v>0.47271999999999997</c:v>
                  </c:pt>
                  <c:pt idx="10">
                    <c:v>0.47625000000000001</c:v>
                  </c:pt>
                </c:numCache>
              </c:numRef>
            </c:minus>
            <c:spPr>
              <a:noFill/>
              <a:ln w="9525" cap="flat" cmpd="sng" algn="ctr">
                <a:solidFill>
                  <a:schemeClr val="tx1">
                    <a:lumMod val="65000"/>
                    <a:lumOff val="35000"/>
                  </a:schemeClr>
                </a:solidFill>
                <a:round/>
              </a:ln>
              <a:effectLst/>
            </c:spPr>
          </c:errBars>
          <c:val>
            <c:numRef>
              <c:f>'GROUPS_Mean Velocity'!$D$47:$D$57</c:f>
              <c:numCache>
                <c:formatCode>0.00</c:formatCode>
                <c:ptCount val="11"/>
                <c:pt idx="0">
                  <c:v>7.3747999999999996</c:v>
                </c:pt>
                <c:pt idx="1">
                  <c:v>10.450699999999999</c:v>
                </c:pt>
                <c:pt idx="2">
                  <c:v>14.0129</c:v>
                </c:pt>
                <c:pt idx="3">
                  <c:v>11.825200000000001</c:v>
                </c:pt>
                <c:pt idx="4">
                  <c:v>10.5358</c:v>
                </c:pt>
                <c:pt idx="5">
                  <c:v>13.612399999999999</c:v>
                </c:pt>
                <c:pt idx="6">
                  <c:v>5.7243000000000004</c:v>
                </c:pt>
                <c:pt idx="7">
                  <c:v>12.9657</c:v>
                </c:pt>
                <c:pt idx="8">
                  <c:v>11.9747</c:v>
                </c:pt>
                <c:pt idx="9">
                  <c:v>7.3159999999999998</c:v>
                </c:pt>
                <c:pt idx="10">
                  <c:v>10.528700000000001</c:v>
                </c:pt>
              </c:numCache>
            </c:numRef>
          </c:val>
          <c:extLst>
            <c:ext xmlns:c16="http://schemas.microsoft.com/office/drawing/2014/chart" uri="{C3380CC4-5D6E-409C-BE32-E72D297353CC}">
              <c16:uniqueId val="{00000001-DC1A-4EA6-ADD0-B27E01C4FBA9}"/>
            </c:ext>
          </c:extLst>
        </c:ser>
        <c:dLbls>
          <c:showLegendKey val="0"/>
          <c:showVal val="0"/>
          <c:showCatName val="0"/>
          <c:showSerName val="0"/>
          <c:showPercent val="0"/>
          <c:showBubbleSize val="0"/>
        </c:dLbls>
        <c:gapWidth val="219"/>
        <c:overlap val="-27"/>
        <c:axId val="1619322927"/>
        <c:axId val="1619323887"/>
      </c:barChart>
      <c:catAx>
        <c:axId val="16193229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9323887"/>
        <c:crosses val="autoZero"/>
        <c:auto val="1"/>
        <c:lblAlgn val="ctr"/>
        <c:lblOffset val="100"/>
        <c:noMultiLvlLbl val="0"/>
      </c:catAx>
      <c:valAx>
        <c:axId val="1619323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Average Mean Velocity (cm/s)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9322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'GROUPS_Movement Units'!$B$36</c:f>
              <c:strCache>
                <c:ptCount val="1"/>
                <c:pt idx="0">
                  <c:v>Early Reach Group</c:v>
                </c:pt>
              </c:strCache>
            </c:strRef>
          </c:tx>
          <c:spPr>
            <a:solidFill>
              <a:schemeClr val="bg1">
                <a:lumMod val="50000"/>
              </a:schemeClr>
            </a:solidFill>
            <a:ln>
              <a:solidFill>
                <a:schemeClr val="tx1"/>
              </a:solidFill>
            </a:ln>
            <a:effectLst/>
          </c:spPr>
          <c:invertIfNegative val="0"/>
          <c:errBars>
            <c:errBarType val="both"/>
            <c:errValType val="cust"/>
            <c:noEndCap val="0"/>
            <c:plus>
              <c:numRef>
                <c:f>'GROUPS_Movement Units'!$E$36:$E$46</c:f>
                <c:numCache>
                  <c:formatCode>General</c:formatCode>
                  <c:ptCount val="11"/>
                  <c:pt idx="0">
                    <c:v>3.09992</c:v>
                  </c:pt>
                  <c:pt idx="1">
                    <c:v>3.9924200000000001</c:v>
                  </c:pt>
                  <c:pt idx="2">
                    <c:v>0.78300999999999998</c:v>
                  </c:pt>
                  <c:pt idx="3">
                    <c:v>1.89828</c:v>
                  </c:pt>
                  <c:pt idx="4">
                    <c:v>0.94347999999999999</c:v>
                  </c:pt>
                  <c:pt idx="5">
                    <c:v>2.1666500000000002</c:v>
                  </c:pt>
                  <c:pt idx="6">
                    <c:v>1.9210499999999999</c:v>
                  </c:pt>
                  <c:pt idx="7">
                    <c:v>2.9305099999999999</c:v>
                  </c:pt>
                  <c:pt idx="8">
                    <c:v>3.4832700000000001</c:v>
                  </c:pt>
                  <c:pt idx="9">
                    <c:v>3.2358600000000002</c:v>
                  </c:pt>
                  <c:pt idx="10">
                    <c:v>2.9516499999999999</c:v>
                  </c:pt>
                </c:numCache>
              </c:numRef>
            </c:plus>
            <c:minus>
              <c:numRef>
                <c:f>'GROUPS_Movement Units'!$E$36:$E$46</c:f>
                <c:numCache>
                  <c:formatCode>General</c:formatCode>
                  <c:ptCount val="11"/>
                  <c:pt idx="0">
                    <c:v>3.09992</c:v>
                  </c:pt>
                  <c:pt idx="1">
                    <c:v>3.9924200000000001</c:v>
                  </c:pt>
                  <c:pt idx="2">
                    <c:v>0.78300999999999998</c:v>
                  </c:pt>
                  <c:pt idx="3">
                    <c:v>1.89828</c:v>
                  </c:pt>
                  <c:pt idx="4">
                    <c:v>0.94347999999999999</c:v>
                  </c:pt>
                  <c:pt idx="5">
                    <c:v>2.1666500000000002</c:v>
                  </c:pt>
                  <c:pt idx="6">
                    <c:v>1.9210499999999999</c:v>
                  </c:pt>
                  <c:pt idx="7">
                    <c:v>2.9305099999999999</c:v>
                  </c:pt>
                  <c:pt idx="8">
                    <c:v>3.4832700000000001</c:v>
                  </c:pt>
                  <c:pt idx="9">
                    <c:v>3.2358600000000002</c:v>
                  </c:pt>
                  <c:pt idx="10">
                    <c:v>2.9516499999999999</c:v>
                  </c:pt>
                </c:numCache>
              </c:numRef>
            </c:minus>
            <c:spPr>
              <a:noFill/>
              <a:ln w="9525" cap="flat" cmpd="sng" algn="ctr">
                <a:solidFill>
                  <a:schemeClr val="tx1">
                    <a:lumMod val="65000"/>
                    <a:lumOff val="35000"/>
                  </a:schemeClr>
                </a:solidFill>
                <a:round/>
              </a:ln>
              <a:effectLst/>
            </c:spPr>
          </c:errBars>
          <c:cat>
            <c:strRef>
              <c:f>'GROUPS_Movement Units'!$C$36:$C$46</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'GROUPS_Movement Units'!$D$36:$D$46</c:f>
              <c:numCache>
                <c:formatCode>0.00</c:formatCode>
                <c:ptCount val="11"/>
                <c:pt idx="0">
                  <c:v>23.995899999999999</c:v>
                </c:pt>
                <c:pt idx="1">
                  <c:v>16.1037</c:v>
                </c:pt>
                <c:pt idx="2">
                  <c:v>15.887</c:v>
                </c:pt>
                <c:pt idx="3">
                  <c:v>23.1157</c:v>
                </c:pt>
                <c:pt idx="4">
                  <c:v>18.811</c:v>
                </c:pt>
                <c:pt idx="5">
                  <c:v>22.782699999999998</c:v>
                </c:pt>
                <c:pt idx="6">
                  <c:v>22.497599999999998</c:v>
                </c:pt>
                <c:pt idx="7">
                  <c:v>27.781600000000001</c:v>
                </c:pt>
                <c:pt idx="8">
                  <c:v>25.075600000000001</c:v>
                </c:pt>
                <c:pt idx="9">
                  <c:v>27.0396</c:v>
                </c:pt>
                <c:pt idx="10">
                  <c:v>28.669799999999999</c:v>
                </c:pt>
              </c:numCache>
            </c:numRef>
          </c:val>
          <c:extLst>
            <c:ext xmlns:c16="http://schemas.microsoft.com/office/drawing/2014/chart" uri="{C3380CC4-5D6E-409C-BE32-E72D297353CC}">
              <c16:uniqueId val="{00000000-89E6-49C3-A615-EC71D79B5F2E}"/>
            </c:ext>
          </c:extLst>
        </c:ser>
        <c:ser>
          <c:idx val="1"/>
          <c:order val="1"/>
          <c:tx>
            <c:strRef>
              <c:f>'GROUPS_Movement Units'!$B$47</c:f>
              <c:strCache>
                <c:ptCount val="1"/>
                <c:pt idx="0">
                  <c:v>Late Reach Group</c:v>
                </c:pt>
              </c:strCache>
            </c:strRef>
          </c:tx>
          <c:spPr>
            <a:solidFill>
              <a:schemeClr val="bg2">
                <a:lumMod val="90000"/>
              </a:schemeClr>
            </a:solidFill>
            <a:ln>
              <a:solidFill>
                <a:schemeClr val="tx1"/>
              </a:solidFill>
            </a:ln>
            <a:effectLst/>
          </c:spPr>
          <c:invertIfNegative val="0"/>
          <c:errBars>
            <c:errBarType val="both"/>
            <c:errValType val="cust"/>
            <c:noEndCap val="0"/>
            <c:plus>
              <c:numRef>
                <c:f>'GROUPS_Movement Units'!$E$47:$E$57</c:f>
                <c:numCache>
                  <c:formatCode>General</c:formatCode>
                  <c:ptCount val="11"/>
                  <c:pt idx="0">
                    <c:v>1.63347</c:v>
                  </c:pt>
                  <c:pt idx="1">
                    <c:v>2.1314700000000002</c:v>
                  </c:pt>
                  <c:pt idx="2">
                    <c:v>0.96919</c:v>
                  </c:pt>
                  <c:pt idx="3">
                    <c:v>3.1465800000000002</c:v>
                  </c:pt>
                  <c:pt idx="4">
                    <c:v>0.92656000000000005</c:v>
                  </c:pt>
                  <c:pt idx="5">
                    <c:v>1.1090899999999999</c:v>
                  </c:pt>
                  <c:pt idx="6">
                    <c:v>2.7397499999999999</c:v>
                  </c:pt>
                  <c:pt idx="7">
                    <c:v>0.99797999999999998</c:v>
                  </c:pt>
                  <c:pt idx="8">
                    <c:v>1.0164200000000001</c:v>
                  </c:pt>
                  <c:pt idx="9">
                    <c:v>1.4855700000000001</c:v>
                  </c:pt>
                  <c:pt idx="10">
                    <c:v>1.70553</c:v>
                  </c:pt>
                </c:numCache>
              </c:numRef>
            </c:plus>
            <c:minus>
              <c:numRef>
                <c:f>'GROUPS_Movement Units'!$E$47:$E$57</c:f>
                <c:numCache>
                  <c:formatCode>General</c:formatCode>
                  <c:ptCount val="11"/>
                  <c:pt idx="0">
                    <c:v>1.63347</c:v>
                  </c:pt>
                  <c:pt idx="1">
                    <c:v>2.1314700000000002</c:v>
                  </c:pt>
                  <c:pt idx="2">
                    <c:v>0.96919</c:v>
                  </c:pt>
                  <c:pt idx="3">
                    <c:v>3.1465800000000002</c:v>
                  </c:pt>
                  <c:pt idx="4">
                    <c:v>0.92656000000000005</c:v>
                  </c:pt>
                  <c:pt idx="5">
                    <c:v>1.1090899999999999</c:v>
                  </c:pt>
                  <c:pt idx="6">
                    <c:v>2.7397499999999999</c:v>
                  </c:pt>
                  <c:pt idx="7">
                    <c:v>0.99797999999999998</c:v>
                  </c:pt>
                  <c:pt idx="8">
                    <c:v>1.0164200000000001</c:v>
                  </c:pt>
                  <c:pt idx="9">
                    <c:v>1.4855700000000001</c:v>
                  </c:pt>
                  <c:pt idx="10">
                    <c:v>1.70553</c:v>
                  </c:pt>
                </c:numCache>
              </c:numRef>
            </c:minus>
            <c:spPr>
              <a:noFill/>
              <a:ln w="9525" cap="flat" cmpd="sng" algn="ctr">
                <a:solidFill>
                  <a:schemeClr val="tx1">
                    <a:lumMod val="65000"/>
                    <a:lumOff val="35000"/>
                  </a:schemeClr>
                </a:solidFill>
                <a:round/>
              </a:ln>
              <a:effectLst/>
            </c:spPr>
          </c:errBars>
          <c:val>
            <c:numRef>
              <c:f>'GROUPS_Movement Units'!$D$47:$D$57</c:f>
              <c:numCache>
                <c:formatCode>0.00</c:formatCode>
                <c:ptCount val="11"/>
                <c:pt idx="0">
                  <c:v>21.6173</c:v>
                </c:pt>
                <c:pt idx="1">
                  <c:v>21.461600000000001</c:v>
                </c:pt>
                <c:pt idx="2">
                  <c:v>24.0715</c:v>
                </c:pt>
                <c:pt idx="3">
                  <c:v>26.566800000000001</c:v>
                </c:pt>
                <c:pt idx="4">
                  <c:v>27.762699999999999</c:v>
                </c:pt>
                <c:pt idx="5">
                  <c:v>28.234200000000001</c:v>
                </c:pt>
                <c:pt idx="6">
                  <c:v>26.4559</c:v>
                </c:pt>
                <c:pt idx="7">
                  <c:v>30.404599999999999</c:v>
                </c:pt>
                <c:pt idx="8">
                  <c:v>29.203299999999999</c:v>
                </c:pt>
                <c:pt idx="9">
                  <c:v>28.538599999999999</c:v>
                </c:pt>
                <c:pt idx="10">
                  <c:v>37.167400000000001</c:v>
                </c:pt>
              </c:numCache>
            </c:numRef>
          </c:val>
          <c:extLst>
            <c:ext xmlns:c16="http://schemas.microsoft.com/office/drawing/2014/chart" uri="{C3380CC4-5D6E-409C-BE32-E72D297353CC}">
              <c16:uniqueId val="{00000001-89E6-49C3-A615-EC71D79B5F2E}"/>
            </c:ext>
          </c:extLst>
        </c:ser>
        <c:dLbls>
          <c:showLegendKey val="0"/>
          <c:showVal val="0"/>
          <c:showCatName val="0"/>
          <c:showSerName val="0"/>
          <c:showPercent val="0"/>
          <c:showBubbleSize val="0"/>
        </c:dLbls>
        <c:gapWidth val="219"/>
        <c:overlap val="-27"/>
        <c:axId val="1619322927"/>
        <c:axId val="1619323887"/>
      </c:barChart>
      <c:catAx>
        <c:axId val="16193229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9323887"/>
        <c:crosses val="autoZero"/>
        <c:auto val="1"/>
        <c:lblAlgn val="ctr"/>
        <c:lblOffset val="100"/>
        <c:noMultiLvlLbl val="0"/>
      </c:catAx>
      <c:valAx>
        <c:axId val="1619323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Average Movemnt Units (/s)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9322927"/>
        <c:crosses val="autoZero"/>
        <c:crossBetween val="between"/>
      </c:valAx>
      <c:spPr>
        <a:noFill/>
        <a:ln>
          <a:noFill/>
        </a:ln>
        <a:effectLst/>
      </c:spPr>
    </c:plotArea>
    <c:legend>
      <c:legendPos val="b"/>
      <c:layout>
        <c:manualLayout>
          <c:xMode val="edge"/>
          <c:yMode val="edge"/>
          <c:x val="0.34181085537384748"/>
          <c:y val="0.93945630809716574"/>
          <c:w val="0.39330136617538192"/>
          <c:h val="4.39300964438838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Rate!$C$68</c:f>
              <c:strCache>
                <c:ptCount val="1"/>
                <c:pt idx="0">
                  <c:v>Face</c:v>
                </c:pt>
              </c:strCache>
            </c:strRef>
          </c:tx>
          <c:spPr>
            <a:solidFill>
              <a:schemeClr val="dk1">
                <a:tint val="88500"/>
              </a:schemeClr>
            </a:solidFill>
            <a:ln>
              <a:noFill/>
            </a:ln>
            <a:effectLst/>
          </c:spPr>
          <c:invertIfNegative val="0"/>
          <c:errBars>
            <c:errBarType val="both"/>
            <c:errValType val="cust"/>
            <c:noEndCap val="0"/>
            <c:plus>
              <c:numRef>
                <c:f>Rate!$E$68:$E$78</c:f>
                <c:numCache>
                  <c:formatCode>General</c:formatCode>
                  <c:ptCount val="11"/>
                  <c:pt idx="0">
                    <c:v>2.755894558E-3</c:v>
                  </c:pt>
                  <c:pt idx="1">
                    <c:v>2.4614402960000002E-3</c:v>
                  </c:pt>
                  <c:pt idx="2">
                    <c:v>2.4700563559999999E-3</c:v>
                  </c:pt>
                  <c:pt idx="3">
                    <c:v>2.2038926660000002E-3</c:v>
                  </c:pt>
                  <c:pt idx="4">
                    <c:v>2.1900767909999999E-3</c:v>
                  </c:pt>
                  <c:pt idx="5">
                    <c:v>2.0000523529999999E-3</c:v>
                  </c:pt>
                  <c:pt idx="6">
                    <c:v>2.011069956E-3</c:v>
                  </c:pt>
                  <c:pt idx="7">
                    <c:v>2.4501692620000001E-3</c:v>
                  </c:pt>
                  <c:pt idx="8">
                    <c:v>1.9783444050000001E-3</c:v>
                  </c:pt>
                  <c:pt idx="9">
                    <c:v>2.1725663319999999E-3</c:v>
                  </c:pt>
                  <c:pt idx="10">
                    <c:v>2.3672028089999999E-3</c:v>
                  </c:pt>
                </c:numCache>
              </c:numRef>
            </c:plus>
            <c:minus>
              <c:numRef>
                <c:f>Rate!$E$68:$E$78</c:f>
                <c:numCache>
                  <c:formatCode>General</c:formatCode>
                  <c:ptCount val="11"/>
                  <c:pt idx="0">
                    <c:v>2.755894558E-3</c:v>
                  </c:pt>
                  <c:pt idx="1">
                    <c:v>2.4614402960000002E-3</c:v>
                  </c:pt>
                  <c:pt idx="2">
                    <c:v>2.4700563559999999E-3</c:v>
                  </c:pt>
                  <c:pt idx="3">
                    <c:v>2.2038926660000002E-3</c:v>
                  </c:pt>
                  <c:pt idx="4">
                    <c:v>2.1900767909999999E-3</c:v>
                  </c:pt>
                  <c:pt idx="5">
                    <c:v>2.0000523529999999E-3</c:v>
                  </c:pt>
                  <c:pt idx="6">
                    <c:v>2.011069956E-3</c:v>
                  </c:pt>
                  <c:pt idx="7">
                    <c:v>2.4501692620000001E-3</c:v>
                  </c:pt>
                  <c:pt idx="8">
                    <c:v>1.9783444050000001E-3</c:v>
                  </c:pt>
                  <c:pt idx="9">
                    <c:v>2.1725663319999999E-3</c:v>
                  </c:pt>
                  <c:pt idx="10">
                    <c:v>2.3672028089999999E-3</c:v>
                  </c:pt>
                </c:numCache>
              </c:numRef>
            </c:minus>
            <c:spPr>
              <a:noFill/>
              <a:ln w="9525" cap="flat" cmpd="sng" algn="ctr">
                <a:solidFill>
                  <a:schemeClr val="tx1">
                    <a:lumMod val="65000"/>
                    <a:lumOff val="35000"/>
                  </a:schemeClr>
                </a:solidFill>
                <a:round/>
              </a:ln>
              <a:effectLst/>
            </c:spPr>
          </c:errBars>
          <c:cat>
            <c:strRef>
              <c:f>Rate!$B$68:$B$78</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Rate!$D$68:$D$78</c:f>
              <c:numCache>
                <c:formatCode>General</c:formatCode>
                <c:ptCount val="11"/>
                <c:pt idx="0">
                  <c:v>8.1520974499999996E-3</c:v>
                </c:pt>
                <c:pt idx="1">
                  <c:v>-5.6595471999999996E-4</c:v>
                </c:pt>
                <c:pt idx="2">
                  <c:v>4.1940058899999997E-3</c:v>
                </c:pt>
                <c:pt idx="3">
                  <c:v>2.6519641599999999E-3</c:v>
                </c:pt>
                <c:pt idx="4">
                  <c:v>1.43196226E-3</c:v>
                </c:pt>
                <c:pt idx="5">
                  <c:v>3.2400602700000001E-3</c:v>
                </c:pt>
                <c:pt idx="6">
                  <c:v>8.8585170000000002E-4</c:v>
                </c:pt>
                <c:pt idx="7">
                  <c:v>1.7572842E-4</c:v>
                </c:pt>
                <c:pt idx="8">
                  <c:v>-2.1426919E-4</c:v>
                </c:pt>
                <c:pt idx="9">
                  <c:v>1.43574168E-3</c:v>
                </c:pt>
                <c:pt idx="10">
                  <c:v>-5.1209254999999999E-4</c:v>
                </c:pt>
              </c:numCache>
            </c:numRef>
          </c:val>
          <c:extLst>
            <c:ext xmlns:c16="http://schemas.microsoft.com/office/drawing/2014/chart" uri="{C3380CC4-5D6E-409C-BE32-E72D297353CC}">
              <c16:uniqueId val="{00000000-0C2D-4059-94FC-3666CE7EB842}"/>
            </c:ext>
          </c:extLst>
        </c:ser>
        <c:ser>
          <c:idx val="1"/>
          <c:order val="1"/>
          <c:tx>
            <c:strRef>
              <c:f>Rate!$C$79</c:f>
              <c:strCache>
                <c:ptCount val="1"/>
                <c:pt idx="0">
                  <c:v>Hand</c:v>
                </c:pt>
              </c:strCache>
            </c:strRef>
          </c:tx>
          <c:spPr>
            <a:solidFill>
              <a:schemeClr val="dk1">
                <a:tint val="55000"/>
              </a:schemeClr>
            </a:solidFill>
            <a:ln>
              <a:noFill/>
            </a:ln>
            <a:effectLst/>
          </c:spPr>
          <c:invertIfNegative val="0"/>
          <c:errBars>
            <c:errBarType val="both"/>
            <c:errValType val="cust"/>
            <c:noEndCap val="0"/>
            <c:plus>
              <c:numRef>
                <c:f>Rate!$E$79:$E$89</c:f>
                <c:numCache>
                  <c:formatCode>General</c:formatCode>
                  <c:ptCount val="11"/>
                  <c:pt idx="0">
                    <c:v>2.7186752969999999E-3</c:v>
                  </c:pt>
                  <c:pt idx="1">
                    <c:v>2.43676577E-3</c:v>
                  </c:pt>
                  <c:pt idx="2">
                    <c:v>2.44300604E-3</c:v>
                  </c:pt>
                  <c:pt idx="3">
                    <c:v>2.1851024399999999E-3</c:v>
                  </c:pt>
                  <c:pt idx="4">
                    <c:v>2.1682325070000001E-3</c:v>
                  </c:pt>
                  <c:pt idx="5">
                    <c:v>1.9876504100000002E-3</c:v>
                  </c:pt>
                  <c:pt idx="6">
                    <c:v>2.0046370469999999E-3</c:v>
                  </c:pt>
                  <c:pt idx="7">
                    <c:v>2.4445359719999999E-3</c:v>
                  </c:pt>
                  <c:pt idx="8">
                    <c:v>1.9747361199999999E-3</c:v>
                  </c:pt>
                  <c:pt idx="9">
                    <c:v>2.169482628E-3</c:v>
                  </c:pt>
                  <c:pt idx="10">
                    <c:v>2.3639926179999998E-3</c:v>
                  </c:pt>
                </c:numCache>
              </c:numRef>
            </c:plus>
            <c:minus>
              <c:numRef>
                <c:f>Rate!$E$79:$E$89</c:f>
                <c:numCache>
                  <c:formatCode>General</c:formatCode>
                  <c:ptCount val="11"/>
                  <c:pt idx="0">
                    <c:v>2.7186752969999999E-3</c:v>
                  </c:pt>
                  <c:pt idx="1">
                    <c:v>2.43676577E-3</c:v>
                  </c:pt>
                  <c:pt idx="2">
                    <c:v>2.44300604E-3</c:v>
                  </c:pt>
                  <c:pt idx="3">
                    <c:v>2.1851024399999999E-3</c:v>
                  </c:pt>
                  <c:pt idx="4">
                    <c:v>2.1682325070000001E-3</c:v>
                  </c:pt>
                  <c:pt idx="5">
                    <c:v>1.9876504100000002E-3</c:v>
                  </c:pt>
                  <c:pt idx="6">
                    <c:v>2.0046370469999999E-3</c:v>
                  </c:pt>
                  <c:pt idx="7">
                    <c:v>2.4445359719999999E-3</c:v>
                  </c:pt>
                  <c:pt idx="8">
                    <c:v>1.9747361199999999E-3</c:v>
                  </c:pt>
                  <c:pt idx="9">
                    <c:v>2.169482628E-3</c:v>
                  </c:pt>
                  <c:pt idx="10">
                    <c:v>2.3639926179999998E-3</c:v>
                  </c:pt>
                </c:numCache>
              </c:numRef>
            </c:minus>
            <c:spPr>
              <a:noFill/>
              <a:ln w="9525" cap="flat" cmpd="sng" algn="ctr">
                <a:solidFill>
                  <a:schemeClr val="tx1">
                    <a:lumMod val="65000"/>
                    <a:lumOff val="35000"/>
                  </a:schemeClr>
                </a:solidFill>
                <a:round/>
              </a:ln>
              <a:effectLst/>
            </c:spPr>
          </c:errBars>
          <c:val>
            <c:numRef>
              <c:f>Rate!$D$79:$D$89</c:f>
              <c:numCache>
                <c:formatCode>General</c:formatCode>
                <c:ptCount val="11"/>
                <c:pt idx="0">
                  <c:v>5.6165570999999997E-4</c:v>
                </c:pt>
                <c:pt idx="1">
                  <c:v>-9.0135689999999998E-5</c:v>
                </c:pt>
                <c:pt idx="2">
                  <c:v>6.8904831E-4</c:v>
                </c:pt>
                <c:pt idx="3">
                  <c:v>-4.1646427999999998E-4</c:v>
                </c:pt>
                <c:pt idx="4">
                  <c:v>8.0493153999999995E-4</c:v>
                </c:pt>
                <c:pt idx="5">
                  <c:v>1.44705973E-3</c:v>
                </c:pt>
                <c:pt idx="6">
                  <c:v>3.4161357599999998E-3</c:v>
                </c:pt>
                <c:pt idx="7">
                  <c:v>-2.6331156E-4</c:v>
                </c:pt>
                <c:pt idx="8">
                  <c:v>6.8854344999999995E-4</c:v>
                </c:pt>
                <c:pt idx="9">
                  <c:v>8.2573388E-4</c:v>
                </c:pt>
                <c:pt idx="10">
                  <c:v>6.9124645999999997E-4</c:v>
                </c:pt>
              </c:numCache>
            </c:numRef>
          </c:val>
          <c:extLst>
            <c:ext xmlns:c16="http://schemas.microsoft.com/office/drawing/2014/chart" uri="{C3380CC4-5D6E-409C-BE32-E72D297353CC}">
              <c16:uniqueId val="{00000001-0C2D-4059-94FC-3666CE7EB842}"/>
            </c:ext>
          </c:extLst>
        </c:ser>
        <c:ser>
          <c:idx val="2"/>
          <c:order val="2"/>
          <c:tx>
            <c:strRef>
              <c:f>Rate!$C$90</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Rate!$E$90:$E$100</c:f>
                <c:numCache>
                  <c:formatCode>General</c:formatCode>
                  <c:ptCount val="11"/>
                  <c:pt idx="0">
                    <c:v>2.722141976E-3</c:v>
                  </c:pt>
                  <c:pt idx="1">
                    <c:v>2.4390651819999999E-3</c:v>
                  </c:pt>
                  <c:pt idx="2">
                    <c:v>2.4465849160000002E-3</c:v>
                  </c:pt>
                  <c:pt idx="3">
                    <c:v>2.1879193740000002E-3</c:v>
                  </c:pt>
                  <c:pt idx="4">
                    <c:v>2.1721435210000002E-3</c:v>
                  </c:pt>
                  <c:pt idx="5">
                    <c:v>1.9950808509999998E-3</c:v>
                  </c:pt>
                  <c:pt idx="6">
                    <c:v>2.0145546689999999E-3</c:v>
                  </c:pt>
                  <c:pt idx="7">
                    <c:v>2.4631852969999998E-3</c:v>
                  </c:pt>
                  <c:pt idx="8">
                    <c:v>1.99130404E-3</c:v>
                  </c:pt>
                  <c:pt idx="9">
                    <c:v>2.1950760929999999E-3</c:v>
                  </c:pt>
                  <c:pt idx="10">
                    <c:v>2.4056643569999999E-3</c:v>
                  </c:pt>
                </c:numCache>
              </c:numRef>
            </c:plus>
            <c:minus>
              <c:numRef>
                <c:f>Rate!$E$90:$E$100</c:f>
                <c:numCache>
                  <c:formatCode>General</c:formatCode>
                  <c:ptCount val="11"/>
                  <c:pt idx="0">
                    <c:v>2.722141976E-3</c:v>
                  </c:pt>
                  <c:pt idx="1">
                    <c:v>2.4390651819999999E-3</c:v>
                  </c:pt>
                  <c:pt idx="2">
                    <c:v>2.4465849160000002E-3</c:v>
                  </c:pt>
                  <c:pt idx="3">
                    <c:v>2.1879193740000002E-3</c:v>
                  </c:pt>
                  <c:pt idx="4">
                    <c:v>2.1721435210000002E-3</c:v>
                  </c:pt>
                  <c:pt idx="5">
                    <c:v>1.9950808509999998E-3</c:v>
                  </c:pt>
                  <c:pt idx="6">
                    <c:v>2.0145546689999999E-3</c:v>
                  </c:pt>
                  <c:pt idx="7">
                    <c:v>2.4631852969999998E-3</c:v>
                  </c:pt>
                  <c:pt idx="8">
                    <c:v>1.99130404E-3</c:v>
                  </c:pt>
                  <c:pt idx="9">
                    <c:v>2.1950760929999999E-3</c:v>
                  </c:pt>
                  <c:pt idx="10">
                    <c:v>2.4056643569999999E-3</c:v>
                  </c:pt>
                </c:numCache>
              </c:numRef>
            </c:minus>
            <c:spPr>
              <a:noFill/>
              <a:ln w="9525" cap="flat" cmpd="sng" algn="ctr">
                <a:solidFill>
                  <a:schemeClr val="tx1">
                    <a:lumMod val="65000"/>
                    <a:lumOff val="35000"/>
                  </a:schemeClr>
                </a:solidFill>
                <a:round/>
              </a:ln>
              <a:effectLst/>
            </c:spPr>
          </c:errBars>
          <c:val>
            <c:numRef>
              <c:f>Rate!$D$90:$D$100</c:f>
              <c:numCache>
                <c:formatCode>General</c:formatCode>
                <c:ptCount val="11"/>
                <c:pt idx="0">
                  <c:v>9.2249471999999999E-4</c:v>
                </c:pt>
                <c:pt idx="1">
                  <c:v>1.8229169E-3</c:v>
                </c:pt>
                <c:pt idx="2">
                  <c:v>8.5755053399999993E-3</c:v>
                </c:pt>
                <c:pt idx="3">
                  <c:v>5.8351309900000004E-3</c:v>
                </c:pt>
                <c:pt idx="4">
                  <c:v>1.245357419E-2</c:v>
                </c:pt>
                <c:pt idx="5">
                  <c:v>9.3406658399999998E-3</c:v>
                </c:pt>
                <c:pt idx="6">
                  <c:v>1.0321089279999999E-2</c:v>
                </c:pt>
                <c:pt idx="7">
                  <c:v>9.5896174500000007E-3</c:v>
                </c:pt>
                <c:pt idx="8">
                  <c:v>5.7517192700000004E-3</c:v>
                </c:pt>
                <c:pt idx="9">
                  <c:v>1.2537108979999999E-2</c:v>
                </c:pt>
                <c:pt idx="10">
                  <c:v>4.5507925899999999E-3</c:v>
                </c:pt>
              </c:numCache>
            </c:numRef>
          </c:val>
          <c:extLst>
            <c:ext xmlns:c16="http://schemas.microsoft.com/office/drawing/2014/chart" uri="{C3380CC4-5D6E-409C-BE32-E72D297353CC}">
              <c16:uniqueId val="{00000002-0C2D-4059-94FC-3666CE7EB842}"/>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Rate</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 (#/trial)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layout>
        <c:manualLayout>
          <c:xMode val="edge"/>
          <c:yMode val="edge"/>
          <c:x val="0.42302047443731483"/>
          <c:y val="0.93726247547132313"/>
          <c:w val="0.22156944622361671"/>
          <c:h val="4.17070303120627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'Summed Duration'!$C$68</c:f>
              <c:strCache>
                <c:ptCount val="1"/>
                <c:pt idx="0">
                  <c:v>Face</c:v>
                </c:pt>
              </c:strCache>
            </c:strRef>
          </c:tx>
          <c:spPr>
            <a:solidFill>
              <a:schemeClr val="dk1">
                <a:tint val="88500"/>
              </a:schemeClr>
            </a:solidFill>
            <a:ln>
              <a:noFill/>
            </a:ln>
            <a:effectLst/>
          </c:spPr>
          <c:invertIfNegative val="0"/>
          <c:errBars>
            <c:errBarType val="both"/>
            <c:errValType val="cust"/>
            <c:noEndCap val="0"/>
            <c:plus>
              <c:numRef>
                <c:f>'Summed Duration'!$E$68:$E$78</c:f>
                <c:numCache>
                  <c:formatCode>General</c:formatCode>
                  <c:ptCount val="11"/>
                  <c:pt idx="0">
                    <c:v>4169.5615100000005</c:v>
                  </c:pt>
                  <c:pt idx="1">
                    <c:v>4246.9301519999999</c:v>
                  </c:pt>
                  <c:pt idx="2">
                    <c:v>4287.3444740000004</c:v>
                  </c:pt>
                  <c:pt idx="3">
                    <c:v>3663.8807160000001</c:v>
                  </c:pt>
                  <c:pt idx="4">
                    <c:v>3771.5241569999998</c:v>
                  </c:pt>
                  <c:pt idx="5">
                    <c:v>3408.1903809999999</c:v>
                  </c:pt>
                  <c:pt idx="6">
                    <c:v>3375.5289520000001</c:v>
                  </c:pt>
                  <c:pt idx="7">
                    <c:v>4327.1922489999997</c:v>
                  </c:pt>
                  <c:pt idx="8">
                    <c:v>3389.1290519999998</c:v>
                  </c:pt>
                  <c:pt idx="9">
                    <c:v>3753.3218940000002</c:v>
                  </c:pt>
                  <c:pt idx="10">
                    <c:v>3995.6524060000002</c:v>
                  </c:pt>
                </c:numCache>
              </c:numRef>
            </c:plus>
            <c:minus>
              <c:numRef>
                <c:f>'Summed Duration'!$E$68:$E$78</c:f>
                <c:numCache>
                  <c:formatCode>General</c:formatCode>
                  <c:ptCount val="11"/>
                  <c:pt idx="0">
                    <c:v>4169.5615100000005</c:v>
                  </c:pt>
                  <c:pt idx="1">
                    <c:v>4246.9301519999999</c:v>
                  </c:pt>
                  <c:pt idx="2">
                    <c:v>4287.3444740000004</c:v>
                  </c:pt>
                  <c:pt idx="3">
                    <c:v>3663.8807160000001</c:v>
                  </c:pt>
                  <c:pt idx="4">
                    <c:v>3771.5241569999998</c:v>
                  </c:pt>
                  <c:pt idx="5">
                    <c:v>3408.1903809999999</c:v>
                  </c:pt>
                  <c:pt idx="6">
                    <c:v>3375.5289520000001</c:v>
                  </c:pt>
                  <c:pt idx="7">
                    <c:v>4327.1922489999997</c:v>
                  </c:pt>
                  <c:pt idx="8">
                    <c:v>3389.1290519999998</c:v>
                  </c:pt>
                  <c:pt idx="9">
                    <c:v>3753.3218940000002</c:v>
                  </c:pt>
                  <c:pt idx="10">
                    <c:v>3995.6524060000002</c:v>
                  </c:pt>
                </c:numCache>
              </c:numRef>
            </c:minus>
            <c:spPr>
              <a:noFill/>
              <a:ln w="9525" cap="flat" cmpd="sng" algn="ctr">
                <a:solidFill>
                  <a:schemeClr val="tx1">
                    <a:lumMod val="65000"/>
                    <a:lumOff val="35000"/>
                  </a:schemeClr>
                </a:solidFill>
                <a:round/>
              </a:ln>
              <a:effectLst/>
            </c:spPr>
          </c:errBars>
          <c:cat>
            <c:strRef>
              <c:f>'Summed Duration'!$B$68:$B$78</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'Summed Duration'!$D$68:$D$78</c:f>
              <c:numCache>
                <c:formatCode>0.00</c:formatCode>
                <c:ptCount val="11"/>
                <c:pt idx="0">
                  <c:v>4002.2792100000001</c:v>
                </c:pt>
                <c:pt idx="1">
                  <c:v>-1086.78226</c:v>
                </c:pt>
                <c:pt idx="2">
                  <c:v>1732.68236</c:v>
                </c:pt>
                <c:pt idx="3">
                  <c:v>228.06226000000001</c:v>
                </c:pt>
                <c:pt idx="4">
                  <c:v>1359.5507</c:v>
                </c:pt>
                <c:pt idx="5">
                  <c:v>-186.80698000000001</c:v>
                </c:pt>
                <c:pt idx="6">
                  <c:v>529.19466999999997</c:v>
                </c:pt>
                <c:pt idx="7">
                  <c:v>1159.21498</c:v>
                </c:pt>
                <c:pt idx="8">
                  <c:v>-539.29333999999994</c:v>
                </c:pt>
                <c:pt idx="9">
                  <c:v>1510.3214800000001</c:v>
                </c:pt>
                <c:pt idx="10">
                  <c:v>-1960.7745299999999</c:v>
                </c:pt>
              </c:numCache>
            </c:numRef>
          </c:val>
          <c:extLst>
            <c:ext xmlns:c16="http://schemas.microsoft.com/office/drawing/2014/chart" uri="{C3380CC4-5D6E-409C-BE32-E72D297353CC}">
              <c16:uniqueId val="{00000000-D27F-4B5E-9CA5-5227A00F8243}"/>
            </c:ext>
          </c:extLst>
        </c:ser>
        <c:ser>
          <c:idx val="1"/>
          <c:order val="1"/>
          <c:tx>
            <c:strRef>
              <c:f>'Summed Duration'!$C$79</c:f>
              <c:strCache>
                <c:ptCount val="1"/>
                <c:pt idx="0">
                  <c:v>Hand</c:v>
                </c:pt>
              </c:strCache>
            </c:strRef>
          </c:tx>
          <c:spPr>
            <a:solidFill>
              <a:schemeClr val="dk1">
                <a:tint val="55000"/>
              </a:schemeClr>
            </a:solidFill>
            <a:ln>
              <a:noFill/>
            </a:ln>
            <a:effectLst/>
          </c:spPr>
          <c:invertIfNegative val="0"/>
          <c:errBars>
            <c:errBarType val="both"/>
            <c:errValType val="cust"/>
            <c:noEndCap val="0"/>
            <c:plus>
              <c:numRef>
                <c:f>'Summed Duration'!$E$79:$E$89</c:f>
                <c:numCache>
                  <c:formatCode>General</c:formatCode>
                  <c:ptCount val="11"/>
                  <c:pt idx="0">
                    <c:v>3947.805163</c:v>
                  </c:pt>
                  <c:pt idx="1">
                    <c:v>4040.0817649999999</c:v>
                  </c:pt>
                  <c:pt idx="2">
                    <c:v>4088.2175590000002</c:v>
                  </c:pt>
                  <c:pt idx="3">
                    <c:v>3452.0055790000001</c:v>
                  </c:pt>
                  <c:pt idx="4">
                    <c:v>3663.4465150000001</c:v>
                  </c:pt>
                  <c:pt idx="5">
                    <c:v>3327.1850800000002</c:v>
                  </c:pt>
                  <c:pt idx="6">
                    <c:v>3281.8743169999998</c:v>
                  </c:pt>
                  <c:pt idx="7">
                    <c:v>4236.7557470000002</c:v>
                  </c:pt>
                  <c:pt idx="8">
                    <c:v>3312.695514</c:v>
                  </c:pt>
                  <c:pt idx="9">
                    <c:v>3676.9302320000002</c:v>
                  </c:pt>
                  <c:pt idx="10">
                    <c:v>3909.1161950000001</c:v>
                  </c:pt>
                </c:numCache>
              </c:numRef>
            </c:plus>
            <c:minus>
              <c:numRef>
                <c:f>'Summed Duration'!$E$79:$E$89</c:f>
                <c:numCache>
                  <c:formatCode>General</c:formatCode>
                  <c:ptCount val="11"/>
                  <c:pt idx="0">
                    <c:v>3947.805163</c:v>
                  </c:pt>
                  <c:pt idx="1">
                    <c:v>4040.0817649999999</c:v>
                  </c:pt>
                  <c:pt idx="2">
                    <c:v>4088.2175590000002</c:v>
                  </c:pt>
                  <c:pt idx="3">
                    <c:v>3452.0055790000001</c:v>
                  </c:pt>
                  <c:pt idx="4">
                    <c:v>3663.4465150000001</c:v>
                  </c:pt>
                  <c:pt idx="5">
                    <c:v>3327.1850800000002</c:v>
                  </c:pt>
                  <c:pt idx="6">
                    <c:v>3281.8743169999998</c:v>
                  </c:pt>
                  <c:pt idx="7">
                    <c:v>4236.7557470000002</c:v>
                  </c:pt>
                  <c:pt idx="8">
                    <c:v>3312.695514</c:v>
                  </c:pt>
                  <c:pt idx="9">
                    <c:v>3676.9302320000002</c:v>
                  </c:pt>
                  <c:pt idx="10">
                    <c:v>3909.1161950000001</c:v>
                  </c:pt>
                </c:numCache>
              </c:numRef>
            </c:minus>
            <c:spPr>
              <a:noFill/>
              <a:ln w="9525" cap="flat" cmpd="sng" algn="ctr">
                <a:solidFill>
                  <a:schemeClr val="tx1">
                    <a:lumMod val="65000"/>
                    <a:lumOff val="35000"/>
                  </a:schemeClr>
                </a:solidFill>
                <a:round/>
              </a:ln>
              <a:effectLst/>
            </c:spPr>
          </c:errBars>
          <c:val>
            <c:numRef>
              <c:f>'Summed Duration'!$D$79:$D$89</c:f>
              <c:numCache>
                <c:formatCode>0.00</c:formatCode>
                <c:ptCount val="11"/>
                <c:pt idx="0">
                  <c:v>305.33089000000001</c:v>
                </c:pt>
                <c:pt idx="1">
                  <c:v>-630.67106000000001</c:v>
                </c:pt>
                <c:pt idx="2">
                  <c:v>120.09721999999999</c:v>
                </c:pt>
                <c:pt idx="3">
                  <c:v>-2136.7143000000001</c:v>
                </c:pt>
                <c:pt idx="4">
                  <c:v>3680.6564699999999</c:v>
                </c:pt>
                <c:pt idx="5">
                  <c:v>-4867.6237899999996</c:v>
                </c:pt>
                <c:pt idx="6">
                  <c:v>5354.2163499999997</c:v>
                </c:pt>
                <c:pt idx="7">
                  <c:v>-4491.9268400000001</c:v>
                </c:pt>
                <c:pt idx="8">
                  <c:v>-498.69612000000001</c:v>
                </c:pt>
                <c:pt idx="9">
                  <c:v>-177.46297000000001</c:v>
                </c:pt>
                <c:pt idx="10">
                  <c:v>5951.3819800000001</c:v>
                </c:pt>
              </c:numCache>
            </c:numRef>
          </c:val>
          <c:extLst>
            <c:ext xmlns:c16="http://schemas.microsoft.com/office/drawing/2014/chart" uri="{C3380CC4-5D6E-409C-BE32-E72D297353CC}">
              <c16:uniqueId val="{00000001-D27F-4B5E-9CA5-5227A00F8243}"/>
            </c:ext>
          </c:extLst>
        </c:ser>
        <c:ser>
          <c:idx val="2"/>
          <c:order val="2"/>
          <c:tx>
            <c:strRef>
              <c:f>'Summed Duration'!$C$90</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'Summed Duration'!$E$91:$E$100</c:f>
                <c:numCache>
                  <c:formatCode>General</c:formatCode>
                  <c:ptCount val="10"/>
                  <c:pt idx="0">
                    <c:v>4131.7707389999996</c:v>
                  </c:pt>
                  <c:pt idx="1">
                    <c:v>4155.6351699999996</c:v>
                  </c:pt>
                  <c:pt idx="2">
                    <c:v>3580.6707449999999</c:v>
                  </c:pt>
                  <c:pt idx="3">
                    <c:v>3775.371975</c:v>
                  </c:pt>
                  <c:pt idx="4">
                    <c:v>3437.9761109999999</c:v>
                  </c:pt>
                  <c:pt idx="5">
                    <c:v>3438.5010699999998</c:v>
                  </c:pt>
                  <c:pt idx="6">
                    <c:v>4371.4906490000003</c:v>
                  </c:pt>
                  <c:pt idx="7">
                    <c:v>3439.1685040000002</c:v>
                  </c:pt>
                  <c:pt idx="8">
                    <c:v>3828.0427279999999</c:v>
                  </c:pt>
                  <c:pt idx="9">
                    <c:v>4107.3554379999996</c:v>
                  </c:pt>
                </c:numCache>
              </c:numRef>
            </c:plus>
            <c:minus>
              <c:numRef>
                <c:f>'Summed Duration'!$E$90:$E$100</c:f>
                <c:numCache>
                  <c:formatCode>General</c:formatCode>
                  <c:ptCount val="11"/>
                  <c:pt idx="0">
                    <c:v>4031.050784</c:v>
                  </c:pt>
                  <c:pt idx="1">
                    <c:v>4131.7707389999996</c:v>
                  </c:pt>
                  <c:pt idx="2">
                    <c:v>4155.6351699999996</c:v>
                  </c:pt>
                  <c:pt idx="3">
                    <c:v>3580.6707449999999</c:v>
                  </c:pt>
                  <c:pt idx="4">
                    <c:v>3775.371975</c:v>
                  </c:pt>
                  <c:pt idx="5">
                    <c:v>3437.9761109999999</c:v>
                  </c:pt>
                  <c:pt idx="6">
                    <c:v>3438.5010699999998</c:v>
                  </c:pt>
                  <c:pt idx="7">
                    <c:v>4371.4906490000003</c:v>
                  </c:pt>
                  <c:pt idx="8">
                    <c:v>3439.1685040000002</c:v>
                  </c:pt>
                  <c:pt idx="9">
                    <c:v>3828.0427279999999</c:v>
                  </c:pt>
                  <c:pt idx="10">
                    <c:v>4107.3554379999996</c:v>
                  </c:pt>
                </c:numCache>
              </c:numRef>
            </c:minus>
            <c:spPr>
              <a:noFill/>
              <a:ln w="9525" cap="flat" cmpd="sng" algn="ctr">
                <a:solidFill>
                  <a:schemeClr val="tx1">
                    <a:lumMod val="65000"/>
                    <a:lumOff val="35000"/>
                  </a:schemeClr>
                </a:solidFill>
                <a:round/>
              </a:ln>
              <a:effectLst/>
            </c:spPr>
          </c:errBars>
          <c:val>
            <c:numRef>
              <c:f>'Summed Duration'!$D$90:$D$100</c:f>
              <c:numCache>
                <c:formatCode>0.00</c:formatCode>
                <c:ptCount val="11"/>
                <c:pt idx="0">
                  <c:v>8477.9866199999997</c:v>
                </c:pt>
                <c:pt idx="1">
                  <c:v>-5602.6453600000004</c:v>
                </c:pt>
                <c:pt idx="2">
                  <c:v>25398.096679999999</c:v>
                </c:pt>
                <c:pt idx="3">
                  <c:v>4671.6857399999999</c:v>
                </c:pt>
                <c:pt idx="4">
                  <c:v>36350.507389999999</c:v>
                </c:pt>
                <c:pt idx="5">
                  <c:v>8791.1535999999996</c:v>
                </c:pt>
                <c:pt idx="6">
                  <c:v>14894.09973</c:v>
                </c:pt>
                <c:pt idx="7">
                  <c:v>2570.85473</c:v>
                </c:pt>
                <c:pt idx="8">
                  <c:v>10116.142739999999</c:v>
                </c:pt>
                <c:pt idx="9">
                  <c:v>20971.038499999999</c:v>
                </c:pt>
                <c:pt idx="10">
                  <c:v>-4508.3918899999999</c:v>
                </c:pt>
              </c:numCache>
            </c:numRef>
          </c:val>
          <c:extLst>
            <c:ext xmlns:c16="http://schemas.microsoft.com/office/drawing/2014/chart" uri="{C3380CC4-5D6E-409C-BE32-E72D297353CC}">
              <c16:uniqueId val="{00000002-D27F-4B5E-9CA5-5227A00F8243}"/>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chemeClr val="tx1"/>
                    </a:solidFill>
                    <a:effectLst/>
                    <a:latin typeface="Times New Roman" panose="02020603050405020304" pitchFamily="18" charset="0"/>
                    <a:cs typeface="Times New Roman" panose="02020603050405020304" pitchFamily="18" charset="0"/>
                  </a:rPr>
                  <a:t>Summed Duration (ms) </a:t>
                </a:r>
                <a:endPar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'Average Duration'!$C$68</c:f>
              <c:strCache>
                <c:ptCount val="1"/>
                <c:pt idx="0">
                  <c:v>Face</c:v>
                </c:pt>
              </c:strCache>
            </c:strRef>
          </c:tx>
          <c:spPr>
            <a:solidFill>
              <a:schemeClr val="dk1">
                <a:tint val="88500"/>
              </a:schemeClr>
            </a:solidFill>
            <a:ln>
              <a:noFill/>
            </a:ln>
            <a:effectLst/>
          </c:spPr>
          <c:invertIfNegative val="0"/>
          <c:errBars>
            <c:errBarType val="both"/>
            <c:errValType val="cust"/>
            <c:noEndCap val="0"/>
            <c:plus>
              <c:numRef>
                <c:f>'Average Duration'!$E$68:$E$78</c:f>
                <c:numCache>
                  <c:formatCode>General</c:formatCode>
                  <c:ptCount val="11"/>
                  <c:pt idx="0">
                    <c:v>268.91827999999998</c:v>
                  </c:pt>
                  <c:pt idx="1">
                    <c:v>273.24461700000001</c:v>
                  </c:pt>
                  <c:pt idx="2">
                    <c:v>275.72778199999999</c:v>
                  </c:pt>
                  <c:pt idx="3">
                    <c:v>233.35046399999999</c:v>
                  </c:pt>
                  <c:pt idx="4">
                    <c:v>246.08757</c:v>
                  </c:pt>
                  <c:pt idx="5">
                    <c:v>216.444625</c:v>
                  </c:pt>
                  <c:pt idx="6">
                    <c:v>213.375057</c:v>
                  </c:pt>
                  <c:pt idx="7">
                    <c:v>283.576706</c:v>
                  </c:pt>
                  <c:pt idx="8">
                    <c:v>215.060508</c:v>
                  </c:pt>
                  <c:pt idx="9">
                    <c:v>240.68616599999999</c:v>
                  </c:pt>
                  <c:pt idx="10">
                    <c:v>260.72015399999998</c:v>
                  </c:pt>
                </c:numCache>
              </c:numRef>
            </c:plus>
            <c:minus>
              <c:numRef>
                <c:f>'Average Duration'!$E$68:$E$78</c:f>
                <c:numCache>
                  <c:formatCode>General</c:formatCode>
                  <c:ptCount val="11"/>
                  <c:pt idx="0">
                    <c:v>268.91827999999998</c:v>
                  </c:pt>
                  <c:pt idx="1">
                    <c:v>273.24461700000001</c:v>
                  </c:pt>
                  <c:pt idx="2">
                    <c:v>275.72778199999999</c:v>
                  </c:pt>
                  <c:pt idx="3">
                    <c:v>233.35046399999999</c:v>
                  </c:pt>
                  <c:pt idx="4">
                    <c:v>246.08757</c:v>
                  </c:pt>
                  <c:pt idx="5">
                    <c:v>216.444625</c:v>
                  </c:pt>
                  <c:pt idx="6">
                    <c:v>213.375057</c:v>
                  </c:pt>
                  <c:pt idx="7">
                    <c:v>283.576706</c:v>
                  </c:pt>
                  <c:pt idx="8">
                    <c:v>215.060508</c:v>
                  </c:pt>
                  <c:pt idx="9">
                    <c:v>240.68616599999999</c:v>
                  </c:pt>
                  <c:pt idx="10">
                    <c:v>260.72015399999998</c:v>
                  </c:pt>
                </c:numCache>
              </c:numRef>
            </c:minus>
            <c:spPr>
              <a:noFill/>
              <a:ln w="9525" cap="flat" cmpd="sng" algn="ctr">
                <a:solidFill>
                  <a:schemeClr val="tx1">
                    <a:lumMod val="65000"/>
                    <a:lumOff val="35000"/>
                  </a:schemeClr>
                </a:solidFill>
                <a:round/>
              </a:ln>
              <a:effectLst/>
            </c:spPr>
          </c:errBars>
          <c:cat>
            <c:strRef>
              <c:f>'Average Duration'!$B$68:$B$78</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'Average Duration'!$D$68:$D$78</c:f>
              <c:numCache>
                <c:formatCode>0.00</c:formatCode>
                <c:ptCount val="11"/>
                <c:pt idx="0">
                  <c:v>243.96306000000001</c:v>
                </c:pt>
                <c:pt idx="1">
                  <c:v>-44.962499999999999</c:v>
                </c:pt>
                <c:pt idx="2">
                  <c:v>464.53055000000001</c:v>
                </c:pt>
                <c:pt idx="3">
                  <c:v>215.46259000000001</c:v>
                </c:pt>
                <c:pt idx="4">
                  <c:v>52.234189999999998</c:v>
                </c:pt>
                <c:pt idx="5">
                  <c:v>63.562930000000001</c:v>
                </c:pt>
                <c:pt idx="6">
                  <c:v>-29.78152</c:v>
                </c:pt>
                <c:pt idx="7">
                  <c:v>109.40994000000001</c:v>
                </c:pt>
                <c:pt idx="8">
                  <c:v>-14.807499999999999</c:v>
                </c:pt>
                <c:pt idx="9">
                  <c:v>60.85783</c:v>
                </c:pt>
                <c:pt idx="10">
                  <c:v>-116.58817000000001</c:v>
                </c:pt>
              </c:numCache>
            </c:numRef>
          </c:val>
          <c:extLst>
            <c:ext xmlns:c16="http://schemas.microsoft.com/office/drawing/2014/chart" uri="{C3380CC4-5D6E-409C-BE32-E72D297353CC}">
              <c16:uniqueId val="{00000000-F98F-4F11-9373-A0A8E2C0B52F}"/>
            </c:ext>
          </c:extLst>
        </c:ser>
        <c:ser>
          <c:idx val="1"/>
          <c:order val="1"/>
          <c:tx>
            <c:strRef>
              <c:f>'Average Duration'!$C$79</c:f>
              <c:strCache>
                <c:ptCount val="1"/>
                <c:pt idx="0">
                  <c:v>Hand</c:v>
                </c:pt>
              </c:strCache>
            </c:strRef>
          </c:tx>
          <c:spPr>
            <a:solidFill>
              <a:schemeClr val="dk1">
                <a:tint val="55000"/>
              </a:schemeClr>
            </a:solidFill>
            <a:ln>
              <a:noFill/>
            </a:ln>
            <a:effectLst/>
          </c:spPr>
          <c:invertIfNegative val="0"/>
          <c:errBars>
            <c:errBarType val="both"/>
            <c:errValType val="cust"/>
            <c:noEndCap val="0"/>
            <c:plus>
              <c:numRef>
                <c:f>'Average Duration'!$E$79:$E$89</c:f>
                <c:numCache>
                  <c:formatCode>General</c:formatCode>
                  <c:ptCount val="11"/>
                  <c:pt idx="0">
                    <c:v>252.145872</c:v>
                  </c:pt>
                  <c:pt idx="1">
                    <c:v>258.28198099999997</c:v>
                  </c:pt>
                  <c:pt idx="2">
                    <c:v>261.43013200000001</c:v>
                  </c:pt>
                  <c:pt idx="3">
                    <c:v>217.70746800000001</c:v>
                  </c:pt>
                  <c:pt idx="4">
                    <c:v>238.24970500000001</c:v>
                  </c:pt>
                  <c:pt idx="5">
                    <c:v>209.39913799999999</c:v>
                  </c:pt>
                  <c:pt idx="6">
                    <c:v>205.85919100000001</c:v>
                  </c:pt>
                  <c:pt idx="7">
                    <c:v>278.14915200000002</c:v>
                  </c:pt>
                  <c:pt idx="8">
                    <c:v>209.589641</c:v>
                  </c:pt>
                  <c:pt idx="9">
                    <c:v>235.50268299999999</c:v>
                  </c:pt>
                  <c:pt idx="10">
                    <c:v>253.932714</c:v>
                  </c:pt>
                </c:numCache>
              </c:numRef>
            </c:plus>
            <c:minus>
              <c:numRef>
                <c:f>'Average Duration'!$E$79:$E$89</c:f>
                <c:numCache>
                  <c:formatCode>General</c:formatCode>
                  <c:ptCount val="11"/>
                  <c:pt idx="0">
                    <c:v>252.145872</c:v>
                  </c:pt>
                  <c:pt idx="1">
                    <c:v>258.28198099999997</c:v>
                  </c:pt>
                  <c:pt idx="2">
                    <c:v>261.43013200000001</c:v>
                  </c:pt>
                  <c:pt idx="3">
                    <c:v>217.70746800000001</c:v>
                  </c:pt>
                  <c:pt idx="4">
                    <c:v>238.24970500000001</c:v>
                  </c:pt>
                  <c:pt idx="5">
                    <c:v>209.39913799999999</c:v>
                  </c:pt>
                  <c:pt idx="6">
                    <c:v>205.85919100000001</c:v>
                  </c:pt>
                  <c:pt idx="7">
                    <c:v>278.14915200000002</c:v>
                  </c:pt>
                  <c:pt idx="8">
                    <c:v>209.589641</c:v>
                  </c:pt>
                  <c:pt idx="9">
                    <c:v>235.50268299999999</c:v>
                  </c:pt>
                  <c:pt idx="10">
                    <c:v>253.932714</c:v>
                  </c:pt>
                </c:numCache>
              </c:numRef>
            </c:minus>
            <c:spPr>
              <a:noFill/>
              <a:ln w="9525" cap="flat" cmpd="sng" algn="ctr">
                <a:solidFill>
                  <a:schemeClr val="tx1">
                    <a:lumMod val="65000"/>
                    <a:lumOff val="35000"/>
                  </a:schemeClr>
                </a:solidFill>
                <a:round/>
              </a:ln>
              <a:effectLst/>
            </c:spPr>
          </c:errBars>
          <c:val>
            <c:numRef>
              <c:f>'Average Duration'!$D$79:$D$89</c:f>
              <c:numCache>
                <c:formatCode>0.00</c:formatCode>
                <c:ptCount val="11"/>
                <c:pt idx="0">
                  <c:v>-60.454300000000003</c:v>
                </c:pt>
                <c:pt idx="1">
                  <c:v>123.90514</c:v>
                </c:pt>
                <c:pt idx="2">
                  <c:v>-16.172879999999999</c:v>
                </c:pt>
                <c:pt idx="3">
                  <c:v>-40.22213</c:v>
                </c:pt>
                <c:pt idx="4">
                  <c:v>120.46727</c:v>
                </c:pt>
                <c:pt idx="5">
                  <c:v>-225.48495</c:v>
                </c:pt>
                <c:pt idx="6">
                  <c:v>222.29405</c:v>
                </c:pt>
                <c:pt idx="7">
                  <c:v>-234.19832</c:v>
                </c:pt>
                <c:pt idx="8">
                  <c:v>15.264699999999999</c:v>
                </c:pt>
                <c:pt idx="9">
                  <c:v>-120.33684</c:v>
                </c:pt>
                <c:pt idx="10">
                  <c:v>413.8965</c:v>
                </c:pt>
              </c:numCache>
            </c:numRef>
          </c:val>
          <c:extLst>
            <c:ext xmlns:c16="http://schemas.microsoft.com/office/drawing/2014/chart" uri="{C3380CC4-5D6E-409C-BE32-E72D297353CC}">
              <c16:uniqueId val="{00000001-F98F-4F11-9373-A0A8E2C0B52F}"/>
            </c:ext>
          </c:extLst>
        </c:ser>
        <c:ser>
          <c:idx val="2"/>
          <c:order val="2"/>
          <c:tx>
            <c:strRef>
              <c:f>'Average Duration'!$C$90</c:f>
              <c:strCache>
                <c:ptCount val="1"/>
                <c:pt idx="0">
                  <c:v>Mouth</c:v>
                </c:pt>
              </c:strCache>
            </c:strRef>
          </c:tx>
          <c:spPr>
            <a:solidFill>
              <a:schemeClr val="dk1">
                <a:tint val="75000"/>
              </a:schemeClr>
            </a:solidFill>
            <a:ln>
              <a:noFill/>
            </a:ln>
            <a:effectLst/>
          </c:spPr>
          <c:invertIfNegative val="0"/>
          <c:errBars>
            <c:errBarType val="both"/>
            <c:errValType val="cust"/>
            <c:noEndCap val="0"/>
            <c:plus>
              <c:numRef>
                <c:f>'Average Duration'!$E$91:$E$100</c:f>
                <c:numCache>
                  <c:formatCode>General</c:formatCode>
                  <c:ptCount val="10"/>
                  <c:pt idx="0">
                    <c:v>265.51331900000002</c:v>
                  </c:pt>
                  <c:pt idx="1">
                    <c:v>267.16157399999997</c:v>
                  </c:pt>
                  <c:pt idx="2">
                    <c:v>227.935654</c:v>
                  </c:pt>
                  <c:pt idx="3">
                    <c:v>245.16593</c:v>
                  </c:pt>
                  <c:pt idx="4">
                    <c:v>217.47456399999999</c:v>
                  </c:pt>
                  <c:pt idx="5">
                    <c:v>218.47998699999999</c:v>
                  </c:pt>
                  <c:pt idx="6">
                    <c:v>285.97286200000002</c:v>
                  </c:pt>
                  <c:pt idx="7">
                    <c:v>218.94854699999999</c:v>
                  </c:pt>
                  <c:pt idx="8">
                    <c:v>246.46024800000001</c:v>
                  </c:pt>
                  <c:pt idx="9">
                    <c:v>268.40493500000002</c:v>
                  </c:pt>
                </c:numCache>
              </c:numRef>
            </c:plus>
            <c:minus>
              <c:numRef>
                <c:f>'Average Duration'!$E$90:$E$100</c:f>
                <c:numCache>
                  <c:formatCode>General</c:formatCode>
                  <c:ptCount val="11"/>
                  <c:pt idx="0">
                    <c:v>258.30096300000002</c:v>
                  </c:pt>
                  <c:pt idx="1">
                    <c:v>265.51331900000002</c:v>
                  </c:pt>
                  <c:pt idx="2">
                    <c:v>267.16157399999997</c:v>
                  </c:pt>
                  <c:pt idx="3">
                    <c:v>227.935654</c:v>
                  </c:pt>
                  <c:pt idx="4">
                    <c:v>245.16593</c:v>
                  </c:pt>
                  <c:pt idx="5">
                    <c:v>217.47456399999999</c:v>
                  </c:pt>
                  <c:pt idx="6">
                    <c:v>218.47998699999999</c:v>
                  </c:pt>
                  <c:pt idx="7">
                    <c:v>285.97286200000002</c:v>
                  </c:pt>
                  <c:pt idx="8">
                    <c:v>218.94854699999999</c:v>
                  </c:pt>
                  <c:pt idx="9">
                    <c:v>246.46024800000001</c:v>
                  </c:pt>
                  <c:pt idx="10">
                    <c:v>268.40493500000002</c:v>
                  </c:pt>
                </c:numCache>
              </c:numRef>
            </c:minus>
            <c:spPr>
              <a:noFill/>
              <a:ln w="9525" cap="flat" cmpd="sng" algn="ctr">
                <a:solidFill>
                  <a:schemeClr val="tx1">
                    <a:lumMod val="65000"/>
                    <a:lumOff val="35000"/>
                  </a:schemeClr>
                </a:solidFill>
                <a:round/>
              </a:ln>
              <a:effectLst/>
            </c:spPr>
          </c:errBars>
          <c:val>
            <c:numRef>
              <c:f>'Average Duration'!$D$90:$D$100</c:f>
              <c:numCache>
                <c:formatCode>0.00</c:formatCode>
                <c:ptCount val="11"/>
                <c:pt idx="0">
                  <c:v>312.84338000000002</c:v>
                </c:pt>
                <c:pt idx="1">
                  <c:v>-145.44743</c:v>
                </c:pt>
                <c:pt idx="2">
                  <c:v>1408.4151199999999</c:v>
                </c:pt>
                <c:pt idx="3">
                  <c:v>205.56414000000001</c:v>
                </c:pt>
                <c:pt idx="4">
                  <c:v>2896.3613599999999</c:v>
                </c:pt>
                <c:pt idx="5">
                  <c:v>593.20772999999997</c:v>
                </c:pt>
                <c:pt idx="6">
                  <c:v>1053.92794</c:v>
                </c:pt>
                <c:pt idx="7">
                  <c:v>17.028569999999998</c:v>
                </c:pt>
                <c:pt idx="8">
                  <c:v>469.70402000000001</c:v>
                </c:pt>
                <c:pt idx="9">
                  <c:v>758.61360999999999</c:v>
                </c:pt>
                <c:pt idx="10">
                  <c:v>-141.50456</c:v>
                </c:pt>
              </c:numCache>
            </c:numRef>
          </c:val>
          <c:extLst>
            <c:ext xmlns:c16="http://schemas.microsoft.com/office/drawing/2014/chart" uri="{C3380CC4-5D6E-409C-BE32-E72D297353CC}">
              <c16:uniqueId val="{00000002-F98F-4F11-9373-A0A8E2C0B52F}"/>
            </c:ext>
          </c:extLst>
        </c:ser>
        <c:dLbls>
          <c:showLegendKey val="0"/>
          <c:showVal val="0"/>
          <c:showCatName val="0"/>
          <c:showSerName val="0"/>
          <c:showPercent val="0"/>
          <c:showBubbleSize val="0"/>
        </c:dLbls>
        <c:gapWidth val="219"/>
        <c:overlap val="-27"/>
        <c:axId val="185186608"/>
        <c:axId val="185190448"/>
      </c:barChart>
      <c:catAx>
        <c:axId val="185186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90448"/>
        <c:crosses val="autoZero"/>
        <c:auto val="1"/>
        <c:lblAlgn val="ctr"/>
        <c:lblOffset val="100"/>
        <c:noMultiLvlLbl val="0"/>
      </c:catAx>
      <c:valAx>
        <c:axId val="18519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Duration (ms)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518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Proportion</c:v>
          </c:tx>
          <c:spPr>
            <a:solidFill>
              <a:schemeClr val="bg2">
                <a:lumMod val="75000"/>
              </a:schemeClr>
            </a:solidFill>
            <a:ln>
              <a:solidFill>
                <a:schemeClr val="tx1">
                  <a:lumMod val="65000"/>
                  <a:lumOff val="35000"/>
                </a:schemeClr>
              </a:solidFill>
            </a:ln>
            <a:effectLst/>
          </c:spPr>
          <c:invertIfNegative val="0"/>
          <c:errBars>
            <c:errBarType val="both"/>
            <c:errValType val="cust"/>
            <c:noEndCap val="0"/>
            <c:plus>
              <c:numRef>
                <c:f>'Rch_Proportion_&amp;_Latency'!$D$18:$D$23</c:f>
                <c:numCache>
                  <c:formatCode>General</c:formatCode>
                  <c:ptCount val="6"/>
                  <c:pt idx="0">
                    <c:v>9.9476200000000006</c:v>
                  </c:pt>
                  <c:pt idx="1">
                    <c:v>5.6093299999999999</c:v>
                  </c:pt>
                  <c:pt idx="2">
                    <c:v>8.40808</c:v>
                  </c:pt>
                  <c:pt idx="3">
                    <c:v>4.7175099999999999</c:v>
                  </c:pt>
                  <c:pt idx="4">
                    <c:v>5.9499899999999997</c:v>
                  </c:pt>
                  <c:pt idx="5">
                    <c:v>5.5698800000000004</c:v>
                  </c:pt>
                </c:numCache>
              </c:numRef>
            </c:plus>
            <c:minus>
              <c:numRef>
                <c:f>'Rch_Proportion_&amp;_Latency'!$D$18:$D$23</c:f>
                <c:numCache>
                  <c:formatCode>General</c:formatCode>
                  <c:ptCount val="6"/>
                  <c:pt idx="0">
                    <c:v>9.9476200000000006</c:v>
                  </c:pt>
                  <c:pt idx="1">
                    <c:v>5.6093299999999999</c:v>
                  </c:pt>
                  <c:pt idx="2">
                    <c:v>8.40808</c:v>
                  </c:pt>
                  <c:pt idx="3">
                    <c:v>4.7175099999999999</c:v>
                  </c:pt>
                  <c:pt idx="4">
                    <c:v>5.9499899999999997</c:v>
                  </c:pt>
                  <c:pt idx="5">
                    <c:v>5.5698800000000004</c:v>
                  </c:pt>
                </c:numCache>
              </c:numRef>
            </c:minus>
            <c:spPr>
              <a:noFill/>
              <a:ln w="9525" cap="flat" cmpd="sng" algn="ctr">
                <a:solidFill>
                  <a:schemeClr val="tx1">
                    <a:lumMod val="65000"/>
                    <a:lumOff val="35000"/>
                  </a:schemeClr>
                </a:solidFill>
                <a:round/>
              </a:ln>
              <a:effectLst/>
            </c:spPr>
          </c:errBars>
          <c:cat>
            <c:strRef>
              <c:f>'Rch_Proportion_&amp;_Latency'!$B$18:$B$23</c:f>
              <c:strCache>
                <c:ptCount val="6"/>
                <c:pt idx="0">
                  <c:v>Onset</c:v>
                </c:pt>
                <c:pt idx="1">
                  <c:v>1</c:v>
                </c:pt>
                <c:pt idx="2">
                  <c:v>2</c:v>
                </c:pt>
                <c:pt idx="3">
                  <c:v>3</c:v>
                </c:pt>
                <c:pt idx="4">
                  <c:v>4</c:v>
                </c:pt>
                <c:pt idx="5">
                  <c:v>5</c:v>
                </c:pt>
              </c:strCache>
            </c:strRef>
          </c:cat>
          <c:val>
            <c:numRef>
              <c:f>'Rch_Proportion_&amp;_Latency'!$C$18:$C$23</c:f>
              <c:numCache>
                <c:formatCode>0.00</c:formatCode>
                <c:ptCount val="6"/>
                <c:pt idx="0">
                  <c:v>66.911100000000005</c:v>
                </c:pt>
                <c:pt idx="1">
                  <c:v>84.112200000000001</c:v>
                </c:pt>
                <c:pt idx="2">
                  <c:v>89.155600000000007</c:v>
                </c:pt>
                <c:pt idx="3">
                  <c:v>93.347999999999999</c:v>
                </c:pt>
                <c:pt idx="4">
                  <c:v>88.602400000000003</c:v>
                </c:pt>
                <c:pt idx="5">
                  <c:v>90.926500000000004</c:v>
                </c:pt>
              </c:numCache>
            </c:numRef>
          </c:val>
          <c:extLst>
            <c:ext xmlns:c16="http://schemas.microsoft.com/office/drawing/2014/chart" uri="{C3380CC4-5D6E-409C-BE32-E72D297353CC}">
              <c16:uniqueId val="{00000000-56A4-49E8-86C9-FE5119EF61BE}"/>
            </c:ext>
          </c:extLst>
        </c:ser>
        <c:dLbls>
          <c:showLegendKey val="0"/>
          <c:showVal val="0"/>
          <c:showCatName val="0"/>
          <c:showSerName val="0"/>
          <c:showPercent val="0"/>
          <c:showBubbleSize val="0"/>
        </c:dLbls>
        <c:gapWidth val="150"/>
        <c:axId val="463511743"/>
        <c:axId val="463512703"/>
      </c:barChart>
      <c:lineChart>
        <c:grouping val="standard"/>
        <c:varyColors val="0"/>
        <c:ser>
          <c:idx val="1"/>
          <c:order val="1"/>
          <c:tx>
            <c:v>Latency</c:v>
          </c:tx>
          <c:spPr>
            <a:ln w="28575" cap="rnd">
              <a:solidFill>
                <a:schemeClr val="tx1"/>
              </a:solidFill>
              <a:round/>
            </a:ln>
            <a:effectLst/>
          </c:spPr>
          <c:marker>
            <c:symbol val="none"/>
          </c:marker>
          <c:val>
            <c:numRef>
              <c:f>'Rch_Proportion_&amp;_Latency'!$K$18:$K$23</c:f>
              <c:numCache>
                <c:formatCode>0.00</c:formatCode>
                <c:ptCount val="6"/>
                <c:pt idx="0">
                  <c:v>5024.4890999999998</c:v>
                </c:pt>
                <c:pt idx="1">
                  <c:v>2988.4726000000001</c:v>
                </c:pt>
                <c:pt idx="2">
                  <c:v>-137.15880000000001</c:v>
                </c:pt>
                <c:pt idx="3">
                  <c:v>1112.4608000000001</c:v>
                </c:pt>
                <c:pt idx="4">
                  <c:v>72.322999999999993</c:v>
                </c:pt>
                <c:pt idx="5">
                  <c:v>-828.81610000000001</c:v>
                </c:pt>
              </c:numCache>
            </c:numRef>
          </c:val>
          <c:smooth val="0"/>
          <c:extLst>
            <c:ext xmlns:c16="http://schemas.microsoft.com/office/drawing/2014/chart" uri="{C3380CC4-5D6E-409C-BE32-E72D297353CC}">
              <c16:uniqueId val="{00000001-56A4-49E8-86C9-FE5119EF61BE}"/>
            </c:ext>
          </c:extLst>
        </c:ser>
        <c:dLbls>
          <c:showLegendKey val="0"/>
          <c:showVal val="0"/>
          <c:showCatName val="0"/>
          <c:showSerName val="0"/>
          <c:showPercent val="0"/>
          <c:showBubbleSize val="0"/>
        </c:dLbls>
        <c:marker val="1"/>
        <c:smooth val="0"/>
        <c:axId val="531547327"/>
        <c:axId val="531546367"/>
      </c:lineChart>
      <c:catAx>
        <c:axId val="463511743"/>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Weeks following Reach-Onset</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3512703"/>
        <c:crosses val="autoZero"/>
        <c:auto val="1"/>
        <c:lblAlgn val="ctr"/>
        <c:lblOffset val="100"/>
        <c:noMultiLvlLbl val="0"/>
      </c:catAx>
      <c:valAx>
        <c:axId val="4635127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Proportion (%)</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3511743"/>
        <c:crosses val="autoZero"/>
        <c:crossBetween val="between"/>
      </c:valAx>
      <c:valAx>
        <c:axId val="531546367"/>
        <c:scaling>
          <c:orientation val="minMax"/>
        </c:scaling>
        <c:delete val="0"/>
        <c:axPos val="r"/>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Latency (ms)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31547327"/>
        <c:crosses val="max"/>
        <c:crossBetween val="between"/>
      </c:valAx>
      <c:catAx>
        <c:axId val="531547327"/>
        <c:scaling>
          <c:orientation val="minMax"/>
        </c:scaling>
        <c:delete val="1"/>
        <c:axPos val="b"/>
        <c:majorTickMark val="out"/>
        <c:minorTickMark val="none"/>
        <c:tickLblPos val="nextTo"/>
        <c:crossAx val="53154636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solidFill>
                <a:schemeClr val="tx1"/>
              </a:solidFill>
            </a:ln>
            <a:effectLst/>
          </c:spPr>
          <c:invertIfNegative val="0"/>
          <c:errBars>
            <c:errBarType val="both"/>
            <c:errValType val="cust"/>
            <c:noEndCap val="0"/>
            <c:plus>
              <c:numRef>
                <c:f>'Mean Velocity'!$D$21:$D$31</c:f>
                <c:numCache>
                  <c:formatCode>General</c:formatCode>
                  <c:ptCount val="11"/>
                  <c:pt idx="0">
                    <c:v>1.0410200000000001</c:v>
                  </c:pt>
                  <c:pt idx="1">
                    <c:v>1.1495899999999999</c:v>
                  </c:pt>
                  <c:pt idx="2">
                    <c:v>1.2017</c:v>
                  </c:pt>
                  <c:pt idx="3">
                    <c:v>1.09449</c:v>
                  </c:pt>
                  <c:pt idx="4">
                    <c:v>1.11565</c:v>
                  </c:pt>
                  <c:pt idx="5">
                    <c:v>0.99275999999999998</c:v>
                  </c:pt>
                  <c:pt idx="6">
                    <c:v>1.01206</c:v>
                  </c:pt>
                  <c:pt idx="7">
                    <c:v>1.21333</c:v>
                  </c:pt>
                  <c:pt idx="8">
                    <c:v>1.0197000000000001</c:v>
                  </c:pt>
                  <c:pt idx="9">
                    <c:v>1.10002</c:v>
                  </c:pt>
                  <c:pt idx="10">
                    <c:v>1.10443</c:v>
                  </c:pt>
                </c:numCache>
              </c:numRef>
            </c:plus>
            <c:minus>
              <c:numRef>
                <c:f>'Mean Velocity'!$D$21:$D$31</c:f>
                <c:numCache>
                  <c:formatCode>General</c:formatCode>
                  <c:ptCount val="11"/>
                  <c:pt idx="0">
                    <c:v>1.0410200000000001</c:v>
                  </c:pt>
                  <c:pt idx="1">
                    <c:v>1.1495899999999999</c:v>
                  </c:pt>
                  <c:pt idx="2">
                    <c:v>1.2017</c:v>
                  </c:pt>
                  <c:pt idx="3">
                    <c:v>1.09449</c:v>
                  </c:pt>
                  <c:pt idx="4">
                    <c:v>1.11565</c:v>
                  </c:pt>
                  <c:pt idx="5">
                    <c:v>0.99275999999999998</c:v>
                  </c:pt>
                  <c:pt idx="6">
                    <c:v>1.01206</c:v>
                  </c:pt>
                  <c:pt idx="7">
                    <c:v>1.21333</c:v>
                  </c:pt>
                  <c:pt idx="8">
                    <c:v>1.0197000000000001</c:v>
                  </c:pt>
                  <c:pt idx="9">
                    <c:v>1.10002</c:v>
                  </c:pt>
                  <c:pt idx="10">
                    <c:v>1.10443</c:v>
                  </c:pt>
                </c:numCache>
              </c:numRef>
            </c:minus>
            <c:spPr>
              <a:noFill/>
              <a:ln w="9525" cap="flat" cmpd="sng" algn="ctr">
                <a:solidFill>
                  <a:schemeClr val="tx1">
                    <a:lumMod val="65000"/>
                    <a:lumOff val="35000"/>
                  </a:schemeClr>
                </a:solidFill>
                <a:round/>
              </a:ln>
              <a:effectLst/>
            </c:spPr>
          </c:errBars>
          <c:cat>
            <c:strRef>
              <c:f>'Mean Velocity'!$B$21:$B$31</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'Mean Velocity'!$C$21:$C$31</c:f>
              <c:numCache>
                <c:formatCode>General</c:formatCode>
                <c:ptCount val="11"/>
                <c:pt idx="0">
                  <c:v>7.1687000000000003</c:v>
                </c:pt>
                <c:pt idx="1">
                  <c:v>7.6588000000000003</c:v>
                </c:pt>
                <c:pt idx="2">
                  <c:v>8.6227</c:v>
                </c:pt>
                <c:pt idx="3">
                  <c:v>8.4786999999999999</c:v>
                </c:pt>
                <c:pt idx="4">
                  <c:v>8.2615999999999996</c:v>
                </c:pt>
                <c:pt idx="5">
                  <c:v>10.787000000000001</c:v>
                </c:pt>
                <c:pt idx="6">
                  <c:v>6.2397</c:v>
                </c:pt>
                <c:pt idx="7">
                  <c:v>11.0845</c:v>
                </c:pt>
                <c:pt idx="8">
                  <c:v>9.1305999999999994</c:v>
                </c:pt>
                <c:pt idx="9">
                  <c:v>6.8034999999999997</c:v>
                </c:pt>
                <c:pt idx="10">
                  <c:v>10.7918</c:v>
                </c:pt>
              </c:numCache>
            </c:numRef>
          </c:val>
          <c:extLst>
            <c:ext xmlns:c15="http://schemas.microsoft.com/office/drawing/2012/chart" uri="{02D57815-91ED-43cb-92C2-25804820EDAC}">
              <c15:filteredSeriesTitle>
                <c15:tx>
                  <c:strRef>
                    <c:extLst>
                      <c:ext uri="{02D57815-91ED-43cb-92C2-25804820EDAC}">
                        <c15:formulaRef>
                          <c15:sqref>'Mean Velocity'!#REF!</c15:sqref>
                        </c15:formulaRef>
                      </c:ext>
                    </c:extLst>
                    <c:strCache>
                      <c:ptCount val="1"/>
                      <c:pt idx="0">
                        <c:v>#REF!</c:v>
                      </c:pt>
                    </c:strCache>
                  </c:strRef>
                </c15:tx>
              </c15:filteredSeriesTitle>
            </c:ext>
            <c:ext xmlns:c16="http://schemas.microsoft.com/office/drawing/2014/chart" uri="{C3380CC4-5D6E-409C-BE32-E72D297353CC}">
              <c16:uniqueId val="{00000000-D048-40B7-85F4-9D21EA2B0B1B}"/>
            </c:ext>
          </c:extLst>
        </c:ser>
        <c:dLbls>
          <c:showLegendKey val="0"/>
          <c:showVal val="0"/>
          <c:showCatName val="0"/>
          <c:showSerName val="0"/>
          <c:showPercent val="0"/>
          <c:showBubbleSize val="0"/>
        </c:dLbls>
        <c:gapWidth val="219"/>
        <c:overlap val="-27"/>
        <c:axId val="1619322927"/>
        <c:axId val="1619323887"/>
      </c:barChart>
      <c:catAx>
        <c:axId val="16193229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9323887"/>
        <c:crosses val="autoZero"/>
        <c:auto val="1"/>
        <c:lblAlgn val="ctr"/>
        <c:lblOffset val="100"/>
        <c:noMultiLvlLbl val="0"/>
      </c:catAx>
      <c:valAx>
        <c:axId val="1619323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Average Mean Velocity (cm/s)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93229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radarChart>
        <c:radarStyle val="marker"/>
        <c:varyColors val="0"/>
        <c:ser>
          <c:idx val="0"/>
          <c:order val="0"/>
          <c:tx>
            <c:strRef>
              <c:f>'Mean Velocity'!$C$53</c:f>
              <c:strCache>
                <c:ptCount val="1"/>
                <c:pt idx="0">
                  <c:v>Toy-out-of-Reach</c:v>
                </c:pt>
              </c:strCache>
            </c:strRef>
          </c:tx>
          <c:spPr>
            <a:ln w="28575" cap="rnd">
              <a:solidFill>
                <a:schemeClr val="dk1">
                  <a:tint val="88500"/>
                </a:schemeClr>
              </a:solidFill>
              <a:round/>
            </a:ln>
            <a:effectLst/>
          </c:spPr>
          <c:marker>
            <c:symbol val="none"/>
          </c:marker>
          <c:cat>
            <c:strRef>
              <c:f>'Mean Velocity'!$B$53:$B$63</c:f>
              <c:strCache>
                <c:ptCount val="11"/>
                <c:pt idx="0">
                  <c:v>Onset</c:v>
                </c:pt>
                <c:pt idx="1">
                  <c:v>1</c:v>
                </c:pt>
                <c:pt idx="2">
                  <c:v>2</c:v>
                </c:pt>
                <c:pt idx="3">
                  <c:v>3</c:v>
                </c:pt>
                <c:pt idx="4">
                  <c:v>4</c:v>
                </c:pt>
                <c:pt idx="5">
                  <c:v>5</c:v>
                </c:pt>
                <c:pt idx="6">
                  <c:v>-5</c:v>
                </c:pt>
                <c:pt idx="7">
                  <c:v>-4</c:v>
                </c:pt>
                <c:pt idx="8">
                  <c:v>-3</c:v>
                </c:pt>
                <c:pt idx="9">
                  <c:v>-2</c:v>
                </c:pt>
                <c:pt idx="10">
                  <c:v>-1</c:v>
                </c:pt>
              </c:strCache>
            </c:strRef>
          </c:cat>
          <c:val>
            <c:numRef>
              <c:f>'Mean Velocity'!$D$53:$D$63</c:f>
              <c:numCache>
                <c:formatCode>General</c:formatCode>
                <c:ptCount val="11"/>
                <c:pt idx="0">
                  <c:v>9.7257999999999996</c:v>
                </c:pt>
                <c:pt idx="1">
                  <c:v>7.4553000000000003</c:v>
                </c:pt>
                <c:pt idx="2">
                  <c:v>12.5214</c:v>
                </c:pt>
                <c:pt idx="3">
                  <c:v>10.1594</c:v>
                </c:pt>
                <c:pt idx="4">
                  <c:v>7.6074000000000002</c:v>
                </c:pt>
                <c:pt idx="5">
                  <c:v>11.236499999999999</c:v>
                </c:pt>
                <c:pt idx="6">
                  <c:v>7.6890999999999998</c:v>
                </c:pt>
                <c:pt idx="7">
                  <c:v>8.4238</c:v>
                </c:pt>
                <c:pt idx="8">
                  <c:v>8.2283000000000008</c:v>
                </c:pt>
                <c:pt idx="9">
                  <c:v>8.3393999999999995</c:v>
                </c:pt>
                <c:pt idx="10">
                  <c:v>8.7926000000000002</c:v>
                </c:pt>
              </c:numCache>
            </c:numRef>
          </c:val>
          <c:extLst>
            <c:ext xmlns:c16="http://schemas.microsoft.com/office/drawing/2014/chart" uri="{C3380CC4-5D6E-409C-BE32-E72D297353CC}">
              <c16:uniqueId val="{00000000-0197-492D-B3D2-F48879578A8E}"/>
            </c:ext>
          </c:extLst>
        </c:ser>
        <c:ser>
          <c:idx val="1"/>
          <c:order val="1"/>
          <c:tx>
            <c:strRef>
              <c:f>'Mean Velocity'!$C$64</c:f>
              <c:strCache>
                <c:ptCount val="1"/>
                <c:pt idx="0">
                  <c:v>Toy-Moving-into-Reach</c:v>
                </c:pt>
              </c:strCache>
            </c:strRef>
          </c:tx>
          <c:spPr>
            <a:ln w="28575" cap="rnd">
              <a:solidFill>
                <a:schemeClr val="dk1">
                  <a:tint val="55000"/>
                </a:schemeClr>
              </a:solidFill>
              <a:round/>
            </a:ln>
            <a:effectLst/>
          </c:spPr>
          <c:marker>
            <c:symbol val="none"/>
          </c:marker>
          <c:val>
            <c:numRef>
              <c:f>'Mean Velocity'!$D$64:$D$74</c:f>
              <c:numCache>
                <c:formatCode>General</c:formatCode>
                <c:ptCount val="11"/>
                <c:pt idx="0">
                  <c:v>11.2166</c:v>
                </c:pt>
                <c:pt idx="1">
                  <c:v>6.0753000000000004</c:v>
                </c:pt>
                <c:pt idx="2">
                  <c:v>12.9153</c:v>
                </c:pt>
                <c:pt idx="3">
                  <c:v>9.6151</c:v>
                </c:pt>
                <c:pt idx="4">
                  <c:v>6.681</c:v>
                </c:pt>
                <c:pt idx="5">
                  <c:v>12.9115</c:v>
                </c:pt>
                <c:pt idx="6">
                  <c:v>5.8337000000000003</c:v>
                </c:pt>
                <c:pt idx="7">
                  <c:v>7.1281999999999996</c:v>
                </c:pt>
                <c:pt idx="8">
                  <c:v>8.8968000000000007</c:v>
                </c:pt>
                <c:pt idx="9">
                  <c:v>8.0802999999999994</c:v>
                </c:pt>
                <c:pt idx="10">
                  <c:v>8.3826999999999998</c:v>
                </c:pt>
              </c:numCache>
            </c:numRef>
          </c:val>
          <c:extLst>
            <c:ext xmlns:c16="http://schemas.microsoft.com/office/drawing/2014/chart" uri="{C3380CC4-5D6E-409C-BE32-E72D297353CC}">
              <c16:uniqueId val="{00000001-0197-492D-B3D2-F48879578A8E}"/>
            </c:ext>
          </c:extLst>
        </c:ser>
        <c:ser>
          <c:idx val="2"/>
          <c:order val="2"/>
          <c:tx>
            <c:strRef>
              <c:f>'Mean Velocity'!$C$75</c:f>
              <c:strCache>
                <c:ptCount val="1"/>
                <c:pt idx="0">
                  <c:v>Toy-in-Reach</c:v>
                </c:pt>
              </c:strCache>
            </c:strRef>
          </c:tx>
          <c:spPr>
            <a:ln w="28575" cap="rnd">
              <a:solidFill>
                <a:schemeClr val="dk1">
                  <a:tint val="75000"/>
                </a:schemeClr>
              </a:solidFill>
              <a:prstDash val="sysDash"/>
              <a:round/>
            </a:ln>
            <a:effectLst/>
          </c:spPr>
          <c:marker>
            <c:symbol val="none"/>
          </c:marker>
          <c:val>
            <c:numRef>
              <c:f>'Mean Velocity'!$D$75:$D$85</c:f>
              <c:numCache>
                <c:formatCode>General</c:formatCode>
                <c:ptCount val="11"/>
                <c:pt idx="0">
                  <c:v>11.4186</c:v>
                </c:pt>
                <c:pt idx="1">
                  <c:v>5.1886000000000001</c:v>
                </c:pt>
                <c:pt idx="2">
                  <c:v>7.8167</c:v>
                </c:pt>
                <c:pt idx="3">
                  <c:v>7.6173999999999999</c:v>
                </c:pt>
                <c:pt idx="4">
                  <c:v>6.1223000000000001</c:v>
                </c:pt>
                <c:pt idx="5">
                  <c:v>8.2274999999999991</c:v>
                </c:pt>
                <c:pt idx="6">
                  <c:v>7.9832000000000001</c:v>
                </c:pt>
                <c:pt idx="7">
                  <c:v>7.4244000000000003</c:v>
                </c:pt>
                <c:pt idx="8">
                  <c:v>8.7431000000000001</c:v>
                </c:pt>
                <c:pt idx="9">
                  <c:v>9.0164000000000009</c:v>
                </c:pt>
                <c:pt idx="10">
                  <c:v>7.6093999999999999</c:v>
                </c:pt>
              </c:numCache>
            </c:numRef>
          </c:val>
          <c:extLst>
            <c:ext xmlns:c16="http://schemas.microsoft.com/office/drawing/2014/chart" uri="{C3380CC4-5D6E-409C-BE32-E72D297353CC}">
              <c16:uniqueId val="{00000002-0197-492D-B3D2-F48879578A8E}"/>
            </c:ext>
          </c:extLst>
        </c:ser>
        <c:dLbls>
          <c:showLegendKey val="0"/>
          <c:showVal val="0"/>
          <c:showCatName val="0"/>
          <c:showSerName val="0"/>
          <c:showPercent val="0"/>
          <c:showBubbleSize val="0"/>
        </c:dLbls>
        <c:axId val="1732649887"/>
        <c:axId val="1732649407"/>
      </c:radarChart>
      <c:catAx>
        <c:axId val="17326498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Proximity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32649407"/>
        <c:crosses val="autoZero"/>
        <c:auto val="1"/>
        <c:lblAlgn val="ctr"/>
        <c:lblOffset val="100"/>
        <c:noMultiLvlLbl val="0"/>
      </c:catAx>
      <c:valAx>
        <c:axId val="1732649407"/>
        <c:scaling>
          <c:orientation val="minMax"/>
          <c:max val="1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Frequency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32649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solidFill>
                <a:schemeClr val="tx1"/>
              </a:solidFill>
            </a:ln>
            <a:effectLst/>
          </c:spPr>
          <c:invertIfNegative val="0"/>
          <c:errBars>
            <c:errBarType val="both"/>
            <c:errValType val="cust"/>
            <c:noEndCap val="0"/>
            <c:plus>
              <c:numRef>
                <c:f>'Movement Units'!$D$21:$D$31</c:f>
                <c:numCache>
                  <c:formatCode>General</c:formatCode>
                  <c:ptCount val="11"/>
                  <c:pt idx="0">
                    <c:v>2.00197</c:v>
                  </c:pt>
                  <c:pt idx="1">
                    <c:v>2.1427100000000001</c:v>
                  </c:pt>
                  <c:pt idx="2">
                    <c:v>2.23794</c:v>
                  </c:pt>
                  <c:pt idx="3">
                    <c:v>2.10684</c:v>
                  </c:pt>
                  <c:pt idx="4">
                    <c:v>2.01939</c:v>
                  </c:pt>
                  <c:pt idx="5">
                    <c:v>1.94933</c:v>
                  </c:pt>
                  <c:pt idx="6">
                    <c:v>1.95278</c:v>
                  </c:pt>
                  <c:pt idx="7">
                    <c:v>2.2526999999999999</c:v>
                  </c:pt>
                  <c:pt idx="8">
                    <c:v>1.99146</c:v>
                  </c:pt>
                  <c:pt idx="9">
                    <c:v>2.1255199999999999</c:v>
                  </c:pt>
                  <c:pt idx="10">
                    <c:v>2.0873200000000001</c:v>
                  </c:pt>
                </c:numCache>
              </c:numRef>
            </c:plus>
            <c:minus>
              <c:numRef>
                <c:f>'Movement Units'!$D$21:$D$31</c:f>
                <c:numCache>
                  <c:formatCode>General</c:formatCode>
                  <c:ptCount val="11"/>
                  <c:pt idx="0">
                    <c:v>2.00197</c:v>
                  </c:pt>
                  <c:pt idx="1">
                    <c:v>2.1427100000000001</c:v>
                  </c:pt>
                  <c:pt idx="2">
                    <c:v>2.23794</c:v>
                  </c:pt>
                  <c:pt idx="3">
                    <c:v>2.10684</c:v>
                  </c:pt>
                  <c:pt idx="4">
                    <c:v>2.01939</c:v>
                  </c:pt>
                  <c:pt idx="5">
                    <c:v>1.94933</c:v>
                  </c:pt>
                  <c:pt idx="6">
                    <c:v>1.95278</c:v>
                  </c:pt>
                  <c:pt idx="7">
                    <c:v>2.2526999999999999</c:v>
                  </c:pt>
                  <c:pt idx="8">
                    <c:v>1.99146</c:v>
                  </c:pt>
                  <c:pt idx="9">
                    <c:v>2.1255199999999999</c:v>
                  </c:pt>
                  <c:pt idx="10">
                    <c:v>2.0873200000000001</c:v>
                  </c:pt>
                </c:numCache>
              </c:numRef>
            </c:minus>
            <c:spPr>
              <a:noFill/>
              <a:ln w="9525" cap="flat" cmpd="sng" algn="ctr">
                <a:solidFill>
                  <a:schemeClr val="tx1">
                    <a:lumMod val="65000"/>
                    <a:lumOff val="35000"/>
                  </a:schemeClr>
                </a:solidFill>
                <a:round/>
              </a:ln>
              <a:effectLst/>
            </c:spPr>
          </c:errBars>
          <c:cat>
            <c:strRef>
              <c:f>'Movement Units'!$B$21:$B$31</c:f>
              <c:strCache>
                <c:ptCount val="11"/>
                <c:pt idx="0">
                  <c:v>-5</c:v>
                </c:pt>
                <c:pt idx="1">
                  <c:v>-4</c:v>
                </c:pt>
                <c:pt idx="2">
                  <c:v>-3</c:v>
                </c:pt>
                <c:pt idx="3">
                  <c:v>-2</c:v>
                </c:pt>
                <c:pt idx="4">
                  <c:v>-1</c:v>
                </c:pt>
                <c:pt idx="5">
                  <c:v>Onset</c:v>
                </c:pt>
                <c:pt idx="6">
                  <c:v>1</c:v>
                </c:pt>
                <c:pt idx="7">
                  <c:v>2</c:v>
                </c:pt>
                <c:pt idx="8">
                  <c:v>3</c:v>
                </c:pt>
                <c:pt idx="9">
                  <c:v>4</c:v>
                </c:pt>
                <c:pt idx="10">
                  <c:v>5</c:v>
                </c:pt>
              </c:strCache>
            </c:strRef>
          </c:cat>
          <c:val>
            <c:numRef>
              <c:f>'Movement Units'!$C$21:$C$31</c:f>
              <c:numCache>
                <c:formatCode>0.00</c:formatCode>
                <c:ptCount val="11"/>
                <c:pt idx="0">
                  <c:v>19.221399999999999</c:v>
                </c:pt>
                <c:pt idx="1">
                  <c:v>17.279399999999999</c:v>
                </c:pt>
                <c:pt idx="2">
                  <c:v>17.196000000000002</c:v>
                </c:pt>
                <c:pt idx="3">
                  <c:v>24.873100000000001</c:v>
                </c:pt>
                <c:pt idx="4">
                  <c:v>23.347899999999999</c:v>
                </c:pt>
                <c:pt idx="5">
                  <c:v>26.027000000000001</c:v>
                </c:pt>
                <c:pt idx="6">
                  <c:v>25.445900000000002</c:v>
                </c:pt>
                <c:pt idx="7">
                  <c:v>29.800899999999999</c:v>
                </c:pt>
                <c:pt idx="8">
                  <c:v>27.822900000000001</c:v>
                </c:pt>
                <c:pt idx="9">
                  <c:v>27.2044</c:v>
                </c:pt>
                <c:pt idx="10">
                  <c:v>31.810700000000001</c:v>
                </c:pt>
              </c:numCache>
            </c:numRef>
          </c:val>
          <c:extLst>
            <c:ext xmlns:c15="http://schemas.microsoft.com/office/drawing/2012/chart" uri="{02D57815-91ED-43cb-92C2-25804820EDAC}">
              <c15:filteredSeriesTitle>
                <c15:tx>
                  <c:strRef>
                    <c:extLst>
                      <c:ext uri="{02D57815-91ED-43cb-92C2-25804820EDAC}">
                        <c15:formulaRef>
                          <c15:sqref>'Mean Velocity'!#REF!</c15:sqref>
                        </c15:formulaRef>
                      </c:ext>
                    </c:extLst>
                    <c:strCache>
                      <c:ptCount val="1"/>
                      <c:pt idx="0">
                        <c:v>#REF!</c:v>
                      </c:pt>
                    </c:strCache>
                  </c:strRef>
                </c15:tx>
              </c15:filteredSeriesTitle>
            </c:ext>
            <c:ext xmlns:c16="http://schemas.microsoft.com/office/drawing/2014/chart" uri="{C3380CC4-5D6E-409C-BE32-E72D297353CC}">
              <c16:uniqueId val="{00000000-FDB5-4204-A50D-E4AA53E63376}"/>
            </c:ext>
          </c:extLst>
        </c:ser>
        <c:dLbls>
          <c:showLegendKey val="0"/>
          <c:showVal val="0"/>
          <c:showCatName val="0"/>
          <c:showSerName val="0"/>
          <c:showPercent val="0"/>
          <c:showBubbleSize val="0"/>
        </c:dLbls>
        <c:gapWidth val="219"/>
        <c:overlap val="-27"/>
        <c:axId val="1619322927"/>
        <c:axId val="1619323887"/>
      </c:barChart>
      <c:catAx>
        <c:axId val="16193229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Weeks Aroung Reach-Onset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9323887"/>
        <c:crosses val="autoZero"/>
        <c:auto val="1"/>
        <c:lblAlgn val="ctr"/>
        <c:lblOffset val="100"/>
        <c:noMultiLvlLbl val="0"/>
      </c:catAx>
      <c:valAx>
        <c:axId val="1619323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Average Movement  Units(#s)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193229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EA97221210AD45ACC7D2AA91B88B3F" ma:contentTypeVersion="10" ma:contentTypeDescription="Create a new document." ma:contentTypeScope="" ma:versionID="4942afe8a1150c477c02637f8ce3817c">
  <xsd:schema xmlns:xsd="http://www.w3.org/2001/XMLSchema" xmlns:xs="http://www.w3.org/2001/XMLSchema" xmlns:p="http://schemas.microsoft.com/office/2006/metadata/properties" xmlns:ns3="cd5b2d7e-a376-446a-9190-cb0e412086d8" xmlns:ns4="0071984b-9d3d-48b2-a9e6-bc222fa057b4" targetNamespace="http://schemas.microsoft.com/office/2006/metadata/properties" ma:root="true" ma:fieldsID="f41263d571f3fe8afaec8017f5b47074" ns3:_="" ns4:_="">
    <xsd:import namespace="cd5b2d7e-a376-446a-9190-cb0e412086d8"/>
    <xsd:import namespace="0071984b-9d3d-48b2-a9e6-bc222fa057b4"/>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KeyPoints" minOccurs="0"/>
                <xsd:element ref="ns4:MediaServiceKeyPoints" minOccurs="0"/>
                <xsd:element ref="ns3:SharedWithDetails" minOccurs="0"/>
                <xsd:element ref="ns3:SharingHintHash"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b2d7e-a376-446a-9190-cb0e412086d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71984b-9d3d-48b2-a9e6-bc222fa057b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071984b-9d3d-48b2-a9e6-bc222fa057b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F54199-B25A-4A8E-9E36-F391A1AF4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b2d7e-a376-446a-9190-cb0e412086d8"/>
    <ds:schemaRef ds:uri="0071984b-9d3d-48b2-a9e6-bc222fa05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BF944F-9CCB-4128-9508-2B668550902F}">
  <ds:schemaRefs>
    <ds:schemaRef ds:uri="http://schemas.microsoft.com/office/2006/metadata/properties"/>
    <ds:schemaRef ds:uri="http://schemas.microsoft.com/office/infopath/2007/PartnerControls"/>
    <ds:schemaRef ds:uri="0071984b-9d3d-48b2-a9e6-bc222fa057b4"/>
  </ds:schemaRefs>
</ds:datastoreItem>
</file>

<file path=customXml/itemProps3.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4.xml><?xml version="1.0" encoding="utf-8"?>
<ds:datastoreItem xmlns:ds="http://schemas.openxmlformats.org/officeDocument/2006/customXml" ds:itemID="{A4A3D6F6-060B-45E7-9DE5-2B47D01A8C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etd-word-template-1 (1)</Template>
  <TotalTime>14497</TotalTime>
  <Pages>195</Pages>
  <Words>37172</Words>
  <Characters>200896</Characters>
  <Application>Microsoft Office Word</Application>
  <DocSecurity>0</DocSecurity>
  <Lines>10752</Lines>
  <Paragraphs>8138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230872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john connell</cp:lastModifiedBy>
  <cp:revision>25</cp:revision>
  <cp:lastPrinted>2024-07-02T00:10:00Z</cp:lastPrinted>
  <dcterms:created xsi:type="dcterms:W3CDTF">2024-07-02T00:09:00Z</dcterms:created>
  <dcterms:modified xsi:type="dcterms:W3CDTF">2024-07-30T02:37:00Z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727cab39d1e81da78dc45662c13be05ee81f936779918264760b634c98bf22a5</vt:lpwstr>
  </property>
  <property fmtid="{D5CDD505-2E9C-101B-9397-08002B2CF9AE}" pid="3" name="ZOTERO_PREF_1">
    <vt:lpwstr>&lt;data data-version="3" zotero-version="6.0.36"&gt;&lt;session id="w1kihdrz"/&gt;&lt;style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y fmtid="{D5CDD505-2E9C-101B-9397-08002B2CF9AE}" pid="5" name="ContentTypeId">
    <vt:lpwstr>0x01010097EA97221210AD45ACC7D2AA91B88B3F</vt:lpwstr>
  </property>
</Properties>
</file>